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BC" w:rsidRDefault="005E023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7114BC" w:rsidRDefault="007114B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114BC" w:rsidRDefault="005E023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甘肃省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医疗机构设置审批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及执业登记</w:t>
      </w:r>
    </w:p>
    <w:p w:rsidR="007114BC" w:rsidRDefault="005E023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事中事后监管制度</w:t>
      </w:r>
    </w:p>
    <w:p w:rsidR="007114BC" w:rsidRDefault="007114BC">
      <w:pPr>
        <w:spacing w:line="560" w:lineRule="exact"/>
        <w:ind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为加强对医疗机构的管理，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促进医疗卫生事业的发展，保障公民健康，根据《中华人民共和国执业医师法》《医疗机构管理条例》及其实施细则等有关规定，制定本监管制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度。</w:t>
      </w:r>
    </w:p>
    <w:p w:rsidR="007114BC" w:rsidRDefault="005E0234" w:rsidP="00643396">
      <w:p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一、监督检查对象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全省各级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各类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医疗卫生机构。</w:t>
      </w:r>
    </w:p>
    <w:p w:rsidR="007114BC" w:rsidRDefault="005E0234" w:rsidP="00643396">
      <w:p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二、监督检查内容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疗机构的执业行为是否符合《中华人民共和国执业医师法》《中华人民共和国传染病防治法》《医疗机构管理条例》《医疗机构管理条例实施细则》《医疗废物管理条例》《医院感染管理办法》《消毒管理办法》等相关法律、法规、规章的规定。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检查下列事项：医疗机构依法执业；医护、药剂和医技等人员依法执业；处方和医学证明的管理；精麻药品管理；临床用血管理；人类辅助生殖技术与人类精子库管理；计划生育相关证明管理；母婴保健法和实施办法执行情况；传染病疫情报告与控制；预防接种管理；消毒隔离与院感控制；医疗废物处置；病原微生物实验室生物安全；消毒产品索证等。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三、监督检查方式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43396">
        <w:rPr>
          <w:rFonts w:ascii="楷体" w:eastAsia="楷体" w:hAnsi="楷体" w:cs="仿宋_GB2312" w:hint="eastAsia"/>
          <w:sz w:val="32"/>
          <w:szCs w:val="32"/>
        </w:rPr>
        <w:lastRenderedPageBreak/>
        <w:t>(</w:t>
      </w:r>
      <w:r w:rsidRPr="00643396">
        <w:rPr>
          <w:rFonts w:ascii="楷体" w:eastAsia="楷体" w:hAnsi="楷体" w:cs="仿宋_GB2312" w:hint="eastAsia"/>
          <w:sz w:val="32"/>
          <w:szCs w:val="32"/>
        </w:rPr>
        <w:t>一</w:t>
      </w:r>
      <w:r w:rsidRPr="00643396">
        <w:rPr>
          <w:rFonts w:ascii="楷体" w:eastAsia="楷体" w:hAnsi="楷体" w:cs="仿宋_GB2312" w:hint="eastAsia"/>
          <w:sz w:val="32"/>
          <w:szCs w:val="32"/>
        </w:rPr>
        <w:t>)</w:t>
      </w:r>
      <w:r w:rsidRPr="00643396">
        <w:rPr>
          <w:rFonts w:ascii="楷体" w:eastAsia="楷体" w:hAnsi="楷体" w:cs="仿宋_GB2312" w:hint="eastAsia"/>
          <w:sz w:val="32"/>
          <w:szCs w:val="32"/>
        </w:rPr>
        <w:t>监督管理</w:t>
      </w:r>
      <w:r w:rsidR="00643396">
        <w:rPr>
          <w:rFonts w:ascii="楷体" w:eastAsia="楷体" w:hAnsi="楷体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由各级卫生</w:t>
      </w:r>
      <w:r>
        <w:rPr>
          <w:rFonts w:ascii="仿宋_GB2312" w:eastAsia="仿宋_GB2312" w:hAnsi="仿宋_GB2312" w:cs="仿宋_GB2312" w:hint="eastAsia"/>
          <w:sz w:val="32"/>
          <w:szCs w:val="32"/>
        </w:rPr>
        <w:t>健康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行政部门分别组织对所辖区域内的医疗机构进行日常巡查。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43396">
        <w:rPr>
          <w:rFonts w:ascii="楷体" w:eastAsia="楷体" w:hAnsi="楷体" w:cs="仿宋_GB2312" w:hint="eastAsia"/>
          <w:sz w:val="32"/>
          <w:szCs w:val="32"/>
        </w:rPr>
        <w:t>(</w:t>
      </w:r>
      <w:r w:rsidRPr="00643396">
        <w:rPr>
          <w:rFonts w:ascii="楷体" w:eastAsia="楷体" w:hAnsi="楷体" w:cs="仿宋_GB2312" w:hint="eastAsia"/>
          <w:sz w:val="32"/>
          <w:szCs w:val="32"/>
        </w:rPr>
        <w:t>二</w:t>
      </w:r>
      <w:r w:rsidRPr="00643396">
        <w:rPr>
          <w:rFonts w:ascii="楷体" w:eastAsia="楷体" w:hAnsi="楷体" w:cs="仿宋_GB2312" w:hint="eastAsia"/>
          <w:sz w:val="32"/>
          <w:szCs w:val="32"/>
        </w:rPr>
        <w:t>)</w:t>
      </w:r>
      <w:r w:rsidRPr="00643396">
        <w:rPr>
          <w:rFonts w:ascii="楷体" w:eastAsia="楷体" w:hAnsi="楷体" w:cs="仿宋_GB2312" w:hint="eastAsia"/>
          <w:sz w:val="32"/>
          <w:szCs w:val="32"/>
        </w:rPr>
        <w:t>执法检查</w:t>
      </w:r>
      <w:r w:rsidR="00643396">
        <w:rPr>
          <w:rFonts w:ascii="楷体" w:eastAsia="楷体" w:hAnsi="楷体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针对重大隐患问题、重大社会活动、上级交办事项等开展监督检查。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43396">
        <w:rPr>
          <w:rFonts w:ascii="楷体" w:eastAsia="楷体" w:hAnsi="楷体" w:cs="仿宋_GB2312" w:hint="eastAsia"/>
          <w:sz w:val="32"/>
          <w:szCs w:val="32"/>
        </w:rPr>
        <w:t>(</w:t>
      </w:r>
      <w:r w:rsidRPr="00643396">
        <w:rPr>
          <w:rFonts w:ascii="楷体" w:eastAsia="楷体" w:hAnsi="楷体" w:cs="仿宋_GB2312" w:hint="eastAsia"/>
          <w:sz w:val="32"/>
          <w:szCs w:val="32"/>
        </w:rPr>
        <w:t>三</w:t>
      </w:r>
      <w:r w:rsidRPr="00643396">
        <w:rPr>
          <w:rFonts w:ascii="楷体" w:eastAsia="楷体" w:hAnsi="楷体" w:cs="仿宋_GB2312" w:hint="eastAsia"/>
          <w:sz w:val="32"/>
          <w:szCs w:val="32"/>
        </w:rPr>
        <w:t>)</w:t>
      </w:r>
      <w:r w:rsidRPr="00643396">
        <w:rPr>
          <w:rFonts w:ascii="楷体" w:eastAsia="楷体" w:hAnsi="楷体" w:cs="仿宋_GB2312" w:hint="eastAsia"/>
          <w:sz w:val="32"/>
          <w:szCs w:val="32"/>
        </w:rPr>
        <w:t>监督监测</w:t>
      </w:r>
      <w:r w:rsidRPr="00643396">
        <w:rPr>
          <w:rFonts w:ascii="楷体" w:eastAsia="楷体" w:hAnsi="楷体" w:cs="仿宋_GB2312" w:hint="eastAsia"/>
          <w:sz w:val="32"/>
          <w:szCs w:val="32"/>
        </w:rPr>
        <w:t>抽样</w:t>
      </w:r>
      <w:r w:rsidR="00643396">
        <w:rPr>
          <w:rFonts w:ascii="楷体" w:eastAsia="楷体" w:hAnsi="楷体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按监测计划对医疗机构进行抽检。</w:t>
      </w:r>
    </w:p>
    <w:p w:rsidR="007114BC" w:rsidRDefault="005E0234" w:rsidP="00643396">
      <w:p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四、监督检查措施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43396">
        <w:rPr>
          <w:rFonts w:ascii="楷体" w:eastAsia="楷体" w:hAnsi="楷体" w:cs="仿宋_GB2312" w:hint="eastAsia"/>
          <w:sz w:val="32"/>
          <w:szCs w:val="32"/>
        </w:rPr>
        <w:t>（一）专项检查</w:t>
      </w:r>
      <w:r w:rsidR="00643396">
        <w:rPr>
          <w:rFonts w:ascii="楷体" w:eastAsia="楷体" w:hAnsi="楷体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根据上级下达和自行组织的专项行动开展专项检查，具体检查内容和要求根据专项行动指标确定。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43396">
        <w:rPr>
          <w:rFonts w:ascii="楷体" w:eastAsia="楷体" w:hAnsi="楷体" w:cs="仿宋_GB2312" w:hint="eastAsia"/>
          <w:sz w:val="32"/>
          <w:szCs w:val="32"/>
        </w:rPr>
        <w:t>（二）日常检查</w:t>
      </w:r>
      <w:r w:rsidR="00643396">
        <w:rPr>
          <w:rFonts w:ascii="楷体" w:eastAsia="楷体" w:hAnsi="楷体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由各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卫生</w:t>
      </w:r>
      <w:r>
        <w:rPr>
          <w:rFonts w:ascii="仿宋_GB2312" w:eastAsia="仿宋_GB2312" w:hAnsi="仿宋_GB2312" w:cs="仿宋_GB2312" w:hint="eastAsia"/>
          <w:sz w:val="32"/>
          <w:szCs w:val="32"/>
        </w:rPr>
        <w:t>健康行政部门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按照随机抽取检查对象、随机选派执法检查人员的“双随机”方式，对医疗机构进行日常检查；根据群众投诉举报随机选派执法检查人员开展检查。</w:t>
      </w:r>
    </w:p>
    <w:p w:rsidR="007114BC" w:rsidRDefault="005E0234" w:rsidP="00643396">
      <w:p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五、监督检查程序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43396">
        <w:rPr>
          <w:rFonts w:ascii="楷体" w:eastAsia="楷体" w:hAnsi="楷体" w:cs="仿宋_GB2312" w:hint="eastAsia"/>
          <w:sz w:val="32"/>
          <w:szCs w:val="32"/>
        </w:rPr>
        <w:t>（一）制定工作计划</w:t>
      </w:r>
      <w:r w:rsidR="00643396">
        <w:rPr>
          <w:rFonts w:ascii="楷体" w:eastAsia="楷体" w:hAnsi="楷体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确定检查范围、检查内容、检查方式、时间安排、工作要求。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43396">
        <w:rPr>
          <w:rFonts w:ascii="楷体" w:eastAsia="楷体" w:hAnsi="楷体" w:cs="仿宋_GB2312" w:hint="eastAsia"/>
          <w:sz w:val="32"/>
          <w:szCs w:val="32"/>
        </w:rPr>
        <w:t>（二）实施检查</w:t>
      </w:r>
      <w:r w:rsidR="00643396">
        <w:rPr>
          <w:rFonts w:ascii="楷体" w:eastAsia="楷体" w:hAnsi="楷体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按照检查计划，切实履行监督管理职责，实施检查。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根据工作计划，由</w:t>
      </w:r>
      <w:r>
        <w:rPr>
          <w:rFonts w:ascii="仿宋_GB2312" w:eastAsia="仿宋_GB2312" w:hAnsi="仿宋_GB2312" w:cs="仿宋_GB2312" w:hint="eastAsia"/>
          <w:sz w:val="32"/>
          <w:szCs w:val="32"/>
        </w:rPr>
        <w:t>两名以上卫生监督员参加监督检查；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卫生监督检查人员向医疗机构出示有效执法证件，说明来意，告知其享有的合法权利和应当履行的法定义务；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卫生监督检查人员根据相关规定进行监测抽样或监督检查，并制作相关文书，交当事人确认签字；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发现医疗机构存在违反医疗卫生法律法规的行为，制作相关文书，对存在问题的机构和人员及时提出整改意见，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必要时依法给予行政处罚。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43396">
        <w:rPr>
          <w:rFonts w:ascii="楷体" w:eastAsia="楷体" w:hAnsi="楷体" w:cs="仿宋_GB2312" w:hint="eastAsia"/>
          <w:sz w:val="32"/>
          <w:szCs w:val="32"/>
        </w:rPr>
        <w:t>（三）检查结果处理</w:t>
      </w:r>
      <w:r w:rsidR="00643396">
        <w:rPr>
          <w:rFonts w:ascii="楷体" w:eastAsia="楷体" w:hAnsi="楷体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检查工作完成后，根据检查的情况，对检查基本情况、存在问题进行汇总分析、通报，并提出下一步工作要求。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43396">
        <w:rPr>
          <w:rFonts w:ascii="楷体" w:eastAsia="楷体" w:hAnsi="楷体" w:cs="仿宋_GB2312" w:hint="eastAsia"/>
          <w:sz w:val="32"/>
          <w:szCs w:val="32"/>
        </w:rPr>
        <w:t>（四）整改处理</w:t>
      </w:r>
      <w:r w:rsidR="00643396">
        <w:rPr>
          <w:rFonts w:ascii="楷体" w:eastAsia="楷体" w:hAnsi="楷体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督促医疗机构认真落实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整改，在规定期限内完成。</w:t>
      </w:r>
    </w:p>
    <w:p w:rsidR="007114BC" w:rsidRDefault="005E0234" w:rsidP="00643396">
      <w:p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六、监督检查处理</w:t>
      </w:r>
    </w:p>
    <w:p w:rsidR="007114BC" w:rsidRDefault="005E0234" w:rsidP="0064339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发现行政相对人违反有关法律、法规、规章，情节轻微的，责令改正。</w:t>
      </w:r>
      <w:r>
        <w:rPr>
          <w:rFonts w:ascii="仿宋_GB2312" w:eastAsia="仿宋_GB2312" w:hAnsi="仿宋_GB2312" w:cs="仿宋_GB2312" w:hint="eastAsia"/>
          <w:sz w:val="32"/>
          <w:szCs w:val="32"/>
        </w:rPr>
        <w:t>发现行政相对人违反有关法律、法规、规章，情节较重或严重的，予以立案查处，依法作出行政处罚决定。</w:t>
      </w:r>
    </w:p>
    <w:p w:rsidR="007114BC" w:rsidRDefault="005E0234" w:rsidP="0064339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对涉嫌犯罪的，应当及时移送公安机关处理。</w:t>
      </w:r>
      <w:bookmarkStart w:id="0" w:name="_GoBack"/>
      <w:bookmarkEnd w:id="0"/>
    </w:p>
    <w:p w:rsidR="007114BC" w:rsidRDefault="007114BC" w:rsidP="00643396">
      <w:pPr>
        <w:tabs>
          <w:tab w:val="left" w:pos="7560"/>
        </w:tabs>
        <w:adjustRightInd w:val="0"/>
        <w:snapToGrid w:val="0"/>
        <w:spacing w:beforeLines="50" w:before="156" w:line="56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7114BC" w:rsidRDefault="007114BC">
      <w:pPr>
        <w:tabs>
          <w:tab w:val="left" w:pos="7560"/>
        </w:tabs>
        <w:adjustRightInd w:val="0"/>
        <w:snapToGrid w:val="0"/>
        <w:spacing w:beforeLines="50" w:before="156"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7114BC" w:rsidRDefault="007114BC">
      <w:pPr>
        <w:tabs>
          <w:tab w:val="left" w:pos="7560"/>
        </w:tabs>
        <w:adjustRightInd w:val="0"/>
        <w:snapToGrid w:val="0"/>
        <w:spacing w:beforeLines="50" w:before="156"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7114BC" w:rsidRDefault="007114BC">
      <w:pPr>
        <w:tabs>
          <w:tab w:val="left" w:pos="7560"/>
        </w:tabs>
        <w:adjustRightInd w:val="0"/>
        <w:snapToGrid w:val="0"/>
        <w:spacing w:beforeLines="50" w:before="156"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7114BC" w:rsidRDefault="007114BC">
      <w:pPr>
        <w:tabs>
          <w:tab w:val="left" w:pos="7560"/>
        </w:tabs>
        <w:adjustRightInd w:val="0"/>
        <w:snapToGrid w:val="0"/>
        <w:spacing w:beforeLines="50" w:before="156"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7114BC" w:rsidRDefault="007114BC">
      <w:pPr>
        <w:tabs>
          <w:tab w:val="left" w:pos="7560"/>
        </w:tabs>
        <w:adjustRightInd w:val="0"/>
        <w:snapToGrid w:val="0"/>
        <w:spacing w:beforeLines="50" w:before="156"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7114BC" w:rsidRDefault="007114BC">
      <w:pPr>
        <w:tabs>
          <w:tab w:val="left" w:pos="7560"/>
        </w:tabs>
        <w:adjustRightInd w:val="0"/>
        <w:snapToGrid w:val="0"/>
        <w:spacing w:beforeLines="50" w:before="156"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7114BC" w:rsidRDefault="007114BC"/>
    <w:sectPr w:rsidR="00711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34" w:rsidRDefault="005E0234" w:rsidP="00643396">
      <w:r>
        <w:separator/>
      </w:r>
    </w:p>
  </w:endnote>
  <w:endnote w:type="continuationSeparator" w:id="0">
    <w:p w:rsidR="005E0234" w:rsidRDefault="005E0234" w:rsidP="0064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34" w:rsidRDefault="005E0234" w:rsidP="00643396">
      <w:r>
        <w:separator/>
      </w:r>
    </w:p>
  </w:footnote>
  <w:footnote w:type="continuationSeparator" w:id="0">
    <w:p w:rsidR="005E0234" w:rsidRDefault="005E0234" w:rsidP="0064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0E"/>
    <w:rsid w:val="0023470E"/>
    <w:rsid w:val="005E0234"/>
    <w:rsid w:val="00643396"/>
    <w:rsid w:val="007114BC"/>
    <w:rsid w:val="009332C9"/>
    <w:rsid w:val="0ED24C9A"/>
    <w:rsid w:val="12B17971"/>
    <w:rsid w:val="396F4956"/>
    <w:rsid w:val="3F08340C"/>
    <w:rsid w:val="7205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E11F8"/>
  <w15:docId w15:val="{A0D66032-5877-4FA8-9827-926D3F75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39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3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2018-11-09T07:34:00Z</cp:lastPrinted>
  <dcterms:created xsi:type="dcterms:W3CDTF">2018-10-24T08:34:00Z</dcterms:created>
  <dcterms:modified xsi:type="dcterms:W3CDTF">2018-11-15T08:48:00Z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