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F0BB">
      <w:pPr>
        <w:tabs>
          <w:tab w:val="left" w:pos="6971"/>
        </w:tabs>
        <w:spacing w:line="587" w:lineRule="exact"/>
        <w:jc w:val="center"/>
        <w:rPr>
          <w:rFonts w:ascii="方正小标宋简体" w:hAnsi="宋体" w:eastAsia="方正小标宋简体"/>
          <w:b/>
          <w:bCs/>
          <w:sz w:val="36"/>
          <w:szCs w:val="36"/>
        </w:rPr>
      </w:pPr>
    </w:p>
    <w:p w14:paraId="69E51A2C">
      <w:pPr>
        <w:tabs>
          <w:tab w:val="left" w:pos="6971"/>
        </w:tabs>
        <w:spacing w:line="587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2026年张掖经开区财政预算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 w14:paraId="6548078B">
      <w:pPr>
        <w:spacing w:line="587" w:lineRule="exact"/>
        <w:rPr>
          <w:rFonts w:ascii="仿宋" w:hAnsi="仿宋" w:eastAsia="仿宋"/>
          <w:sz w:val="32"/>
          <w:szCs w:val="32"/>
        </w:rPr>
      </w:pPr>
    </w:p>
    <w:p w14:paraId="4D283AA0">
      <w:pPr>
        <w:pStyle w:val="8"/>
        <w:spacing w:line="587" w:lineRule="exact"/>
        <w:ind w:firstLine="64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2026年张掖经济技术开发区将聚焦全市“一屏三地”功能定位和高质量发展目标，</w:t>
      </w:r>
      <w:r>
        <w:rPr>
          <w:rFonts w:hint="eastAsia" w:ascii="仿宋_GB2312" w:hAnsi="楷体" w:eastAsia="仿宋_GB2312" w:cs="仿宋_GB2312"/>
          <w:bCs/>
          <w:kern w:val="0"/>
          <w:sz w:val="32"/>
          <w:szCs w:val="32"/>
          <w:lang w:eastAsia="zh-CN"/>
        </w:rPr>
        <w:t>增强经济活力，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优化支出结构，守牢“三保”底线，强化财源培育，提升财政绩效，确保经济稳健可持续运行，</w:t>
      </w:r>
      <w:r>
        <w:rPr>
          <w:rFonts w:hint="eastAsia" w:ascii="仿宋_GB2312" w:hAnsi="楷体" w:eastAsia="仿宋_GB2312" w:cs="仿宋_GB2312"/>
          <w:bCs/>
          <w:kern w:val="0"/>
          <w:sz w:val="32"/>
          <w:szCs w:val="32"/>
          <w:lang w:eastAsia="zh-CN"/>
        </w:rPr>
        <w:t>奋力开创张掖经开区高质量发展和现代化建设新局面。</w:t>
      </w:r>
    </w:p>
    <w:p w14:paraId="3FCEF6FA">
      <w:pPr>
        <w:spacing w:line="587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基本原则</w:t>
      </w:r>
    </w:p>
    <w:p w14:paraId="69632B70">
      <w:pPr>
        <w:spacing w:line="587" w:lineRule="exact"/>
        <w:ind w:firstLine="630" w:firstLineChars="196"/>
        <w:rPr>
          <w:rFonts w:ascii="仿宋_GB2312" w:hAnsi="楷体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一是严格依法依规。</w:t>
      </w:r>
      <w:r>
        <w:rPr>
          <w:rFonts w:hint="eastAsia" w:ascii="仿宋_GB2312" w:hAnsi="楷体" w:eastAsia="仿宋_GB2312" w:cs="仿宋_GB2312"/>
          <w:bCs/>
          <w:kern w:val="0"/>
          <w:sz w:val="32"/>
          <w:szCs w:val="32"/>
        </w:rPr>
        <w:t>严格按照《预算法》及其实施条例编制预算，硬化预算约束，严格执行人大批准的法定预算，严控政府债务风险。</w:t>
      </w:r>
    </w:p>
    <w:p w14:paraId="4B691F62">
      <w:pPr>
        <w:spacing w:line="587" w:lineRule="exact"/>
        <w:ind w:firstLine="630" w:firstLineChars="196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二是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厉行勤俭节约。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严格落实过紧日子要求，2026年各部门（单位）项目支出规划建议数总规模原则上不超过上年预算批复数。   </w:t>
      </w:r>
    </w:p>
    <w:p w14:paraId="38C46AAF">
      <w:pPr>
        <w:spacing w:line="587" w:lineRule="exact"/>
        <w:ind w:firstLine="630" w:firstLineChars="196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三是强化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预算约束。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坚持先有预算后有支出，无预算不支出。年初预算一经批复，执行中原则上不再追加。凡没有政策依据或实质内容的支出，一律不安排预算。</w:t>
      </w:r>
    </w:p>
    <w:p w14:paraId="26DDFA17">
      <w:pPr>
        <w:spacing w:line="587" w:lineRule="exact"/>
        <w:ind w:firstLine="630" w:firstLineChars="196"/>
        <w:rPr>
          <w:rFonts w:ascii="仿宋_GB2312" w:hAnsi="楷体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四是做到有保有压。</w:t>
      </w:r>
      <w:r>
        <w:rPr>
          <w:rFonts w:ascii="仿宋_GB2312" w:hAnsi="宋体" w:eastAsia="仿宋_GB2312" w:cs="仿宋_GB2312"/>
          <w:bCs/>
          <w:color w:val="333333"/>
          <w:sz w:val="32"/>
          <w:szCs w:val="32"/>
          <w:shd w:val="clear" w:color="auto" w:fill="FFFFFF"/>
        </w:rPr>
        <w:t>坚持“三保”支出优先，突出重点领域保障</w:t>
      </w:r>
      <w:r>
        <w:rPr>
          <w:rFonts w:hint="eastAsia" w:ascii="仿宋_GB2312" w:hAnsi="宋体" w:eastAsia="仿宋_GB2312" w:cs="仿宋_GB2312"/>
          <w:bCs/>
          <w:color w:val="333333"/>
          <w:sz w:val="32"/>
          <w:szCs w:val="32"/>
          <w:shd w:val="clear" w:color="auto" w:fill="FFFFFF"/>
        </w:rPr>
        <w:t>，在</w:t>
      </w:r>
      <w:r>
        <w:rPr>
          <w:rFonts w:ascii="仿宋_GB2312" w:hAnsi="宋体" w:eastAsia="仿宋_GB2312" w:cs="仿宋_GB2312"/>
          <w:bCs/>
          <w:color w:val="333333"/>
          <w:sz w:val="32"/>
          <w:szCs w:val="32"/>
          <w:shd w:val="clear" w:color="auto" w:fill="FFFFFF"/>
        </w:rPr>
        <w:t>合理支出中不留硬缺口</w:t>
      </w:r>
      <w:r>
        <w:rPr>
          <w:rFonts w:hint="eastAsia" w:ascii="仿宋_GB2312" w:hAnsi="宋体" w:eastAsia="仿宋_GB2312" w:cs="仿宋_GB2312"/>
          <w:bCs/>
          <w:color w:val="333333"/>
          <w:sz w:val="32"/>
          <w:szCs w:val="32"/>
          <w:shd w:val="clear" w:color="auto" w:fill="FFFFFF"/>
        </w:rPr>
        <w:t>；</w:t>
      </w:r>
      <w:r>
        <w:rPr>
          <w:rFonts w:hint="eastAsia" w:ascii="仿宋_GB2312" w:hAnsi="楷体" w:eastAsia="仿宋_GB2312" w:cs="仿宋_GB2312"/>
          <w:bCs/>
          <w:kern w:val="0"/>
          <w:sz w:val="32"/>
          <w:szCs w:val="32"/>
        </w:rPr>
        <w:t>严控一般性支出，压缩“三公”经费。</w:t>
      </w:r>
    </w:p>
    <w:p w14:paraId="62F41F74">
      <w:pPr>
        <w:spacing w:line="587" w:lineRule="exact"/>
        <w:ind w:firstLine="630" w:firstLineChars="196"/>
        <w:rPr>
          <w:rFonts w:ascii="仿宋_GB2312" w:hAnsi="宋体" w:eastAsia="仿宋_GB2312" w:cs="仿宋_GB2312"/>
          <w:bCs/>
          <w:color w:val="333333"/>
          <w:spacing w:val="-6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五是实施绩效评价。</w:t>
      </w:r>
      <w:r>
        <w:rPr>
          <w:rFonts w:hint="eastAsia" w:ascii="仿宋_GB2312" w:hAnsi="楷体" w:eastAsia="仿宋_GB2312" w:cs="仿宋_GB2312"/>
          <w:bCs/>
          <w:kern w:val="0"/>
          <w:sz w:val="32"/>
          <w:szCs w:val="32"/>
        </w:rPr>
        <w:t>强化绩效目标评审，完善绩效评价机</w:t>
      </w:r>
      <w:r>
        <w:rPr>
          <w:rFonts w:hint="eastAsia" w:ascii="仿宋_GB2312" w:hAnsi="楷体" w:eastAsia="仿宋_GB2312" w:cs="仿宋_GB2312"/>
          <w:bCs/>
          <w:spacing w:val="-6"/>
          <w:kern w:val="0"/>
          <w:sz w:val="32"/>
          <w:szCs w:val="32"/>
        </w:rPr>
        <w:t>制，</w:t>
      </w:r>
      <w:r>
        <w:rPr>
          <w:rFonts w:ascii="仿宋_GB2312" w:hAnsi="宋体" w:eastAsia="仿宋_GB2312" w:cs="仿宋_GB2312"/>
          <w:bCs/>
          <w:color w:val="333333"/>
          <w:spacing w:val="-6"/>
          <w:sz w:val="32"/>
          <w:szCs w:val="32"/>
          <w:shd w:val="clear" w:color="auto" w:fill="FFFFFF"/>
        </w:rPr>
        <w:t>坚决落实好预算绩效评价结果与年度项目预算安排挂钩机制。</w:t>
      </w:r>
    </w:p>
    <w:p w14:paraId="1D36B0DD">
      <w:pPr>
        <w:spacing w:line="587" w:lineRule="exact"/>
        <w:ind w:firstLine="627" w:firstLineChars="196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二、2026年经开区财政收支预算</w:t>
      </w:r>
      <w:r>
        <w:rPr>
          <w:rFonts w:hint="eastAsia" w:ascii="黑体" w:eastAsia="黑体"/>
          <w:sz w:val="32"/>
          <w:szCs w:val="32"/>
        </w:rPr>
        <w:t>安排建议</w:t>
      </w:r>
    </w:p>
    <w:p w14:paraId="238041C0">
      <w:pPr>
        <w:pStyle w:val="8"/>
        <w:spacing w:line="587" w:lineRule="exact"/>
        <w:ind w:firstLine="624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（一）一般公共预算：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bCs/>
          <w:spacing w:val="15"/>
          <w:lang w:eastAsia="zh-CN"/>
        </w:rPr>
        <w:t>经开</w:t>
      </w:r>
      <w:r>
        <w:rPr>
          <w:rFonts w:hint="eastAsia"/>
          <w:spacing w:val="15"/>
          <w:lang w:eastAsia="zh-CN"/>
        </w:rPr>
        <w:t>区</w:t>
      </w:r>
      <w:r>
        <w:rPr>
          <w:spacing w:val="15"/>
          <w:lang w:eastAsia="zh-CN"/>
        </w:rPr>
        <w:t>一般公共预算收入增长</w:t>
      </w:r>
      <w:r>
        <w:rPr>
          <w:rFonts w:hint="eastAsia"/>
          <w:spacing w:val="15"/>
          <w:lang w:eastAsia="zh-CN"/>
        </w:rPr>
        <w:t>6</w:t>
      </w:r>
      <w:r>
        <w:rPr>
          <w:spacing w:val="15"/>
          <w:lang w:eastAsia="zh-CN"/>
        </w:rPr>
        <w:t>%</w:t>
      </w:r>
      <w:r>
        <w:rPr>
          <w:spacing w:val="14"/>
          <w:lang w:eastAsia="zh-CN"/>
        </w:rPr>
        <w:t>,</w:t>
      </w:r>
      <w:r>
        <w:rPr>
          <w:spacing w:val="17"/>
          <w:lang w:eastAsia="zh-CN"/>
        </w:rPr>
        <w:t>完成</w:t>
      </w:r>
      <w:r>
        <w:rPr>
          <w:rFonts w:hint="eastAsia"/>
          <w:spacing w:val="17"/>
          <w:lang w:eastAsia="zh-CN"/>
        </w:rPr>
        <w:t>10596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  <w:r>
        <w:rPr>
          <w:rFonts w:hint="eastAsia" w:eastAsia="仿宋_GB2312"/>
          <w:spacing w:val="17"/>
          <w:lang w:eastAsia="zh-CN"/>
        </w:rPr>
        <w:t>一般公共预算</w:t>
      </w:r>
      <w:r>
        <w:rPr>
          <w:spacing w:val="10"/>
          <w:lang w:eastAsia="zh-CN"/>
        </w:rPr>
        <w:t>可安排财力</w:t>
      </w:r>
      <w:r>
        <w:rPr>
          <w:rFonts w:hint="eastAsia"/>
          <w:spacing w:val="10"/>
          <w:lang w:eastAsia="zh-CN"/>
        </w:rPr>
        <w:t>17942</w:t>
      </w:r>
      <w:r>
        <w:rPr>
          <w:rFonts w:hint="eastAsia"/>
          <w:spacing w:val="-5"/>
          <w:lang w:eastAsia="zh-CN"/>
        </w:rPr>
        <w:t>万元</w:t>
      </w:r>
      <w:r>
        <w:rPr>
          <w:spacing w:val="-5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财力构成是：</w:t>
      </w:r>
    </w:p>
    <w:p w14:paraId="10768855">
      <w:pPr>
        <w:spacing w:line="58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1.一般公共预算收入10596万元,占可用财力的59.06%；</w:t>
      </w:r>
    </w:p>
    <w:p w14:paraId="1EA5908B">
      <w:pPr>
        <w:spacing w:line="58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2.预算稳定调节基金556万元,占可用财力的3.10%；</w:t>
      </w:r>
    </w:p>
    <w:p w14:paraId="104BB798">
      <w:pPr>
        <w:spacing w:line="58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3.调入政府性基金56万元,占可用财力的0.31%；</w:t>
      </w:r>
    </w:p>
    <w:p w14:paraId="6976F88B">
      <w:pPr>
        <w:spacing w:line="58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4.上年结转6734万元,占可用财力的37.53%。</w:t>
      </w:r>
    </w:p>
    <w:p w14:paraId="5EA2160B">
      <w:pPr>
        <w:spacing w:line="587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按照收支平衡原则，安排经开区一般公共预算支出17942万元。其中:</w:t>
      </w:r>
    </w:p>
    <w:p w14:paraId="0DA3DEC5">
      <w:pPr>
        <w:spacing w:line="58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1.基本支出1580万元,占支出总额的8.81%，其中：人员经费1232万元；运转类支出148万元、预留增资200万元。</w:t>
      </w:r>
    </w:p>
    <w:p w14:paraId="534B980C">
      <w:pPr>
        <w:spacing w:line="58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2.项目支出、预备费9628万元,占支出总额的53.66%。重点安排支持企业发展奖补、生态环保及污染治理、基础设施建设、应急管理及重大风险防控、化解以前年度设施建设债务及预备费等方面。</w:t>
      </w:r>
    </w:p>
    <w:p w14:paraId="58A66F09">
      <w:pPr>
        <w:spacing w:line="587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3.上年结转支付支出6734万元，占可用财力的37.53%。</w:t>
      </w:r>
    </w:p>
    <w:p w14:paraId="3A4BB4CD">
      <w:pPr>
        <w:spacing w:line="587" w:lineRule="exact"/>
        <w:ind w:firstLine="643" w:firstLineChars="200"/>
        <w:rPr>
          <w:rFonts w:eastAsia="仿宋_GB231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（二）政府性基金预算：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政府性基金预算收入1722万元，加上年结转5842万元，减调出资金56万元，政府性基金预计可用财力7508万元。按照收支平衡原则，支出相应安排7508万元，主要用于支付地方政府专项债券利息、园区基础设施建设及征地补偿。</w:t>
      </w:r>
    </w:p>
    <w:p w14:paraId="5402CDE7">
      <w:pPr>
        <w:pStyle w:val="2"/>
        <w:spacing w:after="0" w:line="587" w:lineRule="exact"/>
        <w:ind w:left="0" w:leftChars="0" w:firstLine="643"/>
        <w:rPr>
          <w:rFonts w:eastAsia="仿宋_GB231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（三）政府采购预算安排情况。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2026年经开区采购预算资金4278万元,较上年压减2%。其中：货物类项目116万元，服务类项目1824万元，工程类项目2338万元。</w:t>
      </w:r>
    </w:p>
    <w:p w14:paraId="55283F82">
      <w:pPr>
        <w:spacing w:line="587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</w:rPr>
        <w:t>政府债务还本付息预算等相关情况</w:t>
      </w:r>
    </w:p>
    <w:p w14:paraId="4999C8C2">
      <w:pPr>
        <w:pStyle w:val="2"/>
        <w:spacing w:after="0" w:line="587" w:lineRule="exact"/>
        <w:ind w:left="0" w:leftChars="0" w:firstLine="640"/>
      </w:pPr>
      <w:r>
        <w:rPr>
          <w:rFonts w:hint="eastAsia" w:ascii="仿宋_GB2312" w:hAnsi="黑体" w:eastAsia="仿宋_GB2312" w:cs="仿宋_GB2312"/>
          <w:sz w:val="32"/>
          <w:szCs w:val="32"/>
        </w:rPr>
        <w:t>2026年，经开区到期政府法定债务本息950.71万元，全部为地方政府专项债券利息。法定债务到期本息已足额列入政府性基金预算，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通过项目对应政府性基金收入和专项收入等方式偿还。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B2C72">
    <w:pPr>
      <w:pStyle w:val="11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GFjMTZkNjcxYzUzOTNlNWQ4YTAyZTk4OTE3YTQ2MjMifQ=="/>
  </w:docVars>
  <w:rsids>
    <w:rsidRoot w:val="00754E89"/>
    <w:rsid w:val="000002DC"/>
    <w:rsid w:val="00002931"/>
    <w:rsid w:val="00016DCB"/>
    <w:rsid w:val="00020DF7"/>
    <w:rsid w:val="000237DF"/>
    <w:rsid w:val="000928FA"/>
    <w:rsid w:val="000A24D6"/>
    <w:rsid w:val="000F628B"/>
    <w:rsid w:val="000F76E4"/>
    <w:rsid w:val="0010455A"/>
    <w:rsid w:val="00174A33"/>
    <w:rsid w:val="00177D62"/>
    <w:rsid w:val="00180F5A"/>
    <w:rsid w:val="00190748"/>
    <w:rsid w:val="00193057"/>
    <w:rsid w:val="001C63E9"/>
    <w:rsid w:val="001E40FE"/>
    <w:rsid w:val="00216ED9"/>
    <w:rsid w:val="00251FE6"/>
    <w:rsid w:val="002539EE"/>
    <w:rsid w:val="00260E4D"/>
    <w:rsid w:val="00280E59"/>
    <w:rsid w:val="002E2800"/>
    <w:rsid w:val="00324503"/>
    <w:rsid w:val="003440EC"/>
    <w:rsid w:val="00347733"/>
    <w:rsid w:val="00386989"/>
    <w:rsid w:val="003970FF"/>
    <w:rsid w:val="003F5F2A"/>
    <w:rsid w:val="00414D59"/>
    <w:rsid w:val="004220BD"/>
    <w:rsid w:val="004635E5"/>
    <w:rsid w:val="00473D9E"/>
    <w:rsid w:val="00496FE0"/>
    <w:rsid w:val="004B2B21"/>
    <w:rsid w:val="004C1125"/>
    <w:rsid w:val="00512169"/>
    <w:rsid w:val="00513E9E"/>
    <w:rsid w:val="005A3C82"/>
    <w:rsid w:val="005A44A9"/>
    <w:rsid w:val="005B7D38"/>
    <w:rsid w:val="005C0098"/>
    <w:rsid w:val="005D295A"/>
    <w:rsid w:val="00690C55"/>
    <w:rsid w:val="006B57EF"/>
    <w:rsid w:val="006C35C1"/>
    <w:rsid w:val="006C38BA"/>
    <w:rsid w:val="006E2CF1"/>
    <w:rsid w:val="006E55E4"/>
    <w:rsid w:val="00723FDA"/>
    <w:rsid w:val="00740DE0"/>
    <w:rsid w:val="00754E89"/>
    <w:rsid w:val="00775AFC"/>
    <w:rsid w:val="007775AF"/>
    <w:rsid w:val="007A6F63"/>
    <w:rsid w:val="007C42C7"/>
    <w:rsid w:val="007D17AF"/>
    <w:rsid w:val="007D7D42"/>
    <w:rsid w:val="00801F58"/>
    <w:rsid w:val="00826659"/>
    <w:rsid w:val="00826A7C"/>
    <w:rsid w:val="00850E66"/>
    <w:rsid w:val="00852E29"/>
    <w:rsid w:val="0087182E"/>
    <w:rsid w:val="008C70FD"/>
    <w:rsid w:val="008E2F9E"/>
    <w:rsid w:val="009750D1"/>
    <w:rsid w:val="00987E89"/>
    <w:rsid w:val="009A09CE"/>
    <w:rsid w:val="009E2F6D"/>
    <w:rsid w:val="009F0D71"/>
    <w:rsid w:val="00A132CB"/>
    <w:rsid w:val="00A31CFD"/>
    <w:rsid w:val="00A372C7"/>
    <w:rsid w:val="00A83B0F"/>
    <w:rsid w:val="00AB6579"/>
    <w:rsid w:val="00AB6E28"/>
    <w:rsid w:val="00AC31A2"/>
    <w:rsid w:val="00B05B35"/>
    <w:rsid w:val="00B05B91"/>
    <w:rsid w:val="00B13963"/>
    <w:rsid w:val="00B36C0E"/>
    <w:rsid w:val="00B56323"/>
    <w:rsid w:val="00C154F2"/>
    <w:rsid w:val="00C21D01"/>
    <w:rsid w:val="00C301A5"/>
    <w:rsid w:val="00C31678"/>
    <w:rsid w:val="00C36E5B"/>
    <w:rsid w:val="00C5161A"/>
    <w:rsid w:val="00C92A4B"/>
    <w:rsid w:val="00C93CAB"/>
    <w:rsid w:val="00C940E1"/>
    <w:rsid w:val="00CA5BA0"/>
    <w:rsid w:val="00CE5765"/>
    <w:rsid w:val="00D64329"/>
    <w:rsid w:val="00DF7D7A"/>
    <w:rsid w:val="00F06CBA"/>
    <w:rsid w:val="00F325C0"/>
    <w:rsid w:val="00F87229"/>
    <w:rsid w:val="00F943EC"/>
    <w:rsid w:val="00FA16E5"/>
    <w:rsid w:val="00FC51E2"/>
    <w:rsid w:val="00FF262C"/>
    <w:rsid w:val="022D3CD0"/>
    <w:rsid w:val="03C2134C"/>
    <w:rsid w:val="04C904B8"/>
    <w:rsid w:val="05263B5D"/>
    <w:rsid w:val="060E1D23"/>
    <w:rsid w:val="06826B27"/>
    <w:rsid w:val="06A05249"/>
    <w:rsid w:val="07697D31"/>
    <w:rsid w:val="078F2096"/>
    <w:rsid w:val="07AD5E6F"/>
    <w:rsid w:val="09B72FD5"/>
    <w:rsid w:val="0AC30350"/>
    <w:rsid w:val="0AD100C7"/>
    <w:rsid w:val="0BE300B2"/>
    <w:rsid w:val="0BE932E7"/>
    <w:rsid w:val="0C1F3035"/>
    <w:rsid w:val="0D2A3ABE"/>
    <w:rsid w:val="0D8B6C53"/>
    <w:rsid w:val="0DC70957"/>
    <w:rsid w:val="0E420E0E"/>
    <w:rsid w:val="0E5232CD"/>
    <w:rsid w:val="0EBC29DA"/>
    <w:rsid w:val="0EDD528C"/>
    <w:rsid w:val="0EED03C3"/>
    <w:rsid w:val="0F9D0DD9"/>
    <w:rsid w:val="1053332C"/>
    <w:rsid w:val="12B24C82"/>
    <w:rsid w:val="12D22C2E"/>
    <w:rsid w:val="13EA3CBE"/>
    <w:rsid w:val="14034603"/>
    <w:rsid w:val="147D6BCA"/>
    <w:rsid w:val="150317C5"/>
    <w:rsid w:val="156C2EC6"/>
    <w:rsid w:val="165C118C"/>
    <w:rsid w:val="16EB2510"/>
    <w:rsid w:val="172C2EB7"/>
    <w:rsid w:val="172D48D7"/>
    <w:rsid w:val="175E7186"/>
    <w:rsid w:val="183C742A"/>
    <w:rsid w:val="18660E62"/>
    <w:rsid w:val="188E75F7"/>
    <w:rsid w:val="18A618C8"/>
    <w:rsid w:val="18AD0216"/>
    <w:rsid w:val="190E24E6"/>
    <w:rsid w:val="19476AF1"/>
    <w:rsid w:val="1AC217DA"/>
    <w:rsid w:val="1BF6798D"/>
    <w:rsid w:val="1D073BC7"/>
    <w:rsid w:val="1D4A5366"/>
    <w:rsid w:val="1D7939B9"/>
    <w:rsid w:val="1E0D7210"/>
    <w:rsid w:val="1EA26BE1"/>
    <w:rsid w:val="1F95570F"/>
    <w:rsid w:val="20914128"/>
    <w:rsid w:val="20A37613"/>
    <w:rsid w:val="2106616B"/>
    <w:rsid w:val="23203542"/>
    <w:rsid w:val="242943C6"/>
    <w:rsid w:val="243B4C14"/>
    <w:rsid w:val="266C303E"/>
    <w:rsid w:val="26B02E2F"/>
    <w:rsid w:val="273121C1"/>
    <w:rsid w:val="282A10DA"/>
    <w:rsid w:val="282E04AF"/>
    <w:rsid w:val="287C792E"/>
    <w:rsid w:val="28FB09F1"/>
    <w:rsid w:val="29263A13"/>
    <w:rsid w:val="29A13BC0"/>
    <w:rsid w:val="2AB12E75"/>
    <w:rsid w:val="2B5B780D"/>
    <w:rsid w:val="2B612949"/>
    <w:rsid w:val="2B8A43D1"/>
    <w:rsid w:val="2BDF21EC"/>
    <w:rsid w:val="2CBA67B5"/>
    <w:rsid w:val="2CCB451E"/>
    <w:rsid w:val="2D2105E2"/>
    <w:rsid w:val="2D7050C6"/>
    <w:rsid w:val="2D784227"/>
    <w:rsid w:val="2D9708A4"/>
    <w:rsid w:val="2DE51610"/>
    <w:rsid w:val="2E2B0FEA"/>
    <w:rsid w:val="2E412E03"/>
    <w:rsid w:val="2E6B5FB9"/>
    <w:rsid w:val="30667272"/>
    <w:rsid w:val="30D54A70"/>
    <w:rsid w:val="30D83D34"/>
    <w:rsid w:val="30ED4EF1"/>
    <w:rsid w:val="310D77FB"/>
    <w:rsid w:val="31964C9C"/>
    <w:rsid w:val="32024E86"/>
    <w:rsid w:val="32075FF9"/>
    <w:rsid w:val="32192170"/>
    <w:rsid w:val="33B7315F"/>
    <w:rsid w:val="34056102"/>
    <w:rsid w:val="341853CB"/>
    <w:rsid w:val="346A68AE"/>
    <w:rsid w:val="34E6283D"/>
    <w:rsid w:val="35795D1F"/>
    <w:rsid w:val="360F7B72"/>
    <w:rsid w:val="37E15357"/>
    <w:rsid w:val="381864A3"/>
    <w:rsid w:val="383E029A"/>
    <w:rsid w:val="394910A9"/>
    <w:rsid w:val="39B051C8"/>
    <w:rsid w:val="3A3C2EFF"/>
    <w:rsid w:val="3A4D30CD"/>
    <w:rsid w:val="3AEE244B"/>
    <w:rsid w:val="3BA46AC3"/>
    <w:rsid w:val="3C425FA0"/>
    <w:rsid w:val="3C8446EA"/>
    <w:rsid w:val="3E4F1085"/>
    <w:rsid w:val="3FFB7510"/>
    <w:rsid w:val="402E32EA"/>
    <w:rsid w:val="40896772"/>
    <w:rsid w:val="40B3491A"/>
    <w:rsid w:val="41287D39"/>
    <w:rsid w:val="41300C9D"/>
    <w:rsid w:val="41A05B22"/>
    <w:rsid w:val="422F5A9D"/>
    <w:rsid w:val="42937435"/>
    <w:rsid w:val="42F77798"/>
    <w:rsid w:val="438A0105"/>
    <w:rsid w:val="43DE6A6B"/>
    <w:rsid w:val="43FD725B"/>
    <w:rsid w:val="444B446B"/>
    <w:rsid w:val="44721EAC"/>
    <w:rsid w:val="44F81395"/>
    <w:rsid w:val="474E6020"/>
    <w:rsid w:val="478704A5"/>
    <w:rsid w:val="47DB4F7E"/>
    <w:rsid w:val="49157F4C"/>
    <w:rsid w:val="4916491B"/>
    <w:rsid w:val="49A308A5"/>
    <w:rsid w:val="49BC286D"/>
    <w:rsid w:val="4A0D29A3"/>
    <w:rsid w:val="4A455790"/>
    <w:rsid w:val="4B4E4840"/>
    <w:rsid w:val="4B83098E"/>
    <w:rsid w:val="4C0D42BA"/>
    <w:rsid w:val="4C2507F0"/>
    <w:rsid w:val="4C6270A7"/>
    <w:rsid w:val="4CA0731E"/>
    <w:rsid w:val="4CBB35AF"/>
    <w:rsid w:val="4D4952BF"/>
    <w:rsid w:val="4DF96CE5"/>
    <w:rsid w:val="4E5008D0"/>
    <w:rsid w:val="4E9F0F35"/>
    <w:rsid w:val="4EC37A96"/>
    <w:rsid w:val="4ED60DD5"/>
    <w:rsid w:val="4F005421"/>
    <w:rsid w:val="4F6965F6"/>
    <w:rsid w:val="50055338"/>
    <w:rsid w:val="50AD025B"/>
    <w:rsid w:val="50CB2C50"/>
    <w:rsid w:val="519F7BA4"/>
    <w:rsid w:val="52A82A88"/>
    <w:rsid w:val="52D7511B"/>
    <w:rsid w:val="55263258"/>
    <w:rsid w:val="56242C0F"/>
    <w:rsid w:val="566B62A7"/>
    <w:rsid w:val="56B27905"/>
    <w:rsid w:val="56BC7955"/>
    <w:rsid w:val="57462870"/>
    <w:rsid w:val="574B6AA4"/>
    <w:rsid w:val="57B974E6"/>
    <w:rsid w:val="58111947"/>
    <w:rsid w:val="58226E39"/>
    <w:rsid w:val="58354DBE"/>
    <w:rsid w:val="58615F29"/>
    <w:rsid w:val="588502C1"/>
    <w:rsid w:val="5A626588"/>
    <w:rsid w:val="5AB14E9C"/>
    <w:rsid w:val="5AE8436A"/>
    <w:rsid w:val="5BB57FC4"/>
    <w:rsid w:val="5BC85F49"/>
    <w:rsid w:val="5C8C6F77"/>
    <w:rsid w:val="5CD050B5"/>
    <w:rsid w:val="5CFE60C6"/>
    <w:rsid w:val="5D104520"/>
    <w:rsid w:val="5DC5365C"/>
    <w:rsid w:val="5E3A4B90"/>
    <w:rsid w:val="5EB61570"/>
    <w:rsid w:val="5EE90C6B"/>
    <w:rsid w:val="5FC74CC2"/>
    <w:rsid w:val="604C473C"/>
    <w:rsid w:val="6118702B"/>
    <w:rsid w:val="611A1845"/>
    <w:rsid w:val="61C827FF"/>
    <w:rsid w:val="63252157"/>
    <w:rsid w:val="646C6271"/>
    <w:rsid w:val="64E678CD"/>
    <w:rsid w:val="650A7F98"/>
    <w:rsid w:val="651144BD"/>
    <w:rsid w:val="65420B1A"/>
    <w:rsid w:val="66397349"/>
    <w:rsid w:val="66693125"/>
    <w:rsid w:val="66C33EDD"/>
    <w:rsid w:val="67684FF1"/>
    <w:rsid w:val="67D22629"/>
    <w:rsid w:val="681B20DE"/>
    <w:rsid w:val="693466D8"/>
    <w:rsid w:val="693E3331"/>
    <w:rsid w:val="6951757E"/>
    <w:rsid w:val="6A071762"/>
    <w:rsid w:val="6B49240B"/>
    <w:rsid w:val="6BF42655"/>
    <w:rsid w:val="6C4D6722"/>
    <w:rsid w:val="6CAE2F39"/>
    <w:rsid w:val="6CBC7404"/>
    <w:rsid w:val="6D6A6E60"/>
    <w:rsid w:val="6D6C2BD8"/>
    <w:rsid w:val="6E1610C8"/>
    <w:rsid w:val="6E9543B1"/>
    <w:rsid w:val="6ECC3702"/>
    <w:rsid w:val="6FF837CA"/>
    <w:rsid w:val="70EF4E36"/>
    <w:rsid w:val="71125845"/>
    <w:rsid w:val="71463740"/>
    <w:rsid w:val="718304F0"/>
    <w:rsid w:val="71A315F3"/>
    <w:rsid w:val="723D68FA"/>
    <w:rsid w:val="723F7E9D"/>
    <w:rsid w:val="72640322"/>
    <w:rsid w:val="727E73F7"/>
    <w:rsid w:val="73886292"/>
    <w:rsid w:val="739C204F"/>
    <w:rsid w:val="74945B17"/>
    <w:rsid w:val="74B06C06"/>
    <w:rsid w:val="74B15375"/>
    <w:rsid w:val="74CC0400"/>
    <w:rsid w:val="75DA6B4D"/>
    <w:rsid w:val="771D13E7"/>
    <w:rsid w:val="77234C47"/>
    <w:rsid w:val="77EE1ED0"/>
    <w:rsid w:val="799F350D"/>
    <w:rsid w:val="7A2443D5"/>
    <w:rsid w:val="7A4642E6"/>
    <w:rsid w:val="7A611D04"/>
    <w:rsid w:val="7A865D84"/>
    <w:rsid w:val="7ABB519F"/>
    <w:rsid w:val="7B087CB8"/>
    <w:rsid w:val="7B2D5ED9"/>
    <w:rsid w:val="7B3665D4"/>
    <w:rsid w:val="7B3B1E3C"/>
    <w:rsid w:val="7B5829EE"/>
    <w:rsid w:val="7BD007D6"/>
    <w:rsid w:val="7BFA2EC5"/>
    <w:rsid w:val="7BFD5CBE"/>
    <w:rsid w:val="7D7D04EA"/>
    <w:rsid w:val="7E8B4E88"/>
    <w:rsid w:val="7EB34843"/>
    <w:rsid w:val="7F08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locked/>
    <w:uiPriority w:val="9"/>
    <w:pPr>
      <w:spacing w:line="587" w:lineRule="exact"/>
      <w:ind w:firstLine="640" w:firstLineChars="200"/>
      <w:jc w:val="left"/>
      <w:outlineLvl w:val="0"/>
    </w:pPr>
    <w:rPr>
      <w:rFonts w:hint="eastAsia" w:ascii="宋体" w:hAnsi="宋体" w:eastAsia="Arial Unicode MS"/>
      <w:b/>
      <w:kern w:val="44"/>
      <w:sz w:val="36"/>
      <w:szCs w:val="48"/>
    </w:rPr>
  </w:style>
  <w:style w:type="paragraph" w:styleId="6">
    <w:name w:val="heading 3"/>
    <w:basedOn w:val="1"/>
    <w:next w:val="1"/>
    <w:link w:val="18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index 6"/>
    <w:basedOn w:val="1"/>
    <w:next w:val="1"/>
    <w:qFormat/>
    <w:uiPriority w:val="0"/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9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1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15">
    <w:name w:val="FollowedHyperlink"/>
    <w:basedOn w:val="14"/>
    <w:semiHidden/>
    <w:unhideWhenUsed/>
    <w:qFormat/>
    <w:uiPriority w:val="99"/>
    <w:rPr>
      <w:color w:val="333333"/>
      <w:sz w:val="24"/>
      <w:szCs w:val="24"/>
      <w:u w:val="none"/>
    </w:rPr>
  </w:style>
  <w:style w:type="character" w:styleId="16">
    <w:name w:val="Emphasis"/>
    <w:basedOn w:val="14"/>
    <w:qFormat/>
    <w:locked/>
    <w:uiPriority w:val="0"/>
    <w:rPr>
      <w:color w:val="333333"/>
      <w:sz w:val="24"/>
      <w:szCs w:val="24"/>
    </w:rPr>
  </w:style>
  <w:style w:type="character" w:styleId="17">
    <w:name w:val="Hyperlink"/>
    <w:basedOn w:val="14"/>
    <w:semiHidden/>
    <w:unhideWhenUsed/>
    <w:qFormat/>
    <w:uiPriority w:val="99"/>
    <w:rPr>
      <w:color w:val="333333"/>
      <w:u w:val="none"/>
    </w:rPr>
  </w:style>
  <w:style w:type="character" w:customStyle="1" w:styleId="18">
    <w:name w:val="标题 3 Char"/>
    <w:basedOn w:val="14"/>
    <w:link w:val="6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9">
    <w:name w:val="页眉 Char"/>
    <w:basedOn w:val="14"/>
    <w:link w:val="11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basedOn w:val="14"/>
    <w:link w:val="10"/>
    <w:semiHidden/>
    <w:qFormat/>
    <w:locked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last-child1"/>
    <w:basedOn w:val="14"/>
    <w:qFormat/>
    <w:uiPriority w:val="0"/>
  </w:style>
  <w:style w:type="character" w:customStyle="1" w:styleId="23">
    <w:name w:val="hover18"/>
    <w:basedOn w:val="14"/>
    <w:qFormat/>
    <w:uiPriority w:val="0"/>
  </w:style>
  <w:style w:type="character" w:customStyle="1" w:styleId="24">
    <w:name w:val="hover19"/>
    <w:basedOn w:val="14"/>
    <w:qFormat/>
    <w:uiPriority w:val="0"/>
    <w:rPr>
      <w:shd w:val="clear" w:color="auto" w:fill="D43D3D"/>
    </w:rPr>
  </w:style>
  <w:style w:type="character" w:customStyle="1" w:styleId="25">
    <w:name w:val="hover20"/>
    <w:basedOn w:val="14"/>
    <w:qFormat/>
    <w:uiPriority w:val="0"/>
  </w:style>
  <w:style w:type="character" w:customStyle="1" w:styleId="26">
    <w:name w:val="not-follow"/>
    <w:basedOn w:val="14"/>
    <w:qFormat/>
    <w:uiPriority w:val="0"/>
    <w:rPr>
      <w:color w:val="FFFFFF"/>
      <w:shd w:val="clear" w:color="auto" w:fill="FA3939"/>
    </w:rPr>
  </w:style>
  <w:style w:type="character" w:customStyle="1" w:styleId="27">
    <w:name w:val="bg-gg-text"/>
    <w:basedOn w:val="14"/>
    <w:qFormat/>
    <w:uiPriority w:val="0"/>
    <w:rPr>
      <w:color w:val="FFFFFF"/>
    </w:rPr>
  </w:style>
  <w:style w:type="character" w:customStyle="1" w:styleId="28">
    <w:name w:val="bg-gg-close"/>
    <w:basedOn w:val="14"/>
    <w:qFormat/>
    <w:uiPriority w:val="0"/>
  </w:style>
  <w:style w:type="character" w:customStyle="1" w:styleId="29">
    <w:name w:val="before15"/>
    <w:basedOn w:val="14"/>
    <w:qFormat/>
    <w:uiPriority w:val="0"/>
  </w:style>
  <w:style w:type="character" w:customStyle="1" w:styleId="30">
    <w:name w:val="after3"/>
    <w:basedOn w:val="14"/>
    <w:qFormat/>
    <w:uiPriority w:val="0"/>
  </w:style>
  <w:style w:type="character" w:customStyle="1" w:styleId="3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1037</Words>
  <Characters>1167</Characters>
  <Lines>1</Lines>
  <Paragraphs>2</Paragraphs>
  <TotalTime>6</TotalTime>
  <ScaleCrop>false</ScaleCrop>
  <LinksUpToDate>false</LinksUpToDate>
  <CharactersWithSpaces>1170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2020-01-03T00:26:00Z</dcterms:created>
  <dc:creator>微软用户</dc:creator>
  <cp:lastModifiedBy>企业用户_280668329</cp:lastModifiedBy>
  <cp:lastPrinted>2024-11-20T09:40:00Z</cp:lastPrinted>
  <dcterms:modified xsi:type="dcterms:W3CDTF">2026-02-04T10:09:55Z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678B57B83532449BB301FA4F89B4B2BD_13</vt:lpwstr>
  </property>
  <property fmtid="{D5CDD505-2E9C-101B-9397-08002B2CF9AE}" pid="4" name="KSOTemplateDocerSaveRecord">
    <vt:lpwstr>eyJoZGlkIjoiNTlhMjg4ZTNiYWVlNmUxMzMyYTVlZGE4NDZkOTFhOWMiLCJ1c2VySWQiOiIxNTk5NjM0MjgyIn0=</vt:lpwstr>
  </property>
</Properties>
</file>