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imes New Roman" w:hAnsi="Times New Roman" w:eastAsia="华文中宋"/>
          <w:sz w:val="36"/>
          <w:szCs w:val="36"/>
        </w:rPr>
      </w:pPr>
      <w:bookmarkStart w:id="0" w:name="_Toc1886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方正小标宋简体" w:cs="方正小标宋简体"/>
          <w:sz w:val="48"/>
          <w:szCs w:val="48"/>
          <w:lang w:val="en-US" w:eastAsia="zh-CN"/>
        </w:rPr>
      </w:pPr>
      <w:r>
        <w:rPr>
          <w:rFonts w:hint="eastAsia" w:ascii="Times New Roman" w:hAnsi="Times New Roman" w:eastAsia="方正小标宋简体" w:cs="方正小标宋简体"/>
          <w:sz w:val="48"/>
          <w:szCs w:val="48"/>
          <w:lang w:val="en-US" w:eastAsia="zh-CN"/>
        </w:rPr>
        <w:t>张掖市粮食购销领域监管信息化升级改造项目绩效评价报告</w:t>
      </w:r>
    </w:p>
    <w:p>
      <w:pPr>
        <w:ind w:firstLine="0" w:firstLineChars="0"/>
        <w:rPr>
          <w:rFonts w:ascii="Times New Roman" w:hAnsi="Times New Roman"/>
        </w:rPr>
      </w:pPr>
    </w:p>
    <w:p>
      <w:pPr>
        <w:ind w:firstLine="0" w:firstLineChars="0"/>
        <w:rPr>
          <w:rFonts w:ascii="Times New Roman" w:hAnsi="Times New Roman"/>
        </w:rPr>
      </w:pPr>
    </w:p>
    <w:p>
      <w:pPr>
        <w:ind w:firstLine="0" w:firstLineChars="0"/>
        <w:rPr>
          <w:rFonts w:ascii="Times New Roman" w:hAnsi="Times New Roman"/>
        </w:rPr>
      </w:pPr>
    </w:p>
    <w:p>
      <w:pPr>
        <w:ind w:firstLine="0" w:firstLineChars="0"/>
        <w:rPr>
          <w:rFonts w:ascii="Times New Roman" w:hAnsi="Times New Roman"/>
        </w:rPr>
      </w:pPr>
    </w:p>
    <w:p>
      <w:pPr>
        <w:ind w:firstLine="0" w:firstLineChars="0"/>
        <w:rPr>
          <w:rFonts w:ascii="Times New Roman" w:hAnsi="Times New Roman"/>
        </w:rPr>
      </w:pPr>
    </w:p>
    <w:p>
      <w:pPr>
        <w:ind w:firstLine="0" w:firstLineChars="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480" w:lineRule="auto"/>
        <w:ind w:left="2448" w:leftChars="401" w:hanging="1606" w:hangingChars="500"/>
        <w:textAlignment w:val="auto"/>
        <w:rPr>
          <w:rFonts w:hint="eastAsia" w:ascii="Times New Roman" w:hAnsi="Times New Roman" w:eastAsia="仿宋" w:cs="仿宋"/>
          <w:b/>
          <w:bCs/>
          <w:sz w:val="32"/>
          <w:szCs w:val="32"/>
          <w:u w:val="single"/>
        </w:rPr>
      </w:pPr>
      <w:r>
        <w:rPr>
          <w:rFonts w:hint="eastAsia" w:ascii="Times New Roman" w:hAnsi="Times New Roman" w:eastAsia="仿宋" w:cs="仿宋"/>
          <w:b/>
          <w:bCs/>
          <w:sz w:val="32"/>
          <w:szCs w:val="32"/>
        </w:rPr>
        <w:t>项目名称</w:t>
      </w:r>
      <w:r>
        <w:rPr>
          <w:rFonts w:hint="eastAsia" w:ascii="Times New Roman" w:hAnsi="Times New Roman" w:eastAsia="仿宋" w:cs="仿宋"/>
          <w:b/>
          <w:bCs/>
          <w:sz w:val="32"/>
          <w:szCs w:val="32"/>
          <w:lang w:eastAsia="zh-CN"/>
        </w:rPr>
        <w:t>：</w:t>
      </w:r>
      <w:r>
        <w:rPr>
          <w:rFonts w:hint="eastAsia" w:ascii="Times New Roman" w:hAnsi="Times New Roman" w:eastAsia="仿宋" w:cs="仿宋"/>
          <w:sz w:val="32"/>
          <w:szCs w:val="32"/>
          <w:lang w:val="en-US" w:eastAsia="zh-CN"/>
        </w:rPr>
        <w:t>张掖市粮食购销领域监管信息化升级改造项目绩效评价</w:t>
      </w:r>
    </w:p>
    <w:p>
      <w:pPr>
        <w:keepNext w:val="0"/>
        <w:keepLines w:val="0"/>
        <w:pageBreakBefore w:val="0"/>
        <w:widowControl w:val="0"/>
        <w:kinsoku/>
        <w:wordWrap/>
        <w:overflowPunct/>
        <w:topLinePunct w:val="0"/>
        <w:autoSpaceDE/>
        <w:autoSpaceDN/>
        <w:bidi w:val="0"/>
        <w:adjustRightInd/>
        <w:snapToGrid/>
        <w:spacing w:line="480" w:lineRule="auto"/>
        <w:ind w:firstLine="963" w:firstLineChars="3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sz w:val="32"/>
          <w:szCs w:val="32"/>
        </w:rPr>
        <w:t>组织单位</w:t>
      </w:r>
      <w:r>
        <w:rPr>
          <w:rFonts w:hint="eastAsia" w:ascii="Times New Roman" w:hAnsi="Times New Roman" w:eastAsia="仿宋" w:cs="仿宋"/>
          <w:b/>
          <w:bCs/>
          <w:sz w:val="32"/>
          <w:szCs w:val="32"/>
          <w:lang w:eastAsia="zh-CN"/>
        </w:rPr>
        <w:t>：</w:t>
      </w:r>
      <w:r>
        <w:rPr>
          <w:rFonts w:hint="eastAsia" w:ascii="Times New Roman" w:hAnsi="Times New Roman" w:eastAsia="仿宋" w:cs="仿宋"/>
          <w:sz w:val="32"/>
          <w:szCs w:val="32"/>
          <w:lang w:val="en-US" w:eastAsia="zh-CN"/>
        </w:rPr>
        <w:t>张掖市粮食和物资储备局</w:t>
      </w:r>
    </w:p>
    <w:p>
      <w:pPr>
        <w:keepNext w:val="0"/>
        <w:keepLines w:val="0"/>
        <w:pageBreakBefore w:val="0"/>
        <w:widowControl w:val="0"/>
        <w:kinsoku/>
        <w:wordWrap/>
        <w:overflowPunct/>
        <w:topLinePunct w:val="0"/>
        <w:autoSpaceDE/>
        <w:autoSpaceDN/>
        <w:bidi w:val="0"/>
        <w:adjustRightInd/>
        <w:snapToGrid/>
        <w:spacing w:line="480" w:lineRule="auto"/>
        <w:ind w:firstLine="963" w:firstLineChars="300"/>
        <w:textAlignment w:val="auto"/>
        <w:rPr>
          <w:rFonts w:hint="eastAsia" w:ascii="Times New Roman" w:hAnsi="Times New Roman" w:eastAsia="仿宋" w:cs="仿宋"/>
          <w:sz w:val="32"/>
          <w:szCs w:val="32"/>
          <w:u w:val="single"/>
        </w:rPr>
      </w:pPr>
      <w:r>
        <w:rPr>
          <w:rFonts w:hint="eastAsia" w:ascii="Times New Roman" w:hAnsi="Times New Roman" w:eastAsia="仿宋" w:cs="仿宋"/>
          <w:b/>
          <w:bCs/>
          <w:sz w:val="32"/>
          <w:szCs w:val="32"/>
        </w:rPr>
        <w:t>评估机构</w:t>
      </w:r>
      <w:r>
        <w:rPr>
          <w:rFonts w:hint="eastAsia" w:ascii="Times New Roman" w:hAnsi="Times New Roman" w:eastAsia="仿宋" w:cs="仿宋"/>
          <w:b/>
          <w:bCs/>
          <w:sz w:val="32"/>
          <w:szCs w:val="32"/>
          <w:lang w:eastAsia="zh-CN"/>
        </w:rPr>
        <w:t>：</w:t>
      </w:r>
      <w:r>
        <w:rPr>
          <w:rFonts w:hint="eastAsia" w:ascii="Times New Roman" w:hAnsi="Times New Roman" w:eastAsia="仿宋" w:cs="仿宋"/>
          <w:color w:val="000000"/>
          <w:kern w:val="0"/>
          <w:sz w:val="32"/>
          <w:szCs w:val="32"/>
          <w:lang w:val="en-US" w:eastAsia="zh-CN" w:bidi="ar"/>
        </w:rPr>
        <w:t>甘肃众诚智合信息咨询有限公司</w:t>
      </w:r>
    </w:p>
    <w:p>
      <w:pPr>
        <w:ind w:firstLine="0" w:firstLineChars="0"/>
        <w:rPr>
          <w:rFonts w:ascii="Times New Roman" w:hAnsi="Times New Roman"/>
        </w:rPr>
      </w:pPr>
    </w:p>
    <w:p>
      <w:pPr>
        <w:ind w:firstLine="0" w:firstLineChars="0"/>
        <w:rPr>
          <w:rFonts w:ascii="Times New Roman" w:hAnsi="Times New Roman"/>
        </w:rPr>
      </w:pPr>
    </w:p>
    <w:p>
      <w:pPr>
        <w:ind w:firstLine="0" w:firstLineChars="0"/>
        <w:jc w:val="center"/>
        <w:rPr>
          <w:rFonts w:hint="eastAsia" w:ascii="Times New Roman" w:hAnsi="Times New Roman"/>
          <w:b/>
          <w:bCs/>
          <w:sz w:val="28"/>
          <w:szCs w:val="28"/>
        </w:rPr>
      </w:pPr>
    </w:p>
    <w:p>
      <w:pPr>
        <w:ind w:firstLine="0" w:firstLineChars="0"/>
        <w:jc w:val="center"/>
        <w:rPr>
          <w:rFonts w:hint="eastAsia" w:ascii="Times New Roman" w:hAnsi="Times New Roman"/>
          <w:b/>
          <w:bCs/>
          <w:sz w:val="28"/>
          <w:szCs w:val="28"/>
        </w:rPr>
      </w:pPr>
    </w:p>
    <w:p>
      <w:pPr>
        <w:ind w:firstLine="0" w:firstLineChars="0"/>
        <w:jc w:val="center"/>
        <w:rPr>
          <w:rFonts w:hint="eastAsia" w:ascii="Times New Roman" w:hAnsi="Times New Roman"/>
          <w:b/>
          <w:bCs/>
          <w:sz w:val="28"/>
          <w:szCs w:val="28"/>
        </w:rPr>
      </w:pPr>
    </w:p>
    <w:p>
      <w:pPr>
        <w:ind w:firstLine="0" w:firstLineChars="0"/>
        <w:jc w:val="center"/>
        <w:rPr>
          <w:rFonts w:hint="eastAsia" w:ascii="Times New Roman" w:hAnsi="Times New Roman"/>
          <w:b/>
          <w:bCs/>
          <w:sz w:val="28"/>
          <w:szCs w:val="28"/>
        </w:rPr>
      </w:pPr>
    </w:p>
    <w:p>
      <w:pPr>
        <w:ind w:firstLine="0" w:firstLineChars="0"/>
        <w:jc w:val="center"/>
        <w:rPr>
          <w:rFonts w:hint="eastAsia" w:ascii="Times New Roman" w:hAnsi="Times New Roman"/>
          <w:b/>
          <w:bCs/>
          <w:sz w:val="28"/>
          <w:szCs w:val="28"/>
        </w:rPr>
      </w:pPr>
    </w:p>
    <w:p>
      <w:pPr>
        <w:ind w:firstLine="0" w:firstLineChars="0"/>
        <w:jc w:val="both"/>
        <w:rPr>
          <w:rFonts w:hint="eastAsia" w:ascii="Times New Roman" w:hAnsi="Times New Roman"/>
          <w:b/>
          <w:bCs/>
          <w:sz w:val="28"/>
          <w:szCs w:val="28"/>
        </w:rPr>
      </w:pPr>
    </w:p>
    <w:p>
      <w:pPr>
        <w:ind w:firstLine="0" w:firstLineChars="0"/>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二〇二</w:t>
      </w:r>
      <w:r>
        <w:rPr>
          <w:rFonts w:hint="eastAsia" w:ascii="Times New Roman" w:hAnsi="Times New Roman" w:eastAsia="仿宋" w:cs="仿宋"/>
          <w:b/>
          <w:bCs/>
          <w:sz w:val="32"/>
          <w:szCs w:val="32"/>
          <w:lang w:val="en-US" w:eastAsia="zh-CN"/>
        </w:rPr>
        <w:t>四</w:t>
      </w:r>
      <w:r>
        <w:rPr>
          <w:rFonts w:hint="eastAsia" w:ascii="Times New Roman" w:hAnsi="Times New Roman" w:eastAsia="仿宋" w:cs="仿宋"/>
          <w:b/>
          <w:bCs/>
          <w:sz w:val="32"/>
          <w:szCs w:val="32"/>
        </w:rPr>
        <w:t>年</w:t>
      </w:r>
      <w:r>
        <w:rPr>
          <w:rFonts w:hint="eastAsia" w:ascii="Times New Roman" w:hAnsi="Times New Roman" w:eastAsia="仿宋" w:cs="仿宋"/>
          <w:b/>
          <w:bCs/>
          <w:sz w:val="32"/>
          <w:szCs w:val="32"/>
          <w:lang w:val="en-US" w:eastAsia="zh-CN"/>
        </w:rPr>
        <w:t>七</w:t>
      </w:r>
      <w:r>
        <w:rPr>
          <w:rFonts w:hint="eastAsia" w:ascii="Times New Roman" w:hAnsi="Times New Roman" w:eastAsia="仿宋" w:cs="仿宋"/>
          <w:b/>
          <w:bCs/>
          <w:sz w:val="32"/>
          <w:szCs w:val="32"/>
        </w:rPr>
        <w:t>月</w:t>
      </w:r>
    </w:p>
    <w:p>
      <w:pPr>
        <w:ind w:firstLine="0" w:firstLineChars="0"/>
        <w:jc w:val="center"/>
        <w:rPr>
          <w:rFonts w:hint="eastAsia" w:ascii="Times New Roman" w:hAnsi="Times New Roman" w:eastAsia="仿宋" w:cs="仿宋"/>
          <w:b/>
          <w:bCs/>
          <w:sz w:val="32"/>
          <w:szCs w:val="32"/>
        </w:rPr>
      </w:pPr>
    </w:p>
    <w:p>
      <w:pPr>
        <w:ind w:firstLine="0" w:firstLineChars="0"/>
        <w:jc w:val="center"/>
        <w:rPr>
          <w:rFonts w:hint="eastAsia" w:ascii="Times New Roman" w:hAnsi="Times New Roman"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方正小标宋简体" w:cs="Times New Roman"/>
          <w:sz w:val="36"/>
          <w:szCs w:val="36"/>
          <w:lang w:eastAsia="zh-CN"/>
        </w:rPr>
      </w:pPr>
      <w:r>
        <w:rPr>
          <w:rFonts w:hint="eastAsia" w:ascii="Times New Roman" w:hAnsi="Times New Roman" w:eastAsia="方正小标宋简体" w:cs="Times New Roman"/>
          <w:sz w:val="36"/>
          <w:szCs w:val="36"/>
          <w:lang w:eastAsia="zh-CN"/>
        </w:rPr>
        <w:t>张掖市粮食购销领域监管信息化升级改造项目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绩效评价报告</w:t>
      </w:r>
    </w:p>
    <w:tbl>
      <w:tblPr>
        <w:tblStyle w:val="6"/>
        <w:tblW w:w="8814"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98"/>
        <w:gridCol w:w="319"/>
        <w:gridCol w:w="675"/>
        <w:gridCol w:w="270"/>
        <w:gridCol w:w="633"/>
        <w:gridCol w:w="717"/>
        <w:gridCol w:w="1125"/>
        <w:gridCol w:w="325"/>
        <w:gridCol w:w="1440"/>
        <w:gridCol w:w="95"/>
        <w:gridCol w:w="1380"/>
        <w:gridCol w:w="113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8814" w:type="dxa"/>
            <w:gridSpan w:val="12"/>
            <w:tcBorders>
              <w:tl2br w:val="nil"/>
              <w:tr2bl w:val="nil"/>
            </w:tcBorders>
            <w:shd w:val="clear" w:color="auto" w:fill="auto"/>
            <w:vAlign w:val="center"/>
          </w:tcPr>
          <w:p>
            <w:pPr>
              <w:bidi w:val="0"/>
              <w:ind w:left="0" w:leftChars="0" w:firstLine="0" w:firstLineChars="0"/>
              <w:jc w:val="center"/>
              <w:rPr>
                <w:rFonts w:hint="eastAsia" w:ascii="宋体" w:hAnsi="宋体" w:eastAsia="宋体" w:cs="宋体"/>
                <w:b w:val="0"/>
                <w:color w:val="000000"/>
                <w:kern w:val="2"/>
                <w:sz w:val="24"/>
                <w:szCs w:val="24"/>
                <w:vertAlign w:val="baseline"/>
                <w:lang w:val="en-US" w:eastAsia="zh-CN" w:bidi="ar-SA"/>
              </w:rPr>
            </w:pPr>
            <w:r>
              <w:rPr>
                <w:rFonts w:hint="eastAsia" w:ascii="宋体" w:hAnsi="宋体" w:eastAsia="宋体" w:cs="宋体"/>
                <w:b/>
                <w:bCs/>
                <w:sz w:val="24"/>
                <w:szCs w:val="24"/>
                <w:lang w:val="en-US" w:eastAsia="zh-CN"/>
              </w:rPr>
              <w:t>一、项目基本情况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698"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基本情况</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4"/>
                <w:szCs w:val="24"/>
                <w:vertAlign w:val="baseline"/>
                <w:lang w:val="en-US" w:eastAsia="zh-CN"/>
              </w:rPr>
            </w:pPr>
          </w:p>
        </w:tc>
        <w:tc>
          <w:tcPr>
            <w:tcW w:w="189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项目名称</w:t>
            </w:r>
          </w:p>
        </w:tc>
        <w:tc>
          <w:tcPr>
            <w:tcW w:w="6219" w:type="dxa"/>
            <w:gridSpan w:val="7"/>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张掖市粮食购销领域监管信息化升级改造项目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698" w:type="dxa"/>
            <w:vMerge w:val="continue"/>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4"/>
                <w:szCs w:val="24"/>
                <w:vertAlign w:val="baseline"/>
                <w:lang w:val="en-US" w:eastAsia="zh-CN"/>
              </w:rPr>
            </w:pPr>
          </w:p>
        </w:tc>
        <w:tc>
          <w:tcPr>
            <w:tcW w:w="189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评价年度</w:t>
            </w:r>
          </w:p>
        </w:tc>
        <w:tc>
          <w:tcPr>
            <w:tcW w:w="1842"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2023年度</w:t>
            </w:r>
          </w:p>
        </w:tc>
        <w:tc>
          <w:tcPr>
            <w:tcW w:w="1860"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评价类型</w:t>
            </w:r>
          </w:p>
        </w:tc>
        <w:tc>
          <w:tcPr>
            <w:tcW w:w="2517"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部门评价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698" w:type="dxa"/>
            <w:vMerge w:val="continue"/>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4"/>
                <w:szCs w:val="24"/>
                <w:vertAlign w:val="baseline"/>
                <w:lang w:val="en-US" w:eastAsia="zh-CN"/>
              </w:rPr>
            </w:pPr>
          </w:p>
        </w:tc>
        <w:tc>
          <w:tcPr>
            <w:tcW w:w="189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委托评价单位</w:t>
            </w:r>
          </w:p>
        </w:tc>
        <w:tc>
          <w:tcPr>
            <w:tcW w:w="1842"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张掖市粮食和物资储备局</w:t>
            </w:r>
          </w:p>
        </w:tc>
        <w:tc>
          <w:tcPr>
            <w:tcW w:w="1860"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评价机构名称</w:t>
            </w:r>
          </w:p>
        </w:tc>
        <w:tc>
          <w:tcPr>
            <w:tcW w:w="2517"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甘肃众诚智合信息咨询有限公司</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698" w:type="dxa"/>
            <w:vMerge w:val="continue"/>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4"/>
                <w:szCs w:val="24"/>
                <w:vertAlign w:val="baseline"/>
                <w:lang w:val="en-US" w:eastAsia="zh-CN"/>
              </w:rPr>
            </w:pPr>
          </w:p>
        </w:tc>
        <w:tc>
          <w:tcPr>
            <w:tcW w:w="189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评价对象名称</w:t>
            </w:r>
          </w:p>
        </w:tc>
        <w:tc>
          <w:tcPr>
            <w:tcW w:w="6219" w:type="dxa"/>
            <w:gridSpan w:val="7"/>
            <w:tcBorders>
              <w:tl2br w:val="nil"/>
              <w:tr2bl w:val="nil"/>
            </w:tcBorders>
            <w:shd w:val="clear" w:color="auto" w:fill="auto"/>
            <w:vAlign w:val="center"/>
          </w:tcPr>
          <w:p>
            <w:pPr>
              <w:spacing w:line="360" w:lineRule="auto"/>
              <w:ind w:firstLine="960" w:firstLineChars="400"/>
              <w:jc w:val="left"/>
              <w:rPr>
                <w:rFonts w:hint="eastAsia"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sz w:val="24"/>
                <w:szCs w:val="24"/>
                <w:vertAlign w:val="baseline"/>
                <w:lang w:val="en-US" w:eastAsia="zh-CN"/>
              </w:rPr>
              <w:t>张掖市粮食和物资储备局</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9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实施目的</w:t>
            </w:r>
          </w:p>
        </w:tc>
        <w:tc>
          <w:tcPr>
            <w:tcW w:w="8116" w:type="dxa"/>
            <w:gridSpan w:val="11"/>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sz w:val="24"/>
                <w:szCs w:val="24"/>
                <w:vertAlign w:val="baseline"/>
                <w:lang w:val="en-US" w:eastAsia="zh-CN"/>
              </w:rPr>
              <w:t>通过本次评价工作的开展，评价组希望全面、客观了解张掖市粮食购销领域监管信息化升级改造项目开展情况的资金使用效益，重点考察项目预算资金申请、使用管理以及项目立项、招投标、采购与验收、投入使用和后期维护等管理的规范性，通过绩效分析找出项目开展过程中管理的薄弱环节，并提出相关建议，切实提高今后部门对人、财、物统筹安排的能力，提高单位管理和服务水平，提升财政资金使用效益和项目预算绩效管理水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698"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资金情况（万元）</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4"/>
                <w:szCs w:val="24"/>
                <w:vertAlign w:val="baseline"/>
                <w:lang w:val="en-US" w:eastAsia="zh-CN"/>
              </w:rPr>
            </w:pPr>
          </w:p>
        </w:tc>
        <w:tc>
          <w:tcPr>
            <w:tcW w:w="189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预算安排资金</w:t>
            </w:r>
          </w:p>
        </w:tc>
        <w:tc>
          <w:tcPr>
            <w:tcW w:w="1842"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573.30</w:t>
            </w:r>
          </w:p>
        </w:tc>
        <w:tc>
          <w:tcPr>
            <w:tcW w:w="1860"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实际到位资金</w:t>
            </w:r>
          </w:p>
        </w:tc>
        <w:tc>
          <w:tcPr>
            <w:tcW w:w="2517"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573.30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698" w:type="dxa"/>
            <w:vMerge w:val="continue"/>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sz w:val="24"/>
                <w:szCs w:val="24"/>
                <w:vertAlign w:val="baseline"/>
                <w:lang w:val="en-US" w:eastAsia="zh-CN"/>
              </w:rPr>
            </w:pPr>
          </w:p>
        </w:tc>
        <w:tc>
          <w:tcPr>
            <w:tcW w:w="189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其中：中央财政</w:t>
            </w:r>
          </w:p>
        </w:tc>
        <w:tc>
          <w:tcPr>
            <w:tcW w:w="1842"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w:t>
            </w:r>
          </w:p>
        </w:tc>
        <w:tc>
          <w:tcPr>
            <w:tcW w:w="1860"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sz w:val="24"/>
                <w:szCs w:val="24"/>
                <w:vertAlign w:val="baseline"/>
                <w:lang w:val="en-US" w:eastAsia="zh-CN"/>
              </w:rPr>
              <w:t>其中：中央财政</w:t>
            </w:r>
          </w:p>
        </w:tc>
        <w:tc>
          <w:tcPr>
            <w:tcW w:w="2517"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698" w:type="dxa"/>
            <w:vMerge w:val="continue"/>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sz w:val="24"/>
                <w:szCs w:val="24"/>
                <w:vertAlign w:val="baseline"/>
                <w:lang w:val="en-US" w:eastAsia="zh-CN"/>
              </w:rPr>
            </w:pPr>
          </w:p>
        </w:tc>
        <w:tc>
          <w:tcPr>
            <w:tcW w:w="189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default"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省级财政</w:t>
            </w:r>
          </w:p>
        </w:tc>
        <w:tc>
          <w:tcPr>
            <w:tcW w:w="1842"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w:t>
            </w:r>
          </w:p>
        </w:tc>
        <w:tc>
          <w:tcPr>
            <w:tcW w:w="1860"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sz w:val="24"/>
                <w:szCs w:val="24"/>
                <w:vertAlign w:val="baseline"/>
                <w:lang w:val="en-US" w:eastAsia="zh-CN"/>
              </w:rPr>
              <w:t>省级财政</w:t>
            </w:r>
          </w:p>
        </w:tc>
        <w:tc>
          <w:tcPr>
            <w:tcW w:w="2517"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698" w:type="dxa"/>
            <w:vMerge w:val="continue"/>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sz w:val="24"/>
                <w:szCs w:val="24"/>
                <w:vertAlign w:val="baseline"/>
                <w:lang w:val="en-US" w:eastAsia="zh-CN"/>
              </w:rPr>
            </w:pPr>
          </w:p>
        </w:tc>
        <w:tc>
          <w:tcPr>
            <w:tcW w:w="189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sz w:val="24"/>
                <w:szCs w:val="24"/>
                <w:vertAlign w:val="baseline"/>
                <w:lang w:val="en-US" w:eastAsia="zh-CN"/>
              </w:rPr>
              <w:t>市级资金</w:t>
            </w:r>
          </w:p>
        </w:tc>
        <w:tc>
          <w:tcPr>
            <w:tcW w:w="1842"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573.30</w:t>
            </w:r>
          </w:p>
        </w:tc>
        <w:tc>
          <w:tcPr>
            <w:tcW w:w="1860"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sz w:val="24"/>
                <w:szCs w:val="24"/>
                <w:vertAlign w:val="baseline"/>
                <w:lang w:val="en-US" w:eastAsia="zh-CN"/>
              </w:rPr>
              <w:t>市级资金</w:t>
            </w:r>
          </w:p>
        </w:tc>
        <w:tc>
          <w:tcPr>
            <w:tcW w:w="2517"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573.30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698" w:type="dxa"/>
            <w:vMerge w:val="continue"/>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sz w:val="24"/>
                <w:szCs w:val="24"/>
                <w:vertAlign w:val="baseline"/>
                <w:lang w:val="en-US" w:eastAsia="zh-CN"/>
              </w:rPr>
            </w:pPr>
          </w:p>
        </w:tc>
        <w:tc>
          <w:tcPr>
            <w:tcW w:w="189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sz w:val="24"/>
                <w:szCs w:val="24"/>
                <w:vertAlign w:val="baseline"/>
                <w:lang w:val="en-US" w:eastAsia="zh-CN"/>
              </w:rPr>
              <w:t>县级资金</w:t>
            </w:r>
          </w:p>
        </w:tc>
        <w:tc>
          <w:tcPr>
            <w:tcW w:w="1842"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w:t>
            </w:r>
          </w:p>
        </w:tc>
        <w:tc>
          <w:tcPr>
            <w:tcW w:w="1860"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sz w:val="24"/>
                <w:szCs w:val="24"/>
                <w:vertAlign w:val="baseline"/>
                <w:lang w:val="en-US" w:eastAsia="zh-CN"/>
              </w:rPr>
              <w:t>县级资金</w:t>
            </w:r>
          </w:p>
        </w:tc>
        <w:tc>
          <w:tcPr>
            <w:tcW w:w="2517"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698" w:type="dxa"/>
            <w:vMerge w:val="continue"/>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sz w:val="24"/>
                <w:szCs w:val="24"/>
                <w:vertAlign w:val="baseline"/>
                <w:lang w:val="en-US" w:eastAsia="zh-CN"/>
              </w:rPr>
            </w:pPr>
          </w:p>
        </w:tc>
        <w:tc>
          <w:tcPr>
            <w:tcW w:w="189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实际支出资金</w:t>
            </w:r>
          </w:p>
        </w:tc>
        <w:tc>
          <w:tcPr>
            <w:tcW w:w="1842"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573.30</w:t>
            </w:r>
          </w:p>
        </w:tc>
        <w:tc>
          <w:tcPr>
            <w:tcW w:w="1860"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结余资金</w:t>
            </w:r>
          </w:p>
        </w:tc>
        <w:tc>
          <w:tcPr>
            <w:tcW w:w="2517"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color w:val="000000"/>
                <w:kern w:val="2"/>
                <w:sz w:val="24"/>
                <w:szCs w:val="24"/>
                <w:vertAlign w:val="baseline"/>
                <w:lang w:val="en-US" w:eastAsia="zh-CN" w:bidi="ar-SA"/>
              </w:rPr>
            </w:pPr>
            <w:r>
              <w:rPr>
                <w:rFonts w:hint="eastAsia" w:ascii="宋体" w:hAnsi="宋体" w:eastAsia="宋体" w:cs="宋体"/>
                <w:b w:val="0"/>
                <w:color w:val="000000"/>
                <w:kern w:val="2"/>
                <w:sz w:val="24"/>
                <w:szCs w:val="24"/>
                <w:vertAlign w:val="baseline"/>
                <w:lang w:val="en-US" w:eastAsia="zh-CN" w:bidi="ar-SA"/>
              </w:rPr>
              <w:t>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698" w:type="dxa"/>
            <w:vMerge w:val="continue"/>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000000"/>
                <w:sz w:val="24"/>
                <w:szCs w:val="24"/>
                <w:vertAlign w:val="baseline"/>
                <w:lang w:val="en-US" w:eastAsia="zh-CN"/>
              </w:rPr>
            </w:pPr>
          </w:p>
        </w:tc>
        <w:tc>
          <w:tcPr>
            <w:tcW w:w="189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kern w:val="2"/>
                <w:sz w:val="24"/>
                <w:szCs w:val="24"/>
                <w:vertAlign w:val="baseline"/>
                <w:lang w:val="en-US" w:eastAsia="zh-CN" w:bidi="ar-SA"/>
              </w:rPr>
            </w:pPr>
            <w:r>
              <w:rPr>
                <w:rFonts w:hint="eastAsia" w:ascii="宋体" w:hAnsi="宋体" w:eastAsia="宋体" w:cs="宋体"/>
                <w:b/>
                <w:bCs/>
                <w:color w:val="000000"/>
                <w:sz w:val="24"/>
                <w:szCs w:val="24"/>
                <w:vertAlign w:val="baseline"/>
                <w:lang w:val="en-US" w:eastAsia="zh-CN"/>
              </w:rPr>
              <w:t>预算执行率</w:t>
            </w:r>
          </w:p>
        </w:tc>
        <w:tc>
          <w:tcPr>
            <w:tcW w:w="6219" w:type="dxa"/>
            <w:gridSpan w:val="7"/>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8814" w:type="dxa"/>
            <w:gridSpan w:val="1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color w:val="000000"/>
                <w:kern w:val="2"/>
                <w:sz w:val="24"/>
                <w:szCs w:val="24"/>
                <w:vertAlign w:val="baseline"/>
                <w:lang w:val="en-US" w:eastAsia="zh-CN" w:bidi="ar-SA"/>
              </w:rPr>
            </w:pPr>
            <w:r>
              <w:rPr>
                <w:rFonts w:hint="eastAsia" w:ascii="宋体" w:hAnsi="宋体" w:eastAsia="宋体" w:cs="宋体"/>
                <w:b/>
                <w:bCs/>
                <w:sz w:val="24"/>
                <w:szCs w:val="24"/>
                <w:lang w:val="en-US" w:eastAsia="zh-CN"/>
              </w:rPr>
              <w:t>二、项目绩效目标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1692"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年度绩效目标</w:t>
            </w:r>
          </w:p>
        </w:tc>
        <w:tc>
          <w:tcPr>
            <w:tcW w:w="7122" w:type="dxa"/>
            <w:gridSpan w:val="9"/>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强化数据核心。以业务流程为纽带，聚焦各级平台与粮库信息系统的业务同步、同数同源、互通共享，确保数据全面、准确、及时归集，并能够依授权对外提供相应数据服务，有序做好数据资源的共享共用。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突出分层设计。根据实际业务域的具体划分，引入分层设计、模块化设计理念，加强业务系统的服务共享，实现系统解耦，消除数据孤岛，避免底层依赖、数出多源。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注重弹性迭代。以业务需求为牵引，聚焦行业应用，突出弹性理念，推动流程再造，采用大平台、微服务、轻应用柔性架构，支持敏捷开发、快速迭代、即时升级。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促进整合开放。兼具资源整合、共享服务能力，支持开放对接与二次开发，满足个性化应用、需求拓展和功能提升，以形成围绕各级平台和粮库信息系统的应用链条和完整生态。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确保安全可控。守住网络安全底线，强化规范运维服务，采用安全自主可控的信息技术，鼓励采用国产化的软硬件产品，逐步提升国产化软硬件比例，促进信息化系统和数据安全能力双提升。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8814" w:type="dxa"/>
            <w:gridSpan w:val="1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sz w:val="24"/>
                <w:szCs w:val="24"/>
                <w:lang w:val="en-US" w:eastAsia="zh-CN"/>
              </w:rPr>
              <w:t>三、评价基本情况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1" w:hRule="atLeast"/>
          <w:jc w:val="center"/>
        </w:trPr>
        <w:tc>
          <w:tcPr>
            <w:tcW w:w="1692"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评价范围</w:t>
            </w:r>
          </w:p>
        </w:tc>
        <w:tc>
          <w:tcPr>
            <w:tcW w:w="7122" w:type="dxa"/>
            <w:gridSpan w:val="9"/>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sz w:val="24"/>
                <w:szCs w:val="24"/>
                <w:lang w:val="en-US" w:eastAsia="zh-CN"/>
              </w:rPr>
            </w:pPr>
            <w:bookmarkStart w:id="1" w:name="_Toc22879"/>
            <w:bookmarkStart w:id="2" w:name="_Toc12161"/>
            <w:bookmarkStart w:id="3" w:name="_Toc18794"/>
            <w:r>
              <w:rPr>
                <w:rFonts w:hint="eastAsia" w:ascii="宋体" w:hAnsi="宋体" w:eastAsia="宋体" w:cs="宋体"/>
                <w:b w:val="0"/>
                <w:bCs w:val="0"/>
                <w:sz w:val="24"/>
                <w:szCs w:val="24"/>
                <w:lang w:val="en-US" w:eastAsia="zh-CN"/>
              </w:rPr>
              <w:t>本次绩效评价的对象为张掖市粮食购销领域监管信息化升级改造项目。评价的时段为2023年1月1日至2023年12月31日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资金范围：</w:t>
            </w:r>
            <w:bookmarkEnd w:id="1"/>
            <w:bookmarkEnd w:id="2"/>
            <w:bookmarkEnd w:id="3"/>
            <w:r>
              <w:rPr>
                <w:rFonts w:hint="eastAsia" w:ascii="宋体" w:hAnsi="宋体" w:eastAsia="宋体" w:cs="宋体"/>
                <w:b w:val="0"/>
                <w:bCs w:val="0"/>
                <w:sz w:val="24"/>
                <w:szCs w:val="24"/>
                <w:lang w:val="en-US" w:eastAsia="zh-CN"/>
              </w:rPr>
              <w:t>项目资金共计573.30万元。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1" w:hRule="atLeast"/>
          <w:jc w:val="center"/>
        </w:trPr>
        <w:tc>
          <w:tcPr>
            <w:tcW w:w="1692"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评价依据</w:t>
            </w:r>
          </w:p>
        </w:tc>
        <w:tc>
          <w:tcPr>
            <w:tcW w:w="7122" w:type="dxa"/>
            <w:gridSpan w:val="9"/>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1.《中华人民共和国预算法》；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2.《中共中央 国务院关于全面实施预算绩效管理的意见》（中发〔2018〕34号）；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3.《财政部关于印发&lt;预算绩效评价共性指标体系框架&gt;的通知》（财预〔2013〕53号）；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4.《财政部关于规范绩效评价结果等级划分标准的通知》（财预便〔2017〕44号）；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5.《甘肃省委 省政府关于全面实施预算绩效管理的实施意见》（甘发〔2018〕32号）；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6.《中共张掖市委张掖市人民政府关于全面实施预算绩效管理的实施意见&gt;的通知》；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7.2023年度项目预算执行情况绩效目标表、监控表、监控报告、自评表等；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sz w:val="24"/>
                <w:szCs w:val="24"/>
                <w:lang w:val="en-US" w:eastAsia="zh-CN"/>
              </w:rPr>
              <w:t>8.各项支出财务凭证等其他相关资料。</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1" w:hRule="atLeast"/>
          <w:jc w:val="center"/>
        </w:trPr>
        <w:tc>
          <w:tcPr>
            <w:tcW w:w="1692"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绩效评价</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指标体系</w:t>
            </w:r>
          </w:p>
        </w:tc>
        <w:tc>
          <w:tcPr>
            <w:tcW w:w="7122" w:type="dxa"/>
            <w:gridSpan w:val="9"/>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绩效评价指标体系设计根据项目资金分配和项目实施内容，围绕项目立项、目标设定、资金投入、资金管理、组织实施、产出数量、产出质量、产出时效、产出成本、社会效益、可持续性影响及服务对象满意度情况等重要内容，结合绩效评价方法，从项目决策、过程、产出、效果四个方面对项目实施情况进行综合评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1692"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评价方法</w:t>
            </w:r>
          </w:p>
        </w:tc>
        <w:tc>
          <w:tcPr>
            <w:tcW w:w="7122" w:type="dxa"/>
            <w:gridSpan w:val="9"/>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成本效益分析法、比较法、因素分析法、最低成本法、公众评判法。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26" w:hRule="atLeast"/>
          <w:jc w:val="center"/>
        </w:trPr>
        <w:tc>
          <w:tcPr>
            <w:tcW w:w="1692"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数据采集及</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处理方法</w:t>
            </w:r>
          </w:p>
        </w:tc>
        <w:tc>
          <w:tcPr>
            <w:tcW w:w="7122" w:type="dxa"/>
            <w:gridSpan w:val="9"/>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按照绩效评价指标体系对部门整体绩效评价资料进行逐一整理，便于后期从评价资料中快速检索所需数据信息；对照评分标准，从已整理资料中提取与对应指标有关的数据信息，统计分析该指标的得分情况和扣分原因。</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1" w:hRule="atLeast"/>
          <w:jc w:val="center"/>
        </w:trPr>
        <w:tc>
          <w:tcPr>
            <w:tcW w:w="1692"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绩效评价</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工作过程</w:t>
            </w:r>
          </w:p>
        </w:tc>
        <w:tc>
          <w:tcPr>
            <w:tcW w:w="7122" w:type="dxa"/>
            <w:gridSpan w:val="9"/>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1"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1.开展预调研工作。</w:t>
            </w:r>
            <w:r>
              <w:rPr>
                <w:rFonts w:hint="eastAsia" w:ascii="宋体" w:hAnsi="宋体" w:eastAsia="宋体" w:cs="宋体"/>
                <w:b w:val="0"/>
                <w:bCs w:val="0"/>
                <w:sz w:val="24"/>
                <w:szCs w:val="24"/>
                <w:lang w:val="en-US" w:eastAsia="zh-CN"/>
              </w:rPr>
              <w:t>根据张掖市财政局2024年度绩效评价工作部署安排；组织相关人员学习项目实施依据、专项资金管理等文件精神；进一步细化项目评价指标体系和项目评价实施方案，使各参评人员对项目情况做进一步了解；明确评价工作程序及要求，分析绩效评价的目的，明确绩效评价的各项目内容，确定绩效评价的关注点和评价方式；明确本次评价工作任务，拟定该绩效评价项目所需的资料清单。评价组结合项目实际实施内容、产生的效益等，确定利用调查问卷、项目基础表、资料清单和访谈提纲等方式，从评价组织实施程序、资金使用方向、资金支出结余情况和项目实施效益等方面进行综合考虑，全面了解项目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1"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2.制定工作方案。</w:t>
            </w:r>
            <w:r>
              <w:rPr>
                <w:rFonts w:hint="eastAsia" w:ascii="宋体" w:hAnsi="宋体" w:eastAsia="宋体" w:cs="宋体"/>
                <w:b w:val="0"/>
                <w:bCs w:val="0"/>
                <w:sz w:val="24"/>
                <w:szCs w:val="24"/>
                <w:lang w:val="en-US" w:eastAsia="zh-CN"/>
              </w:rPr>
              <w:t>评价组在前期调研的基础上，全面了解临泽县住房和城乡建设局项目的实施内容、项目评审、审批流程情况、项目资金使用情况，进行现场调研，与相关人员进行交流与探讨，并与评价专家沟通交流，设计完整的指标体系，形成工作方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1"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3.开展实地调研。</w:t>
            </w:r>
            <w:r>
              <w:rPr>
                <w:rFonts w:hint="eastAsia" w:ascii="宋体" w:hAnsi="宋体" w:eastAsia="宋体" w:cs="宋体"/>
                <w:b w:val="0"/>
                <w:bCs w:val="0"/>
                <w:sz w:val="24"/>
                <w:szCs w:val="24"/>
                <w:lang w:val="en-US" w:eastAsia="zh-CN"/>
              </w:rPr>
              <w:t>本次绩效评价调研工作评价组根据各阶段数据采集情况及评价需要，对收集到的各项资料及数据进行整理分析，具体工作内容如下：一是资料整理及分析；二是评价组对所收集调查问卷受益群众进行统计汇总，最终形成受益群体满意度统计表及满意度报告；三是将项目指标体系与所提取数据相结合，按照评分标准对各指标予以绩效打分；四是形成评价结论，依据所收集和分析的数据，以及绩效打分情况，核实、分析基础数据并计算评价结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1"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sz w:val="24"/>
                <w:szCs w:val="24"/>
                <w:lang w:val="en-US" w:eastAsia="zh-CN"/>
              </w:rPr>
              <w:t>4.报告撰写提交。</w:t>
            </w:r>
            <w:r>
              <w:rPr>
                <w:rFonts w:hint="eastAsia" w:ascii="宋体" w:hAnsi="宋体" w:eastAsia="宋体" w:cs="宋体"/>
                <w:b w:val="0"/>
                <w:bCs w:val="0"/>
                <w:sz w:val="24"/>
                <w:szCs w:val="24"/>
                <w:lang w:val="en-US" w:eastAsia="zh-CN"/>
              </w:rPr>
              <w:t>评价小组根据评价需要，结合评价项目实际，拟定评价报告各部分内容，初步确定了报告提纲，后根据实际收集到的资料、问卷、访谈、基础表进行分析整理，找出存在的问题，并对其原因展开分析，完善评价报告，并与相关单位沟通意见，完善评价报告，形成完整的绩效评价报告初稿交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8814" w:type="dxa"/>
            <w:gridSpan w:val="1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四、评价结论和绩效分析</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017"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综合评价结论</w:t>
            </w:r>
          </w:p>
        </w:tc>
        <w:tc>
          <w:tcPr>
            <w:tcW w:w="2295" w:type="dxa"/>
            <w:gridSpan w:val="4"/>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评价得分</w:t>
            </w:r>
          </w:p>
        </w:tc>
        <w:tc>
          <w:tcPr>
            <w:tcW w:w="1450"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96.92分</w:t>
            </w:r>
          </w:p>
        </w:tc>
        <w:tc>
          <w:tcPr>
            <w:tcW w:w="2915" w:type="dxa"/>
            <w:gridSpan w:val="3"/>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评价等级</w:t>
            </w:r>
          </w:p>
        </w:tc>
        <w:tc>
          <w:tcPr>
            <w:tcW w:w="1137" w:type="dxa"/>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017" w:type="dxa"/>
            <w:gridSpan w:val="2"/>
            <w:vMerge w:val="restart"/>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绩效</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分析</w:t>
            </w:r>
          </w:p>
        </w:tc>
        <w:tc>
          <w:tcPr>
            <w:tcW w:w="945"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指标</w:t>
            </w:r>
          </w:p>
        </w:tc>
        <w:tc>
          <w:tcPr>
            <w:tcW w:w="1350"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项目决策</w:t>
            </w:r>
          </w:p>
        </w:tc>
        <w:tc>
          <w:tcPr>
            <w:tcW w:w="1450"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项目过程</w:t>
            </w:r>
          </w:p>
        </w:tc>
        <w:tc>
          <w:tcPr>
            <w:tcW w:w="1440" w:type="dxa"/>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项目产出</w:t>
            </w:r>
          </w:p>
        </w:tc>
        <w:tc>
          <w:tcPr>
            <w:tcW w:w="1475"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项目效益</w:t>
            </w:r>
          </w:p>
        </w:tc>
        <w:tc>
          <w:tcPr>
            <w:tcW w:w="1137" w:type="dxa"/>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017" w:type="dxa"/>
            <w:gridSpan w:val="2"/>
            <w:vMerge w:val="continue"/>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p>
        </w:tc>
        <w:tc>
          <w:tcPr>
            <w:tcW w:w="945"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得分</w:t>
            </w:r>
          </w:p>
        </w:tc>
        <w:tc>
          <w:tcPr>
            <w:tcW w:w="1350"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28.56</w:t>
            </w:r>
          </w:p>
        </w:tc>
        <w:tc>
          <w:tcPr>
            <w:tcW w:w="1450"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25.00</w:t>
            </w:r>
          </w:p>
        </w:tc>
        <w:tc>
          <w:tcPr>
            <w:tcW w:w="1440" w:type="dxa"/>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20.00</w:t>
            </w:r>
          </w:p>
        </w:tc>
        <w:tc>
          <w:tcPr>
            <w:tcW w:w="1475"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23.36</w:t>
            </w:r>
          </w:p>
        </w:tc>
        <w:tc>
          <w:tcPr>
            <w:tcW w:w="1137" w:type="dxa"/>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96.92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017" w:type="dxa"/>
            <w:gridSpan w:val="2"/>
            <w:vMerge w:val="continue"/>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p>
        </w:tc>
        <w:tc>
          <w:tcPr>
            <w:tcW w:w="945"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得分率</w:t>
            </w:r>
          </w:p>
        </w:tc>
        <w:tc>
          <w:tcPr>
            <w:tcW w:w="1350"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95.20%</w:t>
            </w:r>
          </w:p>
        </w:tc>
        <w:tc>
          <w:tcPr>
            <w:tcW w:w="1450"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100.00%</w:t>
            </w:r>
          </w:p>
        </w:tc>
        <w:tc>
          <w:tcPr>
            <w:tcW w:w="1440" w:type="dxa"/>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100.00%</w:t>
            </w:r>
          </w:p>
        </w:tc>
        <w:tc>
          <w:tcPr>
            <w:tcW w:w="1475" w:type="dxa"/>
            <w:gridSpan w:val="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93.44%</w:t>
            </w:r>
          </w:p>
        </w:tc>
        <w:tc>
          <w:tcPr>
            <w:tcW w:w="1137" w:type="dxa"/>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96.92%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8814" w:type="dxa"/>
            <w:gridSpan w:val="1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五、存在问题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74" w:hRule="atLeast"/>
          <w:jc w:val="center"/>
        </w:trPr>
        <w:tc>
          <w:tcPr>
            <w:tcW w:w="8814" w:type="dxa"/>
            <w:gridSpan w:val="1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481"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1.项目成本控制措施有待进一步完善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经评估组资料评估分析发现，项目单位尚未建立有效的项目成本控制措施，可能会导致项目成本管理漏洞，无法精准有效的控制项目实际发生成本。</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481"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2.未进一步细化量化项目绩效目标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经评估组资料评估分析发现，项目单位尚未根据张掖市粮食购销领域监管信息化升级改造项目特点设置个性化细化量化的绩效指标，可能会导致项目事中绩效运行监控、事后绩效评价无法有效开展。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8814" w:type="dxa"/>
            <w:gridSpan w:val="1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六、相关建议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5" w:hRule="atLeast"/>
          <w:jc w:val="center"/>
        </w:trPr>
        <w:tc>
          <w:tcPr>
            <w:tcW w:w="8814" w:type="dxa"/>
            <w:gridSpan w:val="1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481"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1.完善项目成本控制措</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议项目实施部门总结本系统类似项目实施的经验，结合以往项目审计、绩效评价所发现的问题建议，参考借鉴先进地区部门项目管理方面的有效制度措施，采取切实可行的成本控制措施，确保财政资金使用效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481"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2.细化量化项目绩效目标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绩效目标是预算部门和单位使用预算资金计划在一定期限内达到的产出和效果，主要通过设置预期产出、预期效果、服务对象或项目受益人满意程度等绩效指标予以综合反映，是建设项目库、编制部门预算、实施绩效监控、开展绩效评价等的重要基础和依据。建议项目实施部门根据项目特点设置个性且细化量化的绩效目标，以此体现项目实施内容及项目建设特点，为项目后续开展绩效运行监控，绩效评价打下坚实的基础。</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8814" w:type="dxa"/>
            <w:gridSpan w:val="1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七、其他需要说明的事项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8814" w:type="dxa"/>
            <w:gridSpan w:val="12"/>
            <w:tcBorders>
              <w:tl2br w:val="nil"/>
              <w:tr2bl w:val="nil"/>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w:t>
            </w:r>
          </w:p>
        </w:tc>
      </w:tr>
    </w:tbl>
    <w:p>
      <w:pPr>
        <w:rPr>
          <w:rFonts w:hint="eastAsia" w:ascii="Times New Roman" w:hAnsi="Times New Roman"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Theme="majorEastAsia" w:cstheme="majorEastAsia"/>
          <w:b/>
          <w:bCs/>
          <w:sz w:val="36"/>
          <w:szCs w:val="36"/>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Theme="majorEastAsia" w:cstheme="majorEastAsia"/>
          <w:b/>
          <w:bCs/>
          <w:sz w:val="36"/>
          <w:szCs w:val="36"/>
          <w:lang w:val="en-US" w:eastAsia="zh-CN"/>
        </w:rPr>
      </w:pPr>
      <w:r>
        <w:rPr>
          <w:rFonts w:hint="eastAsia" w:ascii="Times New Roman" w:hAnsi="Times New Roman" w:eastAsiaTheme="majorEastAsia" w:cstheme="majorEastAsia"/>
          <w:b/>
          <w:bCs/>
          <w:sz w:val="36"/>
          <w:szCs w:val="36"/>
          <w:lang w:val="en-US" w:eastAsia="zh-CN"/>
        </w:rPr>
        <w:t>摘  要</w:t>
      </w:r>
      <w:bookmarkEnd w:id="0"/>
    </w:p>
    <w:p>
      <w:pPr>
        <w:outlineLvl w:val="9"/>
        <w:rPr>
          <w:rFonts w:hint="eastAsia" w:ascii="Times New Roman" w:hAnsi="Times New Roman" w:eastAsia="仿宋" w:cs="仿宋"/>
          <w:b/>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黑体" w:cs="黑体"/>
          <w:sz w:val="32"/>
          <w:szCs w:val="32"/>
          <w:lang w:val="en-US" w:eastAsia="zh-CN"/>
        </w:rPr>
      </w:pPr>
      <w:bookmarkStart w:id="4" w:name="_Toc19817"/>
      <w:r>
        <w:rPr>
          <w:rFonts w:hint="eastAsia" w:ascii="Times New Roman" w:hAnsi="Times New Roman" w:eastAsia="黑体" w:cs="黑体"/>
          <w:sz w:val="32"/>
          <w:szCs w:val="32"/>
          <w:lang w:val="en-US" w:eastAsia="zh-CN"/>
        </w:rPr>
        <w:t>一、评估对象</w:t>
      </w:r>
      <w:bookmarkEnd w:id="4"/>
    </w:p>
    <w:p>
      <w:pPr>
        <w:keepNext w:val="0"/>
        <w:keepLines w:val="0"/>
        <w:pageBreakBefore w:val="0"/>
        <w:numPr>
          <w:ilvl w:val="0"/>
          <w:numId w:val="0"/>
        </w:numPr>
        <w:kinsoku/>
        <w:wordWrap/>
        <w:overflowPunct/>
        <w:topLinePunct w:val="0"/>
        <w:autoSpaceDE/>
        <w:autoSpaceDN/>
        <w:bidi w:val="0"/>
        <w:adjustRightInd/>
        <w:snapToGrid/>
        <w:spacing w:line="360" w:lineRule="auto"/>
        <w:ind w:firstLine="642" w:firstLineChars="200"/>
        <w:textAlignment w:val="auto"/>
        <w:outlineLvl w:val="9"/>
        <w:rPr>
          <w:rFonts w:hint="eastAsia" w:ascii="Times New Roman" w:hAnsi="Times New Roman" w:eastAsia="楷体" w:cs="楷体"/>
          <w:b/>
          <w:bCs/>
          <w:sz w:val="32"/>
          <w:szCs w:val="32"/>
          <w:lang w:val="en-US" w:eastAsia="zh-CN"/>
        </w:rPr>
      </w:pPr>
      <w:bookmarkStart w:id="5" w:name="_Toc2358"/>
      <w:r>
        <w:rPr>
          <w:rFonts w:hint="eastAsia" w:ascii="Times New Roman" w:hAnsi="Times New Roman" w:eastAsia="楷体" w:cs="楷体"/>
          <w:b/>
          <w:bCs/>
          <w:sz w:val="32"/>
          <w:szCs w:val="32"/>
          <w:lang w:val="en-US" w:eastAsia="zh-CN"/>
        </w:rPr>
        <w:t>（一）项目名称</w:t>
      </w:r>
      <w:bookmarkEnd w:id="5"/>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张掖市粮食购销领域监管信息化升级改造项目绩效评价。</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2" w:firstLineChars="200"/>
        <w:textAlignment w:val="auto"/>
        <w:outlineLvl w:val="9"/>
        <w:rPr>
          <w:rFonts w:hint="default" w:ascii="Times New Roman" w:hAnsi="Times New Roman" w:eastAsia="楷体" w:cs="楷体"/>
          <w:b/>
          <w:bCs/>
          <w:sz w:val="32"/>
          <w:szCs w:val="32"/>
          <w:lang w:val="en-US" w:eastAsia="zh-CN"/>
        </w:rPr>
      </w:pPr>
      <w:bookmarkStart w:id="6" w:name="_Toc25656"/>
      <w:r>
        <w:rPr>
          <w:rFonts w:hint="eastAsia" w:ascii="Times New Roman" w:hAnsi="Times New Roman" w:eastAsia="楷体" w:cs="楷体"/>
          <w:b/>
          <w:bCs/>
          <w:sz w:val="32"/>
          <w:szCs w:val="32"/>
          <w:lang w:val="en-US" w:eastAsia="zh-CN"/>
        </w:rPr>
        <w:t>（二）主要内容</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实现国家五部门对粮食购销领域监管信息化建设的部署以及国家粮食和物资储备局组织制定的粮食购销领域监管信息化规范的全部规定和要求，并紧密结合张掖实际，满足实际需要。本次粮食购销领域监管信息化建设内容主要为张掖市各地方粮库系统升级改造，接口业务数据实时对接，并无条件满足国家局最新标准规范要求，满足实际工作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国家最新规范要求，全省建立统一数据标准及接口，满足粮食购销领域监管的迫切需求，利用物联网、大数据、人工智能、智能监测设备等技术突破作业效率不高，收粮服务不够精细，仓储作业劳动强度大、不够精准，营私舞弊，转圈粮等行业难题，研发新一代智慧粮库系统，基于储粮大数据的智能仓储技术及系统，基于数量监测的数量监管技术及系统，基于可信仓单技术及系统，基于人工智能的作业风险识别技术及系统，基于粮情大数据分析模型的粮油数量核实监管技术及系统，基于移动应用的移动监管技术及系统等。</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2" w:firstLineChars="200"/>
        <w:textAlignment w:val="auto"/>
        <w:outlineLvl w:val="9"/>
        <w:rPr>
          <w:rFonts w:hint="default" w:ascii="Times New Roman" w:hAnsi="Times New Roman" w:eastAsia="楷体" w:cs="楷体"/>
          <w:b/>
          <w:bCs/>
          <w:sz w:val="32"/>
          <w:szCs w:val="32"/>
          <w:lang w:val="en-US" w:eastAsia="zh-CN"/>
        </w:rPr>
      </w:pPr>
      <w:bookmarkStart w:id="7" w:name="_Toc15782"/>
      <w:r>
        <w:rPr>
          <w:rFonts w:hint="eastAsia" w:ascii="Times New Roman" w:hAnsi="Times New Roman" w:eastAsia="楷体" w:cs="楷体"/>
          <w:b/>
          <w:bCs/>
          <w:sz w:val="32"/>
          <w:szCs w:val="32"/>
          <w:lang w:val="en-US" w:eastAsia="zh-CN"/>
        </w:rPr>
        <w:t>（三）项目背景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十三五”以来，粮食行业信息化取得长足发展，中央储备粮智能粮库信息系统建设、“粮安工程”粮智能化升级改造等项目相继实施，中央和地方政府事权粮食承储库点信息化水平大幅提升，省级粮行政管理部门和有关涉粮央企粮食信息化平台功能不断完善。党和国家机构改革后，国家粮食和物资储备局制定实施一系列粮食信息化建设标准规范，开展整合资源、打通数据、贯通应用攻坚，实现了国家级、省级及市县级储备粮数据和视频在国家粮食和物资储备管理平台汇集，为推进粮食购销领域监管信息化建设奠定了坚实基础。同时也要看到，粮食信息化仍存在覆盖不全、应用不充分、制度不健全、专业人才缺乏等短板弱项，与实现全程即时在线穿透式监管还有差距。</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Times New Roman" w:hAnsi="Times New Roman" w:eastAsia="楷体" w:cs="楷体"/>
          <w:b/>
          <w:bCs/>
          <w:sz w:val="32"/>
          <w:szCs w:val="32"/>
          <w:lang w:val="en-US" w:eastAsia="zh-CN"/>
        </w:rPr>
      </w:pPr>
      <w:r>
        <w:rPr>
          <w:rFonts w:hint="eastAsia" w:ascii="Times New Roman" w:hAnsi="Times New Roman" w:eastAsia="仿宋" w:cs="仿宋"/>
          <w:sz w:val="32"/>
          <w:szCs w:val="32"/>
          <w:lang w:val="en-US" w:eastAsia="zh-CN"/>
        </w:rPr>
        <w:t>为加快推进粮食购销领域监管信息化建设，进一步推动监管理念、监管方式、监管手段和监管效率变革，加强对中央和地方政府事权粮食全覆盖、全链条监管，坚持统筹规划、标准先行，压实责任、分步实施，数据共享、深化应用，强化保障、确保安全的原则，以服务监管、支撑业务为目标，按照统一标准、统一接口、统一平台、统一信息系统要求，在现有粮食信息化标准基础上，国家粮食和物资储备局牵头编制了本规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642" w:firstLineChars="200"/>
        <w:textAlignment w:val="auto"/>
        <w:outlineLvl w:val="9"/>
        <w:rPr>
          <w:rFonts w:hint="default" w:ascii="Times New Roman" w:hAnsi="Times New Roman" w:eastAsia="楷体" w:cs="楷体"/>
          <w:b/>
          <w:bCs/>
          <w:sz w:val="32"/>
          <w:szCs w:val="32"/>
          <w:lang w:val="en-US" w:eastAsia="zh-CN"/>
        </w:rPr>
      </w:pPr>
      <w:r>
        <w:rPr>
          <w:rFonts w:hint="eastAsia" w:ascii="Times New Roman" w:hAnsi="Times New Roman" w:eastAsia="楷体" w:cs="楷体"/>
          <w:b/>
          <w:bCs/>
          <w:sz w:val="32"/>
          <w:szCs w:val="32"/>
          <w:lang w:val="en-US" w:eastAsia="zh-CN"/>
        </w:rPr>
        <w:t>（四）项目资金总额</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张掖市粮食购销领域监管信息化升级改造项目总投资573.3万元。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642" w:firstLineChars="200"/>
        <w:textAlignment w:val="auto"/>
        <w:outlineLvl w:val="9"/>
        <w:rPr>
          <w:rFonts w:hint="default" w:ascii="Times New Roman" w:hAnsi="Times New Roman" w:eastAsia="楷体" w:cs="楷体"/>
          <w:b/>
          <w:bCs/>
          <w:sz w:val="32"/>
          <w:szCs w:val="32"/>
          <w:lang w:val="en-US" w:eastAsia="zh-CN"/>
        </w:rPr>
      </w:pPr>
      <w:r>
        <w:rPr>
          <w:rFonts w:hint="eastAsia" w:ascii="Times New Roman" w:hAnsi="Times New Roman" w:eastAsia="楷体" w:cs="楷体"/>
          <w:b/>
          <w:bCs/>
          <w:sz w:val="32"/>
          <w:szCs w:val="32"/>
          <w:lang w:val="en-US" w:eastAsia="zh-CN"/>
        </w:rPr>
        <w:t>（五）项目绩效目标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强化数据核心。以业务流程为纽带，聚焦各级平台与粮库信息系统的业务同步、同数同源、互通共享，确保数据全面、准确、及时归集，并能够依授权对外提供相应数据服务，有序做好数据资源的共享共用。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突出分层设计。根据实际业务域的具体划分，引入分层设计、模块化设计理念，加强业务系统的服务共享，实现系统解耦，消除数据孤岛，避免底层依赖、数出多源。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注重弹性迭代。以业务需求为牵引，聚焦行业应用，突出弹性理念，推动流程再造，采用大平台、微服务、轻应用柔性架构，支持敏捷开发、快速迭代、即时升级。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促进整合开放。兼具资源整合、共享服务能力，支持开放对接与二次开发，满足个性化应用、需求拓展和功能提升，以形成围绕各级平台和粮库信息系统的应用链条和完整生态。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确保安全可控。守住网络安全底线，强化规范运维服务，采用安全自主可控的信息技术，鼓励采用国产化的软硬件产品，逐步提升国产化软硬件比例，促进信息化系统和数据安全能力双提升。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Times New Roman" w:hAnsi="Times New Roman" w:eastAsia="黑体" w:cs="黑体"/>
          <w:sz w:val="32"/>
          <w:szCs w:val="32"/>
        </w:rPr>
      </w:pPr>
      <w:bookmarkStart w:id="8" w:name="_Toc28915"/>
      <w:r>
        <w:rPr>
          <w:rFonts w:hint="eastAsia" w:ascii="Times New Roman" w:hAnsi="Times New Roman" w:eastAsia="黑体" w:cs="黑体"/>
          <w:color w:val="000000"/>
          <w:kern w:val="0"/>
          <w:sz w:val="32"/>
          <w:szCs w:val="32"/>
          <w:lang w:val="en-US" w:eastAsia="zh-CN" w:bidi="ar"/>
        </w:rPr>
        <w:t>二、评估内容和结论</w:t>
      </w:r>
      <w:bookmarkEnd w:id="8"/>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Times New Roman" w:hAnsi="Times New Roman" w:eastAsia="仿宋" w:cs="仿宋"/>
          <w:b w:val="0"/>
          <w:bCs/>
          <w:sz w:val="32"/>
          <w:szCs w:val="32"/>
        </w:rPr>
      </w:pPr>
      <w:r>
        <w:rPr>
          <w:rFonts w:hint="eastAsia" w:ascii="Times New Roman" w:hAnsi="Times New Roman" w:eastAsia="仿宋" w:cs="仿宋"/>
          <w:b w:val="0"/>
          <w:bCs/>
          <w:sz w:val="32"/>
          <w:szCs w:val="32"/>
        </w:rPr>
        <w:t>本次</w:t>
      </w:r>
      <w:r>
        <w:rPr>
          <w:rFonts w:hint="eastAsia" w:ascii="Times New Roman" w:hAnsi="Times New Roman" w:eastAsia="仿宋" w:cs="仿宋"/>
          <w:b w:val="0"/>
          <w:bCs/>
          <w:sz w:val="32"/>
          <w:szCs w:val="32"/>
          <w:lang w:val="en-US" w:eastAsia="zh-CN"/>
        </w:rPr>
        <w:t>绩效评价</w:t>
      </w:r>
      <w:r>
        <w:rPr>
          <w:rFonts w:hint="eastAsia" w:ascii="Times New Roman" w:hAnsi="Times New Roman" w:eastAsia="仿宋" w:cs="仿宋"/>
          <w:b w:val="0"/>
          <w:bCs/>
          <w:sz w:val="32"/>
          <w:szCs w:val="32"/>
        </w:rPr>
        <w:t>工作基于佐证材料的全面性和准确性，严格按照绩效评价指标体系，</w:t>
      </w:r>
      <w:r>
        <w:rPr>
          <w:rFonts w:hint="eastAsia" w:ascii="Times New Roman" w:hAnsi="Times New Roman" w:eastAsia="仿宋" w:cs="仿宋"/>
          <w:b w:val="0"/>
          <w:bCs/>
          <w:sz w:val="32"/>
          <w:szCs w:val="32"/>
          <w:lang w:val="en-US" w:eastAsia="zh-CN"/>
        </w:rPr>
        <w:t>结合实际了解到的情况，计算得出张掖市粮食购销领域监管信息化升级改造项目评价得分为：</w:t>
      </w:r>
      <w:r>
        <w:rPr>
          <w:rFonts w:hint="eastAsia" w:ascii="Times New Roman" w:hAnsi="Times New Roman" w:eastAsia="仿宋" w:cs="仿宋"/>
          <w:b/>
          <w:bCs w:val="0"/>
          <w:sz w:val="32"/>
          <w:szCs w:val="32"/>
          <w:lang w:val="en-US" w:eastAsia="zh-CN"/>
        </w:rPr>
        <w:t>“96.92”</w:t>
      </w:r>
      <w:r>
        <w:rPr>
          <w:rFonts w:hint="eastAsia" w:ascii="Times New Roman" w:hAnsi="Times New Roman" w:eastAsia="仿宋" w:cs="仿宋"/>
          <w:b w:val="0"/>
          <w:bCs/>
          <w:sz w:val="32"/>
          <w:szCs w:val="32"/>
          <w:lang w:val="en-US" w:eastAsia="zh-CN"/>
        </w:rPr>
        <w:t>分，</w:t>
      </w:r>
      <w:r>
        <w:rPr>
          <w:rFonts w:hint="eastAsia" w:ascii="Times New Roman" w:hAnsi="Times New Roman" w:eastAsia="仿宋" w:cs="仿宋"/>
          <w:b w:val="0"/>
          <w:bCs/>
          <w:sz w:val="32"/>
          <w:szCs w:val="32"/>
        </w:rPr>
        <w:t>评估等级为</w:t>
      </w:r>
      <w:r>
        <w:rPr>
          <w:rFonts w:hint="eastAsia" w:ascii="Times New Roman" w:hAnsi="Times New Roman" w:eastAsia="仿宋" w:cs="仿宋"/>
          <w:b/>
          <w:bCs w:val="0"/>
          <w:sz w:val="32"/>
          <w:szCs w:val="32"/>
        </w:rPr>
        <w:t>“</w:t>
      </w:r>
      <w:r>
        <w:rPr>
          <w:rFonts w:hint="eastAsia" w:ascii="Times New Roman" w:hAnsi="Times New Roman" w:eastAsia="仿宋" w:cs="仿宋"/>
          <w:b/>
          <w:bCs w:val="0"/>
          <w:sz w:val="32"/>
          <w:szCs w:val="32"/>
          <w:lang w:val="en-US" w:eastAsia="zh-CN"/>
        </w:rPr>
        <w:t>优</w:t>
      </w:r>
      <w:r>
        <w:rPr>
          <w:rFonts w:hint="eastAsia" w:ascii="Times New Roman" w:hAnsi="Times New Roman" w:eastAsia="仿宋" w:cs="仿宋"/>
          <w:b/>
          <w:bCs w:val="0"/>
          <w:sz w:val="32"/>
          <w:szCs w:val="32"/>
        </w:rPr>
        <w:t>”</w:t>
      </w:r>
      <w:r>
        <w:rPr>
          <w:rFonts w:hint="eastAsia" w:ascii="Times New Roman" w:hAnsi="Times New Roman" w:eastAsia="仿宋" w:cs="仿宋"/>
          <w:b w:val="0"/>
          <w:bCs/>
          <w:sz w:val="32"/>
          <w:szCs w:val="32"/>
        </w:rPr>
        <w:t>。</w:t>
      </w:r>
    </w:p>
    <w:p>
      <w:pPr>
        <w:ind w:firstLine="0" w:firstLineChars="0"/>
        <w:jc w:val="center"/>
        <w:outlineLvl w:val="9"/>
        <w:rPr>
          <w:rFonts w:hint="eastAsia" w:ascii="Times New Roman" w:hAnsi="Times New Roman" w:eastAsia="仿宋" w:cs="仿宋"/>
          <w:b/>
          <w:bCs/>
          <w:sz w:val="24"/>
          <w:szCs w:val="24"/>
        </w:rPr>
      </w:pPr>
      <w:bookmarkStart w:id="9" w:name="_Toc23414"/>
      <w:r>
        <w:rPr>
          <w:rFonts w:hint="eastAsia" w:ascii="Times New Roman" w:hAnsi="Times New Roman" w:eastAsia="仿宋" w:cs="仿宋"/>
          <w:b/>
          <w:bCs/>
          <w:sz w:val="24"/>
          <w:szCs w:val="24"/>
          <w:lang w:val="en-US" w:eastAsia="zh-CN"/>
        </w:rPr>
        <w:t>张掖市粮食</w:t>
      </w:r>
      <w:r>
        <w:rPr>
          <w:rFonts w:hint="eastAsia" w:ascii="Times New Roman" w:hAnsi="Times New Roman" w:eastAsia="仿宋" w:cs="仿宋"/>
          <w:b/>
          <w:bCs/>
          <w:sz w:val="24"/>
          <w:szCs w:val="24"/>
          <w:highlight w:val="none"/>
          <w:lang w:val="en-US" w:eastAsia="zh-CN"/>
        </w:rPr>
        <w:t>购销领域监管信息化升级改造项目</w:t>
      </w:r>
      <w:r>
        <w:rPr>
          <w:rFonts w:hint="eastAsia" w:ascii="Times New Roman" w:hAnsi="Times New Roman" w:eastAsia="仿宋" w:cs="仿宋"/>
          <w:b/>
          <w:bCs/>
          <w:sz w:val="24"/>
          <w:szCs w:val="24"/>
        </w:rPr>
        <w:t>评估得分汇总表</w:t>
      </w:r>
      <w:bookmarkEnd w:id="9"/>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62"/>
        <w:gridCol w:w="1652"/>
        <w:gridCol w:w="1652"/>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090" w:type="pct"/>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outlineLvl w:val="9"/>
              <w:rPr>
                <w:rFonts w:hint="eastAsia" w:ascii="Times New Roman" w:hAnsi="Times New Roman" w:eastAsia="仿宋" w:cs="仿宋"/>
                <w:b/>
                <w:bCs/>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一级指标</w:t>
            </w:r>
          </w:p>
        </w:tc>
        <w:tc>
          <w:tcPr>
            <w:tcW w:w="969" w:type="pct"/>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outlineLvl w:val="9"/>
              <w:rPr>
                <w:rFonts w:hint="eastAsia" w:ascii="Times New Roman" w:hAnsi="Times New Roman" w:eastAsia="仿宋" w:cs="仿宋"/>
                <w:b/>
                <w:bCs/>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分值</w:t>
            </w:r>
          </w:p>
        </w:tc>
        <w:tc>
          <w:tcPr>
            <w:tcW w:w="969" w:type="pct"/>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outlineLvl w:val="9"/>
              <w:rPr>
                <w:rFonts w:hint="eastAsia" w:ascii="Times New Roman" w:hAnsi="Times New Roman" w:eastAsia="仿宋" w:cs="仿宋"/>
                <w:b/>
                <w:bCs/>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得分</w:t>
            </w:r>
          </w:p>
        </w:tc>
        <w:tc>
          <w:tcPr>
            <w:tcW w:w="970" w:type="pct"/>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outlineLvl w:val="9"/>
              <w:rPr>
                <w:rFonts w:hint="eastAsia" w:ascii="Times New Roman" w:hAnsi="Times New Roman" w:eastAsia="仿宋" w:cs="仿宋"/>
                <w:b/>
                <w:bCs/>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b/>
                <w:bCs/>
                <w:i w:val="0"/>
                <w:iCs w:val="0"/>
                <w:color w:val="000000"/>
                <w:sz w:val="24"/>
                <w:szCs w:val="24"/>
                <w:u w:val="none"/>
                <w:lang w:val="en-US" w:eastAsia="zh-CN"/>
              </w:rPr>
            </w:pPr>
            <w:r>
              <w:rPr>
                <w:rFonts w:hint="eastAsia" w:ascii="Times New Roman" w:hAnsi="Times New Roman" w:eastAsia="仿宋" w:cs="仿宋"/>
                <w:b/>
                <w:bCs/>
                <w:i w:val="0"/>
                <w:iCs w:val="0"/>
                <w:color w:val="000000"/>
                <w:sz w:val="24"/>
                <w:szCs w:val="24"/>
                <w:u w:val="none"/>
                <w:lang w:val="en-US" w:eastAsia="zh-CN"/>
              </w:rPr>
              <w:t>项目决策</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i w:val="0"/>
                <w:iCs w:val="0"/>
                <w:color w:val="000000"/>
                <w:sz w:val="24"/>
                <w:szCs w:val="24"/>
                <w:u w:val="none"/>
                <w:lang w:val="en-US" w:eastAsia="zh-CN"/>
              </w:rPr>
              <w:t>30</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i w:val="0"/>
                <w:iCs w:val="0"/>
                <w:color w:val="000000"/>
                <w:sz w:val="24"/>
                <w:szCs w:val="24"/>
                <w:u w:val="none"/>
                <w:lang w:val="en-US" w:eastAsia="zh-CN"/>
              </w:rPr>
              <w:t>28.56</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95.20%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b/>
                <w:bCs/>
                <w:i w:val="0"/>
                <w:iCs w:val="0"/>
                <w:color w:val="000000"/>
                <w:sz w:val="24"/>
                <w:szCs w:val="24"/>
                <w:u w:val="none"/>
                <w:lang w:val="en-US" w:eastAsia="zh-CN"/>
              </w:rPr>
            </w:pPr>
            <w:r>
              <w:rPr>
                <w:rFonts w:hint="eastAsia" w:ascii="Times New Roman" w:hAnsi="Times New Roman" w:eastAsia="仿宋" w:cs="仿宋"/>
                <w:b/>
                <w:bCs/>
                <w:i w:val="0"/>
                <w:iCs w:val="0"/>
                <w:color w:val="000000"/>
                <w:sz w:val="24"/>
                <w:szCs w:val="24"/>
                <w:u w:val="none"/>
                <w:lang w:val="en-US" w:eastAsia="zh-CN"/>
              </w:rPr>
              <w:t>项目过程</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i w:val="0"/>
                <w:iCs w:val="0"/>
                <w:color w:val="000000"/>
                <w:sz w:val="24"/>
                <w:szCs w:val="24"/>
                <w:u w:val="none"/>
                <w:lang w:val="en-US"/>
              </w:rPr>
            </w:pPr>
            <w:r>
              <w:rPr>
                <w:rFonts w:hint="eastAsia" w:ascii="Times New Roman" w:hAnsi="Times New Roman" w:eastAsia="仿宋" w:cs="仿宋"/>
                <w:i w:val="0"/>
                <w:iCs w:val="0"/>
                <w:color w:val="000000"/>
                <w:kern w:val="0"/>
                <w:sz w:val="24"/>
                <w:szCs w:val="24"/>
                <w:u w:val="none"/>
                <w:lang w:val="en-US" w:eastAsia="zh-CN" w:bidi="ar"/>
              </w:rPr>
              <w:t>25</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i w:val="0"/>
                <w:iCs w:val="0"/>
                <w:color w:val="000000"/>
                <w:sz w:val="24"/>
                <w:szCs w:val="24"/>
                <w:u w:val="none"/>
                <w:lang w:val="en-US" w:eastAsia="zh-CN"/>
              </w:rPr>
              <w:t>23.00</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b/>
                <w:bCs/>
                <w:i w:val="0"/>
                <w:iCs w:val="0"/>
                <w:color w:val="000000"/>
                <w:sz w:val="24"/>
                <w:szCs w:val="24"/>
                <w:u w:val="none"/>
                <w:lang w:val="en-US" w:eastAsia="zh-CN"/>
              </w:rPr>
            </w:pPr>
            <w:r>
              <w:rPr>
                <w:rFonts w:hint="eastAsia" w:ascii="Times New Roman" w:hAnsi="Times New Roman" w:eastAsia="仿宋" w:cs="仿宋"/>
                <w:b/>
                <w:bCs/>
                <w:i w:val="0"/>
                <w:iCs w:val="0"/>
                <w:color w:val="000000"/>
                <w:sz w:val="24"/>
                <w:szCs w:val="24"/>
                <w:u w:val="none"/>
                <w:lang w:val="en-US" w:eastAsia="zh-CN"/>
              </w:rPr>
              <w:t>项目产出</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i w:val="0"/>
                <w:iCs w:val="0"/>
                <w:color w:val="000000"/>
                <w:sz w:val="24"/>
                <w:szCs w:val="24"/>
                <w:u w:val="none"/>
                <w:lang w:val="en-US" w:eastAsia="zh-CN"/>
              </w:rPr>
              <w:t>20</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i w:val="0"/>
                <w:iCs w:val="0"/>
                <w:color w:val="000000"/>
                <w:sz w:val="24"/>
                <w:szCs w:val="24"/>
                <w:u w:val="none"/>
                <w:lang w:val="en-US" w:eastAsia="zh-CN"/>
              </w:rPr>
              <w:t>20.00</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b/>
                <w:bCs/>
                <w:i w:val="0"/>
                <w:iCs w:val="0"/>
                <w:color w:val="000000"/>
                <w:sz w:val="24"/>
                <w:szCs w:val="24"/>
                <w:u w:val="none"/>
                <w:lang w:val="en-US" w:eastAsia="zh-CN"/>
              </w:rPr>
            </w:pPr>
            <w:r>
              <w:rPr>
                <w:rFonts w:hint="eastAsia" w:ascii="Times New Roman" w:hAnsi="Times New Roman" w:eastAsia="仿宋" w:cs="仿宋"/>
                <w:b/>
                <w:bCs/>
                <w:i w:val="0"/>
                <w:iCs w:val="0"/>
                <w:color w:val="000000"/>
                <w:sz w:val="24"/>
                <w:szCs w:val="24"/>
                <w:u w:val="none"/>
                <w:lang w:val="en-US" w:eastAsia="zh-CN"/>
              </w:rPr>
              <w:t>项目效益</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i w:val="0"/>
                <w:iCs w:val="0"/>
                <w:color w:val="000000"/>
                <w:sz w:val="24"/>
                <w:szCs w:val="24"/>
                <w:u w:val="none"/>
                <w:lang w:val="en-US" w:eastAsia="zh-CN"/>
              </w:rPr>
              <w:t>25</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i w:val="0"/>
                <w:iCs w:val="0"/>
                <w:color w:val="000000"/>
                <w:sz w:val="24"/>
                <w:szCs w:val="24"/>
                <w:u w:val="none"/>
                <w:lang w:val="en-US" w:eastAsia="zh-CN"/>
              </w:rPr>
            </w:pPr>
            <w:r>
              <w:rPr>
                <w:rFonts w:hint="eastAsia" w:ascii="Times New Roman" w:hAnsi="Times New Roman" w:eastAsia="仿宋" w:cs="仿宋"/>
                <w:i w:val="0"/>
                <w:iCs w:val="0"/>
                <w:color w:val="000000"/>
                <w:sz w:val="24"/>
                <w:szCs w:val="24"/>
                <w:u w:val="none"/>
                <w:lang w:val="en-US" w:eastAsia="zh-CN"/>
              </w:rPr>
              <w:t>23.36</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93.44%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Times New Roman" w:hAnsi="Times New Roman" w:eastAsia="仿宋" w:cs="仿宋"/>
                <w:b/>
                <w:bCs/>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合计</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Times New Roman" w:hAnsi="Times New Roman" w:eastAsia="仿宋" w:cs="仿宋"/>
                <w:b/>
                <w:bCs/>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100</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仿宋" w:cs="仿宋"/>
                <w:b/>
                <w:bCs/>
                <w:i w:val="0"/>
                <w:iCs w:val="0"/>
                <w:color w:val="000000"/>
                <w:sz w:val="24"/>
                <w:szCs w:val="24"/>
                <w:u w:val="none"/>
                <w:lang w:val="en-US"/>
              </w:rPr>
            </w:pPr>
            <w:r>
              <w:rPr>
                <w:rFonts w:hint="eastAsia" w:ascii="Times New Roman" w:hAnsi="Times New Roman" w:eastAsia="仿宋" w:cs="仿宋"/>
                <w:b/>
                <w:bCs/>
                <w:i w:val="0"/>
                <w:iCs w:val="0"/>
                <w:color w:val="000000"/>
                <w:kern w:val="0"/>
                <w:sz w:val="24"/>
                <w:szCs w:val="24"/>
                <w:u w:val="none"/>
                <w:lang w:val="en-US" w:eastAsia="zh-CN" w:bidi="ar"/>
              </w:rPr>
              <w:t>96.92</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b/>
                <w:bCs/>
                <w:i w:val="0"/>
                <w:iCs w:val="0"/>
                <w:color w:val="000000"/>
                <w:kern w:val="0"/>
                <w:sz w:val="24"/>
                <w:szCs w:val="24"/>
                <w:u w:val="none"/>
                <w:lang w:val="en-US" w:eastAsia="zh-CN" w:bidi="ar"/>
              </w:rPr>
              <w:t>94</w:t>
            </w:r>
            <w:bookmarkStart w:id="13" w:name="_GoBack"/>
            <w:bookmarkEnd w:id="13"/>
            <w:r>
              <w:rPr>
                <w:rFonts w:hint="eastAsia" w:ascii="Times New Roman" w:hAnsi="Times New Roman" w:eastAsia="仿宋" w:cs="仿宋"/>
                <w:b/>
                <w:bCs/>
                <w:i w:val="0"/>
                <w:iCs w:val="0"/>
                <w:color w:val="000000"/>
                <w:kern w:val="0"/>
                <w:sz w:val="24"/>
                <w:szCs w:val="24"/>
                <w:u w:val="none"/>
                <w:lang w:val="en-US" w:eastAsia="zh-CN" w:bidi="ar"/>
              </w:rPr>
              <w:t>.92%</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Times New Roman" w:hAnsi="Times New Roman" w:eastAsia="黑体" w:cs="黑体"/>
          <w:sz w:val="32"/>
          <w:szCs w:val="32"/>
        </w:rPr>
      </w:pPr>
      <w:bookmarkStart w:id="10" w:name="_Toc1306"/>
      <w:r>
        <w:rPr>
          <w:rFonts w:hint="eastAsia" w:ascii="Times New Roman" w:hAnsi="Times New Roman" w:eastAsia="黑体" w:cs="黑体"/>
          <w:color w:val="000000"/>
          <w:kern w:val="0"/>
          <w:sz w:val="32"/>
          <w:szCs w:val="32"/>
          <w:lang w:val="en-US" w:eastAsia="zh-CN" w:bidi="ar"/>
        </w:rPr>
        <w:t>三、评估的问题及相关建议</w:t>
      </w:r>
      <w:bookmarkEnd w:id="10"/>
    </w:p>
    <w:p>
      <w:pPr>
        <w:keepNext w:val="0"/>
        <w:keepLines w:val="0"/>
        <w:pageBreakBefore w:val="0"/>
        <w:kinsoku/>
        <w:wordWrap/>
        <w:overflowPunct/>
        <w:topLinePunct w:val="0"/>
        <w:autoSpaceDE/>
        <w:autoSpaceDN/>
        <w:bidi w:val="0"/>
        <w:adjustRightInd/>
        <w:snapToGrid/>
        <w:spacing w:line="360" w:lineRule="auto"/>
        <w:ind w:firstLine="642" w:firstLineChars="200"/>
        <w:textAlignment w:val="auto"/>
        <w:outlineLvl w:val="9"/>
        <w:rPr>
          <w:rFonts w:hint="default" w:ascii="Times New Roman" w:hAnsi="Times New Roman" w:eastAsia="楷体" w:cs="楷体"/>
          <w:b/>
          <w:sz w:val="32"/>
          <w:szCs w:val="32"/>
          <w:lang w:val="en-US" w:eastAsia="zh-CN"/>
        </w:rPr>
      </w:pPr>
      <w:bookmarkStart w:id="11" w:name="_Toc10576"/>
      <w:r>
        <w:rPr>
          <w:rFonts w:hint="eastAsia" w:ascii="Times New Roman" w:hAnsi="Times New Roman" w:eastAsia="楷体" w:cs="楷体"/>
          <w:b/>
          <w:sz w:val="32"/>
          <w:szCs w:val="32"/>
          <w:lang w:eastAsia="zh-CN"/>
        </w:rPr>
        <w:t>（</w:t>
      </w:r>
      <w:r>
        <w:rPr>
          <w:rFonts w:hint="eastAsia" w:ascii="Times New Roman" w:hAnsi="Times New Roman" w:eastAsia="楷体" w:cs="楷体"/>
          <w:b/>
          <w:sz w:val="32"/>
          <w:szCs w:val="32"/>
          <w:lang w:val="en-US" w:eastAsia="zh-CN"/>
        </w:rPr>
        <w:t>一</w:t>
      </w:r>
      <w:r>
        <w:rPr>
          <w:rFonts w:hint="eastAsia" w:ascii="Times New Roman" w:hAnsi="Times New Roman" w:eastAsia="楷体" w:cs="楷体"/>
          <w:b/>
          <w:sz w:val="32"/>
          <w:szCs w:val="32"/>
          <w:lang w:eastAsia="zh-CN"/>
        </w:rPr>
        <w:t>）</w:t>
      </w:r>
      <w:r>
        <w:rPr>
          <w:rFonts w:hint="eastAsia" w:ascii="Times New Roman" w:hAnsi="Times New Roman" w:eastAsia="楷体" w:cs="楷体"/>
          <w:b/>
          <w:sz w:val="32"/>
          <w:szCs w:val="32"/>
          <w:lang w:val="en-US" w:eastAsia="zh-CN"/>
        </w:rPr>
        <w:t>存在的问题</w:t>
      </w:r>
      <w:bookmarkEnd w:id="11"/>
    </w:p>
    <w:p>
      <w:pPr>
        <w:keepNext w:val="0"/>
        <w:keepLines w:val="0"/>
        <w:pageBreakBefore w:val="0"/>
        <w:kinsoku/>
        <w:wordWrap/>
        <w:overflowPunct/>
        <w:topLinePunct w:val="0"/>
        <w:autoSpaceDE/>
        <w:autoSpaceDN/>
        <w:bidi w:val="0"/>
        <w:adjustRightInd/>
        <w:snapToGrid/>
        <w:spacing w:line="360" w:lineRule="auto"/>
        <w:ind w:firstLine="642" w:firstLineChars="200"/>
        <w:textAlignment w:val="auto"/>
        <w:outlineLvl w:val="9"/>
        <w:rPr>
          <w:rFonts w:hint="eastAsia" w:ascii="Times New Roman" w:hAnsi="Times New Roman" w:eastAsia="仿宋" w:cs="仿宋"/>
          <w:b/>
          <w:sz w:val="32"/>
          <w:szCs w:val="32"/>
        </w:rPr>
      </w:pPr>
      <w:r>
        <w:rPr>
          <w:rFonts w:hint="eastAsia" w:ascii="Times New Roman" w:hAnsi="Times New Roman" w:eastAsia="仿宋" w:cs="仿宋"/>
          <w:b/>
          <w:sz w:val="32"/>
          <w:szCs w:val="32"/>
          <w:lang w:val="en-US" w:eastAsia="zh-CN"/>
        </w:rPr>
        <w:t>1.</w:t>
      </w:r>
      <w:r>
        <w:rPr>
          <w:rFonts w:hint="eastAsia" w:ascii="Times New Roman" w:hAnsi="Times New Roman" w:eastAsia="仿宋" w:cs="仿宋"/>
          <w:b/>
          <w:sz w:val="32"/>
          <w:szCs w:val="32"/>
        </w:rPr>
        <w:t>项目</w:t>
      </w:r>
      <w:r>
        <w:rPr>
          <w:rFonts w:hint="eastAsia" w:ascii="Times New Roman" w:hAnsi="Times New Roman" w:eastAsia="仿宋" w:cs="仿宋"/>
          <w:b/>
          <w:bCs/>
          <w:sz w:val="32"/>
          <w:szCs w:val="32"/>
        </w:rPr>
        <w:t>成本控制措施</w:t>
      </w:r>
      <w:r>
        <w:rPr>
          <w:rFonts w:hint="eastAsia" w:ascii="Times New Roman" w:hAnsi="Times New Roman" w:eastAsia="仿宋" w:cs="仿宋"/>
          <w:b/>
          <w:sz w:val="32"/>
          <w:szCs w:val="32"/>
        </w:rPr>
        <w:t>有待进一步完善</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仿宋"/>
          <w:sz w:val="32"/>
          <w:szCs w:val="32"/>
        </w:rPr>
      </w:pPr>
      <w:r>
        <w:rPr>
          <w:rFonts w:hint="eastAsia" w:ascii="Times New Roman" w:hAnsi="Times New Roman" w:eastAsia="仿宋" w:cs="仿宋"/>
          <w:sz w:val="32"/>
          <w:szCs w:val="32"/>
        </w:rPr>
        <w:t>经评估组资料评估分析发现，项目单位尚未建立有效的项目成本控制措施，可能会导致项目成本管理漏洞，无法精准有效的控制项目实际发生成本。</w:t>
      </w:r>
    </w:p>
    <w:p>
      <w:pPr>
        <w:keepNext w:val="0"/>
        <w:keepLines w:val="0"/>
        <w:pageBreakBefore w:val="0"/>
        <w:kinsoku/>
        <w:wordWrap/>
        <w:overflowPunct/>
        <w:topLinePunct w:val="0"/>
        <w:autoSpaceDE/>
        <w:autoSpaceDN/>
        <w:bidi w:val="0"/>
        <w:adjustRightInd/>
        <w:snapToGrid/>
        <w:spacing w:line="360" w:lineRule="auto"/>
        <w:ind w:firstLine="642" w:firstLineChars="200"/>
        <w:textAlignment w:val="auto"/>
        <w:outlineLvl w:val="9"/>
        <w:rPr>
          <w:rFonts w:hint="eastAsia" w:ascii="Times New Roman" w:hAnsi="Times New Roman" w:eastAsia="仿宋" w:cs="仿宋"/>
          <w:b/>
          <w:sz w:val="32"/>
          <w:szCs w:val="32"/>
          <w:lang w:val="en-US" w:eastAsia="zh-CN"/>
        </w:rPr>
      </w:pPr>
      <w:r>
        <w:rPr>
          <w:rFonts w:hint="eastAsia" w:ascii="Times New Roman" w:hAnsi="Times New Roman" w:eastAsia="仿宋" w:cs="仿宋"/>
          <w:b/>
          <w:sz w:val="32"/>
          <w:szCs w:val="32"/>
          <w:lang w:val="en-US" w:eastAsia="zh-CN"/>
        </w:rPr>
        <w:t>2.未进一步细化量化项目绩效目标</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仿宋"/>
          <w:sz w:val="32"/>
          <w:szCs w:val="32"/>
        </w:rPr>
      </w:pPr>
      <w:r>
        <w:rPr>
          <w:rFonts w:hint="eastAsia" w:ascii="Times New Roman" w:hAnsi="Times New Roman" w:eastAsia="仿宋" w:cs="仿宋"/>
          <w:sz w:val="32"/>
          <w:szCs w:val="32"/>
        </w:rPr>
        <w:t>经评估组资料评估分析发现，项目单位尚未</w:t>
      </w:r>
      <w:r>
        <w:rPr>
          <w:rFonts w:hint="eastAsia" w:ascii="Times New Roman" w:hAnsi="Times New Roman" w:eastAsia="仿宋" w:cs="仿宋"/>
          <w:sz w:val="32"/>
          <w:szCs w:val="32"/>
          <w:lang w:val="en-US" w:eastAsia="zh-CN"/>
        </w:rPr>
        <w:t>根据</w:t>
      </w:r>
      <w:r>
        <w:rPr>
          <w:rFonts w:hint="eastAsia" w:ascii="Times New Roman" w:hAnsi="Times New Roman" w:eastAsia="仿宋_GB2312" w:cs="仿宋_GB2312"/>
          <w:sz w:val="32"/>
          <w:szCs w:val="32"/>
          <w:lang w:val="en-US" w:eastAsia="zh-CN"/>
        </w:rPr>
        <w:t>张掖市粮食购销领域监管信息化升级改造项目特点设置个性化细化量化的绩效指标，可能会导致项目事中绩效运行监控、事后绩效评价无法有效开展</w:t>
      </w:r>
      <w:r>
        <w:rPr>
          <w:rFonts w:hint="eastAsia" w:ascii="Times New Roman" w:hAnsi="Times New Roman" w:eastAsia="仿宋" w:cs="仿宋"/>
          <w:sz w:val="32"/>
          <w:szCs w:val="32"/>
        </w:rPr>
        <w:t>。</w:t>
      </w:r>
    </w:p>
    <w:p>
      <w:pPr>
        <w:keepNext w:val="0"/>
        <w:keepLines w:val="0"/>
        <w:pageBreakBefore w:val="0"/>
        <w:kinsoku/>
        <w:wordWrap/>
        <w:overflowPunct/>
        <w:topLinePunct w:val="0"/>
        <w:autoSpaceDE/>
        <w:autoSpaceDN/>
        <w:bidi w:val="0"/>
        <w:adjustRightInd/>
        <w:snapToGrid/>
        <w:spacing w:line="360" w:lineRule="auto"/>
        <w:ind w:firstLine="642" w:firstLineChars="200"/>
        <w:textAlignment w:val="auto"/>
        <w:outlineLvl w:val="9"/>
        <w:rPr>
          <w:rFonts w:hint="default" w:ascii="Times New Roman" w:hAnsi="Times New Roman" w:eastAsia="楷体" w:cs="楷体"/>
          <w:b/>
          <w:sz w:val="32"/>
          <w:szCs w:val="32"/>
          <w:lang w:val="en-US" w:eastAsia="zh-CN"/>
        </w:rPr>
      </w:pPr>
      <w:bookmarkStart w:id="12" w:name="_Toc826"/>
      <w:r>
        <w:rPr>
          <w:rFonts w:hint="eastAsia" w:ascii="Times New Roman" w:hAnsi="Times New Roman" w:eastAsia="楷体" w:cs="楷体"/>
          <w:b/>
          <w:sz w:val="32"/>
          <w:szCs w:val="32"/>
        </w:rPr>
        <w:t>（</w:t>
      </w:r>
      <w:r>
        <w:rPr>
          <w:rFonts w:hint="eastAsia" w:ascii="Times New Roman" w:hAnsi="Times New Roman" w:eastAsia="楷体" w:cs="楷体"/>
          <w:b/>
          <w:sz w:val="32"/>
          <w:szCs w:val="32"/>
          <w:lang w:val="en-US" w:eastAsia="zh-CN"/>
        </w:rPr>
        <w:t>二</w:t>
      </w:r>
      <w:r>
        <w:rPr>
          <w:rFonts w:hint="eastAsia" w:ascii="Times New Roman" w:hAnsi="Times New Roman" w:eastAsia="楷体" w:cs="楷体"/>
          <w:b/>
          <w:sz w:val="32"/>
          <w:szCs w:val="32"/>
        </w:rPr>
        <w:t>）</w:t>
      </w:r>
      <w:r>
        <w:rPr>
          <w:rFonts w:hint="eastAsia" w:ascii="Times New Roman" w:hAnsi="Times New Roman" w:eastAsia="楷体" w:cs="楷体"/>
          <w:b/>
          <w:sz w:val="32"/>
          <w:szCs w:val="32"/>
          <w:lang w:val="en-US" w:eastAsia="zh-CN"/>
        </w:rPr>
        <w:t>相关建议</w:t>
      </w:r>
      <w:bookmarkEnd w:id="12"/>
    </w:p>
    <w:p>
      <w:pPr>
        <w:keepNext w:val="0"/>
        <w:keepLines w:val="0"/>
        <w:pageBreakBefore w:val="0"/>
        <w:kinsoku/>
        <w:wordWrap/>
        <w:overflowPunct/>
        <w:topLinePunct w:val="0"/>
        <w:autoSpaceDE/>
        <w:autoSpaceDN/>
        <w:bidi w:val="0"/>
        <w:adjustRightInd/>
        <w:snapToGrid/>
        <w:spacing w:line="360" w:lineRule="auto"/>
        <w:ind w:firstLine="642" w:firstLineChars="200"/>
        <w:textAlignment w:val="auto"/>
        <w:outlineLvl w:val="9"/>
        <w:rPr>
          <w:rFonts w:hint="eastAsia" w:ascii="Times New Roman" w:hAnsi="Times New Roman" w:eastAsia="仿宋" w:cs="仿宋"/>
          <w:sz w:val="32"/>
          <w:szCs w:val="32"/>
        </w:rPr>
      </w:pPr>
      <w:r>
        <w:rPr>
          <w:rFonts w:hint="eastAsia" w:ascii="Times New Roman" w:hAnsi="Times New Roman" w:eastAsia="仿宋" w:cs="仿宋"/>
          <w:b/>
          <w:sz w:val="32"/>
          <w:szCs w:val="32"/>
          <w:lang w:val="en-US" w:eastAsia="zh-CN"/>
        </w:rPr>
        <w:t>1.完善</w:t>
      </w:r>
      <w:r>
        <w:rPr>
          <w:rFonts w:hint="eastAsia" w:ascii="Times New Roman" w:hAnsi="Times New Roman" w:eastAsia="仿宋" w:cs="仿宋"/>
          <w:b/>
          <w:sz w:val="32"/>
          <w:szCs w:val="32"/>
        </w:rPr>
        <w:t>项目</w:t>
      </w:r>
      <w:r>
        <w:rPr>
          <w:rFonts w:hint="eastAsia" w:ascii="Times New Roman" w:hAnsi="Times New Roman" w:eastAsia="仿宋" w:cs="仿宋"/>
          <w:b/>
          <w:bCs/>
          <w:sz w:val="32"/>
          <w:szCs w:val="32"/>
        </w:rPr>
        <w:t>成本控制措</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建议</w:t>
      </w:r>
      <w:r>
        <w:rPr>
          <w:rFonts w:hint="eastAsia" w:ascii="Times New Roman" w:hAnsi="Times New Roman" w:eastAsia="仿宋" w:cs="仿宋"/>
          <w:sz w:val="32"/>
          <w:szCs w:val="32"/>
        </w:rPr>
        <w:t>项目实施部门总结本系统类似项目实施的经验，结合以往项目审计、绩效评价所发现的问题建议，参考借鉴先进地区部门项目管理方面的有效制度措施，采取切实可行的成本控制措施，确保财政资金使用效率。</w:t>
      </w:r>
    </w:p>
    <w:p>
      <w:pPr>
        <w:keepNext w:val="0"/>
        <w:keepLines w:val="0"/>
        <w:pageBreakBefore w:val="0"/>
        <w:kinsoku/>
        <w:wordWrap/>
        <w:overflowPunct/>
        <w:topLinePunct w:val="0"/>
        <w:autoSpaceDE/>
        <w:autoSpaceDN/>
        <w:bidi w:val="0"/>
        <w:adjustRightInd/>
        <w:snapToGrid/>
        <w:spacing w:line="360" w:lineRule="auto"/>
        <w:ind w:firstLine="642" w:firstLineChars="200"/>
        <w:textAlignment w:val="auto"/>
        <w:outlineLvl w:val="9"/>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2.细化量化项目绩效目标</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sz w:val="32"/>
          <w:szCs w:val="32"/>
          <w:lang w:val="en-US" w:eastAsia="zh-CN"/>
        </w:rPr>
      </w:pPr>
      <w:r>
        <w:rPr>
          <w:rFonts w:hint="eastAsia" w:ascii="Times New Roman" w:hAnsi="Times New Roman" w:eastAsia="仿宋" w:cs="仿宋"/>
          <w:sz w:val="32"/>
          <w:szCs w:val="32"/>
          <w:lang w:val="en-US" w:eastAsia="zh-CN"/>
        </w:rPr>
        <w:t>绩效目标是预算部门和单位使用预算资金计划</w:t>
      </w:r>
      <w:r>
        <w:rPr>
          <w:rFonts w:hint="default" w:ascii="Times New Roman" w:hAnsi="Times New Roman" w:eastAsia="仿宋" w:cs="仿宋"/>
          <w:sz w:val="32"/>
          <w:szCs w:val="32"/>
          <w:lang w:val="en-US" w:eastAsia="zh-CN"/>
        </w:rPr>
        <w:t>在一定期限内达到的产出和效果</w:t>
      </w: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主要通过设置预期产出、预期效果、服务对象或项目受益人满意程度等绩效指标予以综合反映</w:t>
      </w: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是建设项目库、编制部门预算、实施绩效监控、开展绩效评价等的重要基础和依据</w:t>
      </w:r>
      <w:r>
        <w:rPr>
          <w:rFonts w:hint="eastAsia" w:ascii="Times New Roman" w:hAnsi="Times New Roman" w:eastAsia="仿宋" w:cs="仿宋"/>
          <w:sz w:val="32"/>
          <w:szCs w:val="32"/>
          <w:lang w:val="en-US" w:eastAsia="zh-CN"/>
        </w:rPr>
        <w:t>。建议项目实施部门根据项目特点设置个性且细化量化的绩效目标，以此体现项目实施内容及项目建设特点，为项目后续开展绩效运行监控，绩效评价打下坚实的基础。</w:t>
      </w:r>
    </w:p>
    <w:p>
      <w:pPr>
        <w:outlineLvl w:val="9"/>
        <w:rPr>
          <w:rFonts w:hint="default" w:ascii="Times New Roman" w:hAnsi="Times New Roman"/>
          <w:lang w:val="en-US" w:eastAsia="zh-CN"/>
        </w:rPr>
      </w:pPr>
    </w:p>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zNlNzk4MzIzZTNhOTRjYzcwMmNlODZmZGQ1NDcifQ=="/>
  </w:docVars>
  <w:rsids>
    <w:rsidRoot w:val="792E1DDC"/>
    <w:rsid w:val="1F2254C4"/>
    <w:rsid w:val="37F322E6"/>
    <w:rsid w:val="3AC30E7A"/>
    <w:rsid w:val="4EA677A9"/>
    <w:rsid w:val="5556068C"/>
    <w:rsid w:val="57A028D4"/>
    <w:rsid w:val="792E1DDC"/>
    <w:rsid w:val="7F281D51"/>
    <w:rsid w:val="EA7C8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0"/>
    <w:pPr>
      <w:spacing w:beforeAutospacing="1" w:afterAutospacing="1"/>
      <w:jc w:val="left"/>
      <w:outlineLvl w:val="5"/>
    </w:pPr>
    <w:rPr>
      <w:rFonts w:hint="eastAsia" w:ascii="宋体" w:hAnsi="宋体" w:cs="宋体"/>
      <w:b/>
      <w:kern w:val="0"/>
      <w:sz w:val="15"/>
      <w:szCs w:val="15"/>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4895</Words>
  <Characters>5094</Characters>
  <Lines>0</Lines>
  <Paragraphs>0</Paragraphs>
  <TotalTime>2</TotalTime>
  <ScaleCrop>false</ScaleCrop>
  <LinksUpToDate>false</LinksUpToDate>
  <CharactersWithSpaces>5098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2024-09-23T19:39:00Z</dcterms:created>
  <dc:creator>段继波</dc:creator>
  <cp:lastModifiedBy>UOS</cp:lastModifiedBy>
  <dcterms:modified xsi:type="dcterms:W3CDTF">2024-09-29T10:11:43Z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512E6A3E831F4E36A9441645677AE0AE_13</vt:lpwstr>
  </property>
</Properties>
</file>