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40" w:lineRule="exact"/>
        <w:contextualSpacing/>
        <w:rPr>
          <w:rFonts w:ascii="宋体" w:hAnsi="宋体"/>
          <w:b/>
        </w:rPr>
      </w:pPr>
      <w:bookmarkStart w:id="0" w:name="_GoBack"/>
      <w:bookmarkEnd w:id="0"/>
      <w:r>
        <w:rPr>
          <w:rFonts w:hint="eastAsia" w:ascii="黑体" w:eastAsia="黑体"/>
          <w:sz w:val="30"/>
          <w:szCs w:val="30"/>
        </w:rPr>
        <w:t>附件1</w:t>
      </w:r>
    </w:p>
    <w:p>
      <w:pPr>
        <w:spacing w:line="360" w:lineRule="exact"/>
        <w:jc w:val="center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表一、</w:t>
      </w:r>
      <w:r>
        <w:rPr>
          <w:rFonts w:hint="eastAsia" w:ascii="仿宋_GB2312" w:hAnsi="CIDFont+F6" w:eastAsia="仿宋_GB2312"/>
          <w:color w:val="000000"/>
          <w:sz w:val="32"/>
          <w:szCs w:val="32"/>
        </w:rPr>
        <w:t>部门/单位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收支总体情况表</w:t>
      </w:r>
    </w:p>
    <w:tbl>
      <w:tblPr>
        <w:tblStyle w:val="8"/>
        <w:tblpPr w:leftFromText="180" w:rightFromText="180" w:vertAnchor="text" w:horzAnchor="page" w:tblpX="1271" w:tblpY="89"/>
        <w:tblOverlap w:val="never"/>
        <w:tblW w:w="9616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8"/>
        <w:gridCol w:w="1600"/>
        <w:gridCol w:w="3236"/>
        <w:gridCol w:w="14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9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收     入</w:t>
            </w:r>
          </w:p>
        </w:tc>
        <w:tc>
          <w:tcPr>
            <w:tcW w:w="46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支     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项目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预算数</w:t>
            </w: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项目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预算数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一、一般公共预算财政拨款收入</w:t>
            </w: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CCCCFF" w:fill="FFFFFF"/>
            <w:noWrap/>
          </w:tcPr>
          <w:p>
            <w:pPr>
              <w:jc w:val="right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344.7</w:t>
            </w: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一、一般公共服务支出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二、政府性基金预算财政拨款收入</w:t>
            </w: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CCCCFF" w:fill="FFFFFF"/>
            <w:noWrap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二、外交支出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三、国有资本经营预算收入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CCCCFF" w:fill="FFFFFF"/>
            <w:noWrap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三、国防支出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四、教育专户核算</w:t>
            </w: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CCCCFF" w:fill="FFFFFF"/>
            <w:noWrap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四、公共安全支出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五、事业收入</w:t>
            </w: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CCCCFF" w:fill="FFFFFF"/>
            <w:noWrap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五、教育支出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六、上级补助收入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CCCCFF" w:fill="FFFFFF"/>
            <w:noWrap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六、科学技术支出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七、附属单位上缴收入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CCCCFF" w:fill="FFFFFF"/>
            <w:noWrap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七、文化旅游体育与传媒支出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八、经营收入</w:t>
            </w: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CCCCFF" w:fill="FFFFFF"/>
            <w:noWrap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八、社会保障和就业支出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309.49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九、其他收入</w:t>
            </w: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CCCCFF" w:fill="FFFFFF"/>
            <w:noWrap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九、社会保险基金支出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十、卫生健康支出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16.87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十一、节能环保支出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十二、城乡社区支出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十三、农林水支出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十四、交通运输支出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十五、资源勘探工业信息等支出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十六、商业服务业等支出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十七、金融支出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十八、援助其他地区支出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十九、自然资源海洋气象等支出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二十、住房保障支出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18.34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二十一、粮油物资储备支出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二十二、国有资本经营预算支出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二十三、灾害防治及应急管理支出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二十四、预备费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二十五、其他支出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二十六、转移性支出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二十七、债务还本支出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二十八、债务付息支出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二十九、债务发行费用支出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三十、抗疫特别国债还本支出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本年收入合计</w:t>
            </w: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CCCCFF" w:fill="FFFFFF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eastAsia="宋体" w:cs="Arial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  <w:lang w:val="en-US" w:eastAsia="zh-CN"/>
              </w:rPr>
              <w:t>344.7</w:t>
            </w: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本年支出合计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346.3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十、上年结转</w:t>
            </w: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hint="default" w:ascii="宋体" w:hAnsi="宋体" w:eastAsia="宋体" w:cs="Arial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  <w:lang w:val="en-US" w:eastAsia="zh-CN"/>
              </w:rPr>
              <w:t>1.6</w:t>
            </w: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三十一、结转下年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CCCCFF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十一、上年结余</w:t>
            </w: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6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收入总计</w:t>
            </w: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CCCCFF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  <w:lang w:val="en-US" w:eastAsia="zh-CN"/>
              </w:rPr>
              <w:t>346.3</w:t>
            </w: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支出总计</w:t>
            </w:r>
          </w:p>
        </w:tc>
        <w:tc>
          <w:tcPr>
            <w:tcW w:w="1412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CCCCFF" w:fill="FFFFFF"/>
            <w:vAlign w:val="center"/>
          </w:tcPr>
          <w:p>
            <w:pPr>
              <w:widowControl/>
              <w:jc w:val="right"/>
              <w:rPr>
                <w:rFonts w:hint="default" w:ascii="宋体" w:hAnsi="宋体" w:eastAsia="宋体" w:cs="Arial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  <w:lang w:val="en-US" w:eastAsia="zh-CN"/>
              </w:rPr>
              <w:t>346.3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hAnsi="微软雅黑" w:eastAsia="仿宋_GB2312"/>
          <w:sz w:val="18"/>
          <w:szCs w:val="18"/>
          <w:lang w:val="en-US" w:eastAsia="zh-CN"/>
        </w:rPr>
        <w:sectPr>
          <w:footerReference r:id="rId3" w:type="default"/>
          <w:pgSz w:w="11906" w:h="16838"/>
          <w:pgMar w:top="1134" w:right="1134" w:bottom="1134" w:left="1134" w:header="851" w:footer="992" w:gutter="0"/>
          <w:cols w:space="425" w:num="1"/>
          <w:docGrid w:type="lines" w:linePitch="312" w:charSpace="0"/>
        </w:sectPr>
      </w:pPr>
      <w:r>
        <w:rPr>
          <w:rFonts w:hint="eastAsia" w:ascii="宋体" w:hAnsi="宋体" w:cs="Arial"/>
          <w:color w:val="000000"/>
          <w:kern w:val="0"/>
          <w:sz w:val="18"/>
          <w:szCs w:val="18"/>
          <w:lang w:val="en-US" w:eastAsia="zh-CN"/>
        </w:rPr>
        <w:t xml:space="preserve">  </w:t>
      </w:r>
      <w:r>
        <w:rPr>
          <w:rFonts w:hint="eastAsia" w:ascii="仿宋_GB2312" w:hAnsi="微软雅黑" w:eastAsia="仿宋_GB2312"/>
          <w:sz w:val="18"/>
          <w:szCs w:val="18"/>
        </w:rPr>
        <w:t>备注：无内容应公开空表并说明情况。</w:t>
      </w:r>
      <w:r>
        <w:rPr>
          <w:rFonts w:hint="eastAsia" w:ascii="仿宋_GB2312" w:hAnsi="微软雅黑" w:eastAsia="仿宋_GB2312"/>
          <w:sz w:val="18"/>
          <w:szCs w:val="18"/>
          <w:lang w:val="en-US" w:eastAsia="zh-CN"/>
        </w:rPr>
        <w:t xml:space="preserve">                                                         </w:t>
      </w:r>
      <w:r>
        <w:rPr>
          <w:rFonts w:hint="eastAsia" w:ascii="宋体" w:hAnsi="宋体" w:cs="Arial"/>
          <w:color w:val="000000"/>
          <w:kern w:val="0"/>
          <w:sz w:val="18"/>
          <w:szCs w:val="18"/>
        </w:rPr>
        <w:t>单位：万元</w:t>
      </w:r>
    </w:p>
    <w:p>
      <w:pPr>
        <w:spacing w:line="600" w:lineRule="exact"/>
        <w:jc w:val="center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表二、</w:t>
      </w:r>
      <w:r>
        <w:rPr>
          <w:rFonts w:hint="eastAsia" w:ascii="仿宋_GB2312" w:hAnsi="CIDFont+F6" w:eastAsia="仿宋_GB2312"/>
          <w:color w:val="000000"/>
          <w:sz w:val="32"/>
          <w:szCs w:val="32"/>
        </w:rPr>
        <w:t>部门/单位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收入总体情况表</w:t>
      </w:r>
    </w:p>
    <w:p>
      <w:pPr>
        <w:jc w:val="right"/>
        <w:rPr>
          <w:rFonts w:ascii="宋体" w:hAnsi="宋体" w:cs="Arial"/>
          <w:color w:val="000000"/>
          <w:kern w:val="0"/>
          <w:sz w:val="18"/>
          <w:szCs w:val="18"/>
        </w:rPr>
      </w:pPr>
      <w:r>
        <w:rPr>
          <w:rFonts w:hint="eastAsia" w:ascii="宋体" w:hAnsi="宋体" w:cs="Arial"/>
          <w:color w:val="000000"/>
          <w:kern w:val="0"/>
          <w:sz w:val="18"/>
          <w:szCs w:val="18"/>
        </w:rPr>
        <w:t>单位：万元</w:t>
      </w:r>
    </w:p>
    <w:tbl>
      <w:tblPr>
        <w:tblStyle w:val="8"/>
        <w:tblW w:w="9588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12"/>
        <w:gridCol w:w="29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6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项目</w:t>
            </w:r>
          </w:p>
        </w:tc>
        <w:tc>
          <w:tcPr>
            <w:tcW w:w="297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预算数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6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**</w:t>
            </w:r>
          </w:p>
        </w:tc>
        <w:tc>
          <w:tcPr>
            <w:tcW w:w="297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一、一般公共预算财政拨款收入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  <w:lang w:val="en-US" w:eastAsia="zh-CN"/>
              </w:rPr>
              <w:t>344.7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Arial"/>
                <w:b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经费拨款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  <w:lang w:val="en-US" w:eastAsia="zh-CN"/>
              </w:rPr>
              <w:t>344.7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二、政府性基金预算财政拨款收入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……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三、国有资本经营预算收入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……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四、教育专户核算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……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五、事业收入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……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六、上级补助收入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……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七、附属单位上缴收入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……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八、经营收入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……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九、其他收入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……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本年收入合计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  <w:lang w:val="en-US" w:eastAsia="zh-CN"/>
              </w:rPr>
              <w:t>344.7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十、上年结转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……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十一、上年结余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……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收入合计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  <w:lang w:val="en-US" w:eastAsia="zh-CN"/>
              </w:rPr>
              <w:t>344.7</w:t>
            </w:r>
          </w:p>
        </w:tc>
      </w:tr>
    </w:tbl>
    <w:p>
      <w:pPr>
        <w:widowControl/>
        <w:spacing w:line="560" w:lineRule="exact"/>
        <w:ind w:firstLine="360" w:firstLineChars="200"/>
        <w:jc w:val="left"/>
        <w:rPr>
          <w:rFonts w:ascii="宋体" w:hAnsi="宋体"/>
          <w:bCs/>
          <w:color w:val="000000"/>
          <w:sz w:val="18"/>
          <w:szCs w:val="18"/>
        </w:rPr>
      </w:pPr>
      <w:r>
        <w:rPr>
          <w:rFonts w:hint="eastAsia" w:ascii="宋体" w:hAnsi="宋体"/>
          <w:bCs/>
          <w:color w:val="000000"/>
          <w:sz w:val="18"/>
          <w:szCs w:val="18"/>
        </w:rPr>
        <w:t>备注：无内容应公开空表并说明情况。</w:t>
      </w:r>
    </w:p>
    <w:p>
      <w:pPr>
        <w:tabs>
          <w:tab w:val="left" w:pos="1272"/>
        </w:tabs>
        <w:rPr>
          <w:rFonts w:ascii="仿宋_GB2312" w:hAnsi="微软雅黑" w:eastAsia="仿宋_GB2312"/>
          <w:sz w:val="18"/>
          <w:szCs w:val="18"/>
        </w:rPr>
      </w:pPr>
      <w:r>
        <w:rPr>
          <w:rFonts w:ascii="仿宋_GB2312" w:hAnsi="微软雅黑" w:eastAsia="仿宋_GB2312"/>
          <w:sz w:val="18"/>
          <w:szCs w:val="18"/>
        </w:rPr>
        <w:tab/>
      </w:r>
    </w:p>
    <w:p>
      <w:pPr>
        <w:tabs>
          <w:tab w:val="left" w:pos="1272"/>
        </w:tabs>
        <w:rPr>
          <w:rFonts w:ascii="仿宋_GB2312" w:hAnsi="微软雅黑" w:eastAsia="仿宋_GB2312"/>
          <w:sz w:val="18"/>
          <w:szCs w:val="18"/>
        </w:rPr>
        <w:sectPr>
          <w:pgSz w:w="11906" w:h="16838"/>
          <w:pgMar w:top="1134" w:right="1134" w:bottom="1134" w:left="1134" w:header="851" w:footer="992" w:gutter="0"/>
          <w:cols w:space="425" w:num="1"/>
          <w:docGrid w:type="lines" w:linePitch="312" w:charSpace="0"/>
        </w:sectPr>
      </w:pPr>
      <w:r>
        <w:rPr>
          <w:rFonts w:ascii="仿宋_GB2312" w:hAnsi="微软雅黑" w:eastAsia="仿宋_GB2312"/>
          <w:sz w:val="18"/>
          <w:szCs w:val="18"/>
        </w:rPr>
        <w:tab/>
      </w:r>
    </w:p>
    <w:p>
      <w:pPr>
        <w:spacing w:line="600" w:lineRule="exact"/>
        <w:jc w:val="center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表三、</w:t>
      </w:r>
      <w:r>
        <w:rPr>
          <w:rFonts w:hint="eastAsia" w:ascii="仿宋_GB2312" w:hAnsi="CIDFont+F6" w:eastAsia="仿宋_GB2312"/>
          <w:color w:val="000000"/>
          <w:sz w:val="32"/>
          <w:szCs w:val="32"/>
        </w:rPr>
        <w:t>部门/单位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支出总体情况表</w:t>
      </w:r>
    </w:p>
    <w:p>
      <w:pPr>
        <w:jc w:val="right"/>
        <w:rPr>
          <w:rFonts w:ascii="宋体" w:hAnsi="宋体" w:cs="Arial"/>
          <w:color w:val="000000"/>
          <w:kern w:val="0"/>
          <w:sz w:val="18"/>
          <w:szCs w:val="18"/>
        </w:rPr>
      </w:pPr>
      <w:r>
        <w:rPr>
          <w:rFonts w:hint="eastAsia" w:ascii="宋体" w:hAnsi="宋体" w:cs="Arial"/>
          <w:color w:val="000000"/>
          <w:kern w:val="0"/>
          <w:sz w:val="18"/>
          <w:szCs w:val="18"/>
        </w:rPr>
        <w:t>单位：万元</w:t>
      </w:r>
    </w:p>
    <w:tbl>
      <w:tblPr>
        <w:tblStyle w:val="8"/>
        <w:tblW w:w="971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17"/>
        <w:gridCol w:w="1464"/>
        <w:gridCol w:w="2043"/>
        <w:gridCol w:w="1465"/>
        <w:gridCol w:w="14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35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功能分类科目</w:t>
            </w:r>
          </w:p>
        </w:tc>
        <w:tc>
          <w:tcPr>
            <w:tcW w:w="15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支出合计</w:t>
            </w:r>
          </w:p>
        </w:tc>
        <w:tc>
          <w:tcPr>
            <w:tcW w:w="15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基本支出</w:t>
            </w:r>
          </w:p>
        </w:tc>
        <w:tc>
          <w:tcPr>
            <w:tcW w:w="1531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项目支出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上年结转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3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**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总计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jc w:val="center"/>
              <w:rPr>
                <w:rFonts w:hint="default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346.3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</w:tcPr>
          <w:p>
            <w:pPr>
              <w:jc w:val="center"/>
              <w:rPr>
                <w:rFonts w:hint="default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263.7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</w:tcPr>
          <w:p>
            <w:pPr>
              <w:jc w:val="right"/>
              <w:rPr>
                <w:rFonts w:hint="default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81</w:t>
            </w:r>
          </w:p>
        </w:tc>
        <w:tc>
          <w:tcPr>
            <w:tcW w:w="153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</w:tcPr>
          <w:p>
            <w:pPr>
              <w:jc w:val="right"/>
              <w:rPr>
                <w:rFonts w:hint="default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1.6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hint="eastAsia" w:ascii="宋体" w:hAnsi="宋体" w:eastAsia="宋体"/>
                <w:b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eastAsia="zh-CN"/>
              </w:rPr>
              <w:t>社会保障和就业支出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jc w:val="center"/>
              <w:rPr>
                <w:rFonts w:hint="default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309.49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</w:tcPr>
          <w:p>
            <w:pPr>
              <w:jc w:val="center"/>
              <w:rPr>
                <w:rFonts w:hint="default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228.49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hint="eastAsia" w:ascii="宋体" w:hAnsi="宋体" w:eastAsia="宋体"/>
                <w:b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eastAsia="zh-CN"/>
              </w:rPr>
              <w:t>医疗卫生和计划生育支出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jc w:val="center"/>
              <w:rPr>
                <w:rFonts w:hint="default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16.87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</w:tcPr>
          <w:p>
            <w:pPr>
              <w:jc w:val="center"/>
              <w:rPr>
                <w:rFonts w:hint="default" w:ascii="宋体" w:hAnsi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16.87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hint="eastAsia" w:ascii="宋体" w:hAnsi="宋体"/>
                <w:b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eastAsia="zh-CN"/>
              </w:rPr>
              <w:t>住房保障支出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jc w:val="center"/>
              <w:rPr>
                <w:rFonts w:hint="default" w:ascii="宋体" w:hAnsi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18.34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</w:tcPr>
          <w:p>
            <w:pPr>
              <w:ind w:firstLine="1265" w:firstLineChars="700"/>
              <w:jc w:val="center"/>
              <w:rPr>
                <w:rFonts w:hint="default" w:ascii="宋体" w:hAnsi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18.34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hint="eastAsia" w:ascii="宋体" w:hAnsi="宋体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</w:tcPr>
          <w:p>
            <w:pPr>
              <w:rPr>
                <w:rFonts w:hint="eastAsia" w:ascii="宋体" w:hAnsi="宋体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</w:tcPr>
          <w:p>
            <w:pPr>
              <w:rPr>
                <w:rFonts w:hint="eastAsia" w:ascii="宋体" w:hAnsi="宋体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</w:tr>
    </w:tbl>
    <w:p>
      <w:pPr>
        <w:widowControl/>
        <w:spacing w:line="560" w:lineRule="exact"/>
        <w:ind w:firstLine="360" w:firstLineChars="200"/>
        <w:jc w:val="left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备注：无内容应公开空表并说明情况。</w:t>
      </w: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tabs>
          <w:tab w:val="left" w:pos="4056"/>
        </w:tabs>
        <w:rPr>
          <w:rFonts w:ascii="仿宋_GB2312" w:hAnsi="微软雅黑" w:eastAsia="仿宋_GB2312"/>
          <w:sz w:val="18"/>
          <w:szCs w:val="18"/>
        </w:rPr>
      </w:pPr>
      <w:r>
        <w:rPr>
          <w:rFonts w:ascii="仿宋_GB2312" w:hAnsi="微软雅黑" w:eastAsia="仿宋_GB2312"/>
          <w:sz w:val="18"/>
          <w:szCs w:val="18"/>
        </w:rPr>
        <w:tab/>
      </w:r>
    </w:p>
    <w:p>
      <w:pPr>
        <w:tabs>
          <w:tab w:val="left" w:pos="4056"/>
        </w:tabs>
        <w:rPr>
          <w:rFonts w:ascii="仿宋_GB2312" w:hAnsi="微软雅黑" w:eastAsia="仿宋_GB2312"/>
          <w:sz w:val="18"/>
          <w:szCs w:val="18"/>
        </w:rPr>
        <w:sectPr>
          <w:pgSz w:w="11906" w:h="16838"/>
          <w:pgMar w:top="1134" w:right="1134" w:bottom="1134" w:left="1134" w:header="851" w:footer="992" w:gutter="0"/>
          <w:cols w:space="425" w:num="1"/>
          <w:docGrid w:type="lines" w:linePitch="312" w:charSpace="0"/>
        </w:sectPr>
      </w:pPr>
      <w:r>
        <w:rPr>
          <w:rFonts w:ascii="仿宋_GB2312" w:hAnsi="微软雅黑" w:eastAsia="仿宋_GB2312"/>
          <w:sz w:val="18"/>
          <w:szCs w:val="18"/>
        </w:rPr>
        <w:tab/>
      </w:r>
    </w:p>
    <w:p>
      <w:pPr>
        <w:spacing w:line="600" w:lineRule="exact"/>
        <w:jc w:val="center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表四、财政拨款收支总体情况表</w:t>
      </w:r>
    </w:p>
    <w:p>
      <w:pPr>
        <w:jc w:val="right"/>
        <w:rPr>
          <w:rFonts w:ascii="宋体" w:hAnsi="宋体" w:cs="Arial"/>
          <w:color w:val="000000"/>
          <w:kern w:val="0"/>
          <w:sz w:val="18"/>
          <w:szCs w:val="18"/>
        </w:rPr>
      </w:pPr>
      <w:r>
        <w:rPr>
          <w:rFonts w:hint="eastAsia" w:ascii="宋体" w:hAnsi="宋体" w:cs="Arial"/>
          <w:color w:val="000000"/>
          <w:kern w:val="0"/>
          <w:sz w:val="18"/>
          <w:szCs w:val="18"/>
        </w:rPr>
        <w:t>单位：万元</w:t>
      </w:r>
    </w:p>
    <w:tbl>
      <w:tblPr>
        <w:tblStyle w:val="8"/>
        <w:tblW w:w="980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95"/>
        <w:gridCol w:w="1363"/>
        <w:gridCol w:w="3882"/>
        <w:gridCol w:w="136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55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收      入</w:t>
            </w:r>
          </w:p>
        </w:tc>
        <w:tc>
          <w:tcPr>
            <w:tcW w:w="52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支      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项目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预算数</w:t>
            </w: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项目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合计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一、本年收入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right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346.3</w:t>
            </w: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一、本年支出</w:t>
            </w: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346.3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（一）一般公共预算财政拨款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344.7</w:t>
            </w: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（一）一般公共服务支出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（二）政府性基金预算财政拨款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right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1.6</w:t>
            </w: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（二）外交支出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（三）国有资本经营预算财政拨款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（三）国防支出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（四）公共安全支出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（五）教育支出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（六）科学技术支出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（七）文化体育与传媒支出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（八）社会保障和就业支出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309.49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（九）社会保险基金支出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（十）卫生健康支出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16.87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（十一）节能环保支出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（十二）城乡社区支出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（十三）农林水支出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（十四）交通运输支出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（十五）资源勘探工业信息等支出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（十六）商业服务业等支出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（十七）金融支出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（十八）援助其他地区支出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（十九）自然资源海洋气象等支出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（二十）住房保障支出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18.34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（二十一）粮油物资储备支出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（二十二）国有资本经营预算支出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（二十三）灾害防治及应急管理支出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（二十四）预备费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（二十五）其他支出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（二十六）债务还本支出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（二十七）债务付息支出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（二十八）债务发行费用支出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（二十九）抗疫特别国债还本支出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收  入  总  计</w:t>
            </w:r>
          </w:p>
        </w:tc>
        <w:tc>
          <w:tcPr>
            <w:tcW w:w="13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  <w:lang w:val="en-US" w:eastAsia="zh-CN"/>
              </w:rPr>
              <w:t>346.3</w:t>
            </w: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支  出  总  计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  <w:lang w:val="en-US" w:eastAsia="zh-CN"/>
              </w:rPr>
              <w:t>346.3</w:t>
            </w:r>
          </w:p>
        </w:tc>
      </w:tr>
    </w:tbl>
    <w:p>
      <w:pPr>
        <w:widowControl/>
        <w:spacing w:line="560" w:lineRule="exact"/>
        <w:ind w:firstLine="360" w:firstLineChars="200"/>
        <w:jc w:val="left"/>
        <w:rPr>
          <w:rFonts w:ascii="宋体" w:hAnsi="宋体" w:cs="Arial"/>
          <w:bCs/>
          <w:color w:val="000000"/>
          <w:kern w:val="0"/>
          <w:sz w:val="18"/>
          <w:szCs w:val="18"/>
        </w:rPr>
      </w:pPr>
      <w:r>
        <w:rPr>
          <w:rFonts w:hint="eastAsia" w:ascii="宋体" w:hAnsi="宋体" w:cs="Arial"/>
          <w:bCs/>
          <w:color w:val="000000"/>
          <w:kern w:val="0"/>
          <w:sz w:val="18"/>
          <w:szCs w:val="18"/>
        </w:rPr>
        <w:t>备注：无内容应公开空表并说明情况。</w:t>
      </w: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tabs>
          <w:tab w:val="left" w:pos="2784"/>
        </w:tabs>
        <w:rPr>
          <w:rFonts w:ascii="仿宋_GB2312" w:hAnsi="微软雅黑" w:eastAsia="仿宋_GB2312"/>
          <w:sz w:val="18"/>
          <w:szCs w:val="18"/>
        </w:rPr>
      </w:pPr>
    </w:p>
    <w:p>
      <w:pPr>
        <w:tabs>
          <w:tab w:val="left" w:pos="2784"/>
        </w:tabs>
        <w:rPr>
          <w:rFonts w:ascii="仿宋_GB2312" w:hAnsi="微软雅黑" w:eastAsia="仿宋_GB2312"/>
          <w:sz w:val="18"/>
          <w:szCs w:val="18"/>
        </w:rPr>
        <w:sectPr>
          <w:pgSz w:w="11906" w:h="16838"/>
          <w:pgMar w:top="1134" w:right="1134" w:bottom="1134" w:left="1134" w:header="851" w:footer="992" w:gutter="0"/>
          <w:cols w:space="425" w:num="1"/>
          <w:docGrid w:type="lines" w:linePitch="312" w:charSpace="0"/>
        </w:sectPr>
      </w:pPr>
      <w:r>
        <w:rPr>
          <w:rFonts w:ascii="仿宋_GB2312" w:hAnsi="微软雅黑" w:eastAsia="仿宋_GB2312"/>
          <w:sz w:val="18"/>
          <w:szCs w:val="18"/>
        </w:rPr>
        <w:tab/>
      </w:r>
    </w:p>
    <w:p>
      <w:pPr>
        <w:spacing w:line="600" w:lineRule="exact"/>
        <w:jc w:val="center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表五、财政拨款支出表</w:t>
      </w:r>
    </w:p>
    <w:p>
      <w:pPr>
        <w:jc w:val="right"/>
        <w:rPr>
          <w:rFonts w:ascii="宋体" w:hAnsi="宋体" w:cs="Arial"/>
          <w:color w:val="000000"/>
          <w:kern w:val="0"/>
          <w:sz w:val="18"/>
          <w:szCs w:val="18"/>
        </w:rPr>
      </w:pPr>
      <w:r>
        <w:rPr>
          <w:rFonts w:hint="eastAsia" w:ascii="宋体" w:hAnsi="宋体" w:cs="Arial"/>
          <w:color w:val="000000"/>
          <w:kern w:val="0"/>
          <w:sz w:val="18"/>
          <w:szCs w:val="18"/>
        </w:rPr>
        <w:t>单位：万元</w:t>
      </w:r>
    </w:p>
    <w:tbl>
      <w:tblPr>
        <w:tblStyle w:val="8"/>
        <w:tblW w:w="1440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05"/>
        <w:gridCol w:w="1065"/>
        <w:gridCol w:w="1066"/>
        <w:gridCol w:w="1025"/>
        <w:gridCol w:w="1066"/>
        <w:gridCol w:w="1066"/>
        <w:gridCol w:w="1025"/>
        <w:gridCol w:w="1066"/>
        <w:gridCol w:w="1066"/>
        <w:gridCol w:w="1025"/>
        <w:gridCol w:w="10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390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单位名称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总计</w:t>
            </w:r>
          </w:p>
        </w:tc>
        <w:tc>
          <w:tcPr>
            <w:tcW w:w="315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一般公共预算支出</w:t>
            </w:r>
          </w:p>
        </w:tc>
        <w:tc>
          <w:tcPr>
            <w:tcW w:w="315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政府性基金预算支出</w:t>
            </w:r>
          </w:p>
        </w:tc>
        <w:tc>
          <w:tcPr>
            <w:tcW w:w="311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国有资本经营预算支出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390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基本支出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项目支出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基本支出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项目支出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基本支出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项目支出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39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**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90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总计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  <w:vAlign w:val="top"/>
          </w:tcPr>
          <w:p>
            <w:pPr>
              <w:jc w:val="center"/>
              <w:rPr>
                <w:rFonts w:hint="default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18"/>
                <w:szCs w:val="18"/>
                <w:lang w:val="en-US" w:eastAsia="zh-CN" w:bidi="ar-SA"/>
              </w:rPr>
              <w:t>344.7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  <w:vAlign w:val="top"/>
          </w:tcPr>
          <w:p>
            <w:pPr>
              <w:jc w:val="center"/>
              <w:rPr>
                <w:rFonts w:hint="default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18"/>
                <w:szCs w:val="18"/>
                <w:lang w:val="en-US" w:eastAsia="zh-CN" w:bidi="ar-SA"/>
              </w:rPr>
              <w:t>344.7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  <w:vAlign w:val="top"/>
          </w:tcPr>
          <w:p>
            <w:pPr>
              <w:jc w:val="center"/>
              <w:rPr>
                <w:rFonts w:hint="default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18"/>
                <w:szCs w:val="18"/>
                <w:lang w:val="en-US" w:eastAsia="zh-CN" w:bidi="ar-SA"/>
              </w:rPr>
              <w:t>263.7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81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>
            <w:pPr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张掖市儿童福利院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344.7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344.7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263.7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81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90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</w:tr>
    </w:tbl>
    <w:p>
      <w:pPr>
        <w:widowControl/>
        <w:spacing w:line="560" w:lineRule="exact"/>
        <w:ind w:firstLine="360" w:firstLineChars="200"/>
        <w:jc w:val="left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备注：无内容应公开空表并说明情况。</w:t>
      </w: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tabs>
          <w:tab w:val="left" w:pos="3936"/>
        </w:tabs>
        <w:rPr>
          <w:rFonts w:ascii="仿宋_GB2312" w:hAnsi="微软雅黑" w:eastAsia="仿宋_GB2312"/>
          <w:sz w:val="18"/>
          <w:szCs w:val="18"/>
        </w:rPr>
      </w:pPr>
      <w:r>
        <w:rPr>
          <w:rFonts w:ascii="仿宋_GB2312" w:hAnsi="微软雅黑" w:eastAsia="仿宋_GB2312"/>
          <w:sz w:val="18"/>
          <w:szCs w:val="18"/>
        </w:rPr>
        <w:tab/>
      </w:r>
    </w:p>
    <w:p>
      <w:pPr>
        <w:tabs>
          <w:tab w:val="left" w:pos="3936"/>
        </w:tabs>
        <w:rPr>
          <w:rFonts w:ascii="仿宋_GB2312" w:hAnsi="微软雅黑" w:eastAsia="仿宋_GB2312"/>
          <w:sz w:val="18"/>
          <w:szCs w:val="18"/>
        </w:rPr>
        <w:sectPr>
          <w:pgSz w:w="16838" w:h="11906" w:orient="landscape"/>
          <w:pgMar w:top="1134" w:right="1134" w:bottom="1134" w:left="1134" w:header="851" w:footer="992" w:gutter="0"/>
          <w:cols w:space="425" w:num="1"/>
          <w:docGrid w:type="lines" w:linePitch="312" w:charSpace="0"/>
        </w:sectPr>
      </w:pPr>
      <w:r>
        <w:rPr>
          <w:rFonts w:ascii="仿宋_GB2312" w:hAnsi="微软雅黑" w:eastAsia="仿宋_GB2312"/>
          <w:sz w:val="18"/>
          <w:szCs w:val="18"/>
        </w:rPr>
        <w:tab/>
      </w:r>
    </w:p>
    <w:p>
      <w:pPr>
        <w:spacing w:line="600" w:lineRule="exact"/>
        <w:jc w:val="center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表六、一般公共预算支出情况表</w:t>
      </w:r>
    </w:p>
    <w:p>
      <w:pPr>
        <w:jc w:val="righ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宋体" w:hAnsi="宋体" w:cs="Arial"/>
          <w:color w:val="000000"/>
          <w:kern w:val="0"/>
          <w:sz w:val="18"/>
          <w:szCs w:val="18"/>
        </w:rPr>
        <w:t>单位：万元</w:t>
      </w:r>
    </w:p>
    <w:tbl>
      <w:tblPr>
        <w:tblStyle w:val="8"/>
        <w:tblW w:w="9591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3930"/>
        <w:gridCol w:w="1986"/>
        <w:gridCol w:w="1600"/>
        <w:gridCol w:w="133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532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功能分类科目</w:t>
            </w:r>
          </w:p>
        </w:tc>
        <w:tc>
          <w:tcPr>
            <w:tcW w:w="426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一般公共预算支出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10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科目编码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科目名称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基本支出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项目支出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10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**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**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lef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lef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总计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top"/>
          </w:tcPr>
          <w:p>
            <w:pPr>
              <w:jc w:val="center"/>
              <w:rPr>
                <w:rFonts w:hint="default" w:ascii="宋体" w:hAnsi="宋体" w:eastAsia="宋体" w:cs="Times New Roman"/>
                <w:b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/>
                <w:kern w:val="2"/>
                <w:sz w:val="18"/>
                <w:szCs w:val="18"/>
                <w:lang w:val="en-US" w:eastAsia="zh-CN" w:bidi="ar-SA"/>
              </w:rPr>
              <w:t>344.7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top"/>
          </w:tcPr>
          <w:p>
            <w:pPr>
              <w:jc w:val="center"/>
              <w:rPr>
                <w:rFonts w:hint="default" w:ascii="宋体" w:hAnsi="宋体" w:eastAsia="宋体" w:cs="Times New Roman"/>
                <w:b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/>
                <w:kern w:val="2"/>
                <w:sz w:val="18"/>
                <w:szCs w:val="18"/>
                <w:lang w:val="en-US" w:eastAsia="zh-CN" w:bidi="ar-SA"/>
              </w:rPr>
              <w:t>263.7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FFFFFF" w:fill="FFFFFF"/>
            <w:noWrap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lef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……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top"/>
          </w:tcPr>
          <w:p>
            <w:pPr>
              <w:rPr>
                <w:rFonts w:hint="eastAsia" w:ascii="宋体" w:hAnsi="宋体" w:eastAsia="宋体" w:cs="Times New Roman"/>
                <w:b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eastAsia="zh-CN"/>
              </w:rPr>
              <w:t>社会保障和就业支出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top"/>
          </w:tcPr>
          <w:p>
            <w:pPr>
              <w:jc w:val="center"/>
              <w:rPr>
                <w:rFonts w:hint="default" w:ascii="宋体" w:hAnsi="宋体" w:eastAsia="宋体" w:cs="Times New Roman"/>
                <w:b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/>
                <w:kern w:val="2"/>
                <w:sz w:val="18"/>
                <w:szCs w:val="18"/>
                <w:lang w:val="en-US" w:eastAsia="zh-CN" w:bidi="ar-SA"/>
              </w:rPr>
              <w:t>309.4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top"/>
          </w:tcPr>
          <w:p>
            <w:pPr>
              <w:jc w:val="center"/>
              <w:rPr>
                <w:rFonts w:hint="default" w:ascii="宋体" w:hAnsi="宋体" w:eastAsia="宋体" w:cs="Times New Roman"/>
                <w:b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/>
                <w:kern w:val="2"/>
                <w:sz w:val="18"/>
                <w:szCs w:val="18"/>
                <w:lang w:val="en-US" w:eastAsia="zh-CN" w:bidi="ar-SA"/>
              </w:rPr>
              <w:t>228.4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FFFFFF" w:fill="FFFFFF"/>
            <w:noWrap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lef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top"/>
          </w:tcPr>
          <w:p>
            <w:pPr>
              <w:rPr>
                <w:rFonts w:hint="eastAsia" w:ascii="宋体" w:hAnsi="宋体" w:eastAsia="宋体" w:cs="Times New Roman"/>
                <w:b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eastAsia="zh-CN"/>
              </w:rPr>
              <w:t>医疗卫生和计划生育支出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top"/>
          </w:tcPr>
          <w:p>
            <w:pPr>
              <w:jc w:val="center"/>
              <w:rPr>
                <w:rFonts w:hint="default" w:ascii="宋体" w:hAnsi="宋体" w:eastAsia="宋体" w:cs="Times New Roman"/>
                <w:b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/>
                <w:kern w:val="2"/>
                <w:sz w:val="18"/>
                <w:szCs w:val="18"/>
                <w:lang w:val="en-US" w:eastAsia="zh-CN" w:bidi="ar-SA"/>
              </w:rPr>
              <w:t>16.87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top"/>
          </w:tcPr>
          <w:p>
            <w:pPr>
              <w:jc w:val="center"/>
              <w:rPr>
                <w:rFonts w:hint="default" w:ascii="宋体" w:hAnsi="宋体" w:eastAsia="宋体" w:cs="Times New Roman"/>
                <w:b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/>
                <w:kern w:val="2"/>
                <w:sz w:val="18"/>
                <w:szCs w:val="18"/>
                <w:lang w:val="en-US" w:eastAsia="zh-CN" w:bidi="ar-SA"/>
              </w:rPr>
              <w:t>16.87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FFFFFF" w:fill="FFFFFF"/>
            <w:noWrap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top"/>
          </w:tcPr>
          <w:p>
            <w:pPr>
              <w:rPr>
                <w:rFonts w:hint="eastAsia" w:ascii="宋体" w:hAnsi="宋体" w:eastAsia="宋体" w:cs="Times New Roman"/>
                <w:b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eastAsia="zh-CN"/>
              </w:rPr>
              <w:t>住房保障支出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top"/>
          </w:tcPr>
          <w:p>
            <w:pPr>
              <w:ind w:firstLine="1265" w:firstLineChars="700"/>
              <w:jc w:val="center"/>
              <w:rPr>
                <w:rFonts w:hint="default" w:ascii="宋体" w:hAnsi="宋体" w:eastAsia="宋体" w:cs="Times New Roman"/>
                <w:b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/>
                <w:kern w:val="2"/>
                <w:sz w:val="18"/>
                <w:szCs w:val="18"/>
                <w:lang w:val="en-US" w:eastAsia="zh-CN" w:bidi="ar-SA"/>
              </w:rPr>
              <w:t>18.34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top"/>
          </w:tcPr>
          <w:p>
            <w:pPr>
              <w:ind w:firstLine="904" w:firstLineChars="500"/>
              <w:jc w:val="center"/>
              <w:rPr>
                <w:rFonts w:hint="default" w:ascii="宋体" w:hAnsi="宋体" w:eastAsia="宋体" w:cs="Times New Roman"/>
                <w:b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/>
                <w:kern w:val="2"/>
                <w:sz w:val="18"/>
                <w:szCs w:val="18"/>
                <w:lang w:val="en-US" w:eastAsia="zh-CN" w:bidi="ar-SA"/>
              </w:rPr>
              <w:t>18.34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FFFFFF" w:fill="FFFFFF"/>
            <w:noWrap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FFFFFF" w:fill="FFFFFF"/>
            <w:noWrap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FFFFFF" w:fill="FFFFFF"/>
            <w:noWrap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lef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lef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FFFFFF" w:fill="FFFFFF"/>
            <w:noWrap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FFFFFF" w:fill="FFFFFF"/>
            <w:noWrap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lef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lef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FFFFFF" w:fill="FFFFFF"/>
            <w:noWrap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lef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lef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FFFFFF" w:fill="FFFFFF"/>
            <w:noWrap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FFFFFF" w:fill="FFFFFF"/>
            <w:noWrap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</w:tbl>
    <w:p>
      <w:pPr>
        <w:widowControl/>
        <w:spacing w:line="560" w:lineRule="exact"/>
        <w:ind w:firstLine="420" w:firstLineChars="200"/>
        <w:jc w:val="left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21"/>
          <w:szCs w:val="21"/>
        </w:rPr>
        <w:t>备注：无内容应公开空表并说明情况。</w:t>
      </w: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tabs>
          <w:tab w:val="left" w:pos="2472"/>
        </w:tabs>
        <w:rPr>
          <w:rFonts w:ascii="仿宋_GB2312" w:hAnsi="微软雅黑" w:eastAsia="仿宋_GB2312"/>
          <w:sz w:val="18"/>
          <w:szCs w:val="18"/>
        </w:rPr>
      </w:pPr>
      <w:r>
        <w:rPr>
          <w:rFonts w:ascii="仿宋_GB2312" w:hAnsi="微软雅黑" w:eastAsia="仿宋_GB2312"/>
          <w:sz w:val="18"/>
          <w:szCs w:val="18"/>
        </w:rPr>
        <w:tab/>
      </w:r>
    </w:p>
    <w:p>
      <w:pPr>
        <w:tabs>
          <w:tab w:val="left" w:pos="2472"/>
        </w:tabs>
        <w:rPr>
          <w:rFonts w:ascii="仿宋_GB2312" w:hAnsi="微软雅黑" w:eastAsia="仿宋_GB2312"/>
          <w:sz w:val="18"/>
          <w:szCs w:val="18"/>
        </w:rPr>
        <w:sectPr>
          <w:pgSz w:w="11906" w:h="16838"/>
          <w:pgMar w:top="1134" w:right="1134" w:bottom="1134" w:left="1134" w:header="851" w:footer="992" w:gutter="0"/>
          <w:cols w:space="425" w:num="1"/>
          <w:docGrid w:type="lines" w:linePitch="312" w:charSpace="0"/>
        </w:sectPr>
      </w:pPr>
      <w:r>
        <w:rPr>
          <w:rFonts w:ascii="仿宋_GB2312" w:hAnsi="微软雅黑" w:eastAsia="仿宋_GB2312"/>
          <w:sz w:val="18"/>
          <w:szCs w:val="18"/>
        </w:rPr>
        <w:tab/>
      </w:r>
    </w:p>
    <w:p>
      <w:pPr>
        <w:spacing w:line="600" w:lineRule="exact"/>
        <w:jc w:val="center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表七、一般公共预算基本支出情况表</w:t>
      </w:r>
    </w:p>
    <w:p>
      <w:pPr>
        <w:jc w:val="righ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宋体" w:hAnsi="宋体" w:cs="Arial"/>
          <w:color w:val="000000"/>
          <w:kern w:val="0"/>
          <w:sz w:val="18"/>
          <w:szCs w:val="18"/>
        </w:rPr>
        <w:t>单位：万元</w:t>
      </w:r>
    </w:p>
    <w:tbl>
      <w:tblPr>
        <w:tblStyle w:val="8"/>
        <w:tblW w:w="9405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4252"/>
        <w:gridCol w:w="1559"/>
        <w:gridCol w:w="1418"/>
        <w:gridCol w:w="12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52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4"/>
                <w:szCs w:val="24"/>
              </w:rPr>
              <w:t>经济分类科目</w:t>
            </w:r>
          </w:p>
        </w:tc>
        <w:tc>
          <w:tcPr>
            <w:tcW w:w="420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4"/>
                <w:szCs w:val="24"/>
              </w:rPr>
              <w:t>一般公共预算基本支出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9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4"/>
                <w:szCs w:val="24"/>
              </w:rPr>
              <w:t>科目编码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4"/>
                <w:szCs w:val="24"/>
              </w:rPr>
              <w:t>科目名称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4"/>
                <w:szCs w:val="24"/>
              </w:rPr>
              <w:t>人员经费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4"/>
                <w:szCs w:val="24"/>
              </w:rPr>
              <w:t>公用经费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9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4"/>
                <w:szCs w:val="24"/>
              </w:rPr>
              <w:t>**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4"/>
                <w:szCs w:val="24"/>
              </w:rPr>
              <w:t>**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总计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right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right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FFFFFF" w:fill="FFFFFF"/>
            <w:noWrap/>
          </w:tcPr>
          <w:p>
            <w:pPr>
              <w:jc w:val="right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……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工资福利支出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center"/>
              <w:rPr>
                <w:rFonts w:hint="default" w:ascii="宋体" w:hAnsi="宋体" w:eastAsia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szCs w:val="24"/>
                <w:lang w:val="en-US" w:eastAsia="zh-CN"/>
              </w:rPr>
              <w:t>222.11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top"/>
          </w:tcPr>
          <w:p>
            <w:pPr>
              <w:jc w:val="center"/>
              <w:rPr>
                <w:rFonts w:hint="default" w:ascii="宋体" w:hAnsi="宋体" w:eastAsia="宋体" w:cs="Times New Roman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/>
                <w:kern w:val="2"/>
                <w:sz w:val="24"/>
                <w:szCs w:val="24"/>
                <w:lang w:val="en-US" w:eastAsia="zh-CN" w:bidi="ar-SA"/>
              </w:rPr>
              <w:t>222.11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FFFFFF" w:fill="FFFFFF"/>
            <w:noWrap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基本工资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64.51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top"/>
          </w:tcPr>
          <w:p>
            <w:pPr>
              <w:jc w:val="center"/>
              <w:rPr>
                <w:rFonts w:hint="default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24"/>
                <w:szCs w:val="24"/>
                <w:lang w:val="en-US" w:eastAsia="zh-CN" w:bidi="ar-SA"/>
              </w:rPr>
              <w:t>64.51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FFFFFF" w:fill="FFFFFF"/>
            <w:noWrap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津贴补贴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28.61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top"/>
          </w:tcPr>
          <w:p>
            <w:pPr>
              <w:jc w:val="center"/>
              <w:rPr>
                <w:rFonts w:hint="default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24"/>
                <w:szCs w:val="24"/>
                <w:lang w:val="en-US" w:eastAsia="zh-CN" w:bidi="ar-SA"/>
              </w:rPr>
              <w:t>28.61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FFFFFF" w:fill="FFFFFF"/>
            <w:noWrap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奖金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36.98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top"/>
          </w:tcPr>
          <w:p>
            <w:pPr>
              <w:jc w:val="center"/>
              <w:rPr>
                <w:rFonts w:hint="default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24"/>
                <w:szCs w:val="24"/>
                <w:lang w:val="en-US" w:eastAsia="zh-CN" w:bidi="ar-SA"/>
              </w:rPr>
              <w:t>36.98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FFFFFF" w:fill="FFFFFF"/>
            <w:noWrap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其他社会保障缴费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center"/>
              <w:rPr>
                <w:rFonts w:hint="default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1.97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noWrap/>
            <w:vAlign w:val="top"/>
          </w:tcPr>
          <w:p>
            <w:pPr>
              <w:jc w:val="center"/>
              <w:rPr>
                <w:rFonts w:hint="default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24"/>
                <w:szCs w:val="24"/>
                <w:lang w:val="en-US" w:eastAsia="zh-CN" w:bidi="ar-SA"/>
              </w:rPr>
              <w:t>1.97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FFFFFF" w:fill="FFFFFF"/>
            <w:noWrap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商品和服务支出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>
            <w:pPr>
              <w:jc w:val="center"/>
              <w:rPr>
                <w:rFonts w:hint="default" w:ascii="宋体" w:hAnsi="宋体" w:eastAsia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  <w:t>40.18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top"/>
          </w:tcPr>
          <w:p>
            <w:pPr>
              <w:jc w:val="center"/>
              <w:rPr>
                <w:rFonts w:hint="default" w:ascii="宋体" w:hAnsi="宋体" w:eastAsia="宋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FFFFFF" w:fill="FFFFFF"/>
            <w:noWrap/>
            <w:vAlign w:val="top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  <w:t>40.18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办公费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>
            <w:pPr>
              <w:jc w:val="center"/>
              <w:rPr>
                <w:rFonts w:hint="default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2.6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top"/>
          </w:tcPr>
          <w:p>
            <w:pPr>
              <w:jc w:val="center"/>
              <w:rPr>
                <w:rFonts w:hint="default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FFFFFF" w:fill="FFFFFF"/>
            <w:noWrap/>
            <w:vAlign w:val="top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kern w:val="2"/>
                <w:sz w:val="24"/>
                <w:szCs w:val="24"/>
                <w:lang w:val="en-US" w:eastAsia="zh-CN" w:bidi="ar-SA"/>
              </w:rPr>
              <w:t>2.6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水费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>
            <w:pPr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top"/>
          </w:tcPr>
          <w:p>
            <w:pPr>
              <w:jc w:val="center"/>
              <w:rPr>
                <w:rFonts w:hint="default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FFFFFF" w:fill="FFFFFF"/>
            <w:noWrap/>
            <w:vAlign w:val="top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  <w:jc w:val="center"/>
        </w:trPr>
        <w:tc>
          <w:tcPr>
            <w:tcW w:w="9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电费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>
            <w:pPr>
              <w:jc w:val="center"/>
              <w:rPr>
                <w:rFonts w:hint="default" w:ascii="宋体" w:hAnsi="宋体" w:eastAsia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top"/>
          </w:tcPr>
          <w:p>
            <w:pPr>
              <w:jc w:val="center"/>
              <w:rPr>
                <w:rFonts w:hint="default" w:ascii="宋体" w:hAnsi="宋体" w:eastAsia="宋体" w:cs="Times New Roman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FFFFFF" w:fill="FFFFFF"/>
            <w:noWrap/>
            <w:vAlign w:val="top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b w:val="0"/>
                <w:bCs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取暖费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>
            <w:pPr>
              <w:jc w:val="center"/>
              <w:rPr>
                <w:rFonts w:hint="default" w:ascii="宋体" w:hAnsi="宋体" w:eastAsia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  <w:lang w:val="en-US" w:eastAsia="zh-CN"/>
              </w:rPr>
              <w:t>27.99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top"/>
          </w:tcPr>
          <w:p>
            <w:pPr>
              <w:jc w:val="center"/>
              <w:rPr>
                <w:rFonts w:hint="default" w:ascii="宋体" w:hAnsi="宋体" w:eastAsia="宋体" w:cs="Times New Roman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FFFFFF" w:fill="FFFFFF"/>
            <w:noWrap/>
            <w:vAlign w:val="top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b w:val="0"/>
                <w:bCs/>
                <w:kern w:val="2"/>
                <w:sz w:val="24"/>
                <w:szCs w:val="24"/>
                <w:lang w:val="en-US" w:eastAsia="zh-CN" w:bidi="ar-SA"/>
              </w:rPr>
              <w:t>27.99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工会经费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>
            <w:pPr>
              <w:jc w:val="center"/>
              <w:rPr>
                <w:rFonts w:hint="default" w:ascii="宋体" w:hAnsi="宋体" w:eastAsia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  <w:lang w:val="en-US" w:eastAsia="zh-CN"/>
              </w:rPr>
              <w:t>2.81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top"/>
          </w:tcPr>
          <w:p>
            <w:pPr>
              <w:jc w:val="center"/>
              <w:rPr>
                <w:rFonts w:hint="default" w:ascii="宋体" w:hAnsi="宋体" w:eastAsia="宋体" w:cs="Times New Roman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FFFFFF" w:fill="FFFFFF"/>
            <w:noWrap/>
            <w:vAlign w:val="top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b w:val="0"/>
                <w:bCs/>
                <w:kern w:val="2"/>
                <w:sz w:val="24"/>
                <w:szCs w:val="24"/>
                <w:lang w:val="en-US" w:eastAsia="zh-CN" w:bidi="ar-SA"/>
              </w:rPr>
              <w:t>2.81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  <w:jc w:val="center"/>
        </w:trPr>
        <w:tc>
          <w:tcPr>
            <w:tcW w:w="9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福利费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>
            <w:pPr>
              <w:jc w:val="center"/>
              <w:rPr>
                <w:rFonts w:hint="default" w:ascii="宋体" w:hAnsi="宋体" w:eastAsia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  <w:lang w:val="en-US" w:eastAsia="zh-CN"/>
              </w:rPr>
              <w:t>3.51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top"/>
          </w:tcPr>
          <w:p>
            <w:pPr>
              <w:jc w:val="center"/>
              <w:rPr>
                <w:rFonts w:hint="default" w:ascii="宋体" w:hAnsi="宋体" w:eastAsia="宋体" w:cs="Times New Roman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FFFFFF" w:fill="FFFFFF"/>
            <w:noWrap/>
            <w:vAlign w:val="top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b w:val="0"/>
                <w:bCs/>
                <w:kern w:val="2"/>
                <w:sz w:val="24"/>
                <w:szCs w:val="24"/>
                <w:lang w:val="en-US" w:eastAsia="zh-CN" w:bidi="ar-SA"/>
              </w:rPr>
              <w:t>3.51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其他商品和服务支出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>
            <w:pPr>
              <w:jc w:val="center"/>
              <w:rPr>
                <w:rFonts w:hint="default" w:ascii="宋体" w:hAnsi="宋体" w:eastAsia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  <w:lang w:val="en-US" w:eastAsia="zh-CN"/>
              </w:rPr>
              <w:t>0.26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top"/>
          </w:tcPr>
          <w:p>
            <w:pPr>
              <w:jc w:val="center"/>
              <w:rPr>
                <w:rFonts w:hint="default" w:ascii="宋体" w:hAnsi="宋体" w:eastAsia="宋体" w:cs="Times New Roman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FFFFFF" w:fill="FFFFFF"/>
            <w:noWrap/>
            <w:vAlign w:val="top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b w:val="0"/>
                <w:bCs/>
                <w:kern w:val="2"/>
                <w:sz w:val="24"/>
                <w:szCs w:val="24"/>
                <w:lang w:val="en-US" w:eastAsia="zh-CN" w:bidi="ar-SA"/>
              </w:rPr>
              <w:t>0.26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对个人和家庭的补助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top"/>
          </w:tcPr>
          <w:p>
            <w:pPr>
              <w:jc w:val="center"/>
              <w:rPr>
                <w:rFonts w:hint="default" w:ascii="宋体" w:hAnsi="宋体" w:eastAsia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  <w:lang w:val="en-US" w:eastAsia="zh-CN"/>
              </w:rPr>
              <w:t>1.41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top"/>
          </w:tcPr>
          <w:p>
            <w:pPr>
              <w:jc w:val="center"/>
              <w:rPr>
                <w:rFonts w:hint="default" w:ascii="宋体" w:hAnsi="宋体" w:eastAsia="宋体" w:cs="Times New Roman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 w:val="0"/>
                <w:bCs/>
                <w:kern w:val="2"/>
                <w:sz w:val="24"/>
                <w:szCs w:val="24"/>
                <w:lang w:val="en-US" w:eastAsia="zh-CN" w:bidi="ar-SA"/>
              </w:rPr>
              <w:t>1.41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FFFFFF" w:fill="FFFFFF"/>
            <w:noWrap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医疗费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  <w:lang w:val="en-US" w:eastAsia="zh-CN"/>
              </w:rPr>
              <w:t>1.41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Times New Roman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 w:val="0"/>
                <w:bCs/>
                <w:kern w:val="2"/>
                <w:sz w:val="24"/>
                <w:szCs w:val="24"/>
                <w:lang w:val="en-US" w:eastAsia="zh-CN" w:bidi="ar-SA"/>
              </w:rPr>
              <w:t>1.41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FFFFFF" w:fill="FFFFFF"/>
            <w:noWrap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奖励金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Times New Roman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FFFFFF" w:fill="FFFFFF"/>
            <w:noWrap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b w:val="0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Times New Roman"/>
                <w:b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FFFFFF" w:fill="FFFFFF"/>
            <w:noWrap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Times New Roman"/>
                <w:b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FFFFFF" w:fill="FFFFFF"/>
            <w:noWrap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4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Times New Roman"/>
                <w:b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FFFFFF" w:fill="FFFFFF"/>
            <w:noWrap/>
          </w:tcPr>
          <w:p>
            <w:pPr>
              <w:jc w:val="right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4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Times New Roman"/>
                <w:b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FFFFFF" w:fill="FFFFFF"/>
            <w:noWrap/>
          </w:tcPr>
          <w:p>
            <w:pPr>
              <w:jc w:val="right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FFFFFF" w:fill="FFFFFF"/>
            <w:noWrap/>
          </w:tcPr>
          <w:p>
            <w:pPr>
              <w:jc w:val="right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4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FFFFFF" w:fill="FFFFFF"/>
            <w:noWrap/>
          </w:tcPr>
          <w:p>
            <w:pPr>
              <w:jc w:val="right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4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FFFFFF" w:fill="FFFFFF"/>
            <w:noWrap/>
          </w:tcPr>
          <w:p>
            <w:pPr>
              <w:jc w:val="right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4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FFFFFF" w:fill="FFFFFF"/>
            <w:noWrap/>
          </w:tcPr>
          <w:p>
            <w:pPr>
              <w:jc w:val="right"/>
              <w:rPr>
                <w:rFonts w:ascii="宋体" w:hAnsi="宋体"/>
                <w:b/>
                <w:sz w:val="24"/>
                <w:szCs w:val="24"/>
              </w:rPr>
            </w:pPr>
          </w:p>
        </w:tc>
      </w:tr>
    </w:tbl>
    <w:p>
      <w:pPr>
        <w:widowControl/>
        <w:spacing w:line="560" w:lineRule="exact"/>
        <w:ind w:firstLine="480" w:firstLineChars="200"/>
        <w:jc w:val="left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24"/>
          <w:szCs w:val="24"/>
        </w:rPr>
        <w:t>备注：无内容应公开空表并说明情况。</w:t>
      </w: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tabs>
          <w:tab w:val="left" w:pos="1512"/>
        </w:tabs>
        <w:rPr>
          <w:rFonts w:ascii="宋体" w:hAnsi="宋体"/>
          <w:sz w:val="18"/>
          <w:szCs w:val="18"/>
        </w:rPr>
      </w:pPr>
      <w:r>
        <w:rPr>
          <w:rFonts w:ascii="宋体" w:hAnsi="宋体"/>
          <w:sz w:val="18"/>
          <w:szCs w:val="18"/>
        </w:rPr>
        <w:tab/>
      </w:r>
    </w:p>
    <w:p>
      <w:pPr>
        <w:tabs>
          <w:tab w:val="left" w:pos="1512"/>
        </w:tabs>
        <w:rPr>
          <w:rFonts w:ascii="仿宋_GB2312" w:hAnsi="微软雅黑" w:eastAsia="仿宋_GB2312"/>
          <w:sz w:val="18"/>
          <w:szCs w:val="18"/>
        </w:rPr>
        <w:sectPr>
          <w:pgSz w:w="11906" w:h="16838"/>
          <w:pgMar w:top="1134" w:right="1134" w:bottom="1134" w:left="1134" w:header="851" w:footer="992" w:gutter="0"/>
          <w:cols w:space="425" w:num="1"/>
          <w:docGrid w:type="lines" w:linePitch="312" w:charSpace="0"/>
        </w:sectPr>
      </w:pPr>
      <w:r>
        <w:rPr>
          <w:rFonts w:ascii="仿宋_GB2312" w:hAnsi="微软雅黑" w:eastAsia="仿宋_GB2312"/>
          <w:sz w:val="18"/>
          <w:szCs w:val="18"/>
        </w:rPr>
        <w:tab/>
      </w:r>
    </w:p>
    <w:p>
      <w:pPr>
        <w:spacing w:line="600" w:lineRule="exact"/>
        <w:jc w:val="center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表八、一般公共预算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财政拨款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“三公”经费、会议费、培训费支出情况表</w:t>
      </w:r>
    </w:p>
    <w:p>
      <w:pPr>
        <w:jc w:val="righ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宋体" w:hAnsi="宋体" w:cs="Arial"/>
          <w:color w:val="000000"/>
          <w:kern w:val="0"/>
          <w:sz w:val="18"/>
          <w:szCs w:val="18"/>
        </w:rPr>
        <w:t>单位：万元</w:t>
      </w:r>
    </w:p>
    <w:tbl>
      <w:tblPr>
        <w:tblStyle w:val="8"/>
        <w:tblW w:w="14458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25"/>
        <w:gridCol w:w="1358"/>
        <w:gridCol w:w="1361"/>
        <w:gridCol w:w="1361"/>
        <w:gridCol w:w="1361"/>
        <w:gridCol w:w="1362"/>
        <w:gridCol w:w="1265"/>
        <w:gridCol w:w="12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512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单位名称</w:t>
            </w:r>
          </w:p>
        </w:tc>
        <w:tc>
          <w:tcPr>
            <w:tcW w:w="6803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“三公”经费</w:t>
            </w:r>
          </w:p>
        </w:tc>
        <w:tc>
          <w:tcPr>
            <w:tcW w:w="12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会议费</w:t>
            </w:r>
          </w:p>
        </w:tc>
        <w:tc>
          <w:tcPr>
            <w:tcW w:w="1265" w:type="dxa"/>
            <w:vMerge w:val="restart"/>
            <w:tcBorders>
              <w:top w:val="single" w:color="000000" w:sz="4" w:space="0"/>
              <w:left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培训费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512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5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136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因公出国（境）费用</w:t>
            </w:r>
          </w:p>
        </w:tc>
        <w:tc>
          <w:tcPr>
            <w:tcW w:w="136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公务接待费</w:t>
            </w:r>
          </w:p>
        </w:tc>
        <w:tc>
          <w:tcPr>
            <w:tcW w:w="272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公务用车购置和运行费</w:t>
            </w:r>
          </w:p>
        </w:tc>
        <w:tc>
          <w:tcPr>
            <w:tcW w:w="12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5" w:type="dxa"/>
            <w:vMerge w:val="continue"/>
            <w:tcBorders>
              <w:left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512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5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公务用车购置费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公务用车运行费</w:t>
            </w:r>
          </w:p>
        </w:tc>
        <w:tc>
          <w:tcPr>
            <w:tcW w:w="12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5" w:type="dxa"/>
            <w:vMerge w:val="continue"/>
            <w:tcBorders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5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**</w:t>
            </w:r>
          </w:p>
        </w:tc>
        <w:tc>
          <w:tcPr>
            <w:tcW w:w="13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3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12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CCCCFF" w:fill="FFFFFF"/>
            <w:noWrap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总计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  <w:vAlign w:val="top"/>
          </w:tcPr>
          <w:p>
            <w:pPr>
              <w:jc w:val="center"/>
              <w:rPr>
                <w:rFonts w:hint="default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61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  <w:vAlign w:val="top"/>
          </w:tcPr>
          <w:p>
            <w:pPr>
              <w:jc w:val="right"/>
              <w:rPr>
                <w:rFonts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61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  <w:vAlign w:val="top"/>
          </w:tcPr>
          <w:p>
            <w:pPr>
              <w:jc w:val="center"/>
              <w:rPr>
                <w:rFonts w:hint="default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61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  <w:vAlign w:val="top"/>
          </w:tcPr>
          <w:p>
            <w:pPr>
              <w:jc w:val="right"/>
              <w:rPr>
                <w:rFonts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62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  <w:vAlign w:val="top"/>
          </w:tcPr>
          <w:p>
            <w:pPr>
              <w:jc w:val="center"/>
              <w:rPr>
                <w:rFonts w:hint="default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CCCCFF" w:fill="FFFFFF"/>
            <w:noWrap/>
          </w:tcPr>
          <w:p>
            <w:pPr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both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CCCCFF" w:fill="FFFFFF"/>
            <w:noWrap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CCCCFF" w:fill="FFFFFF"/>
            <w:noWrap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CCCCFF" w:fill="FFFFFF"/>
            <w:noWrap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CCCCFF" w:fill="FFFFFF"/>
            <w:noWrap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CCCCFF" w:fill="FFFFFF"/>
            <w:noWrap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CCCCFF" w:fill="FFFFFF"/>
            <w:noWrap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CCCCFF" w:fill="FFFFFF"/>
            <w:noWrap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12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CCCCFF" w:fill="FFFFFF"/>
            <w:noWrap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</w:tbl>
    <w:p>
      <w:pPr>
        <w:widowControl/>
        <w:spacing w:line="560" w:lineRule="exact"/>
        <w:ind w:firstLine="360" w:firstLineChars="200"/>
        <w:jc w:val="left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备注：无内容应公开空表并说明情况。</w:t>
      </w: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tabs>
          <w:tab w:val="left" w:pos="1812"/>
        </w:tabs>
        <w:rPr>
          <w:rFonts w:ascii="仿宋_GB2312" w:hAnsi="微软雅黑" w:eastAsia="仿宋_GB2312"/>
          <w:sz w:val="18"/>
          <w:szCs w:val="18"/>
        </w:rPr>
      </w:pPr>
      <w:r>
        <w:rPr>
          <w:rFonts w:ascii="仿宋_GB2312" w:hAnsi="微软雅黑" w:eastAsia="仿宋_GB2312"/>
          <w:sz w:val="18"/>
          <w:szCs w:val="18"/>
        </w:rPr>
        <w:tab/>
      </w:r>
    </w:p>
    <w:p>
      <w:pPr>
        <w:tabs>
          <w:tab w:val="left" w:pos="1812"/>
        </w:tabs>
        <w:rPr>
          <w:rFonts w:ascii="仿宋_GB2312" w:hAnsi="微软雅黑" w:eastAsia="仿宋_GB2312"/>
          <w:sz w:val="18"/>
          <w:szCs w:val="18"/>
        </w:rPr>
        <w:sectPr>
          <w:pgSz w:w="16838" w:h="11906" w:orient="landscape"/>
          <w:pgMar w:top="1134" w:right="1134" w:bottom="1134" w:left="1134" w:header="851" w:footer="992" w:gutter="0"/>
          <w:cols w:space="425" w:num="1"/>
          <w:docGrid w:type="lines" w:linePitch="312" w:charSpace="0"/>
        </w:sectPr>
      </w:pPr>
      <w:r>
        <w:rPr>
          <w:rFonts w:ascii="仿宋_GB2312" w:hAnsi="微软雅黑" w:eastAsia="仿宋_GB2312"/>
          <w:sz w:val="18"/>
          <w:szCs w:val="18"/>
        </w:rPr>
        <w:tab/>
      </w:r>
    </w:p>
    <w:p>
      <w:pPr>
        <w:spacing w:line="600" w:lineRule="exact"/>
        <w:jc w:val="center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表九、一般公共预算财政拨款机关运行经费表</w:t>
      </w:r>
    </w:p>
    <w:p>
      <w:pPr>
        <w:wordWrap w:val="0"/>
        <w:jc w:val="right"/>
        <w:rPr>
          <w:rFonts w:ascii="宋体" w:hAnsi="宋体" w:cs="Arial"/>
          <w:color w:val="000000"/>
          <w:kern w:val="0"/>
          <w:sz w:val="18"/>
          <w:szCs w:val="18"/>
        </w:rPr>
      </w:pPr>
      <w:r>
        <w:rPr>
          <w:rFonts w:hint="eastAsia" w:ascii="宋体" w:hAnsi="宋体" w:cs="Arial"/>
          <w:color w:val="000000"/>
          <w:kern w:val="0"/>
          <w:sz w:val="18"/>
          <w:szCs w:val="18"/>
        </w:rPr>
        <w:t xml:space="preserve">单位：万元 </w:t>
      </w:r>
    </w:p>
    <w:tbl>
      <w:tblPr>
        <w:tblStyle w:val="8"/>
        <w:tblW w:w="9411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"/>
        <w:gridCol w:w="3121"/>
        <w:gridCol w:w="1814"/>
        <w:gridCol w:w="1814"/>
        <w:gridCol w:w="181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1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8"/>
                <w:szCs w:val="28"/>
              </w:rPr>
              <w:t>项目</w:t>
            </w:r>
          </w:p>
        </w:tc>
        <w:tc>
          <w:tcPr>
            <w:tcW w:w="18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8"/>
                <w:szCs w:val="28"/>
              </w:rPr>
              <w:t>合计</w:t>
            </w:r>
          </w:p>
        </w:tc>
        <w:tc>
          <w:tcPr>
            <w:tcW w:w="18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8"/>
                <w:szCs w:val="28"/>
              </w:rPr>
              <w:t>基本支出</w:t>
            </w:r>
          </w:p>
        </w:tc>
        <w:tc>
          <w:tcPr>
            <w:tcW w:w="181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8"/>
                <w:szCs w:val="28"/>
              </w:rPr>
              <w:t>项目支出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8"/>
                <w:szCs w:val="28"/>
              </w:rPr>
              <w:t>**</w:t>
            </w:r>
          </w:p>
        </w:tc>
        <w:tc>
          <w:tcPr>
            <w:tcW w:w="31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8"/>
                <w:szCs w:val="28"/>
              </w:rPr>
              <w:t>**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8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8"/>
                <w:szCs w:val="28"/>
              </w:rPr>
              <w:t>总计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40.18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  <w:t>40.18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8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28"/>
                <w:szCs w:val="28"/>
              </w:rPr>
              <w:t>[30201]办公费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Arial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2.6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  <w:t>2.6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8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28"/>
                <w:szCs w:val="28"/>
              </w:rPr>
              <w:t>[30202]印刷费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8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28"/>
                <w:szCs w:val="28"/>
              </w:rPr>
              <w:t>[30205]水费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8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28"/>
                <w:szCs w:val="28"/>
              </w:rPr>
              <w:t>[30206]电费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  <w:t>2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8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28"/>
                <w:szCs w:val="28"/>
              </w:rPr>
              <w:t>[30207]邮电费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8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28"/>
                <w:szCs w:val="28"/>
              </w:rPr>
              <w:t>[30208]取暖费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27.99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27.99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8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28"/>
                <w:szCs w:val="28"/>
              </w:rPr>
              <w:t>[30209]物业管理费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8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28"/>
                <w:szCs w:val="28"/>
              </w:rPr>
              <w:t>[30211]差旅费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8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28"/>
                <w:szCs w:val="28"/>
              </w:rPr>
              <w:t>[30213]维修（护）费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8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28"/>
                <w:szCs w:val="28"/>
              </w:rPr>
              <w:t>[30215]会议费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8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28"/>
                <w:szCs w:val="28"/>
              </w:rPr>
              <w:t>[30218]专用材料费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8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28"/>
                <w:szCs w:val="28"/>
              </w:rPr>
              <w:t>[30229]福利费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3.51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  <w:t>3.51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8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Arial"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28"/>
                <w:szCs w:val="28"/>
              </w:rPr>
              <w:t>[302</w:t>
            </w:r>
            <w:r>
              <w:rPr>
                <w:rFonts w:hint="eastAsia" w:ascii="宋体" w:hAnsi="宋体" w:cs="Arial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28</w:t>
            </w:r>
            <w:r>
              <w:rPr>
                <w:rFonts w:hint="eastAsia" w:ascii="宋体" w:hAnsi="宋体" w:cs="Arial"/>
                <w:bCs/>
                <w:color w:val="000000"/>
                <w:kern w:val="0"/>
                <w:sz w:val="28"/>
                <w:szCs w:val="28"/>
              </w:rPr>
              <w:t>]</w:t>
            </w:r>
            <w:r>
              <w:rPr>
                <w:rFonts w:hint="eastAsia" w:ascii="宋体" w:hAnsi="宋体" w:cs="Arial"/>
                <w:bCs/>
                <w:color w:val="000000"/>
                <w:kern w:val="0"/>
                <w:sz w:val="28"/>
                <w:szCs w:val="28"/>
                <w:lang w:eastAsia="zh-CN"/>
              </w:rPr>
              <w:t>工会经费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2.81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  <w:t>2.81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8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28"/>
                <w:szCs w:val="28"/>
              </w:rPr>
              <w:t>[30299]其他商品和服务支出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0.26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  <w:t>0.26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8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Cs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widowControl/>
        <w:spacing w:line="560" w:lineRule="exact"/>
        <w:ind w:firstLine="360" w:firstLineChars="200"/>
        <w:jc w:val="left"/>
        <w:rPr>
          <w:rFonts w:ascii="仿宋_GB2312" w:hAnsi="微软雅黑" w:eastAsia="仿宋_GB2312"/>
          <w:sz w:val="18"/>
          <w:szCs w:val="18"/>
        </w:rPr>
        <w:sectPr>
          <w:pgSz w:w="11906" w:h="16838"/>
          <w:pgMar w:top="1134" w:right="1134" w:bottom="1134" w:left="1134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hAnsi="微软雅黑" w:eastAsia="仿宋_GB2312"/>
          <w:sz w:val="18"/>
          <w:szCs w:val="18"/>
        </w:rPr>
        <w:t>备注：无内容应公开空表并说明情况。</w:t>
      </w:r>
    </w:p>
    <w:p>
      <w:pPr>
        <w:spacing w:line="600" w:lineRule="exact"/>
        <w:jc w:val="center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表十、政府性基金预算支出情况表</w:t>
      </w:r>
    </w:p>
    <w:p>
      <w:pPr>
        <w:wordWrap w:val="0"/>
        <w:jc w:val="right"/>
        <w:rPr>
          <w:rFonts w:ascii="宋体" w:hAnsi="宋体" w:cs="Arial"/>
          <w:color w:val="000000"/>
          <w:kern w:val="0"/>
          <w:sz w:val="18"/>
          <w:szCs w:val="18"/>
        </w:rPr>
      </w:pPr>
      <w:r>
        <w:rPr>
          <w:rFonts w:hint="eastAsia" w:ascii="宋体" w:hAnsi="宋体" w:cs="Arial"/>
          <w:color w:val="000000"/>
          <w:kern w:val="0"/>
          <w:sz w:val="18"/>
          <w:szCs w:val="18"/>
        </w:rPr>
        <w:t xml:space="preserve">单位：万元 </w:t>
      </w:r>
    </w:p>
    <w:tbl>
      <w:tblPr>
        <w:tblStyle w:val="8"/>
        <w:tblW w:w="9498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5"/>
        <w:gridCol w:w="18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</w:trPr>
        <w:tc>
          <w:tcPr>
            <w:tcW w:w="765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  <w:t>项目</w:t>
            </w:r>
          </w:p>
        </w:tc>
        <w:tc>
          <w:tcPr>
            <w:tcW w:w="18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  <w:t>预算数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</w:trPr>
        <w:tc>
          <w:tcPr>
            <w:tcW w:w="765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**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总计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widowControl/>
        <w:spacing w:line="560" w:lineRule="exact"/>
        <w:ind w:firstLine="360" w:firstLineChars="200"/>
        <w:jc w:val="left"/>
        <w:rPr>
          <w:rFonts w:ascii="仿宋_GB2312" w:hAnsi="微软雅黑" w:eastAsia="仿宋_GB2312"/>
          <w:sz w:val="18"/>
          <w:szCs w:val="18"/>
        </w:rPr>
        <w:sectPr>
          <w:pgSz w:w="11906" w:h="16838"/>
          <w:pgMar w:top="1134" w:right="1134" w:bottom="1134" w:left="1134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hAnsi="微软雅黑" w:eastAsia="仿宋_GB2312"/>
          <w:sz w:val="18"/>
          <w:szCs w:val="18"/>
        </w:rPr>
        <w:t>备注：无内容应公开空表并说明情况。</w:t>
      </w:r>
    </w:p>
    <w:p>
      <w:pPr>
        <w:spacing w:line="600" w:lineRule="exact"/>
        <w:jc w:val="center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表十一、部门管理转移支付表</w:t>
      </w:r>
    </w:p>
    <w:p>
      <w:pPr>
        <w:wordWrap w:val="0"/>
        <w:jc w:val="right"/>
        <w:rPr>
          <w:rFonts w:ascii="宋体" w:hAnsi="宋体" w:cs="Arial"/>
          <w:color w:val="000000"/>
          <w:kern w:val="0"/>
          <w:sz w:val="18"/>
          <w:szCs w:val="18"/>
        </w:rPr>
      </w:pPr>
      <w:r>
        <w:rPr>
          <w:rFonts w:hint="eastAsia" w:ascii="宋体" w:hAnsi="宋体" w:cs="Arial"/>
          <w:color w:val="000000"/>
          <w:kern w:val="0"/>
          <w:sz w:val="18"/>
          <w:szCs w:val="18"/>
        </w:rPr>
        <w:t xml:space="preserve">单位：万元 </w:t>
      </w:r>
    </w:p>
    <w:tbl>
      <w:tblPr>
        <w:tblStyle w:val="8"/>
        <w:tblW w:w="9526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82"/>
        <w:gridCol w:w="1361"/>
        <w:gridCol w:w="1361"/>
        <w:gridCol w:w="1361"/>
        <w:gridCol w:w="13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</w:trPr>
        <w:tc>
          <w:tcPr>
            <w:tcW w:w="40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单位名称</w:t>
            </w:r>
          </w:p>
        </w:tc>
        <w:tc>
          <w:tcPr>
            <w:tcW w:w="1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1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一般公共预算项目支出</w:t>
            </w:r>
          </w:p>
        </w:tc>
        <w:tc>
          <w:tcPr>
            <w:tcW w:w="1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政府性基金预算项目支出</w:t>
            </w:r>
          </w:p>
        </w:tc>
        <w:tc>
          <w:tcPr>
            <w:tcW w:w="1361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国有资本经营预算项目支出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</w:trPr>
        <w:tc>
          <w:tcPr>
            <w:tcW w:w="40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**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0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总计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FFFFFF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0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FFFFFF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0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FFFFFF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082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FFFFFF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0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FFFFFF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0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FFFFFF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0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FFFFFF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0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FFFFFF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0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FFFFFF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08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shd w:val="clear" w:color="FFFFFF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widowControl/>
        <w:spacing w:line="560" w:lineRule="exact"/>
        <w:ind w:firstLine="360" w:firstLineChars="200"/>
        <w:jc w:val="left"/>
        <w:rPr>
          <w:rFonts w:ascii="仿宋_GB2312" w:hAnsi="微软雅黑" w:eastAsia="仿宋_GB2312"/>
          <w:sz w:val="18"/>
          <w:szCs w:val="18"/>
        </w:rPr>
      </w:pPr>
      <w:r>
        <w:rPr>
          <w:rFonts w:hint="eastAsia" w:ascii="仿宋_GB2312" w:hAnsi="微软雅黑" w:eastAsia="仿宋_GB2312"/>
          <w:sz w:val="18"/>
          <w:szCs w:val="18"/>
        </w:rPr>
        <w:t>备注：无内容应公开空表并说明情况。</w:t>
      </w:r>
    </w:p>
    <w:p>
      <w:pPr>
        <w:spacing w:line="600" w:lineRule="exact"/>
        <w:jc w:val="center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微软雅黑" w:eastAsia="仿宋_GB2312"/>
          <w:sz w:val="18"/>
          <w:szCs w:val="18"/>
        </w:rPr>
        <w:br w:type="page"/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表十二、国有资本经营预算支出情况表</w:t>
      </w:r>
    </w:p>
    <w:p>
      <w:pPr>
        <w:wordWrap w:val="0"/>
        <w:jc w:val="right"/>
        <w:rPr>
          <w:rFonts w:ascii="宋体" w:hAnsi="宋体" w:cs="Arial"/>
          <w:color w:val="000000"/>
          <w:kern w:val="0"/>
          <w:sz w:val="18"/>
          <w:szCs w:val="18"/>
        </w:rPr>
      </w:pPr>
      <w:r>
        <w:rPr>
          <w:rFonts w:hint="eastAsia" w:ascii="宋体" w:hAnsi="宋体" w:cs="Arial"/>
          <w:color w:val="000000"/>
          <w:kern w:val="0"/>
          <w:sz w:val="18"/>
          <w:szCs w:val="18"/>
        </w:rPr>
        <w:t xml:space="preserve">单位：万元 </w:t>
      </w:r>
    </w:p>
    <w:tbl>
      <w:tblPr>
        <w:tblStyle w:val="8"/>
        <w:tblW w:w="9498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5"/>
        <w:gridCol w:w="18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</w:trPr>
        <w:tc>
          <w:tcPr>
            <w:tcW w:w="765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  <w:t>项目</w:t>
            </w:r>
          </w:p>
        </w:tc>
        <w:tc>
          <w:tcPr>
            <w:tcW w:w="18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  <w:t>预算数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</w:trPr>
        <w:tc>
          <w:tcPr>
            <w:tcW w:w="765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**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总计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widowControl/>
        <w:spacing w:line="560" w:lineRule="exact"/>
        <w:ind w:firstLine="360" w:firstLineChars="200"/>
        <w:jc w:val="left"/>
        <w:rPr>
          <w:rFonts w:hint="eastAsia" w:ascii="仿宋_GB2312" w:hAnsi="微软雅黑" w:eastAsia="仿宋_GB2312"/>
          <w:sz w:val="18"/>
          <w:szCs w:val="18"/>
        </w:rPr>
      </w:pPr>
      <w:r>
        <w:rPr>
          <w:rFonts w:hint="eastAsia" w:ascii="仿宋_GB2312" w:hAnsi="微软雅黑" w:eastAsia="仿宋_GB2312"/>
          <w:sz w:val="18"/>
          <w:szCs w:val="18"/>
        </w:rPr>
        <w:t>备注：无内容应公开空表并说明情况。</w:t>
      </w:r>
    </w:p>
    <w:p>
      <w:pPr>
        <w:widowControl/>
        <w:spacing w:line="560" w:lineRule="exact"/>
        <w:ind w:firstLine="360" w:firstLineChars="200"/>
        <w:jc w:val="left"/>
        <w:rPr>
          <w:rFonts w:hint="eastAsia" w:ascii="仿宋_GB2312" w:hAnsi="微软雅黑" w:eastAsia="仿宋_GB2312"/>
          <w:sz w:val="18"/>
          <w:szCs w:val="18"/>
        </w:rPr>
      </w:pPr>
    </w:p>
    <w:p>
      <w:pPr>
        <w:widowControl/>
        <w:spacing w:line="560" w:lineRule="exact"/>
        <w:ind w:firstLine="360" w:firstLineChars="200"/>
        <w:jc w:val="left"/>
        <w:rPr>
          <w:rFonts w:hint="eastAsia" w:ascii="仿宋_GB2312" w:hAnsi="微软雅黑" w:eastAsia="仿宋_GB2312"/>
          <w:sz w:val="18"/>
          <w:szCs w:val="18"/>
        </w:rPr>
      </w:pPr>
    </w:p>
    <w:p>
      <w:pPr>
        <w:widowControl/>
        <w:spacing w:line="560" w:lineRule="exact"/>
        <w:ind w:firstLine="360" w:firstLineChars="200"/>
        <w:jc w:val="left"/>
        <w:rPr>
          <w:rFonts w:hint="eastAsia" w:ascii="仿宋_GB2312" w:hAnsi="微软雅黑" w:eastAsia="仿宋_GB2312"/>
          <w:sz w:val="18"/>
          <w:szCs w:val="18"/>
        </w:rPr>
      </w:pPr>
    </w:p>
    <w:p>
      <w:pPr>
        <w:widowControl/>
        <w:spacing w:line="560" w:lineRule="exact"/>
        <w:ind w:firstLine="360" w:firstLineChars="200"/>
        <w:jc w:val="left"/>
        <w:rPr>
          <w:rFonts w:hint="eastAsia" w:ascii="仿宋_GB2312" w:hAnsi="微软雅黑" w:eastAsia="仿宋_GB2312"/>
          <w:sz w:val="18"/>
          <w:szCs w:val="18"/>
        </w:rPr>
      </w:pPr>
    </w:p>
    <w:p>
      <w:pPr>
        <w:widowControl/>
        <w:spacing w:line="560" w:lineRule="exact"/>
        <w:ind w:firstLine="360" w:firstLineChars="200"/>
        <w:jc w:val="left"/>
        <w:rPr>
          <w:rFonts w:hint="eastAsia" w:ascii="仿宋_GB2312" w:hAnsi="微软雅黑" w:eastAsia="仿宋_GB2312"/>
          <w:sz w:val="18"/>
          <w:szCs w:val="18"/>
        </w:rPr>
      </w:pPr>
    </w:p>
    <w:p>
      <w:pPr>
        <w:widowControl/>
        <w:spacing w:line="560" w:lineRule="exact"/>
        <w:ind w:firstLine="360" w:firstLineChars="200"/>
        <w:jc w:val="left"/>
        <w:rPr>
          <w:rFonts w:hint="eastAsia" w:ascii="仿宋_GB2312" w:hAnsi="微软雅黑" w:eastAsia="仿宋_GB2312"/>
          <w:sz w:val="18"/>
          <w:szCs w:val="18"/>
        </w:rPr>
      </w:pPr>
    </w:p>
    <w:p>
      <w:pPr>
        <w:widowControl/>
        <w:spacing w:line="560" w:lineRule="exact"/>
        <w:ind w:firstLine="360" w:firstLineChars="200"/>
        <w:jc w:val="left"/>
        <w:rPr>
          <w:rFonts w:hint="eastAsia" w:ascii="仿宋_GB2312" w:hAnsi="微软雅黑" w:eastAsia="仿宋_GB2312"/>
          <w:sz w:val="18"/>
          <w:szCs w:val="18"/>
        </w:rPr>
      </w:pPr>
    </w:p>
    <w:p>
      <w:pPr>
        <w:widowControl/>
        <w:spacing w:line="560" w:lineRule="exact"/>
        <w:ind w:firstLine="360" w:firstLineChars="200"/>
        <w:jc w:val="left"/>
        <w:rPr>
          <w:rFonts w:hint="eastAsia" w:ascii="仿宋_GB2312" w:hAnsi="微软雅黑" w:eastAsia="仿宋_GB2312"/>
          <w:sz w:val="18"/>
          <w:szCs w:val="18"/>
        </w:rPr>
      </w:pPr>
    </w:p>
    <w:p>
      <w:pPr>
        <w:widowControl/>
        <w:spacing w:line="560" w:lineRule="exact"/>
        <w:ind w:firstLine="360" w:firstLineChars="200"/>
        <w:jc w:val="left"/>
        <w:rPr>
          <w:rFonts w:hint="eastAsia" w:ascii="仿宋_GB2312" w:hAnsi="微软雅黑" w:eastAsia="仿宋_GB2312"/>
          <w:sz w:val="18"/>
          <w:szCs w:val="18"/>
        </w:rPr>
      </w:pPr>
    </w:p>
    <w:p>
      <w:pPr>
        <w:widowControl/>
        <w:spacing w:line="560" w:lineRule="exact"/>
        <w:ind w:firstLine="360" w:firstLineChars="200"/>
        <w:jc w:val="left"/>
        <w:rPr>
          <w:rFonts w:hint="eastAsia" w:ascii="仿宋_GB2312" w:hAnsi="微软雅黑" w:eastAsia="仿宋_GB2312"/>
          <w:sz w:val="18"/>
          <w:szCs w:val="18"/>
        </w:rPr>
      </w:pPr>
    </w:p>
    <w:p>
      <w:pPr>
        <w:widowControl/>
        <w:spacing w:line="560" w:lineRule="exact"/>
        <w:ind w:firstLine="360" w:firstLineChars="200"/>
        <w:jc w:val="left"/>
        <w:rPr>
          <w:rFonts w:hint="eastAsia" w:ascii="仿宋_GB2312" w:hAnsi="微软雅黑" w:eastAsia="仿宋_GB2312"/>
          <w:sz w:val="18"/>
          <w:szCs w:val="18"/>
        </w:rPr>
      </w:pPr>
    </w:p>
    <w:p>
      <w:pPr>
        <w:widowControl/>
        <w:spacing w:line="560" w:lineRule="exact"/>
        <w:ind w:firstLine="360" w:firstLineChars="200"/>
        <w:jc w:val="left"/>
        <w:rPr>
          <w:rFonts w:hint="eastAsia" w:ascii="仿宋_GB2312" w:hAnsi="微软雅黑" w:eastAsia="仿宋_GB2312"/>
          <w:sz w:val="18"/>
          <w:szCs w:val="18"/>
        </w:rPr>
      </w:pPr>
    </w:p>
    <w:p>
      <w:pPr>
        <w:widowControl/>
        <w:spacing w:line="560" w:lineRule="exact"/>
        <w:ind w:firstLine="360" w:firstLineChars="200"/>
        <w:jc w:val="left"/>
        <w:rPr>
          <w:rFonts w:hint="eastAsia" w:ascii="仿宋_GB2312" w:hAnsi="微软雅黑" w:eastAsia="仿宋_GB2312"/>
          <w:sz w:val="18"/>
          <w:szCs w:val="18"/>
        </w:rPr>
      </w:pPr>
    </w:p>
    <w:p>
      <w:pPr>
        <w:widowControl/>
        <w:spacing w:line="560" w:lineRule="exact"/>
        <w:ind w:firstLine="360" w:firstLineChars="200"/>
        <w:jc w:val="left"/>
        <w:rPr>
          <w:rFonts w:hint="eastAsia" w:ascii="仿宋_GB2312" w:hAnsi="微软雅黑" w:eastAsia="仿宋_GB2312"/>
          <w:sz w:val="18"/>
          <w:szCs w:val="18"/>
        </w:rPr>
      </w:pPr>
    </w:p>
    <w:p>
      <w:pPr>
        <w:widowControl/>
        <w:spacing w:line="560" w:lineRule="exact"/>
        <w:ind w:firstLine="360" w:firstLineChars="200"/>
        <w:jc w:val="left"/>
        <w:rPr>
          <w:rFonts w:hint="eastAsia" w:ascii="仿宋_GB2312" w:hAnsi="微软雅黑" w:eastAsia="仿宋_GB2312"/>
          <w:sz w:val="18"/>
          <w:szCs w:val="18"/>
        </w:rPr>
      </w:pPr>
    </w:p>
    <w:p>
      <w:pPr>
        <w:spacing w:line="360" w:lineRule="exact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附件2</w:t>
      </w:r>
    </w:p>
    <w:p>
      <w:pPr>
        <w:spacing w:line="560" w:lineRule="exact"/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部门整体支出绩效目标表</w:t>
      </w:r>
    </w:p>
    <w:p>
      <w:pPr>
        <w:spacing w:line="560" w:lineRule="exact"/>
        <w:jc w:val="center"/>
        <w:rPr>
          <w:rFonts w:ascii="仿宋_GB2312" w:eastAsia="仿宋_GB2312"/>
          <w:b/>
          <w:sz w:val="24"/>
          <w:szCs w:val="24"/>
        </w:rPr>
      </w:pPr>
      <w:r>
        <w:rPr>
          <w:rFonts w:hint="eastAsia" w:ascii="仿宋_GB2312" w:eastAsia="仿宋_GB2312"/>
          <w:b/>
          <w:sz w:val="24"/>
          <w:szCs w:val="24"/>
        </w:rPr>
        <w:t>（2024年度）</w:t>
      </w:r>
    </w:p>
    <w:tbl>
      <w:tblPr>
        <w:tblStyle w:val="8"/>
        <w:tblW w:w="874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9"/>
        <w:gridCol w:w="1625"/>
        <w:gridCol w:w="846"/>
        <w:gridCol w:w="817"/>
        <w:gridCol w:w="1537"/>
        <w:gridCol w:w="1738"/>
        <w:gridCol w:w="153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3110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部门（单位）名称</w:t>
            </w:r>
          </w:p>
        </w:tc>
        <w:tc>
          <w:tcPr>
            <w:tcW w:w="563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  <w:lang w:eastAsia="zh-CN"/>
              </w:rPr>
              <w:t>张掖市儿童福利院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6" w:hRule="atLeast"/>
          <w:jc w:val="center"/>
        </w:trPr>
        <w:tc>
          <w:tcPr>
            <w:tcW w:w="63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  <w:tl2br w:val="nil"/>
              <w:tr2bl w:val="nil"/>
            </w:tcBorders>
            <w:textDirection w:val="tbLrV"/>
            <w:vAlign w:val="center"/>
          </w:tcPr>
          <w:p>
            <w:pPr>
              <w:ind w:left="113" w:right="113"/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总 体 目 标</w:t>
            </w:r>
          </w:p>
        </w:tc>
        <w:tc>
          <w:tcPr>
            <w:tcW w:w="8101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目标1：保障单位正常运营，各项业务工作顺利开展；</w:t>
            </w:r>
          </w:p>
          <w:p>
            <w:pPr>
              <w:widowControl/>
              <w:spacing w:line="360" w:lineRule="exact"/>
              <w:jc w:val="left"/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目标2：为单位养育的孤残儿童提供养教康等服务，保障其日常生活学习及基本权益；</w:t>
            </w:r>
          </w:p>
          <w:p>
            <w:pPr>
              <w:widowControl/>
              <w:spacing w:line="360" w:lineRule="exact"/>
              <w:jc w:val="left"/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目标3：创建规范化标准化儿童福利机构，为全市孤残儿童、困境儿童提供优质的养教康服务；</w:t>
            </w:r>
          </w:p>
          <w:p>
            <w:pPr>
              <w:widowControl/>
              <w:spacing w:line="360" w:lineRule="exact"/>
              <w:jc w:val="left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目标4：保障全市学前特殊教育，及康复治疗。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39" w:type="dxa"/>
            <w:vMerge w:val="restart"/>
            <w:tcBorders>
              <w:top w:val="single" w:color="000000" w:sz="6" w:space="0"/>
              <w:left w:val="nil"/>
              <w:right w:val="single" w:color="000000" w:sz="6" w:space="0"/>
              <w:tl2br w:val="nil"/>
              <w:tr2bl w:val="nil"/>
            </w:tcBorders>
            <w:textDirection w:val="tbLrV"/>
            <w:vAlign w:val="center"/>
          </w:tcPr>
          <w:p>
            <w:pPr>
              <w:ind w:left="113" w:right="113"/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预 算 情 况（万元）</w:t>
            </w:r>
          </w:p>
        </w:tc>
        <w:tc>
          <w:tcPr>
            <w:tcW w:w="328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按支出类型分</w:t>
            </w:r>
          </w:p>
        </w:tc>
        <w:tc>
          <w:tcPr>
            <w:tcW w:w="15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预算金额</w:t>
            </w:r>
          </w:p>
        </w:tc>
        <w:tc>
          <w:tcPr>
            <w:tcW w:w="1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按来源类型分</w:t>
            </w:r>
          </w:p>
        </w:tc>
        <w:tc>
          <w:tcPr>
            <w:tcW w:w="15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预算金额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39" w:type="dxa"/>
            <w:vMerge w:val="continue"/>
            <w:tcBorders>
              <w:left w:val="nil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1625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基本支出</w:t>
            </w:r>
          </w:p>
        </w:tc>
        <w:tc>
          <w:tcPr>
            <w:tcW w:w="166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人员经费</w:t>
            </w:r>
          </w:p>
        </w:tc>
        <w:tc>
          <w:tcPr>
            <w:tcW w:w="15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  <w:lang w:val="en-US" w:eastAsia="zh-CN"/>
              </w:rPr>
              <w:t>223.52</w:t>
            </w:r>
          </w:p>
        </w:tc>
        <w:tc>
          <w:tcPr>
            <w:tcW w:w="1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当年财政拨款</w:t>
            </w:r>
          </w:p>
        </w:tc>
        <w:tc>
          <w:tcPr>
            <w:tcW w:w="15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39" w:type="dxa"/>
            <w:vMerge w:val="continue"/>
            <w:tcBorders>
              <w:left w:val="nil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1625" w:type="dxa"/>
            <w:vMerge w:val="continue"/>
            <w:tcBorders>
              <w:left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166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公用经费</w:t>
            </w:r>
          </w:p>
        </w:tc>
        <w:tc>
          <w:tcPr>
            <w:tcW w:w="15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  <w:lang w:val="en-US" w:eastAsia="zh-CN"/>
              </w:rPr>
              <w:t>40.18</w:t>
            </w:r>
          </w:p>
        </w:tc>
        <w:tc>
          <w:tcPr>
            <w:tcW w:w="1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上年结转资金</w:t>
            </w:r>
          </w:p>
        </w:tc>
        <w:tc>
          <w:tcPr>
            <w:tcW w:w="15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" w:hRule="atLeast"/>
          <w:jc w:val="center"/>
        </w:trPr>
        <w:tc>
          <w:tcPr>
            <w:tcW w:w="639" w:type="dxa"/>
            <w:vMerge w:val="continue"/>
            <w:tcBorders>
              <w:left w:val="nil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1625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166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合计</w:t>
            </w:r>
          </w:p>
        </w:tc>
        <w:tc>
          <w:tcPr>
            <w:tcW w:w="15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  <w:lang w:val="en-US" w:eastAsia="zh-CN"/>
              </w:rPr>
              <w:t>263.69</w:t>
            </w:r>
          </w:p>
        </w:tc>
        <w:tc>
          <w:tcPr>
            <w:tcW w:w="1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其他资金</w:t>
            </w:r>
          </w:p>
        </w:tc>
        <w:tc>
          <w:tcPr>
            <w:tcW w:w="15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39" w:type="dxa"/>
            <w:vMerge w:val="continue"/>
            <w:tcBorders>
              <w:left w:val="nil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3288" w:type="dxa"/>
            <w:gridSpan w:val="3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项目支出</w:t>
            </w:r>
          </w:p>
        </w:tc>
        <w:tc>
          <w:tcPr>
            <w:tcW w:w="1537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收入预算合计</w:t>
            </w:r>
          </w:p>
        </w:tc>
        <w:tc>
          <w:tcPr>
            <w:tcW w:w="15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  <w:lang w:val="en-US" w:eastAsia="zh-CN"/>
              </w:rPr>
              <w:t>263.69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39" w:type="dxa"/>
            <w:vMerge w:val="continue"/>
            <w:tcBorders>
              <w:left w:val="nil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3288" w:type="dxa"/>
            <w:gridSpan w:val="3"/>
            <w:vMerge w:val="continue"/>
            <w:tcBorders>
              <w:left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1537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支出预算合计</w:t>
            </w:r>
          </w:p>
        </w:tc>
        <w:tc>
          <w:tcPr>
            <w:tcW w:w="15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  <w:lang w:val="en-US" w:eastAsia="zh-CN"/>
              </w:rPr>
              <w:t>263.69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39" w:type="dxa"/>
            <w:vMerge w:val="restart"/>
            <w:tcBorders>
              <w:top w:val="single" w:color="000000" w:sz="6" w:space="0"/>
              <w:left w:val="nil"/>
              <w:right w:val="single" w:color="000000" w:sz="6" w:space="0"/>
            </w:tcBorders>
            <w:textDirection w:val="tbLrV"/>
            <w:vAlign w:val="center"/>
          </w:tcPr>
          <w:p>
            <w:pPr>
              <w:ind w:left="113" w:right="113"/>
              <w:jc w:val="center"/>
              <w:rPr>
                <w:rFonts w:asciiTheme="minorEastAsia" w:hAnsiTheme="minorEastAsia" w:eastAsiaTheme="minorEastAsia"/>
                <w:bCs/>
                <w:color w:val="00000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 w:val="22"/>
                <w:szCs w:val="22"/>
              </w:rPr>
              <w:t>绩 效 指 标</w:t>
            </w:r>
          </w:p>
        </w:tc>
        <w:tc>
          <w:tcPr>
            <w:tcW w:w="1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22"/>
                <w:szCs w:val="22"/>
              </w:rPr>
              <w:t>一级指标</w:t>
            </w:r>
          </w:p>
        </w:tc>
        <w:tc>
          <w:tcPr>
            <w:tcW w:w="166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22"/>
                <w:szCs w:val="22"/>
              </w:rPr>
              <w:t>二级指标</w:t>
            </w:r>
          </w:p>
        </w:tc>
        <w:tc>
          <w:tcPr>
            <w:tcW w:w="15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22"/>
                <w:szCs w:val="22"/>
              </w:rPr>
              <w:t>三级指标</w:t>
            </w:r>
          </w:p>
        </w:tc>
        <w:tc>
          <w:tcPr>
            <w:tcW w:w="32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22"/>
                <w:szCs w:val="22"/>
              </w:rPr>
              <w:t>指标值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39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22"/>
                <w:szCs w:val="22"/>
              </w:rPr>
              <w:t>部门管理</w:t>
            </w:r>
          </w:p>
        </w:tc>
        <w:tc>
          <w:tcPr>
            <w:tcW w:w="166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22"/>
                <w:szCs w:val="22"/>
              </w:rPr>
              <w:t>财务管理</w:t>
            </w:r>
          </w:p>
        </w:tc>
        <w:tc>
          <w:tcPr>
            <w:tcW w:w="15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22"/>
                <w:szCs w:val="22"/>
              </w:rPr>
              <w:t>财务管理制度健全性</w:t>
            </w:r>
          </w:p>
        </w:tc>
        <w:tc>
          <w:tcPr>
            <w:tcW w:w="32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22"/>
                <w:szCs w:val="22"/>
                <w:lang w:eastAsia="zh-CN"/>
              </w:rPr>
              <w:t>健全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39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6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22"/>
                <w:szCs w:val="22"/>
              </w:rPr>
              <w:t>人员管理</w:t>
            </w:r>
          </w:p>
        </w:tc>
        <w:tc>
          <w:tcPr>
            <w:tcW w:w="15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22"/>
                <w:szCs w:val="22"/>
              </w:rPr>
              <w:t>人事管理制度健全性</w:t>
            </w:r>
          </w:p>
        </w:tc>
        <w:tc>
          <w:tcPr>
            <w:tcW w:w="32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22"/>
                <w:szCs w:val="22"/>
                <w:lang w:eastAsia="zh-CN"/>
              </w:rPr>
              <w:t>健全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39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6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22"/>
                <w:szCs w:val="22"/>
              </w:rPr>
              <w:t>资产管理</w:t>
            </w:r>
          </w:p>
        </w:tc>
        <w:tc>
          <w:tcPr>
            <w:tcW w:w="15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22"/>
                <w:szCs w:val="22"/>
              </w:rPr>
              <w:t>资产管理制度健全性</w:t>
            </w:r>
          </w:p>
        </w:tc>
        <w:tc>
          <w:tcPr>
            <w:tcW w:w="32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22"/>
                <w:szCs w:val="22"/>
                <w:lang w:eastAsia="zh-CN"/>
              </w:rPr>
              <w:t>健全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39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22"/>
                <w:szCs w:val="22"/>
              </w:rPr>
              <w:t>履职效果</w:t>
            </w:r>
          </w:p>
        </w:tc>
        <w:tc>
          <w:tcPr>
            <w:tcW w:w="166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22"/>
                <w:szCs w:val="22"/>
                <w:lang w:eastAsia="zh-CN"/>
              </w:rPr>
              <w:t>集中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sz w:val="22"/>
                <w:szCs w:val="22"/>
              </w:rPr>
              <w:t>供养人员基本需求</w:t>
            </w:r>
          </w:p>
        </w:tc>
        <w:tc>
          <w:tcPr>
            <w:tcW w:w="15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22"/>
                <w:szCs w:val="22"/>
              </w:rPr>
              <w:t>满足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sz w:val="22"/>
                <w:szCs w:val="22"/>
                <w:lang w:eastAsia="zh-CN"/>
              </w:rPr>
              <w:t>集中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sz w:val="22"/>
                <w:szCs w:val="22"/>
              </w:rPr>
              <w:t>供养人员数量</w:t>
            </w:r>
          </w:p>
        </w:tc>
        <w:tc>
          <w:tcPr>
            <w:tcW w:w="32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22"/>
                <w:szCs w:val="22"/>
              </w:rPr>
              <w:t>≥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sz w:val="22"/>
                <w:szCs w:val="22"/>
                <w:lang w:val="en-US" w:eastAsia="zh-CN"/>
              </w:rPr>
              <w:t>61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sz w:val="22"/>
                <w:szCs w:val="22"/>
              </w:rPr>
              <w:t>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39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6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22"/>
                <w:szCs w:val="22"/>
              </w:rPr>
              <w:t>保障人员工资</w:t>
            </w:r>
          </w:p>
        </w:tc>
        <w:tc>
          <w:tcPr>
            <w:tcW w:w="15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22"/>
                <w:szCs w:val="22"/>
              </w:rPr>
              <w:t>护理人员工资发放人数</w:t>
            </w:r>
          </w:p>
        </w:tc>
        <w:tc>
          <w:tcPr>
            <w:tcW w:w="32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22"/>
                <w:szCs w:val="22"/>
              </w:rPr>
              <w:t>≥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sz w:val="22"/>
                <w:szCs w:val="22"/>
                <w:lang w:val="en-US" w:eastAsia="zh-CN"/>
              </w:rPr>
              <w:t>42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sz w:val="22"/>
                <w:szCs w:val="22"/>
              </w:rPr>
              <w:t>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39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6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22"/>
                <w:szCs w:val="22"/>
              </w:rPr>
              <w:t>保障部门日常运转</w:t>
            </w:r>
          </w:p>
        </w:tc>
        <w:tc>
          <w:tcPr>
            <w:tcW w:w="15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22"/>
                <w:szCs w:val="22"/>
              </w:rPr>
              <w:t>保障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sz w:val="22"/>
                <w:szCs w:val="22"/>
                <w:lang w:eastAsia="zh-CN"/>
              </w:rPr>
              <w:t>集中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sz w:val="22"/>
                <w:szCs w:val="22"/>
              </w:rPr>
              <w:t>供养机构正常运转</w:t>
            </w:r>
          </w:p>
        </w:tc>
        <w:tc>
          <w:tcPr>
            <w:tcW w:w="32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22"/>
                <w:szCs w:val="22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39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5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22"/>
                <w:szCs w:val="22"/>
              </w:rPr>
              <w:t>能力建设</w:t>
            </w:r>
          </w:p>
        </w:tc>
        <w:tc>
          <w:tcPr>
            <w:tcW w:w="166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22"/>
                <w:szCs w:val="22"/>
                <w:lang w:eastAsia="zh-CN"/>
              </w:rPr>
              <w:t>儿童福利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sz w:val="22"/>
                <w:szCs w:val="22"/>
              </w:rPr>
              <w:t>机构服务质量建设</w:t>
            </w:r>
          </w:p>
        </w:tc>
        <w:tc>
          <w:tcPr>
            <w:tcW w:w="15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22"/>
                <w:szCs w:val="22"/>
                <w:lang w:eastAsia="zh-CN"/>
              </w:rPr>
              <w:t>儿童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sz w:val="22"/>
                <w:szCs w:val="22"/>
              </w:rPr>
              <w:t>服务机构设施条件</w:t>
            </w:r>
          </w:p>
        </w:tc>
        <w:tc>
          <w:tcPr>
            <w:tcW w:w="32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22"/>
                <w:szCs w:val="22"/>
              </w:rPr>
              <w:t>有效改善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39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5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6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22"/>
                <w:szCs w:val="22"/>
                <w:lang w:eastAsia="zh-CN"/>
              </w:rPr>
              <w:t>儿童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sz w:val="22"/>
                <w:szCs w:val="22"/>
              </w:rPr>
              <w:t>机构体系建设</w:t>
            </w:r>
          </w:p>
        </w:tc>
        <w:tc>
          <w:tcPr>
            <w:tcW w:w="15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22"/>
                <w:szCs w:val="22"/>
                <w:lang w:eastAsia="zh-CN"/>
              </w:rPr>
              <w:t>儿童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sz w:val="22"/>
                <w:szCs w:val="22"/>
              </w:rPr>
              <w:t>服务质量水平</w:t>
            </w:r>
          </w:p>
        </w:tc>
        <w:tc>
          <w:tcPr>
            <w:tcW w:w="32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22"/>
                <w:szCs w:val="22"/>
              </w:rPr>
              <w:t>不断提升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39" w:type="dxa"/>
            <w:vMerge w:val="continue"/>
            <w:tcBorders>
              <w:left w:val="nil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5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6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22"/>
                <w:szCs w:val="22"/>
              </w:rPr>
              <w:t>信息化建设情况</w:t>
            </w:r>
          </w:p>
        </w:tc>
        <w:tc>
          <w:tcPr>
            <w:tcW w:w="15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22"/>
                <w:szCs w:val="22"/>
              </w:rPr>
              <w:t>信息化管理覆盖率</w:t>
            </w:r>
          </w:p>
        </w:tc>
        <w:tc>
          <w:tcPr>
            <w:tcW w:w="32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</w:tr>
    </w:tbl>
    <w:p>
      <w:pPr>
        <w:rPr>
          <w:sz w:val="22"/>
          <w:szCs w:val="24"/>
        </w:rPr>
      </w:pPr>
    </w:p>
    <w:p>
      <w:pPr>
        <w:spacing w:line="560" w:lineRule="exact"/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/>
          <w:b/>
          <w:sz w:val="28"/>
          <w:szCs w:val="28"/>
        </w:rPr>
        <w:br w:type="page"/>
      </w:r>
      <w:r>
        <w:rPr>
          <w:rFonts w:hint="eastAsia" w:ascii="仿宋_GB2312" w:eastAsia="仿宋_GB2312"/>
          <w:b/>
          <w:sz w:val="28"/>
          <w:szCs w:val="28"/>
        </w:rPr>
        <w:t>项目支出绩效目标表</w:t>
      </w:r>
    </w:p>
    <w:p>
      <w:pPr>
        <w:spacing w:line="560" w:lineRule="exact"/>
        <w:jc w:val="center"/>
        <w:rPr>
          <w:rFonts w:ascii="仿宋_GB2312" w:eastAsia="仿宋_GB2312"/>
          <w:b/>
          <w:sz w:val="24"/>
          <w:szCs w:val="24"/>
        </w:rPr>
      </w:pPr>
      <w:r>
        <w:rPr>
          <w:rFonts w:hint="eastAsia" w:ascii="仿宋_GB2312" w:eastAsia="仿宋_GB2312"/>
          <w:b/>
          <w:sz w:val="24"/>
          <w:szCs w:val="24"/>
        </w:rPr>
        <w:t>（2024年度）</w:t>
      </w:r>
    </w:p>
    <w:tbl>
      <w:tblPr>
        <w:tblStyle w:val="8"/>
        <w:tblW w:w="5291" w:type="pct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8"/>
        <w:gridCol w:w="1548"/>
        <w:gridCol w:w="108"/>
        <w:gridCol w:w="2782"/>
        <w:gridCol w:w="544"/>
        <w:gridCol w:w="1497"/>
        <w:gridCol w:w="774"/>
        <w:gridCol w:w="2517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57" w:type="pct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项目名称</w:t>
            </w:r>
          </w:p>
        </w:tc>
        <w:tc>
          <w:tcPr>
            <w:tcW w:w="3942" w:type="pct"/>
            <w:gridSpan w:val="6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  <w:t>困难群众救助资金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57" w:type="pct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主管部门及</w:t>
            </w:r>
            <w:r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  <w:t>代码</w:t>
            </w:r>
          </w:p>
        </w:tc>
        <w:tc>
          <w:tcPr>
            <w:tcW w:w="1646" w:type="pct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cs="宋体" w:asciiTheme="minorEastAsia" w:hAnsiTheme="minorEastAsia" w:eastAsia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  <w:t>张掖市民政局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en-US" w:eastAsia="zh-CN"/>
              </w:rPr>
              <w:t>022001</w:t>
            </w:r>
          </w:p>
        </w:tc>
        <w:tc>
          <w:tcPr>
            <w:tcW w:w="1088" w:type="pct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实施单位</w:t>
            </w:r>
          </w:p>
        </w:tc>
        <w:tc>
          <w:tcPr>
            <w:tcW w:w="1206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8"/>
                <w:szCs w:val="28"/>
                <w:lang w:eastAsia="zh-CN"/>
              </w:rPr>
              <w:t>张掖市儿童福利院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57" w:type="pct"/>
            <w:gridSpan w:val="2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项目资金</w:t>
            </w:r>
          </w:p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（万元）</w:t>
            </w:r>
          </w:p>
        </w:tc>
        <w:tc>
          <w:tcPr>
            <w:tcW w:w="1646" w:type="pct"/>
            <w:gridSpan w:val="3"/>
            <w:vAlign w:val="center"/>
          </w:tcPr>
          <w:p>
            <w:pPr>
              <w:widowControl/>
              <w:spacing w:line="36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年度资金总额：</w:t>
            </w:r>
          </w:p>
        </w:tc>
        <w:tc>
          <w:tcPr>
            <w:tcW w:w="2295" w:type="pct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cs="宋体" w:asciiTheme="minorEastAsia" w:hAnsiTheme="minorEastAsia" w:eastAsia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en-US" w:eastAsia="zh-CN"/>
              </w:rPr>
              <w:t>81万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57" w:type="pct"/>
            <w:gridSpan w:val="2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646" w:type="pct"/>
            <w:gridSpan w:val="3"/>
            <w:vAlign w:val="center"/>
          </w:tcPr>
          <w:p>
            <w:pPr>
              <w:widowControl/>
              <w:spacing w:line="360" w:lineRule="exact"/>
              <w:ind w:firstLine="420" w:firstLineChars="200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其中</w:t>
            </w:r>
            <w:r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  <w:t>：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当年</w:t>
            </w:r>
            <w:r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  <w:t>财政拨款</w:t>
            </w:r>
          </w:p>
        </w:tc>
        <w:tc>
          <w:tcPr>
            <w:tcW w:w="2295" w:type="pct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cs="宋体" w:asciiTheme="minorEastAsia" w:hAnsiTheme="minorEastAsia" w:eastAsia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en-US" w:eastAsia="zh-CN"/>
              </w:rPr>
              <w:t>81万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57" w:type="pct"/>
            <w:gridSpan w:val="2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646" w:type="pct"/>
            <w:gridSpan w:val="3"/>
            <w:vAlign w:val="center"/>
          </w:tcPr>
          <w:p>
            <w:pPr>
              <w:widowControl/>
              <w:spacing w:line="360" w:lineRule="exact"/>
              <w:ind w:firstLine="1050" w:firstLineChars="500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上年结转资金</w:t>
            </w:r>
          </w:p>
        </w:tc>
        <w:tc>
          <w:tcPr>
            <w:tcW w:w="2295" w:type="pct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57" w:type="pct"/>
            <w:gridSpan w:val="2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646" w:type="pct"/>
            <w:gridSpan w:val="3"/>
            <w:vAlign w:val="center"/>
          </w:tcPr>
          <w:p>
            <w:pPr>
              <w:widowControl/>
              <w:spacing w:line="360" w:lineRule="exact"/>
              <w:ind w:firstLine="1050" w:firstLineChars="500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其他资金</w:t>
            </w:r>
          </w:p>
        </w:tc>
        <w:tc>
          <w:tcPr>
            <w:tcW w:w="2295" w:type="pct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5" w:type="pct"/>
            <w:vAlign w:val="center"/>
          </w:tcPr>
          <w:p>
            <w:pPr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总</w:t>
            </w:r>
          </w:p>
          <w:p>
            <w:pPr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体</w:t>
            </w:r>
          </w:p>
          <w:p>
            <w:pPr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目</w:t>
            </w:r>
          </w:p>
          <w:p>
            <w:pPr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标</w:t>
            </w:r>
          </w:p>
        </w:tc>
        <w:tc>
          <w:tcPr>
            <w:tcW w:w="4684" w:type="pct"/>
            <w:gridSpan w:val="7"/>
            <w:vAlign w:val="center"/>
          </w:tcPr>
          <w:p>
            <w:pPr>
              <w:widowControl/>
              <w:spacing w:line="360" w:lineRule="exact"/>
              <w:jc w:val="left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目标1： 为院内集中供养的孤残儿童提供日常生活照料、养育、教育、医疗康复等物质和精神保障。</w:t>
            </w:r>
          </w:p>
          <w:p>
            <w:pPr>
              <w:widowControl/>
              <w:spacing w:line="360" w:lineRule="exact"/>
              <w:jc w:val="left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目标2：为单位养育的孤残儿童提供养教康等服务，保障其日常生活学习及基本权益；</w:t>
            </w:r>
          </w:p>
          <w:p>
            <w:pPr>
              <w:widowControl/>
              <w:spacing w:line="36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目标3：保障全市学前特殊教育，及康复治疗。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315" w:type="pct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bCs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 w:val="21"/>
                <w:szCs w:val="21"/>
              </w:rPr>
              <w:t>绩效指标</w:t>
            </w:r>
          </w:p>
        </w:tc>
        <w:tc>
          <w:tcPr>
            <w:tcW w:w="794" w:type="pct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bCs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 w:val="21"/>
                <w:szCs w:val="21"/>
              </w:rPr>
              <w:t>一级指标</w:t>
            </w:r>
          </w:p>
        </w:tc>
        <w:tc>
          <w:tcPr>
            <w:tcW w:w="1333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bCs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 w:val="21"/>
                <w:szCs w:val="21"/>
              </w:rPr>
              <w:t>二级指标</w:t>
            </w:r>
          </w:p>
        </w:tc>
        <w:tc>
          <w:tcPr>
            <w:tcW w:w="978" w:type="pct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bCs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 w:val="21"/>
                <w:szCs w:val="21"/>
              </w:rPr>
              <w:t>三级指标</w:t>
            </w:r>
          </w:p>
        </w:tc>
        <w:tc>
          <w:tcPr>
            <w:tcW w:w="1577" w:type="pct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bCs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 w:val="21"/>
                <w:szCs w:val="21"/>
              </w:rPr>
              <w:t>指标值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5" w:type="pct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94" w:type="pct"/>
            <w:gridSpan w:val="2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成本指标</w:t>
            </w:r>
          </w:p>
        </w:tc>
        <w:tc>
          <w:tcPr>
            <w:tcW w:w="133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宋体" w:asciiTheme="minorEastAsia" w:hAnsiTheme="minorEastAsia" w:eastAsiaTheme="minorEastAsia"/>
                <w:bCs/>
                <w:kern w:val="0"/>
                <w:sz w:val="21"/>
                <w:szCs w:val="21"/>
              </w:rPr>
            </w:pPr>
          </w:p>
        </w:tc>
        <w:tc>
          <w:tcPr>
            <w:tcW w:w="978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577" w:type="pct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5" w:type="pct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94" w:type="pct"/>
            <w:gridSpan w:val="2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33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978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577" w:type="pct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5" w:type="pct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94" w:type="pct"/>
            <w:gridSpan w:val="2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33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978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577" w:type="pct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5" w:type="pct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94" w:type="pct"/>
            <w:gridSpan w:val="2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产出指标</w:t>
            </w:r>
          </w:p>
        </w:tc>
        <w:tc>
          <w:tcPr>
            <w:tcW w:w="133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儿童养育人数</w:t>
            </w:r>
          </w:p>
        </w:tc>
        <w:tc>
          <w:tcPr>
            <w:tcW w:w="978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符合条件的集中供养儿童数</w:t>
            </w:r>
          </w:p>
        </w:tc>
        <w:tc>
          <w:tcPr>
            <w:tcW w:w="1577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&gt;=61人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315" w:type="pct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94" w:type="pct"/>
            <w:gridSpan w:val="2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33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人员类别</w:t>
            </w:r>
          </w:p>
        </w:tc>
        <w:tc>
          <w:tcPr>
            <w:tcW w:w="978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集中供养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养育人员范围</w:t>
            </w:r>
          </w:p>
        </w:tc>
        <w:tc>
          <w:tcPr>
            <w:tcW w:w="1577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3类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5" w:type="pct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94" w:type="pct"/>
            <w:gridSpan w:val="2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33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资金发放及时率</w:t>
            </w:r>
          </w:p>
        </w:tc>
        <w:tc>
          <w:tcPr>
            <w:tcW w:w="978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供养儿童资金发放及时率</w:t>
            </w:r>
          </w:p>
        </w:tc>
        <w:tc>
          <w:tcPr>
            <w:tcW w:w="1577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5" w:type="pct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94" w:type="pct"/>
            <w:gridSpan w:val="2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效益指标</w:t>
            </w:r>
          </w:p>
        </w:tc>
        <w:tc>
          <w:tcPr>
            <w:tcW w:w="133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生活保障率</w:t>
            </w:r>
          </w:p>
        </w:tc>
        <w:tc>
          <w:tcPr>
            <w:tcW w:w="978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提供儿童优质生活保障服务率</w:t>
            </w:r>
          </w:p>
        </w:tc>
        <w:tc>
          <w:tcPr>
            <w:tcW w:w="1577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&gt;=90%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5" w:type="pct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94" w:type="pct"/>
            <w:gridSpan w:val="2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33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  <w:lang w:eastAsia="zh-CN"/>
              </w:rPr>
              <w:t>儿童服务质量</w:t>
            </w:r>
          </w:p>
        </w:tc>
        <w:tc>
          <w:tcPr>
            <w:tcW w:w="978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提升儿童服务质量水平</w:t>
            </w:r>
          </w:p>
        </w:tc>
        <w:tc>
          <w:tcPr>
            <w:tcW w:w="1577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不断提升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5" w:type="pct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94" w:type="pct"/>
            <w:gridSpan w:val="2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33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978" w:type="pct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1577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5" w:type="pct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94" w:type="pct"/>
            <w:gridSpan w:val="2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满意度指标</w:t>
            </w:r>
          </w:p>
        </w:tc>
        <w:tc>
          <w:tcPr>
            <w:tcW w:w="27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服务对象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满意度</w:t>
            </w:r>
          </w:p>
        </w:tc>
        <w:tc>
          <w:tcPr>
            <w:tcW w:w="2041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服务对象满意度</w:t>
            </w:r>
          </w:p>
        </w:tc>
        <w:tc>
          <w:tcPr>
            <w:tcW w:w="329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&gt;=98%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5" w:type="pct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94" w:type="pct"/>
            <w:gridSpan w:val="2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333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978" w:type="pct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577" w:type="pct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5" w:type="pct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94" w:type="pct"/>
            <w:gridSpan w:val="2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333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978" w:type="pct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577" w:type="pct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</w:tbl>
    <w:p>
      <w:pPr>
        <w:tabs>
          <w:tab w:val="left" w:pos="1848"/>
        </w:tabs>
        <w:rPr>
          <w:sz w:val="21"/>
          <w:szCs w:val="22"/>
        </w:rPr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ambria">
    <w:altName w:val="DejaVu Math TeX Gyre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TimesNewRomanPSM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IDFont+F6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IDFont+F4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27</w:t>
    </w:r>
    <w: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g3YmY2MGQ4YTQ2YWYzNDYxM2ViZGMwMWNiZmU0Y2QifQ=="/>
    <w:docVar w:name="KSO_WPS_MARK_KEY" w:val="cb0274f9-7e00-4bc5-a0a6-1a73653beb69"/>
  </w:docVars>
  <w:rsids>
    <w:rsidRoot w:val="00FB4362"/>
    <w:rsid w:val="00000C55"/>
    <w:rsid w:val="00001446"/>
    <w:rsid w:val="0001130C"/>
    <w:rsid w:val="00011F27"/>
    <w:rsid w:val="00012457"/>
    <w:rsid w:val="00021BBF"/>
    <w:rsid w:val="00030443"/>
    <w:rsid w:val="00030F4C"/>
    <w:rsid w:val="0003278A"/>
    <w:rsid w:val="000368FE"/>
    <w:rsid w:val="00042A06"/>
    <w:rsid w:val="00043601"/>
    <w:rsid w:val="000442B5"/>
    <w:rsid w:val="0004639D"/>
    <w:rsid w:val="000465E2"/>
    <w:rsid w:val="0005161F"/>
    <w:rsid w:val="000547D1"/>
    <w:rsid w:val="00055759"/>
    <w:rsid w:val="000612EE"/>
    <w:rsid w:val="00061BAF"/>
    <w:rsid w:val="0006337D"/>
    <w:rsid w:val="00074626"/>
    <w:rsid w:val="00076B62"/>
    <w:rsid w:val="00082093"/>
    <w:rsid w:val="000861D5"/>
    <w:rsid w:val="0009273A"/>
    <w:rsid w:val="000A20A7"/>
    <w:rsid w:val="000A655B"/>
    <w:rsid w:val="000B54DD"/>
    <w:rsid w:val="000C2055"/>
    <w:rsid w:val="000C2B7F"/>
    <w:rsid w:val="000C37BE"/>
    <w:rsid w:val="000C4C50"/>
    <w:rsid w:val="000D0130"/>
    <w:rsid w:val="000D2EEE"/>
    <w:rsid w:val="000D2F19"/>
    <w:rsid w:val="000E0CEA"/>
    <w:rsid w:val="000F3CBF"/>
    <w:rsid w:val="000F3F42"/>
    <w:rsid w:val="000F473D"/>
    <w:rsid w:val="001017F3"/>
    <w:rsid w:val="0011297B"/>
    <w:rsid w:val="00123768"/>
    <w:rsid w:val="00126B08"/>
    <w:rsid w:val="001272E5"/>
    <w:rsid w:val="00127D01"/>
    <w:rsid w:val="00130F5F"/>
    <w:rsid w:val="001374F5"/>
    <w:rsid w:val="00152FDC"/>
    <w:rsid w:val="001561FD"/>
    <w:rsid w:val="0015647B"/>
    <w:rsid w:val="00156619"/>
    <w:rsid w:val="00156C8B"/>
    <w:rsid w:val="00160A8C"/>
    <w:rsid w:val="001700B4"/>
    <w:rsid w:val="00171070"/>
    <w:rsid w:val="001A416A"/>
    <w:rsid w:val="001A6118"/>
    <w:rsid w:val="001B0364"/>
    <w:rsid w:val="001B0B8E"/>
    <w:rsid w:val="001B342F"/>
    <w:rsid w:val="001C1259"/>
    <w:rsid w:val="001D1DA7"/>
    <w:rsid w:val="001E17E4"/>
    <w:rsid w:val="001E2410"/>
    <w:rsid w:val="001E347C"/>
    <w:rsid w:val="001E6110"/>
    <w:rsid w:val="001F3C4D"/>
    <w:rsid w:val="002033EA"/>
    <w:rsid w:val="00214046"/>
    <w:rsid w:val="0022561F"/>
    <w:rsid w:val="00232DBE"/>
    <w:rsid w:val="002355E7"/>
    <w:rsid w:val="00235F73"/>
    <w:rsid w:val="0023681E"/>
    <w:rsid w:val="00241FEC"/>
    <w:rsid w:val="00243562"/>
    <w:rsid w:val="0025164A"/>
    <w:rsid w:val="00265C3D"/>
    <w:rsid w:val="00266C2E"/>
    <w:rsid w:val="00270DF8"/>
    <w:rsid w:val="002754B3"/>
    <w:rsid w:val="0028392B"/>
    <w:rsid w:val="002934F2"/>
    <w:rsid w:val="002A3A19"/>
    <w:rsid w:val="002A3ED4"/>
    <w:rsid w:val="002A7274"/>
    <w:rsid w:val="002B2833"/>
    <w:rsid w:val="002B7BA1"/>
    <w:rsid w:val="002C01BB"/>
    <w:rsid w:val="002C3FA4"/>
    <w:rsid w:val="002E2161"/>
    <w:rsid w:val="002E30F2"/>
    <w:rsid w:val="002E4E72"/>
    <w:rsid w:val="002F0CE0"/>
    <w:rsid w:val="002F4ED9"/>
    <w:rsid w:val="002F75FE"/>
    <w:rsid w:val="002F7FA5"/>
    <w:rsid w:val="003017F4"/>
    <w:rsid w:val="00301AAB"/>
    <w:rsid w:val="00306B68"/>
    <w:rsid w:val="003129FE"/>
    <w:rsid w:val="003322AC"/>
    <w:rsid w:val="00335342"/>
    <w:rsid w:val="00343A8E"/>
    <w:rsid w:val="00345713"/>
    <w:rsid w:val="003566B9"/>
    <w:rsid w:val="00356C98"/>
    <w:rsid w:val="0036367B"/>
    <w:rsid w:val="0036496C"/>
    <w:rsid w:val="00365414"/>
    <w:rsid w:val="00372734"/>
    <w:rsid w:val="00372A33"/>
    <w:rsid w:val="0037374A"/>
    <w:rsid w:val="00377A88"/>
    <w:rsid w:val="00392E2B"/>
    <w:rsid w:val="003A396F"/>
    <w:rsid w:val="003A68FD"/>
    <w:rsid w:val="003A7A18"/>
    <w:rsid w:val="003B3187"/>
    <w:rsid w:val="003B327A"/>
    <w:rsid w:val="003B4612"/>
    <w:rsid w:val="003B76D2"/>
    <w:rsid w:val="003D6D41"/>
    <w:rsid w:val="003E3B0A"/>
    <w:rsid w:val="0040581D"/>
    <w:rsid w:val="00417BF3"/>
    <w:rsid w:val="00425D21"/>
    <w:rsid w:val="00426463"/>
    <w:rsid w:val="00427875"/>
    <w:rsid w:val="004317A0"/>
    <w:rsid w:val="0043556D"/>
    <w:rsid w:val="0043739B"/>
    <w:rsid w:val="00441579"/>
    <w:rsid w:val="004418B5"/>
    <w:rsid w:val="00445789"/>
    <w:rsid w:val="00463FB8"/>
    <w:rsid w:val="00480A2F"/>
    <w:rsid w:val="00480B47"/>
    <w:rsid w:val="00481F19"/>
    <w:rsid w:val="00487BC0"/>
    <w:rsid w:val="00490FF8"/>
    <w:rsid w:val="004A1851"/>
    <w:rsid w:val="004B337A"/>
    <w:rsid w:val="004B5538"/>
    <w:rsid w:val="004C3127"/>
    <w:rsid w:val="004D27C3"/>
    <w:rsid w:val="004D44D2"/>
    <w:rsid w:val="004D491E"/>
    <w:rsid w:val="004E3E51"/>
    <w:rsid w:val="004E625A"/>
    <w:rsid w:val="004F73BD"/>
    <w:rsid w:val="00502474"/>
    <w:rsid w:val="00515110"/>
    <w:rsid w:val="00523062"/>
    <w:rsid w:val="00532434"/>
    <w:rsid w:val="00537019"/>
    <w:rsid w:val="0054271B"/>
    <w:rsid w:val="00545281"/>
    <w:rsid w:val="00551A39"/>
    <w:rsid w:val="00566585"/>
    <w:rsid w:val="00580A2F"/>
    <w:rsid w:val="005A2CB7"/>
    <w:rsid w:val="005B15C7"/>
    <w:rsid w:val="005B51EA"/>
    <w:rsid w:val="005C6B92"/>
    <w:rsid w:val="005F4CC9"/>
    <w:rsid w:val="0060056E"/>
    <w:rsid w:val="006039C9"/>
    <w:rsid w:val="00605602"/>
    <w:rsid w:val="00605D22"/>
    <w:rsid w:val="00620A03"/>
    <w:rsid w:val="00621126"/>
    <w:rsid w:val="0062145A"/>
    <w:rsid w:val="00633C60"/>
    <w:rsid w:val="00645C9F"/>
    <w:rsid w:val="00650775"/>
    <w:rsid w:val="0065388D"/>
    <w:rsid w:val="00655506"/>
    <w:rsid w:val="00674396"/>
    <w:rsid w:val="006849AD"/>
    <w:rsid w:val="006853A7"/>
    <w:rsid w:val="0069507F"/>
    <w:rsid w:val="006955DD"/>
    <w:rsid w:val="00697A98"/>
    <w:rsid w:val="006A0492"/>
    <w:rsid w:val="006A3DED"/>
    <w:rsid w:val="006A6E23"/>
    <w:rsid w:val="006B05FF"/>
    <w:rsid w:val="006C4D2E"/>
    <w:rsid w:val="006D3D60"/>
    <w:rsid w:val="006E1F9C"/>
    <w:rsid w:val="006E4A2C"/>
    <w:rsid w:val="006E721A"/>
    <w:rsid w:val="006F0E11"/>
    <w:rsid w:val="006F40C8"/>
    <w:rsid w:val="00700872"/>
    <w:rsid w:val="00706BB4"/>
    <w:rsid w:val="00714029"/>
    <w:rsid w:val="007203B6"/>
    <w:rsid w:val="007222C1"/>
    <w:rsid w:val="00725205"/>
    <w:rsid w:val="0074091B"/>
    <w:rsid w:val="00740927"/>
    <w:rsid w:val="00744302"/>
    <w:rsid w:val="00747C60"/>
    <w:rsid w:val="007732EA"/>
    <w:rsid w:val="00777EA3"/>
    <w:rsid w:val="007933F9"/>
    <w:rsid w:val="00793C7B"/>
    <w:rsid w:val="007954B6"/>
    <w:rsid w:val="007A5E22"/>
    <w:rsid w:val="007B3768"/>
    <w:rsid w:val="007B5395"/>
    <w:rsid w:val="007C38FB"/>
    <w:rsid w:val="007C6434"/>
    <w:rsid w:val="007D4E4C"/>
    <w:rsid w:val="007D5F13"/>
    <w:rsid w:val="007D69F8"/>
    <w:rsid w:val="007E4819"/>
    <w:rsid w:val="007E4E03"/>
    <w:rsid w:val="007E7289"/>
    <w:rsid w:val="00805F3F"/>
    <w:rsid w:val="00817A5D"/>
    <w:rsid w:val="00821209"/>
    <w:rsid w:val="00821491"/>
    <w:rsid w:val="00831411"/>
    <w:rsid w:val="00842536"/>
    <w:rsid w:val="00843692"/>
    <w:rsid w:val="0085135B"/>
    <w:rsid w:val="0085287C"/>
    <w:rsid w:val="008559B6"/>
    <w:rsid w:val="008559FD"/>
    <w:rsid w:val="00855E65"/>
    <w:rsid w:val="0085612E"/>
    <w:rsid w:val="00880868"/>
    <w:rsid w:val="00880D30"/>
    <w:rsid w:val="008811AD"/>
    <w:rsid w:val="008812FA"/>
    <w:rsid w:val="008B222B"/>
    <w:rsid w:val="008C138F"/>
    <w:rsid w:val="008C204C"/>
    <w:rsid w:val="008C2625"/>
    <w:rsid w:val="008C4FE2"/>
    <w:rsid w:val="008D4D6A"/>
    <w:rsid w:val="008F7014"/>
    <w:rsid w:val="009049E9"/>
    <w:rsid w:val="00907F9B"/>
    <w:rsid w:val="00911503"/>
    <w:rsid w:val="00917C2D"/>
    <w:rsid w:val="009209B6"/>
    <w:rsid w:val="00923CB4"/>
    <w:rsid w:val="009335E0"/>
    <w:rsid w:val="00941732"/>
    <w:rsid w:val="009510F3"/>
    <w:rsid w:val="00954018"/>
    <w:rsid w:val="00955590"/>
    <w:rsid w:val="00970435"/>
    <w:rsid w:val="009704EC"/>
    <w:rsid w:val="00971619"/>
    <w:rsid w:val="00982EAB"/>
    <w:rsid w:val="0098505E"/>
    <w:rsid w:val="00991480"/>
    <w:rsid w:val="009945A7"/>
    <w:rsid w:val="00995E63"/>
    <w:rsid w:val="0099643D"/>
    <w:rsid w:val="009969DC"/>
    <w:rsid w:val="00996BA5"/>
    <w:rsid w:val="009A0F79"/>
    <w:rsid w:val="009A3C75"/>
    <w:rsid w:val="009B03F2"/>
    <w:rsid w:val="009C4EE2"/>
    <w:rsid w:val="009D46B1"/>
    <w:rsid w:val="009E7F6E"/>
    <w:rsid w:val="009F2B6A"/>
    <w:rsid w:val="009F5541"/>
    <w:rsid w:val="00A01204"/>
    <w:rsid w:val="00A022BA"/>
    <w:rsid w:val="00A256AC"/>
    <w:rsid w:val="00A32BE3"/>
    <w:rsid w:val="00A4207A"/>
    <w:rsid w:val="00A5653E"/>
    <w:rsid w:val="00A63533"/>
    <w:rsid w:val="00A723C4"/>
    <w:rsid w:val="00A72D2B"/>
    <w:rsid w:val="00A820E9"/>
    <w:rsid w:val="00A82942"/>
    <w:rsid w:val="00A83E24"/>
    <w:rsid w:val="00AA20F8"/>
    <w:rsid w:val="00AA327B"/>
    <w:rsid w:val="00AA55AF"/>
    <w:rsid w:val="00AB19A5"/>
    <w:rsid w:val="00AC2FD6"/>
    <w:rsid w:val="00AC78FC"/>
    <w:rsid w:val="00AD4CFE"/>
    <w:rsid w:val="00AE79BA"/>
    <w:rsid w:val="00AF350E"/>
    <w:rsid w:val="00AF3D8F"/>
    <w:rsid w:val="00AF5273"/>
    <w:rsid w:val="00AF5D3D"/>
    <w:rsid w:val="00B021D2"/>
    <w:rsid w:val="00B0671C"/>
    <w:rsid w:val="00B13495"/>
    <w:rsid w:val="00B262DD"/>
    <w:rsid w:val="00B278DE"/>
    <w:rsid w:val="00B30287"/>
    <w:rsid w:val="00B30EBD"/>
    <w:rsid w:val="00B351C3"/>
    <w:rsid w:val="00B36AC9"/>
    <w:rsid w:val="00B36E7A"/>
    <w:rsid w:val="00B542CD"/>
    <w:rsid w:val="00B6465B"/>
    <w:rsid w:val="00B772D7"/>
    <w:rsid w:val="00B85451"/>
    <w:rsid w:val="00B86006"/>
    <w:rsid w:val="00B86D86"/>
    <w:rsid w:val="00BA2A96"/>
    <w:rsid w:val="00BA5FE5"/>
    <w:rsid w:val="00BC1FD9"/>
    <w:rsid w:val="00BC30FF"/>
    <w:rsid w:val="00BC500D"/>
    <w:rsid w:val="00BD7FD7"/>
    <w:rsid w:val="00BF1606"/>
    <w:rsid w:val="00BF1647"/>
    <w:rsid w:val="00BF5A25"/>
    <w:rsid w:val="00C06428"/>
    <w:rsid w:val="00C11347"/>
    <w:rsid w:val="00C35018"/>
    <w:rsid w:val="00C40A34"/>
    <w:rsid w:val="00C4484E"/>
    <w:rsid w:val="00C46F7C"/>
    <w:rsid w:val="00C519B5"/>
    <w:rsid w:val="00C55EDB"/>
    <w:rsid w:val="00C573E9"/>
    <w:rsid w:val="00C729DA"/>
    <w:rsid w:val="00C764B7"/>
    <w:rsid w:val="00C90B56"/>
    <w:rsid w:val="00CA3F25"/>
    <w:rsid w:val="00CB5B9D"/>
    <w:rsid w:val="00CB6428"/>
    <w:rsid w:val="00CC01A5"/>
    <w:rsid w:val="00CC2134"/>
    <w:rsid w:val="00CD255A"/>
    <w:rsid w:val="00D126EC"/>
    <w:rsid w:val="00D14955"/>
    <w:rsid w:val="00D24CD6"/>
    <w:rsid w:val="00D24FA6"/>
    <w:rsid w:val="00D544D2"/>
    <w:rsid w:val="00D660F8"/>
    <w:rsid w:val="00D744C5"/>
    <w:rsid w:val="00D827AF"/>
    <w:rsid w:val="00D8451F"/>
    <w:rsid w:val="00D8474D"/>
    <w:rsid w:val="00D84D5B"/>
    <w:rsid w:val="00D86771"/>
    <w:rsid w:val="00D90C73"/>
    <w:rsid w:val="00D90F17"/>
    <w:rsid w:val="00D9480E"/>
    <w:rsid w:val="00D94FFD"/>
    <w:rsid w:val="00DA7038"/>
    <w:rsid w:val="00DB4AF2"/>
    <w:rsid w:val="00DB572A"/>
    <w:rsid w:val="00DC14B3"/>
    <w:rsid w:val="00DC399C"/>
    <w:rsid w:val="00DC7D6D"/>
    <w:rsid w:val="00DD2999"/>
    <w:rsid w:val="00DD2B43"/>
    <w:rsid w:val="00DD2CF8"/>
    <w:rsid w:val="00DD5C58"/>
    <w:rsid w:val="00DE240B"/>
    <w:rsid w:val="00DE529C"/>
    <w:rsid w:val="00DE6D9E"/>
    <w:rsid w:val="00DF3482"/>
    <w:rsid w:val="00DF450F"/>
    <w:rsid w:val="00E04A58"/>
    <w:rsid w:val="00E07425"/>
    <w:rsid w:val="00E07A05"/>
    <w:rsid w:val="00E16025"/>
    <w:rsid w:val="00E167FD"/>
    <w:rsid w:val="00E16F50"/>
    <w:rsid w:val="00E24179"/>
    <w:rsid w:val="00E31783"/>
    <w:rsid w:val="00E36636"/>
    <w:rsid w:val="00E43A34"/>
    <w:rsid w:val="00E44D37"/>
    <w:rsid w:val="00E52850"/>
    <w:rsid w:val="00E609A5"/>
    <w:rsid w:val="00E61928"/>
    <w:rsid w:val="00E656D2"/>
    <w:rsid w:val="00E7276C"/>
    <w:rsid w:val="00E84382"/>
    <w:rsid w:val="00E9180B"/>
    <w:rsid w:val="00EA0646"/>
    <w:rsid w:val="00EA2BA4"/>
    <w:rsid w:val="00EA3103"/>
    <w:rsid w:val="00EB15C1"/>
    <w:rsid w:val="00EC325A"/>
    <w:rsid w:val="00EC3A8E"/>
    <w:rsid w:val="00EC57F0"/>
    <w:rsid w:val="00ED68AF"/>
    <w:rsid w:val="00EF2E7C"/>
    <w:rsid w:val="00F01A6E"/>
    <w:rsid w:val="00F11811"/>
    <w:rsid w:val="00F20178"/>
    <w:rsid w:val="00F23C6C"/>
    <w:rsid w:val="00F24BC8"/>
    <w:rsid w:val="00F25045"/>
    <w:rsid w:val="00F30F3E"/>
    <w:rsid w:val="00F32002"/>
    <w:rsid w:val="00F4605D"/>
    <w:rsid w:val="00F51EF5"/>
    <w:rsid w:val="00F74928"/>
    <w:rsid w:val="00F8197E"/>
    <w:rsid w:val="00F833B1"/>
    <w:rsid w:val="00F87D90"/>
    <w:rsid w:val="00F90495"/>
    <w:rsid w:val="00FA4179"/>
    <w:rsid w:val="00FB4362"/>
    <w:rsid w:val="00FB53A1"/>
    <w:rsid w:val="00FD30CF"/>
    <w:rsid w:val="00FE0E46"/>
    <w:rsid w:val="00FF0AEC"/>
    <w:rsid w:val="00FF1DF4"/>
    <w:rsid w:val="00FF4165"/>
    <w:rsid w:val="01371490"/>
    <w:rsid w:val="026F5941"/>
    <w:rsid w:val="02A64C94"/>
    <w:rsid w:val="0A492856"/>
    <w:rsid w:val="0A844711"/>
    <w:rsid w:val="0C37664F"/>
    <w:rsid w:val="0C4176A5"/>
    <w:rsid w:val="0DC42165"/>
    <w:rsid w:val="113741D2"/>
    <w:rsid w:val="149B5C59"/>
    <w:rsid w:val="15575460"/>
    <w:rsid w:val="158A770E"/>
    <w:rsid w:val="15F767A6"/>
    <w:rsid w:val="163D70AE"/>
    <w:rsid w:val="1A394C60"/>
    <w:rsid w:val="1B2000B2"/>
    <w:rsid w:val="1D05623F"/>
    <w:rsid w:val="1D34261E"/>
    <w:rsid w:val="200B5DE1"/>
    <w:rsid w:val="219913C8"/>
    <w:rsid w:val="219C6566"/>
    <w:rsid w:val="2245341D"/>
    <w:rsid w:val="224E140B"/>
    <w:rsid w:val="24254C6B"/>
    <w:rsid w:val="24E13B8E"/>
    <w:rsid w:val="25D9414C"/>
    <w:rsid w:val="266E4003"/>
    <w:rsid w:val="289B7BBA"/>
    <w:rsid w:val="29111323"/>
    <w:rsid w:val="298E6A78"/>
    <w:rsid w:val="2AB56C65"/>
    <w:rsid w:val="2BE803BB"/>
    <w:rsid w:val="2CC17517"/>
    <w:rsid w:val="315D318B"/>
    <w:rsid w:val="32BD0DAD"/>
    <w:rsid w:val="336A483C"/>
    <w:rsid w:val="343B01DB"/>
    <w:rsid w:val="34DB03E2"/>
    <w:rsid w:val="35092088"/>
    <w:rsid w:val="357E3D33"/>
    <w:rsid w:val="35A81005"/>
    <w:rsid w:val="3673544B"/>
    <w:rsid w:val="36804FF3"/>
    <w:rsid w:val="370C7353"/>
    <w:rsid w:val="3939074D"/>
    <w:rsid w:val="3A7F2345"/>
    <w:rsid w:val="3AFE5C11"/>
    <w:rsid w:val="3EB313E5"/>
    <w:rsid w:val="403F29F9"/>
    <w:rsid w:val="41F83BB0"/>
    <w:rsid w:val="4278477D"/>
    <w:rsid w:val="44763F3A"/>
    <w:rsid w:val="45BC0CC7"/>
    <w:rsid w:val="48CF3929"/>
    <w:rsid w:val="4C334109"/>
    <w:rsid w:val="4F1212A3"/>
    <w:rsid w:val="51460485"/>
    <w:rsid w:val="527E074E"/>
    <w:rsid w:val="543A63AD"/>
    <w:rsid w:val="55222FC6"/>
    <w:rsid w:val="56034376"/>
    <w:rsid w:val="57573528"/>
    <w:rsid w:val="579503FF"/>
    <w:rsid w:val="58E61FA1"/>
    <w:rsid w:val="594B4708"/>
    <w:rsid w:val="59941FB8"/>
    <w:rsid w:val="599C2C1B"/>
    <w:rsid w:val="5A34332C"/>
    <w:rsid w:val="5B136F0D"/>
    <w:rsid w:val="5B8D2FAE"/>
    <w:rsid w:val="5D162F31"/>
    <w:rsid w:val="5E435D5B"/>
    <w:rsid w:val="60031053"/>
    <w:rsid w:val="60535296"/>
    <w:rsid w:val="61334915"/>
    <w:rsid w:val="62CB384B"/>
    <w:rsid w:val="63B027E9"/>
    <w:rsid w:val="63E739BA"/>
    <w:rsid w:val="64B279BE"/>
    <w:rsid w:val="66D343B7"/>
    <w:rsid w:val="67804210"/>
    <w:rsid w:val="6BA347D7"/>
    <w:rsid w:val="6D5D3E03"/>
    <w:rsid w:val="6EA44F6F"/>
    <w:rsid w:val="6F370AFC"/>
    <w:rsid w:val="7119549D"/>
    <w:rsid w:val="71E76CD1"/>
    <w:rsid w:val="72FD2525"/>
    <w:rsid w:val="738E2C75"/>
    <w:rsid w:val="73DC4E8D"/>
    <w:rsid w:val="740A3232"/>
    <w:rsid w:val="74722FDE"/>
    <w:rsid w:val="74C27244"/>
    <w:rsid w:val="7519181A"/>
    <w:rsid w:val="75BA200F"/>
    <w:rsid w:val="783A607B"/>
    <w:rsid w:val="7AC51B7A"/>
    <w:rsid w:val="7B332219"/>
    <w:rsid w:val="7BFF730D"/>
    <w:rsid w:val="7DE61FE6"/>
    <w:rsid w:val="7F180E13"/>
    <w:rsid w:val="7FE9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qFormat="1" w:unhideWhenUsed="0" w:uiPriority="0" w:semiHidden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0"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8"/>
    <w:qFormat/>
    <w:uiPriority w:val="0"/>
    <w:pPr>
      <w:jc w:val="left"/>
    </w:pPr>
  </w:style>
  <w:style w:type="paragraph" w:styleId="4">
    <w:name w:val="Balloon Text"/>
    <w:basedOn w:val="1"/>
    <w:link w:val="16"/>
    <w:qFormat/>
    <w:uiPriority w:val="0"/>
    <w:rPr>
      <w:sz w:val="18"/>
      <w:szCs w:val="18"/>
    </w:rPr>
  </w:style>
  <w:style w:type="paragraph" w:styleId="5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3"/>
    <w:next w:val="3"/>
    <w:link w:val="19"/>
    <w:qFormat/>
    <w:uiPriority w:val="0"/>
    <w:rPr>
      <w:b/>
      <w:bCs/>
    </w:rPr>
  </w:style>
  <w:style w:type="character" w:styleId="10">
    <w:name w:val="line number"/>
    <w:qFormat/>
    <w:uiPriority w:val="0"/>
  </w:style>
  <w:style w:type="character" w:styleId="11">
    <w:name w:val="annotation reference"/>
    <w:autoRedefine/>
    <w:qFormat/>
    <w:uiPriority w:val="0"/>
    <w:rPr>
      <w:sz w:val="21"/>
      <w:szCs w:val="21"/>
    </w:rPr>
  </w:style>
  <w:style w:type="character" w:customStyle="1" w:styleId="12">
    <w:name w:val="标题 1 Char"/>
    <w:link w:val="2"/>
    <w:qFormat/>
    <w:uiPriority w:val="0"/>
    <w:rPr>
      <w:rFonts w:ascii="Times New Roman" w:hAnsi="Times New Roman"/>
      <w:b/>
      <w:bCs/>
      <w:kern w:val="44"/>
      <w:sz w:val="44"/>
      <w:szCs w:val="44"/>
    </w:rPr>
  </w:style>
  <w:style w:type="character" w:customStyle="1" w:styleId="13">
    <w:name w:val="页脚 Char"/>
    <w:link w:val="5"/>
    <w:autoRedefine/>
    <w:qFormat/>
    <w:uiPriority w:val="0"/>
    <w:rPr>
      <w:sz w:val="18"/>
      <w:szCs w:val="18"/>
    </w:rPr>
  </w:style>
  <w:style w:type="character" w:customStyle="1" w:styleId="14">
    <w:name w:val="页眉 Char"/>
    <w:link w:val="6"/>
    <w:qFormat/>
    <w:uiPriority w:val="0"/>
    <w:rPr>
      <w:sz w:val="18"/>
      <w:szCs w:val="18"/>
    </w:rPr>
  </w:style>
  <w:style w:type="paragraph" w:styleId="15">
    <w:name w:val="List Paragraph"/>
    <w:basedOn w:val="1"/>
    <w:autoRedefine/>
    <w:qFormat/>
    <w:uiPriority w:val="0"/>
    <w:pPr>
      <w:ind w:firstLine="420" w:firstLineChars="200"/>
    </w:pPr>
  </w:style>
  <w:style w:type="character" w:customStyle="1" w:styleId="16">
    <w:name w:val="批注框文本 Char"/>
    <w:link w:val="4"/>
    <w:autoRedefine/>
    <w:qFormat/>
    <w:uiPriority w:val="0"/>
    <w:rPr>
      <w:kern w:val="2"/>
      <w:sz w:val="18"/>
      <w:szCs w:val="18"/>
    </w:rPr>
  </w:style>
  <w:style w:type="paragraph" w:customStyle="1" w:styleId="17">
    <w:name w:val="TOC Heading"/>
    <w:basedOn w:val="2"/>
    <w:next w:val="1"/>
    <w:qFormat/>
    <w:uiPriority w:val="0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18">
    <w:name w:val="批注文字 Char"/>
    <w:link w:val="3"/>
    <w:qFormat/>
    <w:uiPriority w:val="0"/>
    <w:rPr>
      <w:kern w:val="2"/>
      <w:sz w:val="21"/>
      <w:szCs w:val="22"/>
    </w:rPr>
  </w:style>
  <w:style w:type="character" w:customStyle="1" w:styleId="19">
    <w:name w:val="批注主题 Char"/>
    <w:link w:val="7"/>
    <w:qFormat/>
    <w:uiPriority w:val="0"/>
    <w:rPr>
      <w:b/>
      <w:bCs/>
      <w:kern w:val="2"/>
      <w:sz w:val="21"/>
      <w:szCs w:val="22"/>
    </w:rPr>
  </w:style>
  <w:style w:type="character" w:customStyle="1" w:styleId="20">
    <w:name w:val="fontstyle01"/>
    <w:qFormat/>
    <w:uiPriority w:val="0"/>
    <w:rPr>
      <w:rFonts w:hint="eastAsia" w:ascii="仿宋_GB2312" w:eastAsia="仿宋_GB2312"/>
      <w:color w:val="000000"/>
      <w:sz w:val="32"/>
      <w:szCs w:val="32"/>
    </w:rPr>
  </w:style>
  <w:style w:type="character" w:customStyle="1" w:styleId="21">
    <w:name w:val="fontstyle21"/>
    <w:qFormat/>
    <w:uiPriority w:val="0"/>
    <w:rPr>
      <w:rFonts w:hint="default" w:ascii="TimesNewRomanPSMT" w:hAnsi="TimesNewRomanPSMT"/>
      <w:color w:val="000000"/>
      <w:sz w:val="32"/>
      <w:szCs w:val="32"/>
    </w:rPr>
  </w:style>
  <w:style w:type="character" w:customStyle="1" w:styleId="22">
    <w:name w:val="fontstyle11"/>
    <w:qFormat/>
    <w:uiPriority w:val="0"/>
    <w:rPr>
      <w:rFonts w:hint="eastAsia" w:ascii="仿宋_GB2312" w:eastAsia="仿宋_GB2312"/>
      <w:color w:val="000000"/>
      <w:sz w:val="32"/>
      <w:szCs w:val="32"/>
    </w:rPr>
  </w:style>
  <w:style w:type="character" w:customStyle="1" w:styleId="23">
    <w:name w:val="fontstyle31"/>
    <w:qFormat/>
    <w:uiPriority w:val="0"/>
    <w:rPr>
      <w:rFonts w:hint="default" w:ascii="TimesNewRomanPSMT" w:hAnsi="TimesNewRomanPSMT"/>
      <w:color w:val="000000"/>
      <w:sz w:val="32"/>
      <w:szCs w:val="32"/>
    </w:rPr>
  </w:style>
  <w:style w:type="character" w:customStyle="1" w:styleId="24">
    <w:name w:val="font81"/>
    <w:basedOn w:val="9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5">
    <w:name w:val="font61"/>
    <w:basedOn w:val="9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6">
    <w:name w:val="font01"/>
    <w:basedOn w:val="9"/>
    <w:qFormat/>
    <w:uiPriority w:val="0"/>
    <w:rPr>
      <w:rFonts w:ascii="Arial" w:hAnsi="Arial" w:cs="Arial"/>
      <w:color w:val="000000"/>
      <w:sz w:val="20"/>
      <w:szCs w:val="20"/>
      <w:u w:val="none"/>
    </w:rPr>
  </w:style>
  <w:style w:type="character" w:customStyle="1" w:styleId="27">
    <w:name w:val="font91"/>
    <w:basedOn w:val="9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8">
    <w:name w:val="font51"/>
    <w:basedOn w:val="9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beijing</Company>
  <Pages>28</Pages>
  <Words>7819</Words>
  <Characters>8662</Characters>
  <Lines>68</Lines>
  <Paragraphs>19</Paragraphs>
  <TotalTime>12</TotalTime>
  <ScaleCrop>false</ScaleCrop>
  <LinksUpToDate>false</LinksUpToDate>
  <CharactersWithSpaces>8915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2024-01-30T09:03:00Z</dcterms:created>
  <dc:creator>home</dc:creator>
  <cp:lastModifiedBy>总有刁民想害朕</cp:lastModifiedBy>
  <cp:lastPrinted>2024-03-11T10:19:00Z</cp:lastPrinted>
  <dcterms:modified xsi:type="dcterms:W3CDTF">2024-03-13T07:26:53Z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4746AA2B63644A919A7677ADD6665D0C</vt:lpwstr>
  </property>
</Properties>
</file>