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010"/>
        <w:gridCol w:w="3147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四、教育专户核算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（七）文化体育与传媒支出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（十）医疗卫生与计划生育支出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（十九）国土海洋气象等支出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（二十三）预备费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（二十四）其他支出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（二十五）转移性支出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（二十六）债务还本支出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（二十七）债务付息支出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（二十八）债务发行费用支出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微软雅黑" w:eastAsia="仿宋_GB2312"/>
          <w:sz w:val="18"/>
          <w:szCs w:val="18"/>
        </w:rPr>
      </w:pP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3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经费拨款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专项收入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行政事业性收费收入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国有资源（资产）有偿使用收入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行政单位国有资产出租、出借收入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捐赠收入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政府住房基金收入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四、教育专户核算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八、经营收入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7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1545"/>
        <w:gridCol w:w="1410"/>
        <w:gridCol w:w="1587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1143.16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1143.16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404.02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208.99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社会福利事业单位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公务员医疗补助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hint="eastAsia"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hint="eastAsia" w:ascii="宋体" w:hAnsi="宋体" w:cs="Arial"/>
          <w:color w:val="000000"/>
          <w:kern w:val="0"/>
          <w:sz w:val="18"/>
          <w:szCs w:val="18"/>
        </w:rPr>
      </w:pP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740"/>
        <w:gridCol w:w="304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（七）文化体育与传媒支出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1,142.96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（十）医疗卫生与计划生育支出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（十九）国土海洋气象等支出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（二十三）预备费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（二十四）其他支出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（二十五）转移性支出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（二十六）债务还本支出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（二十七）债务付息支出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（二十八）债务发行费用支出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tbl>
      <w:tblPr>
        <w:tblStyle w:val="9"/>
        <w:tblpPr w:leftFromText="180" w:rightFromText="180" w:vertAnchor="text" w:horzAnchor="page" w:tblpX="2161" w:tblpY="638"/>
        <w:tblOverlap w:val="never"/>
        <w:tblW w:w="13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260"/>
        <w:gridCol w:w="1200"/>
        <w:gridCol w:w="1200"/>
        <w:gridCol w:w="1035"/>
        <w:gridCol w:w="975"/>
        <w:gridCol w:w="975"/>
        <w:gridCol w:w="975"/>
        <w:gridCol w:w="975"/>
        <w:gridCol w:w="975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1,296.76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张掖市民政局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张掖市社会福利院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张掖市救助管理站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张掖市儿童福利院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1807"/>
        <w:gridCol w:w="1643"/>
        <w:gridCol w:w="1595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1143.16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1143.16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463.33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404.02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208.99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社会福利事业单位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179.63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公务员医疗补助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135"/>
        <w:gridCol w:w="2055"/>
        <w:gridCol w:w="217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一般公共预算基本支出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1,296.76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1,075.35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1,045.59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1,045.59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张掖市民政局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张掖市民政局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张掖市社会福利院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张掖市救助管理站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张掖市儿童福利院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655"/>
        <w:gridCol w:w="1875"/>
        <w:gridCol w:w="18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表十二、国有资本经营预算支出情况表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60年代精简退职补助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2.472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tbl>
      <w:tblPr>
        <w:tblStyle w:val="9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16"/>
        <w:gridCol w:w="1216"/>
        <w:gridCol w:w="1470"/>
        <w:gridCol w:w="1470"/>
        <w:gridCol w:w="1408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2024年部门(单位)整体支出绩效目标表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8297786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单位职能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依据：《中共张掖市委办公室  张掖市人民政府办公室关于调整张掖市民政局职能配置、内设机构和人员编制规定的通知》（市委办字〔2019〕44号）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能简述1、负责贯彻执行民政工作的法律法规和方针政策；拟订全市民政工作的有关规章和民政事业发展规划，并负责组织实施和监督检查。2、依法对全市社会团体、民办非企业单位、基金会及其分支(代表)机构的登记管理和监察。3、牵头拟订社会救助规划、配套政策和标准，健全城乡社会救助体系，负责城乡居民最低生活保障、农村五保供养、城乡医疗救助、临时生活救助工作；负责全市城市低收入家庭收入核定的管理工作。4、指导城乡社区服务体系建设，提出加强和改进城乡基层政权建设的建议，推动基层民主政治建设，指导基层群众自治组织和社区组织干部的表彰工作。5、拟订社会福利事业发展规划，指导社会福利设施建设和管理工作，指导老年人、孤儿和残疾人等特殊群体权益保障工作。6、负责社会慈善、社会捐赠、群众互助等社会扶助活动，推进慈善事业的发展。7、负责婚姻管理、殡葬管理、流浪乞讨人员救助管理和儿童收养工作，推进婚俗和殡葬改革，指导婚姻、殡葬、收养、救助服务机构管理工作。8、负责行政区划的管理工作，指导地名管理工作，组织和指导行政区域界线管理工作。9、会同有关部门推进社会工作人才队伍和相关志愿者队伍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单位基本信息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Style w:val="25"/>
                <w:lang w:val="en-US" w:eastAsia="zh-CN" w:bidi="ar"/>
              </w:rPr>
              <w:t>为</w:t>
            </w:r>
            <w:r>
              <w:rPr>
                <w:rStyle w:val="26"/>
                <w:lang w:val="en-US" w:eastAsia="zh-CN" w:bidi="ar"/>
              </w:rPr>
              <w:t>一级预算主管部门： 是√  否。    如否，上级主管部门是：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内设职能科室个数：7（个）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编制总人数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编制内实际人数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上年预算情况（万元）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实际支出数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年末结转结余数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1294.26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1294.26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当年预算资金来源（万元）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上级拨款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本级财政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当年预算支出（万元）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1296.76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1077.64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219.12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目标1：严格预算管理，预算完成率、公用经费控制率等按要求完成，规范资产管理，固定资产利用率达到90%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目标2：优化机构养老供给，开展常态救助帮扶。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目标3：加强救助资金管理，落实落细各项救助政策。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分目标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年度任务分解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部门投入指标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非税收入预算完成率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100%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“三公经费”变动率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支付进度符合率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预算管理制度健全性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非税收入管理合规性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预决算信息公开度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绩效管理覆盖率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资产管理制度健全性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项目管理制度执行规范性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人员管理制度执行有效性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人员编制合规性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人员管理制度健全性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任务1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困难群众救助补助人数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≥14.1万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困难群众救助补助人群类别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救助资金数据录入及时性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产出数量指标：保障在职人员15人的正常办公、生活秩序，保障单位正常运营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产出质量指标：单位各项业务工作顺利开展，创建规范化标准化儿童福利机构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产出时效指标:合理开支使用资金，保障各项工作正常开展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任务2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养老机构入住率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补贴全市养老机构运营个数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补贴全市养老机构运营金额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建成全市村级互助幸福院个数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建成全市乡镇养老服务中心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（产出数量指标）满足特困供养人员数量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（产出质量指标）各项支付工作完成率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（产出时效指标）资金按计划完成率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（产出数量指标）护理人员工资发放人数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任务3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维护行政区域界限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维护省级界限公里数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等于1053.4公里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维护市级界限公里数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等于862.61公里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完成各类社会组织登记数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等于1192个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社会组织党组织覆盖率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推动爱心结对行动，帮扶对象人数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等于10853人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部门效果指标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任务1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困难群众救助资金发放及时率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符合条件的受助人群享受补贴率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社会工作者培训率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（社会效益指标）养老服务对象知晓率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（社会效益指标）养老服务机构设施条件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任务2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社区治理提升率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受助对象基本生活保障率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创建规范化标准化儿童福利机构，为全市孤残儿童、困境儿童提供优质的养教康服务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提高张掖市儿童福利院履职服务、福利保障工作水平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城乡地名标志全覆盖率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服务对象、救助对象满意度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其它需要说明的问题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848"/>
        </w:tabs>
      </w:pPr>
      <w:r>
        <w:rPr>
          <w:rFonts w:ascii="仿宋_GB2312" w:eastAsia="仿宋_GB2312"/>
          <w:b/>
          <w:sz w:val="28"/>
          <w:szCs w:val="28"/>
        </w:rPr>
        <w:br w:type="page"/>
      </w:r>
    </w:p>
    <w:tbl>
      <w:tblPr>
        <w:tblStyle w:val="9"/>
        <w:tblW w:w="105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41"/>
        <w:gridCol w:w="494"/>
        <w:gridCol w:w="242"/>
        <w:gridCol w:w="1003"/>
        <w:gridCol w:w="224"/>
        <w:gridCol w:w="1156"/>
        <w:gridCol w:w="209"/>
        <w:gridCol w:w="586"/>
        <w:gridCol w:w="481"/>
        <w:gridCol w:w="629"/>
        <w:gridCol w:w="798"/>
        <w:gridCol w:w="312"/>
        <w:gridCol w:w="48"/>
        <w:gridCol w:w="1512"/>
        <w:gridCol w:w="821"/>
        <w:gridCol w:w="4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7"/>
                <w:lang w:val="en-US" w:eastAsia="zh-CN" w:bidi="ar"/>
              </w:rPr>
              <w:t>（</w:t>
            </w:r>
            <w:r>
              <w:rPr>
                <w:rStyle w:val="28"/>
                <w:rFonts w:eastAsia="宋体"/>
                <w:lang w:val="en-US" w:eastAsia="zh-CN" w:bidi="ar"/>
              </w:rPr>
              <w:t xml:space="preserve"> 2024</w:t>
            </w:r>
            <w:r>
              <w:rPr>
                <w:rStyle w:val="27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市直企业六十年代精减退职职工生活补助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张掖市民政局022001</w:t>
            </w: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9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9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4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中期目标（20××年—20××+n年）</w:t>
            </w:r>
          </w:p>
        </w:tc>
        <w:tc>
          <w:tcPr>
            <w:tcW w:w="5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</w:t>
            </w:r>
          </w:p>
        </w:tc>
        <w:tc>
          <w:tcPr>
            <w:tcW w:w="54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目标1：及时足额发放市直6名企业六十年代精减退职职工生活补助。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指标1：发放精减退职生活补助人数。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指标2：60年代精减退职补助发放金额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指标1：足额发放60年代精减退职补助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指标1：及时60年代精减退职补助发放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指标1：80岁以上人均补贴标准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指标2：80岁以下人均补贴标准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2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指标1：受助人员满意度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指标1：建立长效机制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指标1：精减退职人员满意度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年   月   日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市财政局主管业务科室审核意见</w:t>
            </w:r>
          </w:p>
        </w:tc>
        <w:tc>
          <w:tcPr>
            <w:tcW w:w="4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40" w:hRule="atLeast"/>
        </w:trPr>
        <w:tc>
          <w:tcPr>
            <w:tcW w:w="9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285" w:hRule="atLeast"/>
        </w:trPr>
        <w:tc>
          <w:tcPr>
            <w:tcW w:w="9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lang w:val="en-US" w:eastAsia="zh-CN" w:bidi="ar"/>
              </w:rPr>
              <w:t xml:space="preserve"> 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600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社会救助、低保管理、行政区划等经费（含社会组织评估审计、农村留守营儿童关爱工作经费）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39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张掖市民政局022001</w:t>
            </w: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39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24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中期资金总额：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24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600" w:hRule="atLeast"/>
        </w:trPr>
        <w:tc>
          <w:tcPr>
            <w:tcW w:w="24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39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中期目标（20××年—20××+n年）</w:t>
            </w:r>
          </w:p>
        </w:tc>
        <w:tc>
          <w:tcPr>
            <w:tcW w:w="4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15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目标1：1.做好全市城乡居民基本生活保障工作、特困供养生活救助补助，积极开展临时救助、医疗救助、家庭经济状况核对等工作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目标2：在全社会大力营造关爱留守儿童，支持殡葬改革的良好氛围，确保留守儿童关爱保护、殡葬管理等工作正常开展。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目标3：发展慈善组织、开展社会募捐、救助困难群众，弘扬社会正能量，谱写慈善事业新篇章，获得社会各界的广泛赞誉。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5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指标1：举办社会救助政策培训班次数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指标2：举办全市社会组织党组书记业务骨干培训班次数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指标3：参加培训班人数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指标1：培训合格率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2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指标2：经费支出率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指标1：经费支出及时性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30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指标1：相关规定报销标准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指标2：成本节约率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64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指标1：对参与慈善救助、关爱留守儿童事业的影响程度。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4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指标1：加快推进社会救助、留守儿童等民政事业发展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程度较高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56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指标1：低保、救助、留守儿童等服务对象满意度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6" w:type="dxa"/>
          <w:trHeight w:val="1440" w:hRule="atLeast"/>
        </w:trPr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主管部门审核意见</w:t>
            </w:r>
          </w:p>
        </w:tc>
        <w:tc>
          <w:tcPr>
            <w:tcW w:w="21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市财政局主管业务科室审核意见</w:t>
            </w:r>
          </w:p>
        </w:tc>
        <w:tc>
          <w:tcPr>
            <w:tcW w:w="3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年   月   日</w:t>
            </w:r>
          </w:p>
        </w:tc>
      </w:tr>
    </w:tbl>
    <w:p>
      <w:pPr>
        <w:pStyle w:val="4"/>
        <w:ind w:left="0" w:leftChars="0" w:firstLine="0" w:firstLineChars="0"/>
      </w:pP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mY2MGQ4YTQ2YWYzNDYxM2ViZGMwMWNiZmU0Y2Q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A3D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8756B3C"/>
    <w:rsid w:val="0F510E93"/>
    <w:rsid w:val="103A5FF8"/>
    <w:rsid w:val="104B26C9"/>
    <w:rsid w:val="108676BA"/>
    <w:rsid w:val="113741D2"/>
    <w:rsid w:val="152534E9"/>
    <w:rsid w:val="158521DA"/>
    <w:rsid w:val="18C2509C"/>
    <w:rsid w:val="1D34261E"/>
    <w:rsid w:val="1DD247FD"/>
    <w:rsid w:val="1DE026A3"/>
    <w:rsid w:val="1EB37DB8"/>
    <w:rsid w:val="1F8E612F"/>
    <w:rsid w:val="24EC7B7F"/>
    <w:rsid w:val="26AB5818"/>
    <w:rsid w:val="2DF6381D"/>
    <w:rsid w:val="2E06127F"/>
    <w:rsid w:val="35887450"/>
    <w:rsid w:val="4B1650A7"/>
    <w:rsid w:val="4EE822F6"/>
    <w:rsid w:val="4FF47029"/>
    <w:rsid w:val="527E074E"/>
    <w:rsid w:val="579503FF"/>
    <w:rsid w:val="5B8811B0"/>
    <w:rsid w:val="5C3D3814"/>
    <w:rsid w:val="5DED7EE9"/>
    <w:rsid w:val="604D2EC1"/>
    <w:rsid w:val="60535296"/>
    <w:rsid w:val="66091638"/>
    <w:rsid w:val="69800A5C"/>
    <w:rsid w:val="6B2A62D8"/>
    <w:rsid w:val="71866233"/>
    <w:rsid w:val="72FD2525"/>
    <w:rsid w:val="73A808C3"/>
    <w:rsid w:val="7BC40083"/>
    <w:rsid w:val="7ED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index 6"/>
    <w:basedOn w:val="1"/>
    <w:next w:val="1"/>
    <w:autoRedefine/>
    <w:semiHidden/>
    <w:qFormat/>
    <w:uiPriority w:val="0"/>
    <w:pPr>
      <w:spacing w:line="560" w:lineRule="exact"/>
      <w:ind w:firstLine="645"/>
    </w:pPr>
    <w:rPr>
      <w:rFonts w:ascii="仿宋_GB2312" w:hAnsi="黑体" w:eastAsia="仿宋_GB2312" w:cs="仿宋_GB2312"/>
      <w:color w:val="000000"/>
      <w:sz w:val="32"/>
      <w:szCs w:val="32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autoRedefine/>
    <w:qFormat/>
    <w:uiPriority w:val="0"/>
    <w:rPr>
      <w:b/>
      <w:bCs/>
    </w:rPr>
  </w:style>
  <w:style w:type="character" w:styleId="11">
    <w:name w:val="line number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页脚 Char"/>
    <w:link w:val="6"/>
    <w:autoRedefine/>
    <w:qFormat/>
    <w:uiPriority w:val="0"/>
    <w:rPr>
      <w:sz w:val="18"/>
      <w:szCs w:val="18"/>
    </w:rPr>
  </w:style>
  <w:style w:type="character" w:customStyle="1" w:styleId="15">
    <w:name w:val="页眉 Char"/>
    <w:link w:val="7"/>
    <w:autoRedefine/>
    <w:qFormat/>
    <w:uiPriority w:val="0"/>
    <w:rPr>
      <w:sz w:val="18"/>
      <w:szCs w:val="18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7">
    <w:name w:val="批注框文本 Char"/>
    <w:link w:val="5"/>
    <w:autoRedefine/>
    <w:qFormat/>
    <w:uiPriority w:val="0"/>
    <w:rPr>
      <w:kern w:val="2"/>
      <w:sz w:val="18"/>
      <w:szCs w:val="18"/>
    </w:rPr>
  </w:style>
  <w:style w:type="paragraph" w:customStyle="1" w:styleId="18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autoRedefine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5">
    <w:name w:val="font1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5</TotalTime>
  <ScaleCrop>false</ScaleCrop>
  <LinksUpToDate>false</LinksUpToDate>
  <CharactersWithSpaces>9630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总有刁民想害朕</cp:lastModifiedBy>
  <cp:lastPrinted>2022-02-15T07:45:00Z</cp:lastPrinted>
  <dcterms:modified xsi:type="dcterms:W3CDTF">2024-02-27T07:50:06Z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CCC1D86D3F664367A6D7C01287D81C78_13</vt:lpwstr>
  </property>
</Properties>
</file>