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Lines="0" w:line="587" w:lineRule="exact"/>
        <w:ind w:left="0" w:leftChars="0" w:right="0" w:firstLine="0" w:firstLineChars="0"/>
        <w:textAlignment w:val="auto"/>
        <w:rPr>
          <w:rFonts w:hint="eastAsia" w:ascii="黑体" w:hAnsi="黑体" w:eastAsia="黑体" w:cs="宋体"/>
          <w:b/>
          <w:color w:val="000000"/>
          <w:kern w:val="0"/>
          <w:sz w:val="36"/>
          <w:szCs w:val="36"/>
        </w:rPr>
      </w:pPr>
    </w:p>
    <w:p>
      <w:pPr>
        <w:pStyle w:val="2"/>
        <w:keepNext w:val="0"/>
        <w:keepLines w:val="0"/>
        <w:pageBreakBefore w:val="0"/>
        <w:widowControl w:val="0"/>
        <w:kinsoku/>
        <w:wordWrap/>
        <w:overflowPunct/>
        <w:topLinePunct w:val="0"/>
        <w:autoSpaceDE/>
        <w:autoSpaceDN/>
        <w:bidi w:val="0"/>
        <w:adjustRightInd/>
        <w:snapToGrid/>
        <w:spacing w:beforeLines="0" w:line="587" w:lineRule="exact"/>
        <w:ind w:left="0" w:leftChars="0" w:right="0" w:firstLine="0" w:firstLineChars="0"/>
        <w:textAlignment w:val="auto"/>
        <w:rPr>
          <w:rFonts w:hint="eastAsia" w:ascii="黑体" w:hAnsi="黑体" w:eastAsia="黑体" w:cs="宋体"/>
          <w:b/>
          <w:color w:val="000000"/>
          <w:kern w:val="0"/>
          <w:sz w:val="36"/>
          <w:szCs w:val="36"/>
        </w:rPr>
      </w:pPr>
    </w:p>
    <w:p>
      <w:pPr>
        <w:keepNext w:val="0"/>
        <w:keepLines w:val="0"/>
        <w:pageBreakBefore w:val="0"/>
        <w:widowControl/>
        <w:tabs>
          <w:tab w:val="left" w:pos="2880"/>
        </w:tabs>
        <w:kinsoku/>
        <w:wordWrap/>
        <w:overflowPunct/>
        <w:topLinePunct w:val="0"/>
        <w:autoSpaceDE/>
        <w:autoSpaceDN/>
        <w:bidi w:val="0"/>
        <w:adjustRightInd/>
        <w:snapToGrid/>
        <w:spacing w:line="596" w:lineRule="exact"/>
        <w:ind w:firstLine="2209" w:firstLineChars="500"/>
        <w:jc w:val="left"/>
        <w:textAlignment w:val="auto"/>
        <w:outlineLvl w:val="9"/>
        <w:rPr>
          <w:rFonts w:hint="eastAsia" w:ascii="方正小标宋简体" w:hAnsi="方正小标宋简体" w:eastAsia="方正小标宋简体" w:cs="方正小标宋简体"/>
          <w:b/>
          <w:bCs w:val="0"/>
          <w:color w:val="000000"/>
          <w:kern w:val="0"/>
          <w:sz w:val="44"/>
          <w:szCs w:val="44"/>
          <w:lang w:val="en-US" w:eastAsia="zh-CN"/>
        </w:rPr>
      </w:pPr>
      <w:r>
        <w:rPr>
          <w:rFonts w:hint="eastAsia" w:ascii="方正小标宋简体" w:hAnsi="方正小标宋简体" w:eastAsia="方正小标宋简体" w:cs="方正小标宋简体"/>
          <w:b/>
          <w:bCs w:val="0"/>
          <w:color w:val="000000"/>
          <w:kern w:val="0"/>
          <w:sz w:val="44"/>
          <w:szCs w:val="44"/>
          <w:lang w:val="en-US" w:eastAsia="zh-CN"/>
        </w:rPr>
        <w:t>张掖丹霞大景区管理委员会</w:t>
      </w:r>
    </w:p>
    <w:p>
      <w:pPr>
        <w:keepNext w:val="0"/>
        <w:keepLines w:val="0"/>
        <w:pageBreakBefore w:val="0"/>
        <w:widowControl/>
        <w:tabs>
          <w:tab w:val="left" w:pos="2880"/>
        </w:tabs>
        <w:kinsoku/>
        <w:wordWrap/>
        <w:overflowPunct/>
        <w:topLinePunct w:val="0"/>
        <w:autoSpaceDE/>
        <w:autoSpaceDN/>
        <w:bidi w:val="0"/>
        <w:adjustRightInd/>
        <w:snapToGrid/>
        <w:spacing w:line="596" w:lineRule="exact"/>
        <w:ind w:firstLine="883" w:firstLineChars="200"/>
        <w:jc w:val="left"/>
        <w:textAlignment w:val="auto"/>
        <w:outlineLvl w:val="9"/>
        <w:rPr>
          <w:rFonts w:hint="eastAsia" w:ascii="黑体" w:hAnsi="黑体" w:eastAsia="黑体" w:cs="宋体"/>
          <w:b/>
          <w:bCs w:val="0"/>
          <w:color w:val="000000"/>
          <w:kern w:val="0"/>
          <w:sz w:val="48"/>
          <w:szCs w:val="48"/>
        </w:rPr>
      </w:pPr>
      <w:r>
        <w:rPr>
          <w:rFonts w:hint="eastAsia" w:ascii="方正小标宋简体" w:hAnsi="方正小标宋简体" w:eastAsia="方正小标宋简体" w:cs="方正小标宋简体"/>
          <w:b/>
          <w:bCs w:val="0"/>
          <w:color w:val="000000"/>
          <w:kern w:val="0"/>
          <w:sz w:val="44"/>
          <w:szCs w:val="44"/>
          <w:lang w:val="en-US" w:eastAsia="zh-CN"/>
        </w:rPr>
        <w:t>2022年</w:t>
      </w:r>
      <w:r>
        <w:rPr>
          <w:rFonts w:hint="eastAsia" w:ascii="方正小标宋简体" w:hAnsi="方正小标宋简体" w:eastAsia="方正小标宋简体" w:cs="方正小标宋简体"/>
          <w:b/>
          <w:bCs w:val="0"/>
          <w:color w:val="000000"/>
          <w:kern w:val="0"/>
          <w:sz w:val="44"/>
          <w:szCs w:val="44"/>
          <w:lang w:eastAsia="zh-CN"/>
        </w:rPr>
        <w:t>部门整体</w:t>
      </w:r>
      <w:r>
        <w:rPr>
          <w:rFonts w:hint="eastAsia" w:ascii="方正小标宋简体" w:hAnsi="方正小标宋简体" w:eastAsia="方正小标宋简体" w:cs="方正小标宋简体"/>
          <w:b/>
          <w:bCs w:val="0"/>
          <w:color w:val="000000"/>
          <w:kern w:val="0"/>
          <w:sz w:val="44"/>
          <w:szCs w:val="44"/>
        </w:rPr>
        <w:t>支出绩效评价自评报告</w:t>
      </w:r>
    </w:p>
    <w:p>
      <w:pPr>
        <w:widowControl/>
        <w:tabs>
          <w:tab w:val="left" w:pos="2880"/>
        </w:tabs>
        <w:spacing w:line="600" w:lineRule="exact"/>
        <w:jc w:val="left"/>
        <w:rPr>
          <w:rFonts w:hint="eastAsia" w:ascii="黑体" w:hAnsi="黑体" w:eastAsia="黑体" w:cs="宋体"/>
          <w:b/>
          <w:color w:val="000000"/>
          <w:kern w:val="0"/>
          <w:sz w:val="48"/>
          <w:szCs w:val="48"/>
        </w:rPr>
      </w:pPr>
    </w:p>
    <w:p>
      <w:pPr>
        <w:keepNext w:val="0"/>
        <w:keepLines w:val="0"/>
        <w:pageBreakBefore w:val="0"/>
        <w:widowControl/>
        <w:tabs>
          <w:tab w:val="left" w:pos="2880"/>
        </w:tabs>
        <w:kinsoku/>
        <w:wordWrap/>
        <w:topLinePunct w:val="0"/>
        <w:autoSpaceDE/>
        <w:autoSpaceDN/>
        <w:bidi w:val="0"/>
        <w:spacing w:line="587"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一、部门概况</w:t>
      </w:r>
    </w:p>
    <w:p>
      <w:pPr>
        <w:keepNext w:val="0"/>
        <w:keepLines w:val="0"/>
        <w:pageBreakBefore w:val="0"/>
        <w:widowControl/>
        <w:tabs>
          <w:tab w:val="left" w:pos="2880"/>
        </w:tabs>
        <w:kinsoku/>
        <w:wordWrap/>
        <w:topLinePunct w:val="0"/>
        <w:autoSpaceDE/>
        <w:autoSpaceDN/>
        <w:bidi w:val="0"/>
        <w:spacing w:line="587"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（一）基本情况</w:t>
      </w:r>
    </w:p>
    <w:p>
      <w:pPr>
        <w:keepNext w:val="0"/>
        <w:keepLines w:val="0"/>
        <w:pageBreakBefore w:val="0"/>
        <w:widowControl/>
        <w:tabs>
          <w:tab w:val="left" w:pos="2880"/>
        </w:tabs>
        <w:kinsoku/>
        <w:wordWrap/>
        <w:topLinePunct w:val="0"/>
        <w:autoSpaceDE/>
        <w:autoSpaceDN/>
        <w:bidi w:val="0"/>
        <w:spacing w:line="587"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1.单位基本情况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87"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sz w:val="32"/>
          <w:szCs w:val="32"/>
        </w:rPr>
        <w:t>张掖丹霞大景区管理委员会，加挂张掖</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地质公园管理局牌子，为县级建制事业单位，隶属张掖市人民政府管理。</w:t>
      </w:r>
      <w:r>
        <w:rPr>
          <w:rFonts w:hint="eastAsia" w:ascii="仿宋_GB2312" w:hAnsi="仿宋_GB2312" w:eastAsia="仿宋_GB2312" w:cs="仿宋_GB2312"/>
          <w:sz w:val="32"/>
          <w:szCs w:val="32"/>
          <w:lang w:val="en-US" w:eastAsia="zh-CN"/>
        </w:rPr>
        <w:t>核定编制16名，设主任1名，专职副主任2名（1名兼国家地质公园管理局局长）、兼职副主任3名（分别由临泽县政府分管副县长、肃南县政府分管副县长、张掖丹霞文化旅游股份有限公司董事长兼任，不占领导职数）。内设办公室、景区管理科、规划建设科、遗迹保护科4个科室，核定科级干部职数8名实有科级干部5名，</w:t>
      </w:r>
      <w:r>
        <w:rPr>
          <w:rFonts w:hint="eastAsia" w:ascii="仿宋_GB2312" w:hAnsi="仿宋_GB2312" w:eastAsia="仿宋_GB2312" w:cs="仿宋_GB2312"/>
          <w:kern w:val="2"/>
          <w:sz w:val="32"/>
          <w:szCs w:val="32"/>
          <w:lang w:val="en-US" w:eastAsia="zh-CN" w:bidi="ar"/>
        </w:rPr>
        <w:t>12月引进人才3人，现有在编在岗人数16人。</w:t>
      </w:r>
    </w:p>
    <w:p>
      <w:pPr>
        <w:keepNext w:val="0"/>
        <w:keepLines w:val="0"/>
        <w:pageBreakBefore w:val="0"/>
        <w:widowControl/>
        <w:tabs>
          <w:tab w:val="left" w:pos="2880"/>
        </w:tabs>
        <w:kinsoku/>
        <w:wordWrap/>
        <w:topLinePunct w:val="0"/>
        <w:autoSpaceDE/>
        <w:autoSpaceDN/>
        <w:bidi w:val="0"/>
        <w:spacing w:line="587"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2.单位职能职责</w:t>
      </w:r>
    </w:p>
    <w:p>
      <w:pPr>
        <w:keepNext w:val="0"/>
        <w:keepLines w:val="0"/>
        <w:pageBreakBefore w:val="0"/>
        <w:widowControl w:val="0"/>
        <w:kinsoku/>
        <w:wordWrap/>
        <w:overflowPunct/>
        <w:topLinePunct w:val="0"/>
        <w:autoSpaceDE/>
        <w:autoSpaceDN/>
        <w:bidi w:val="0"/>
        <w:adjustRightInd w:val="0"/>
        <w:snapToGrid w:val="0"/>
        <w:spacing w:line="587"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宣传贯彻国家有关风景名胜区、地质公园等有关法律法规和政策，制定景区管理办法和各项管理制度。统筹协调相关县区和部门单位推进大景区范围内资源的有效整合，实行统一规划、统一保护、统一开发、统一管理。</w:t>
      </w:r>
    </w:p>
    <w:p>
      <w:pPr>
        <w:keepNext w:val="0"/>
        <w:keepLines w:val="0"/>
        <w:pageBreakBefore w:val="0"/>
        <w:widowControl w:val="0"/>
        <w:kinsoku/>
        <w:wordWrap/>
        <w:overflowPunct/>
        <w:topLinePunct w:val="0"/>
        <w:autoSpaceDE/>
        <w:autoSpaceDN/>
        <w:bidi w:val="0"/>
        <w:adjustRightInd w:val="0"/>
        <w:snapToGrid w:val="0"/>
        <w:spacing w:line="587"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拟订景区总体规划、景点建设规划和景区发展计划；规划、管理景区内旅游设施、基础设施、公共设施等建设项目。</w:t>
      </w:r>
    </w:p>
    <w:p>
      <w:pPr>
        <w:keepNext w:val="0"/>
        <w:keepLines w:val="0"/>
        <w:pageBreakBefore w:val="0"/>
        <w:widowControl w:val="0"/>
        <w:kinsoku/>
        <w:wordWrap/>
        <w:overflowPunct/>
        <w:topLinePunct w:val="0"/>
        <w:autoSpaceDE/>
        <w:autoSpaceDN/>
        <w:bidi w:val="0"/>
        <w:adjustRightInd w:val="0"/>
        <w:snapToGrid w:val="0"/>
        <w:spacing w:line="587"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保护景区的自然环境、自然资源和风景名胜资源；开展科学研究、自然资源调查并建立档案。</w:t>
      </w:r>
    </w:p>
    <w:p>
      <w:pPr>
        <w:keepNext w:val="0"/>
        <w:keepLines w:val="0"/>
        <w:pageBreakBefore w:val="0"/>
        <w:widowControl w:val="0"/>
        <w:kinsoku/>
        <w:wordWrap/>
        <w:overflowPunct/>
        <w:topLinePunct w:val="0"/>
        <w:autoSpaceDE/>
        <w:autoSpaceDN/>
        <w:bidi w:val="0"/>
        <w:adjustRightInd w:val="0"/>
        <w:snapToGrid w:val="0"/>
        <w:spacing w:line="587" w:lineRule="exact"/>
        <w:ind w:firstLine="640" w:firstLineChars="200"/>
        <w:textAlignment w:val="auto"/>
        <w:rPr>
          <w:rFonts w:hint="eastAsia" w:ascii="仿宋_GB2312" w:eastAsia="仿宋_GB2312"/>
          <w:spacing w:val="-6"/>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负责景区招商引资、营销策划和对外宣传；开发利用自然</w:t>
      </w:r>
      <w:r>
        <w:rPr>
          <w:rFonts w:hint="eastAsia" w:ascii="仿宋_GB2312" w:eastAsia="仿宋_GB2312"/>
          <w:spacing w:val="-6"/>
          <w:sz w:val="32"/>
          <w:szCs w:val="32"/>
        </w:rPr>
        <w:t>资源和风景名胜资源，发展旅游产业，组织旅游产品的开发与促销。</w:t>
      </w:r>
    </w:p>
    <w:p>
      <w:pPr>
        <w:keepNext w:val="0"/>
        <w:keepLines w:val="0"/>
        <w:pageBreakBefore w:val="0"/>
        <w:widowControl w:val="0"/>
        <w:kinsoku/>
        <w:wordWrap/>
        <w:overflowPunct/>
        <w:topLinePunct w:val="0"/>
        <w:autoSpaceDE/>
        <w:autoSpaceDN/>
        <w:bidi w:val="0"/>
        <w:adjustRightInd w:val="0"/>
        <w:snapToGrid w:val="0"/>
        <w:spacing w:line="587"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依据有关法律法规及相关规定，经省政府批准，在相关业务主管部门的协调配合下，做好景区内的安全生产、环境保护、食品卫生、商务、宗教活动和服务业管理等方面的行政处罚工作；负责景区文明创建、社会治安综合治理、护林防火和旅游秩序维护等工作。</w:t>
      </w:r>
    </w:p>
    <w:p>
      <w:pPr>
        <w:keepNext w:val="0"/>
        <w:keepLines w:val="0"/>
        <w:pageBreakBefore w:val="0"/>
        <w:widowControl w:val="0"/>
        <w:kinsoku/>
        <w:wordWrap/>
        <w:overflowPunct/>
        <w:topLinePunct w:val="0"/>
        <w:autoSpaceDE/>
        <w:autoSpaceDN/>
        <w:bidi w:val="0"/>
        <w:adjustRightInd w:val="0"/>
        <w:snapToGrid w:val="0"/>
        <w:spacing w:line="587"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负责地质公园自然环境和地质遗迹资源保护，开展地质公园内地质遗迹调查和监测，开展地质遗迹保护宣传，编制地质公园规划并组织实施；组织开展地质遗迹保护科普宣传教育工作；配合相关部门做好世界地质公园申报创建工作。</w:t>
      </w:r>
    </w:p>
    <w:p>
      <w:pPr>
        <w:keepNext w:val="0"/>
        <w:keepLines w:val="0"/>
        <w:pageBreakBefore w:val="0"/>
        <w:widowControl w:val="0"/>
        <w:kinsoku/>
        <w:wordWrap/>
        <w:overflowPunct/>
        <w:topLinePunct w:val="0"/>
        <w:autoSpaceDE/>
        <w:autoSpaceDN/>
        <w:bidi w:val="0"/>
        <w:adjustRightInd w:val="0"/>
        <w:snapToGrid w:val="0"/>
        <w:spacing w:line="587" w:lineRule="exact"/>
        <w:ind w:firstLine="640" w:firstLineChars="200"/>
        <w:textAlignment w:val="auto"/>
        <w:rPr>
          <w:rFonts w:hint="eastAsia"/>
          <w:lang w:eastAsia="zh-CN"/>
        </w:rPr>
      </w:pPr>
      <w:r>
        <w:rPr>
          <w:rFonts w:hint="eastAsia" w:ascii="仿宋_GB2312" w:eastAsia="仿宋_GB2312"/>
          <w:sz w:val="32"/>
          <w:szCs w:val="32"/>
          <w:lang w:val="en-US" w:eastAsia="zh-CN"/>
        </w:rPr>
        <w:t>7.</w:t>
      </w:r>
      <w:r>
        <w:rPr>
          <w:rFonts w:hint="eastAsia" w:ascii="仿宋_GB2312" w:eastAsia="仿宋_GB2312"/>
          <w:sz w:val="32"/>
          <w:szCs w:val="32"/>
        </w:rPr>
        <w:t>承办党委、政府交办的其他事项。</w:t>
      </w:r>
    </w:p>
    <w:p>
      <w:pPr>
        <w:keepNext w:val="0"/>
        <w:keepLines w:val="0"/>
        <w:pageBreakBefore w:val="0"/>
        <w:widowControl/>
        <w:tabs>
          <w:tab w:val="left" w:pos="2880"/>
        </w:tabs>
        <w:kinsoku/>
        <w:wordWrap/>
        <w:topLinePunct w:val="0"/>
        <w:autoSpaceDE/>
        <w:autoSpaceDN/>
        <w:bidi w:val="0"/>
        <w:spacing w:line="587" w:lineRule="exact"/>
        <w:ind w:firstLine="643" w:firstLineChars="200"/>
        <w:textAlignment w:val="auto"/>
        <w:rPr>
          <w:rFonts w:hint="eastAsia" w:ascii="仿宋_GB2312" w:hAnsi="Times New Roman" w:eastAsia="仿宋_GB2312" w:cs="Times New Roman"/>
          <w:b/>
          <w:sz w:val="32"/>
          <w:szCs w:val="32"/>
        </w:rPr>
      </w:pPr>
      <w:r>
        <w:rPr>
          <w:rFonts w:hint="eastAsia" w:ascii="仿宋_GB2312" w:hAnsi="Times New Roman" w:eastAsia="仿宋_GB2312" w:cs="Times New Roman"/>
          <w:b/>
          <w:sz w:val="32"/>
          <w:szCs w:val="32"/>
        </w:rPr>
        <w:t>（二）年度重点工作</w:t>
      </w:r>
    </w:p>
    <w:p>
      <w:pPr>
        <w:keepNext w:val="0"/>
        <w:keepLines w:val="0"/>
        <w:pageBreakBefore w:val="0"/>
        <w:kinsoku/>
        <w:wordWrap/>
        <w:overflowPunct/>
        <w:topLinePunct w:val="0"/>
        <w:autoSpaceDE/>
        <w:autoSpaceDN/>
        <w:bidi w:val="0"/>
        <w:spacing w:line="587" w:lineRule="exact"/>
        <w:ind w:firstLine="643" w:firstLineChars="200"/>
        <w:textAlignment w:val="baseline"/>
        <w:rPr>
          <w:rFonts w:hint="eastAsia"/>
          <w:lang w:val="en-US" w:eastAsia="zh-CN"/>
        </w:rPr>
      </w:pPr>
      <w:bookmarkStart w:id="0" w:name="（三）部门整体收支情况"/>
      <w:bookmarkEnd w:id="0"/>
      <w:r>
        <w:rPr>
          <w:rFonts w:hint="eastAsia" w:ascii="仿宋_GB2312" w:hAnsi="仿宋_GB2312" w:eastAsia="仿宋_GB2312" w:cs="仿宋_GB2312"/>
          <w:b/>
          <w:bCs w:val="0"/>
          <w:color w:val="auto"/>
          <w:sz w:val="32"/>
          <w:szCs w:val="32"/>
          <w:lang w:val="en-US" w:eastAsia="zh-CN"/>
        </w:rPr>
        <w:t>一是丹霞股份公司上市进展有序。</w:t>
      </w:r>
      <w:r>
        <w:rPr>
          <w:rFonts w:hint="eastAsia" w:ascii="仿宋_GB2312" w:hAnsi="仿宋_GB2312" w:eastAsia="仿宋_GB2312" w:cs="仿宋_GB2312"/>
          <w:sz w:val="32"/>
          <w:szCs w:val="32"/>
          <w:highlight w:val="none"/>
          <w:lang w:val="en-US" w:eastAsia="zh-CN"/>
        </w:rPr>
        <w:t>强化协调服务，先后完成12类1326项6442条初期尽职调查资料的整理汇总，集中解决公司运营模式、人员分离、生产经营物资计量、经营性相关资产分离和</w:t>
      </w:r>
      <w:r>
        <w:rPr>
          <w:rFonts w:hint="eastAsia" w:ascii="仿宋_GB2312" w:hAnsi="仿宋_GB2312" w:eastAsia="仿宋_GB2312" w:cs="仿宋_GB2312"/>
          <w:b w:val="0"/>
          <w:bCs w:val="0"/>
          <w:sz w:val="32"/>
          <w:szCs w:val="32"/>
          <w:lang w:val="en-US" w:eastAsia="zh-CN"/>
        </w:rPr>
        <w:t>景区特许经营权证颁发、观光车服务价格调整、历史遗留关联交易等50余项问题，为丹霞股份公司上市创造了良好条件。</w:t>
      </w:r>
      <w:r>
        <w:rPr>
          <w:rFonts w:hint="eastAsia" w:ascii="仿宋_GB2312" w:hAnsi="仿宋_GB2312" w:eastAsia="仿宋_GB2312" w:cs="仿宋_GB2312"/>
          <w:b/>
          <w:bCs w:val="0"/>
          <w:color w:val="auto"/>
          <w:sz w:val="32"/>
          <w:szCs w:val="32"/>
          <w:lang w:val="en-US" w:eastAsia="zh-CN"/>
        </w:rPr>
        <w:t>二是“两大世界品牌”创建扎实推进。</w:t>
      </w:r>
      <w:r>
        <w:rPr>
          <w:rFonts w:hint="eastAsia" w:ascii="仿宋_GB2312" w:hAnsi="仿宋_GB2312" w:eastAsia="仿宋_GB2312" w:cs="仿宋_GB2312"/>
          <w:b w:val="0"/>
          <w:bCs w:val="0"/>
          <w:sz w:val="32"/>
          <w:szCs w:val="32"/>
          <w:lang w:val="en-US" w:eastAsia="zh-CN"/>
        </w:rPr>
        <w:t>编制世界自然遗产名录申报可研报告和七彩丹霞世界级旅游景区建设规划，精心制定实施方案，细化分解任务，举办为期30天的世界级旅游景区创建培训班，与国家林草局、中科院、中国旅游研究等单位多次沟通对接并完善创建工作推进计划，世界自然遗产名录申报和七彩丹霞世界级旅游景区创建工作扎实推进。</w:t>
      </w:r>
      <w:r>
        <w:rPr>
          <w:rFonts w:hint="eastAsia" w:ascii="仿宋_GB2312" w:hAnsi="仿宋_GB2312" w:eastAsia="仿宋_GB2312" w:cs="仿宋_GB2312"/>
          <w:b/>
          <w:bCs w:val="0"/>
          <w:color w:val="auto"/>
          <w:sz w:val="32"/>
          <w:szCs w:val="32"/>
          <w:lang w:val="en-US" w:eastAsia="zh-CN"/>
        </w:rPr>
        <w:t>三是项目谋划和争取成效明显。</w:t>
      </w:r>
      <w:r>
        <w:rPr>
          <w:rFonts w:hint="eastAsia" w:ascii="仿宋_GB2312" w:hAnsi="仿宋_GB2312" w:eastAsia="仿宋_GB2312" w:cs="仿宋_GB2312"/>
          <w:b w:val="0"/>
          <w:bCs w:val="0"/>
          <w:sz w:val="32"/>
          <w:szCs w:val="32"/>
          <w:lang w:val="en-US" w:eastAsia="zh-CN"/>
        </w:rPr>
        <w:t>积极争取项目资金及政策支持，</w:t>
      </w:r>
      <w:r>
        <w:rPr>
          <w:rFonts w:hint="eastAsia" w:ascii="仿宋_GB2312" w:hAnsi="仿宋_GB2312" w:eastAsia="仿宋_GB2312" w:cs="仿宋_GB2312"/>
          <w:sz w:val="32"/>
          <w:szCs w:val="32"/>
          <w:lang w:val="en-US" w:eastAsia="zh-CN"/>
        </w:rPr>
        <w:t>国家林草局“十四五”支持旅游业发展</w:t>
      </w:r>
      <w:r>
        <w:rPr>
          <w:rFonts w:hint="eastAsia" w:ascii="仿宋_GB2312" w:hAnsi="仿宋_GB2312" w:eastAsia="仿宋_GB2312" w:cs="仿宋_GB2312"/>
          <w:b w:val="0"/>
          <w:bCs w:val="0"/>
          <w:sz w:val="32"/>
          <w:szCs w:val="32"/>
          <w:lang w:val="en-US" w:eastAsia="zh-CN"/>
        </w:rPr>
        <w:t>、丹霞七彩小镇建设、地质灾害防治、生态文化村建设等4个重点项目已上报省上相关厅局和国家部委，祁连山生态科普馆项目下达资金2100多万元，丹霞大景区提质扩容项目争取省文旅厅补贴资金60万元；七彩丹霞旅游景区基础设施提升改造项目建成运营，《阿兰拉格达》沉浸式梦幻山谷光影演绎提升项目完工复演、绿化用水蓄水池项目启动建设，共完成投资6257.17万元；总投资15.6亿元的省公航旅丹霞小镇二期工程、冰沟丹霞景区基础设施建设等5个项目前期工作正在加快推进</w:t>
      </w:r>
      <w:r>
        <w:rPr>
          <w:rFonts w:hint="eastAsia" w:ascii="仿宋_GB2312" w:hAnsi="仿宋_GB2312" w:eastAsia="仿宋_GB2312" w:cs="仿宋_GB2312"/>
          <w:b w:val="0"/>
          <w:bCs w:val="0"/>
          <w:spacing w:val="-6"/>
          <w:sz w:val="32"/>
          <w:szCs w:val="32"/>
          <w:lang w:val="en-US" w:eastAsia="zh-CN"/>
        </w:rPr>
        <w:t>。</w:t>
      </w:r>
      <w:r>
        <w:rPr>
          <w:rFonts w:hint="eastAsia" w:ascii="仿宋_GB2312" w:hAnsi="仿宋_GB2312" w:eastAsia="仿宋_GB2312" w:cs="仿宋_GB2312"/>
          <w:b/>
          <w:bCs w:val="0"/>
          <w:color w:val="auto"/>
          <w:sz w:val="32"/>
          <w:szCs w:val="32"/>
          <w:lang w:val="en-US" w:eastAsia="zh-CN"/>
        </w:rPr>
        <w:t>四是世界地质公园建设管理不断加强。</w:t>
      </w:r>
      <w:r>
        <w:rPr>
          <w:rFonts w:hint="eastAsia" w:ascii="仿宋_GB2312" w:hAnsi="仿宋_GB2312" w:eastAsia="仿宋_GB2312" w:cs="仿宋_GB2312"/>
          <w:b w:val="0"/>
          <w:bCs w:val="0"/>
          <w:sz w:val="32"/>
          <w:szCs w:val="32"/>
          <w:lang w:val="en-US" w:eastAsia="zh-CN"/>
        </w:rPr>
        <w:t>针对联合国教科文组织提出的10条整改意见，精心制定张掖世界地质公园再评估实施方案，各项工作正在加快推进；加快推进丹霞地貌保护立法，《张掖七彩丹霞保护条例》已通过省人大常委会审查批准并于9月25日正式发布施行；世界地质公园、国家地质公园和丹霞大景区3项总体规划初步编制完成；举办“春绿陇原·永远的绿洲”七彩丹霞实景云展播交响音乐会，着力宣传推介“行走丝路·品读丹霞”科普研学、“激情户外·品赏丹霞”徒步拓展、“探秘地球·品鉴丹霞”科考研究3条精品研学旅游线路；积极开展张掖世界地质公园系列科普宣传教育活动，联合中国华文教育基金会开办《七彩丹霞》实景课堂，全球52个国家的7万多名师生线上走进张掖世界地质公园，张掖国家地质公园被中国科协命名为“全国科普教育基地”。</w:t>
      </w:r>
      <w:r>
        <w:rPr>
          <w:rFonts w:hint="eastAsia" w:ascii="仿宋_GB2312" w:hAnsi="仿宋_GB2312" w:eastAsia="仿宋_GB2312" w:cs="仿宋_GB2312"/>
          <w:b/>
          <w:bCs/>
          <w:kern w:val="0"/>
          <w:sz w:val="32"/>
          <w:szCs w:val="32"/>
          <w:lang w:val="en-US" w:eastAsia="zh-CN"/>
        </w:rPr>
        <w:t>五是旅游服务标准化建设工作实现突破。</w:t>
      </w:r>
      <w:r>
        <w:rPr>
          <w:rFonts w:hint="eastAsia" w:ascii="仿宋_GB2312" w:hAnsi="仿宋_GB2312" w:eastAsia="仿宋_GB2312" w:cs="仿宋_GB2312"/>
          <w:b w:val="0"/>
          <w:bCs w:val="0"/>
          <w:sz w:val="32"/>
          <w:szCs w:val="32"/>
          <w:lang w:val="en-US" w:eastAsia="zh-CN"/>
        </w:rPr>
        <w:t>精心制定全员化、全覆盖的《张掖世界地质公园和丹霞大景区旅游服务基本标准和规范》，指导丹霞股份公司积极创建省级文明单位和标准化示范企业，并督促其他经营企业进一步完善旅游服务标准，旅游服务标准化建设工作实现新的突破。</w:t>
      </w:r>
      <w:r>
        <w:rPr>
          <w:rFonts w:hint="eastAsia" w:ascii="仿宋_GB2312" w:eastAsia="仿宋_GB2312"/>
          <w:b w:val="0"/>
          <w:bCs/>
          <w:color w:val="auto"/>
          <w:sz w:val="32"/>
          <w:szCs w:val="32"/>
          <w:lang w:val="en-US" w:eastAsia="zh-CN"/>
        </w:rPr>
        <w:t>12月申报2022年度省级技术创新引导计划项目经费10万元，用于甘肃省特色科普基地-丹霞与彩色丘陵复合地貌研究与展示项目启动资金。</w:t>
      </w:r>
    </w:p>
    <w:p>
      <w:pPr>
        <w:keepNext w:val="0"/>
        <w:keepLines w:val="0"/>
        <w:pageBreakBefore w:val="0"/>
        <w:widowControl/>
        <w:tabs>
          <w:tab w:val="left" w:pos="2880"/>
        </w:tabs>
        <w:kinsoku/>
        <w:wordWrap/>
        <w:topLinePunct w:val="0"/>
        <w:autoSpaceDE/>
        <w:autoSpaceDN/>
        <w:bidi w:val="0"/>
        <w:spacing w:line="587" w:lineRule="exact"/>
        <w:ind w:firstLine="643" w:firstLineChars="200"/>
        <w:textAlignment w:val="auto"/>
        <w:rPr>
          <w:rFonts w:hint="eastAsia"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rPr>
        <w:t>（三）</w:t>
      </w:r>
      <w:r>
        <w:rPr>
          <w:rFonts w:hint="eastAsia" w:ascii="仿宋_GB2312" w:hAnsi="Times New Roman" w:eastAsia="仿宋_GB2312" w:cs="Times New Roman"/>
          <w:b/>
          <w:sz w:val="32"/>
          <w:szCs w:val="32"/>
        </w:rPr>
        <w:fldChar w:fldCharType="begin"/>
      </w:r>
      <w:r>
        <w:rPr>
          <w:rFonts w:hint="eastAsia" w:ascii="仿宋_GB2312" w:hAnsi="Times New Roman" w:eastAsia="仿宋_GB2312" w:cs="Times New Roman"/>
          <w:b/>
          <w:sz w:val="32"/>
          <w:szCs w:val="32"/>
        </w:rPr>
        <w:instrText xml:space="preserve"> HYPERLINK "http://www.ynf.gov.cn/zdlyxxgk/jxxx/jxpj/ztzc/201709/t20170928_468322.html" \l "_Toc434746189" </w:instrText>
      </w:r>
      <w:r>
        <w:rPr>
          <w:rFonts w:hint="eastAsia" w:ascii="仿宋_GB2312" w:hAnsi="Times New Roman" w:eastAsia="仿宋_GB2312" w:cs="Times New Roman"/>
          <w:b/>
          <w:sz w:val="32"/>
          <w:szCs w:val="32"/>
        </w:rPr>
        <w:fldChar w:fldCharType="separate"/>
      </w:r>
      <w:r>
        <w:rPr>
          <w:rFonts w:hint="eastAsia" w:ascii="仿宋_GB2312" w:hAnsi="Times New Roman" w:eastAsia="仿宋_GB2312" w:cs="Times New Roman"/>
          <w:b/>
          <w:sz w:val="32"/>
          <w:szCs w:val="32"/>
        </w:rPr>
        <w:t>整体收支情况</w:t>
      </w:r>
      <w:r>
        <w:rPr>
          <w:rFonts w:hint="eastAsia" w:ascii="仿宋_GB2312" w:hAnsi="Times New Roman" w:eastAsia="仿宋_GB2312" w:cs="Times New Roman"/>
          <w:b/>
          <w:sz w:val="32"/>
          <w:szCs w:val="32"/>
        </w:rPr>
        <w:fldChar w:fldCharType="end"/>
      </w:r>
    </w:p>
    <w:p>
      <w:pPr>
        <w:keepNext w:val="0"/>
        <w:keepLines w:val="0"/>
        <w:pageBreakBefore w:val="0"/>
        <w:numPr>
          <w:ilvl w:val="0"/>
          <w:numId w:val="0"/>
        </w:numPr>
        <w:kinsoku/>
        <w:wordWrap/>
        <w:overflowPunct w:val="0"/>
        <w:topLinePunct w:val="0"/>
        <w:autoSpaceDE/>
        <w:autoSpaceDN/>
        <w:bidi w:val="0"/>
        <w:adjustRightInd w:val="0"/>
        <w:snapToGrid w:val="0"/>
        <w:spacing w:line="587" w:lineRule="exact"/>
        <w:ind w:firstLine="640" w:firstLineChars="200"/>
        <w:textAlignment w:val="auto"/>
        <w:rPr>
          <w:rFonts w:hint="eastAsia" w:ascii="楷体_GB2312" w:hAnsi="黑体" w:eastAsia="楷体_GB2312" w:cs="黑体"/>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1.上年结转</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87" w:lineRule="exact"/>
        <w:ind w:right="0" w:rightChars="0" w:firstLine="640" w:firstLineChars="200"/>
        <w:jc w:val="both"/>
        <w:textAlignment w:val="auto"/>
        <w:outlineLvl w:val="9"/>
        <w:rPr>
          <w:rFonts w:hint="eastAsia" w:ascii="仿宋_GB2312" w:eastAsia="仿宋_GB2312"/>
          <w:color w:val="000000" w:themeColor="text1"/>
          <w:sz w:val="32"/>
          <w:szCs w:val="32"/>
          <w:lang w:val="en-US" w:eastAsia="zh-CN"/>
          <w14:textFill>
            <w14:solidFill>
              <w14:schemeClr w14:val="tx1"/>
            </w14:solidFill>
          </w14:textFill>
        </w:rPr>
      </w:pPr>
      <w:bookmarkStart w:id="1" w:name="（四）部门预算管理制度建设情况"/>
      <w:bookmarkEnd w:id="1"/>
      <w:r>
        <w:rPr>
          <w:rFonts w:hint="eastAsia" w:ascii="仿宋_GB2312" w:eastAsia="仿宋_GB2312"/>
          <w:color w:val="000000" w:themeColor="text1"/>
          <w:sz w:val="32"/>
          <w:szCs w:val="32"/>
          <w:lang w:val="en-US" w:eastAsia="zh-CN"/>
          <w14:textFill>
            <w14:solidFill>
              <w14:schemeClr w14:val="tx1"/>
            </w14:solidFill>
          </w14:textFill>
        </w:rPr>
        <w:t>（1）2021年丹霞大景区管委会结转0元。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87" w:lineRule="exact"/>
        <w:ind w:right="0" w:rightChars="0" w:firstLine="640" w:firstLineChars="200"/>
        <w:jc w:val="both"/>
        <w:textAlignment w:val="auto"/>
        <w:outlineLvl w:val="9"/>
        <w:rPr>
          <w:rFonts w:hint="default"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2.本年收入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87"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（1）财政拨款收入，2022年财政安排我委一般公共预算财政拨款收入合计12723177.22元。</w:t>
      </w:r>
      <w:r>
        <w:rPr>
          <w:rFonts w:hint="eastAsia" w:ascii="仿宋_GB2312" w:eastAsia="仿宋_GB2312"/>
          <w:color w:val="000000" w:themeColor="text1"/>
          <w:sz w:val="32"/>
          <w:szCs w:val="32"/>
          <w:lang w:val="en-US" w:eastAsia="zh-CN"/>
          <w14:textFill>
            <w14:solidFill>
              <w14:schemeClr w14:val="tx1"/>
            </w14:solidFill>
          </w14:textFill>
        </w:rPr>
        <w:t>其中安排部门人员经费与公用经费1937564.56元，</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博物馆运行经费80万元，张掖世界地质公园中期评估经费100万元，招商引资工作经费5万元，地质博物馆工程建设8335612.66元，文化旅游产业提质增效项目补助资金60万元。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87" w:lineRule="exact"/>
        <w:ind w:right="0" w:rightChars="0" w:firstLine="640" w:firstLineChars="200"/>
        <w:jc w:val="both"/>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（2）其他收入，张掖世界地质公园博物馆-特色科普基地拨款10万元。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87" w:lineRule="exact"/>
        <w:ind w:right="0" w:rightChars="0" w:firstLine="640" w:firstLineChars="200"/>
        <w:jc w:val="both"/>
        <w:textAlignment w:val="auto"/>
        <w:rPr>
          <w:rFonts w:hint="eastAsia" w:ascii="仿宋_GB2312" w:hAnsi="仿宋_GB2312" w:eastAsia="仿宋_GB2312" w:cs="仿宋_GB2312"/>
          <w:color w:val="FF0000"/>
          <w:kern w:val="2"/>
          <w:sz w:val="32"/>
          <w:szCs w:val="32"/>
          <w:lang w:val="en-US" w:eastAsia="zh-CN" w:bidi="ar"/>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全年收入计为12823177.22元。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87"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2.本年支出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87"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（1）2022年度我委基本支出2737564.56元（其中部门预算人员经费支出1830901.5元，部门预算人员公用经费支出106663.06元，博物馆运行经费人员经费支出16228.76元，博物馆运行经费支出783771.24元，）。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87"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（2）张掖世界地质公园中期评估经费支出85万元。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87"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（3）招商引资工作经费支出9783元。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87"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（4）地质博物馆工程建设支出8335612.66元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87"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（5）文化旅游产业提质增效项目补助资金支出60万元。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87" w:lineRule="exact"/>
        <w:ind w:right="0" w:rightChars="0" w:firstLine="640" w:firstLineChars="200"/>
        <w:jc w:val="both"/>
        <w:textAlignment w:val="auto"/>
        <w:rPr>
          <w:rFonts w:hint="eastAsia"/>
          <w:lang w:val="en-US" w:eastAsia="zh-CN"/>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（6）张掖世界地质公园博物馆-特色科普基地拨款支出10万元。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87" w:lineRule="exact"/>
        <w:ind w:right="0" w:rightChars="0"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全年支出合计12632960.22元。</w:t>
      </w:r>
    </w:p>
    <w:p>
      <w:pPr>
        <w:keepNext w:val="0"/>
        <w:keepLines w:val="0"/>
        <w:pageBreakBefore w:val="0"/>
        <w:widowControl/>
        <w:tabs>
          <w:tab w:val="left" w:pos="2880"/>
        </w:tabs>
        <w:kinsoku/>
        <w:wordWrap/>
        <w:topLinePunct w:val="0"/>
        <w:autoSpaceDE/>
        <w:autoSpaceDN/>
        <w:bidi w:val="0"/>
        <w:spacing w:line="587"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rPr>
        <w:t>二、整体支出管理及使用情况</w:t>
      </w:r>
    </w:p>
    <w:p>
      <w:pPr>
        <w:keepNext w:val="0"/>
        <w:keepLines w:val="0"/>
        <w:pageBreakBefore w:val="0"/>
        <w:kinsoku/>
        <w:wordWrap/>
        <w:topLinePunct w:val="0"/>
        <w:autoSpaceDE/>
        <w:autoSpaceDN/>
        <w:bidi w:val="0"/>
        <w:spacing w:line="587" w:lineRule="exact"/>
        <w:ind w:firstLine="643" w:firstLineChars="200"/>
        <w:textAlignment w:val="auto"/>
        <w:rPr>
          <w:rFonts w:hint="eastAsia" w:ascii="仿宋_GB2312" w:hAnsi="仿宋_GB2312" w:eastAsia="仿宋_GB2312" w:cs="E-BZ-PK7482de-Identity-H"/>
          <w:color w:val="000000" w:themeColor="text1"/>
          <w:kern w:val="0"/>
          <w:sz w:val="32"/>
          <w:szCs w:val="32"/>
          <w:lang w:eastAsia="zh-CN"/>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（一）基本支出</w:t>
      </w:r>
    </w:p>
    <w:p>
      <w:pPr>
        <w:keepNext w:val="0"/>
        <w:keepLines w:val="0"/>
        <w:pageBreakBefore w:val="0"/>
        <w:kinsoku/>
        <w:wordWrap/>
        <w:topLinePunct w:val="0"/>
        <w:autoSpaceDE/>
        <w:autoSpaceDN/>
        <w:bidi w:val="0"/>
        <w:spacing w:line="587"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2022年我委财政拨款基本支出涉及2类，包括部门预算基本支出，地质博物馆运行经费支出，现将支出管理及使用情况就经济分类科目进行说明。</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87" w:lineRule="exact"/>
        <w:ind w:right="0" w:rightChars="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1.部门预算支出，</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2022年度我委部门预算基本支出共计1937564.56元，其中工资福利支出1830901.5元，相较于年初预算133.96万元增加了36.68%，主要原因是年初工资调标，全年人员经费增加；</w:t>
      </w:r>
      <w:r>
        <w:rPr>
          <w:rFonts w:hint="eastAsia" w:ascii="仿宋_GB2312" w:hAnsi="仿宋_GB2312" w:eastAsia="仿宋_GB2312" w:cs="仿宋_GB2312"/>
          <w:b w:val="0"/>
          <w:bCs w:val="0"/>
          <w:color w:val="000000" w:themeColor="text1"/>
          <w:kern w:val="2"/>
          <w:sz w:val="32"/>
          <w:szCs w:val="32"/>
          <w:lang w:val="en-US" w:eastAsia="zh-CN" w:bidi="ar"/>
          <w14:textFill>
            <w14:solidFill>
              <w14:schemeClr w14:val="tx1"/>
            </w14:solidFill>
          </w14:textFill>
        </w:rPr>
        <w:t>商品和服务支出106663.06元，相较于年初预算10.67万元，下降了0.03%，主要原因是，贯彻落实相关政策规定，压减部门预算经费支出。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87" w:lineRule="exact"/>
        <w:ind w:right="0" w:righ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2.博物馆运行经费支出，</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2022年度财政安排我委地质博物馆运行经费年初预算共计800000元，支出共计800000元。其中工资福利支出16228.76元，商品和服务支出783771.24元，相较于4月申请市级批复800000元，预算执行率100%。地质博物馆工程建设经费支出8335612.66元，预算执行率100%。</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87" w:lineRule="exact"/>
        <w:ind w:right="0" w:rightChars="0" w:firstLine="640" w:firstLineChars="200"/>
        <w:jc w:val="both"/>
        <w:textAlignment w:val="auto"/>
        <w:rPr>
          <w:rFonts w:hint="default" w:ascii="仿宋_GB2312" w:hAnsi="仿宋_GB2312" w:eastAsia="仿宋_GB2312" w:cs="仿宋_GB2312"/>
          <w:color w:val="FF0000"/>
          <w:kern w:val="2"/>
          <w:sz w:val="32"/>
          <w:szCs w:val="32"/>
          <w:lang w:val="en-US" w:eastAsia="zh-CN" w:bidi="ar"/>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3.张掖世界地质公园中期评估经费商品和服务支出支出85万元，预算执行率85%。</w:t>
      </w:r>
    </w:p>
    <w:p>
      <w:pPr>
        <w:keepNext w:val="0"/>
        <w:keepLines w:val="0"/>
        <w:pageBreakBefore w:val="0"/>
        <w:kinsoku/>
        <w:wordWrap/>
        <w:topLinePunct w:val="0"/>
        <w:autoSpaceDE/>
        <w:autoSpaceDN/>
        <w:bidi w:val="0"/>
        <w:spacing w:line="587" w:lineRule="exact"/>
        <w:ind w:firstLine="643" w:firstLineChars="200"/>
        <w:textAlignment w:val="auto"/>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（二）“三公”经费决算说明</w:t>
      </w:r>
    </w:p>
    <w:p>
      <w:pPr>
        <w:keepNext w:val="0"/>
        <w:keepLines w:val="0"/>
        <w:pageBreakBefore w:val="0"/>
        <w:numPr>
          <w:ilvl w:val="0"/>
          <w:numId w:val="0"/>
        </w:numPr>
        <w:kinsoku/>
        <w:wordWrap/>
        <w:topLinePunct w:val="0"/>
        <w:autoSpaceDE/>
        <w:autoSpaceDN/>
        <w:bidi w:val="0"/>
        <w:spacing w:line="587" w:lineRule="exact"/>
        <w:ind w:firstLine="640" w:firstLineChars="200"/>
        <w:textAlignment w:val="auto"/>
        <w:rPr>
          <w:rFonts w:hint="default" w:ascii="仿宋_GB2312" w:eastAsia="仿宋_GB2312"/>
          <w:b/>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年度</w:t>
      </w:r>
      <w:r>
        <w:rPr>
          <w:rFonts w:hint="eastAsia" w:ascii="仿宋_GB2312" w:hAnsi="仿宋_GB2312" w:eastAsia="仿宋_GB2312" w:cs="仿宋_GB2312"/>
          <w:color w:val="000000" w:themeColor="text1"/>
          <w:sz w:val="32"/>
          <w:szCs w:val="32"/>
          <w:lang w:eastAsia="zh-CN"/>
          <w14:textFill>
            <w14:solidFill>
              <w14:schemeClr w14:val="tx1"/>
            </w14:solidFill>
          </w14:textFill>
        </w:rPr>
        <w:t>本委</w:t>
      </w:r>
      <w:r>
        <w:rPr>
          <w:rFonts w:hint="eastAsia" w:ascii="仿宋_GB2312" w:hAnsi="仿宋_GB2312" w:eastAsia="仿宋_GB2312" w:cs="仿宋_GB2312"/>
          <w:color w:val="000000" w:themeColor="text1"/>
          <w:sz w:val="32"/>
          <w:szCs w:val="32"/>
          <w14:textFill>
            <w14:solidFill>
              <w14:schemeClr w14:val="tx1"/>
            </w14:solidFill>
          </w14:textFill>
        </w:rPr>
        <w:t>“三公”经费支出共计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7100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（公务接待费）</w:t>
      </w:r>
      <w:r>
        <w:rPr>
          <w:rFonts w:hint="eastAsia" w:ascii="仿宋_GB2312" w:hAnsi="仿宋_GB2312" w:eastAsia="仿宋_GB2312" w:cs="仿宋_GB2312"/>
          <w:color w:val="000000" w:themeColor="text1"/>
          <w:sz w:val="32"/>
          <w:szCs w:val="32"/>
          <w14:textFill>
            <w14:solidFill>
              <w14:schemeClr w14:val="tx1"/>
            </w14:solidFill>
          </w14:textFill>
        </w:rPr>
        <w:t>较年初预算数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1100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预算执行率达到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主要原因是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本年度招商引资任务提前完成，招商引资经费年末到位，部分经费占用接待费已做支出。</w:t>
      </w:r>
    </w:p>
    <w:p>
      <w:pPr>
        <w:keepNext w:val="0"/>
        <w:keepLines w:val="0"/>
        <w:pageBreakBefore w:val="0"/>
        <w:kinsoku/>
        <w:wordWrap/>
        <w:topLinePunct w:val="0"/>
        <w:autoSpaceDE/>
        <w:autoSpaceDN/>
        <w:bidi w:val="0"/>
        <w:spacing w:line="587" w:lineRule="exact"/>
        <w:ind w:firstLine="643" w:firstLineChars="200"/>
        <w:textAlignment w:val="auto"/>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（三）支出管理情况</w:t>
      </w:r>
    </w:p>
    <w:p>
      <w:pPr>
        <w:keepNext w:val="0"/>
        <w:keepLines w:val="0"/>
        <w:pageBreakBefore w:val="0"/>
        <w:numPr>
          <w:ilvl w:val="0"/>
          <w:numId w:val="0"/>
        </w:numPr>
        <w:kinsoku/>
        <w:wordWrap/>
        <w:topLinePunct w:val="0"/>
        <w:autoSpaceDE/>
        <w:autoSpaceDN/>
        <w:bidi w:val="0"/>
        <w:spacing w:line="587"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本年度，我委在收到财政拨付资金时，严格按照资金的用途使用。2022年度我委累计支出12532960.22元，就功能分类科目进行说明。</w:t>
      </w:r>
    </w:p>
    <w:p>
      <w:pPr>
        <w:keepNext w:val="0"/>
        <w:keepLines w:val="0"/>
        <w:pageBreakBefore w:val="0"/>
        <w:numPr>
          <w:ilvl w:val="0"/>
          <w:numId w:val="0"/>
        </w:numPr>
        <w:kinsoku/>
        <w:wordWrap/>
        <w:topLinePunct w:val="0"/>
        <w:autoSpaceDE/>
        <w:autoSpaceDN/>
        <w:bidi w:val="0"/>
        <w:spacing w:line="587"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1.本年支出管理情况：</w:t>
      </w:r>
    </w:p>
    <w:p>
      <w:pPr>
        <w:keepNext w:val="0"/>
        <w:keepLines w:val="0"/>
        <w:pageBreakBefore w:val="0"/>
        <w:numPr>
          <w:ilvl w:val="0"/>
          <w:numId w:val="0"/>
        </w:numPr>
        <w:kinsoku/>
        <w:wordWrap/>
        <w:topLinePunct w:val="0"/>
        <w:autoSpaceDE/>
        <w:autoSpaceDN/>
        <w:bidi w:val="0"/>
        <w:spacing w:line="587" w:lineRule="exact"/>
        <w:ind w:left="638" w:leftChars="304" w:firstLine="0" w:firstLineChars="0"/>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2070114--文化和旅游管理事务支出1750949.79元，无结转；2070199--其他文化和旅游支出（张掖世界地质公园中期评估经费，文化旅游产业提质增效项目补助资金）145万元，结转15万元；</w:t>
      </w:r>
    </w:p>
    <w:p>
      <w:pPr>
        <w:keepNext w:val="0"/>
        <w:keepLines w:val="0"/>
        <w:pageBreakBefore w:val="0"/>
        <w:numPr>
          <w:ilvl w:val="0"/>
          <w:numId w:val="0"/>
        </w:numPr>
        <w:kinsoku/>
        <w:wordWrap/>
        <w:topLinePunct w:val="0"/>
        <w:autoSpaceDE/>
        <w:autoSpaceDN/>
        <w:bidi w:val="0"/>
        <w:spacing w:line="587"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2070205--博物馆（张掖地质博物馆运行经费支出80万元，地质博物馆工程建设8335612.66元）支出9135612.66元，无结转；</w:t>
      </w:r>
    </w:p>
    <w:p>
      <w:pPr>
        <w:keepNext w:val="0"/>
        <w:keepLines w:val="0"/>
        <w:pageBreakBefore w:val="0"/>
        <w:numPr>
          <w:ilvl w:val="0"/>
          <w:numId w:val="0"/>
        </w:numPr>
        <w:kinsoku/>
        <w:wordWrap/>
        <w:topLinePunct w:val="0"/>
        <w:autoSpaceDE/>
        <w:autoSpaceDN/>
        <w:bidi w:val="0"/>
        <w:spacing w:line="587"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2080505--机关事业单位基本养老保险缴费支出115567.2元，无结转；</w:t>
      </w:r>
    </w:p>
    <w:p>
      <w:pPr>
        <w:keepNext w:val="0"/>
        <w:keepLines w:val="0"/>
        <w:pageBreakBefore w:val="0"/>
        <w:numPr>
          <w:ilvl w:val="0"/>
          <w:numId w:val="0"/>
        </w:numPr>
        <w:kinsoku/>
        <w:wordWrap/>
        <w:topLinePunct w:val="0"/>
        <w:autoSpaceDE/>
        <w:autoSpaceDN/>
        <w:bidi w:val="0"/>
        <w:spacing w:line="587" w:lineRule="exact"/>
        <w:ind w:firstLine="640" w:firstLineChars="200"/>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2011308-招商引资支出9783，无结转；</w:t>
      </w:r>
    </w:p>
    <w:p>
      <w:pPr>
        <w:keepNext w:val="0"/>
        <w:keepLines w:val="0"/>
        <w:pageBreakBefore w:val="0"/>
        <w:numPr>
          <w:ilvl w:val="0"/>
          <w:numId w:val="0"/>
        </w:numPr>
        <w:kinsoku/>
        <w:wordWrap/>
        <w:topLinePunct w:val="0"/>
        <w:autoSpaceDE/>
        <w:autoSpaceDN/>
        <w:bidi w:val="0"/>
        <w:spacing w:line="587"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2101102--事业单位医疗支出54330.54元，无结转；</w:t>
      </w:r>
    </w:p>
    <w:p>
      <w:pPr>
        <w:keepNext w:val="0"/>
        <w:keepLines w:val="0"/>
        <w:pageBreakBefore w:val="0"/>
        <w:numPr>
          <w:ilvl w:val="0"/>
          <w:numId w:val="0"/>
        </w:numPr>
        <w:kinsoku/>
        <w:wordWrap/>
        <w:topLinePunct w:val="0"/>
        <w:autoSpaceDE/>
        <w:autoSpaceDN/>
        <w:bidi w:val="0"/>
        <w:spacing w:line="587"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2101103--公务员医疗补助支出16717.03元，无结转；</w:t>
      </w:r>
    </w:p>
    <w:p>
      <w:pPr>
        <w:keepNext w:val="0"/>
        <w:keepLines w:val="0"/>
        <w:pageBreakBefore w:val="0"/>
        <w:kinsoku/>
        <w:wordWrap/>
        <w:topLinePunct w:val="0"/>
        <w:autoSpaceDE/>
        <w:autoSpaceDN/>
        <w:bidi w:val="0"/>
        <w:spacing w:line="587" w:lineRule="exact"/>
        <w:ind w:firstLine="643" w:firstLineChars="200"/>
        <w:textAlignment w:val="auto"/>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（四）资产管理情况</w:t>
      </w:r>
    </w:p>
    <w:p>
      <w:pPr>
        <w:keepNext w:val="0"/>
        <w:keepLines w:val="0"/>
        <w:pageBreakBefore w:val="0"/>
        <w:kinsoku/>
        <w:wordWrap/>
        <w:topLinePunct w:val="0"/>
        <w:autoSpaceDE/>
        <w:autoSpaceDN/>
        <w:bidi w:val="0"/>
        <w:spacing w:line="587"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2022年底，我委流动资产期末余额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元，非流动资产期末余额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5167854.14</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元，其中自用固定资产原值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8257736.69</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元，占账面固定资产总额的100%。累计折旧</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3089882.55</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元，固定资产净值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5167854.14</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元。</w:t>
      </w:r>
    </w:p>
    <w:p>
      <w:pPr>
        <w:keepNext w:val="0"/>
        <w:keepLines w:val="0"/>
        <w:pageBreakBefore w:val="0"/>
        <w:kinsoku/>
        <w:wordWrap/>
        <w:topLinePunct w:val="0"/>
        <w:autoSpaceDE/>
        <w:autoSpaceDN/>
        <w:bidi w:val="0"/>
        <w:spacing w:line="587"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三、整体支出绩效情况</w:t>
      </w:r>
    </w:p>
    <w:p>
      <w:pPr>
        <w:keepNext w:val="0"/>
        <w:keepLines w:val="0"/>
        <w:pageBreakBefore w:val="0"/>
        <w:kinsoku/>
        <w:wordWrap/>
        <w:topLinePunct w:val="0"/>
        <w:autoSpaceDE/>
        <w:autoSpaceDN/>
        <w:bidi w:val="0"/>
        <w:spacing w:line="587" w:lineRule="exact"/>
        <w:ind w:firstLine="640" w:firstLineChars="200"/>
        <w:textAlignment w:val="auto"/>
        <w:rPr>
          <w:rFonts w:hint="eastAsia" w:ascii="仿宋_GB2312" w:hAnsi="仿宋_GB2312" w:eastAsia="仿宋_GB2312" w:cs="仿宋_GB2312"/>
          <w:sz w:val="32"/>
          <w:szCs w:val="32"/>
          <w:lang w:eastAsia="zh-CN"/>
        </w:rPr>
      </w:pPr>
      <w:bookmarkStart w:id="2" w:name="（一）绩效自评目的"/>
      <w:bookmarkEnd w:id="2"/>
      <w:r>
        <w:rPr>
          <w:rFonts w:hint="eastAsia" w:ascii="仿宋_GB2312" w:hAnsi="仿宋_GB2312" w:eastAsia="仿宋_GB2312" w:cs="仿宋_GB2312"/>
          <w:color w:val="000000"/>
          <w:kern w:val="0"/>
          <w:sz w:val="32"/>
          <w:szCs w:val="32"/>
          <w:lang w:eastAsia="zh-CN"/>
        </w:rPr>
        <w:t>按照市财政要求，</w:t>
      </w:r>
      <w:r>
        <w:rPr>
          <w:rFonts w:hint="eastAsia" w:ascii="仿宋_GB2312" w:hAnsi="仿宋_GB2312" w:eastAsia="仿宋_GB2312" w:cs="仿宋_GB2312"/>
          <w:color w:val="000000"/>
          <w:kern w:val="0"/>
          <w:sz w:val="32"/>
          <w:szCs w:val="32"/>
          <w:lang w:val="en-US" w:eastAsia="zh-CN"/>
        </w:rPr>
        <w:t>我委实事求是对2022年度部门整体支出绩效</w:t>
      </w:r>
      <w:r>
        <w:rPr>
          <w:rFonts w:hint="eastAsia" w:ascii="仿宋_GB2312" w:hAnsi="仿宋_GB2312" w:eastAsia="仿宋_GB2312" w:cs="仿宋_GB2312"/>
          <w:color w:val="000000"/>
          <w:kern w:val="0"/>
          <w:sz w:val="32"/>
          <w:szCs w:val="32"/>
          <w:lang w:eastAsia="zh-CN"/>
        </w:rPr>
        <w:t>开展自评，</w:t>
      </w:r>
      <w:r>
        <w:rPr>
          <w:rFonts w:hint="eastAsia" w:ascii="仿宋_GB2312" w:hAnsi="仿宋_GB2312" w:eastAsia="仿宋_GB2312" w:cs="仿宋_GB2312"/>
          <w:color w:val="000000"/>
          <w:kern w:val="0"/>
          <w:sz w:val="32"/>
          <w:szCs w:val="32"/>
          <w:lang w:val="en-US" w:eastAsia="zh-CN"/>
        </w:rPr>
        <w:t>预算执行率均持平。在</w:t>
      </w:r>
      <w:r>
        <w:rPr>
          <w:rFonts w:hint="eastAsia" w:ascii="仿宋_GB2312" w:hAnsi="仿宋_GB2312" w:eastAsia="仿宋_GB2312" w:cs="仿宋_GB2312"/>
          <w:color w:val="000000"/>
          <w:kern w:val="0"/>
          <w:sz w:val="32"/>
          <w:szCs w:val="32"/>
          <w:lang w:eastAsia="zh-CN"/>
        </w:rPr>
        <w:t>年度绩效指标中，</w:t>
      </w:r>
      <w:r>
        <w:rPr>
          <w:rFonts w:hint="eastAsia" w:ascii="仿宋_GB2312" w:hAnsi="仿宋_GB2312" w:eastAsia="仿宋_GB2312" w:cs="仿宋_GB2312"/>
          <w:color w:val="000000"/>
          <w:kern w:val="0"/>
          <w:sz w:val="32"/>
          <w:szCs w:val="32"/>
          <w:lang w:val="en-US" w:eastAsia="zh-CN"/>
        </w:rPr>
        <w:t>部门预算</w:t>
      </w:r>
      <w:r>
        <w:rPr>
          <w:rFonts w:hint="eastAsia" w:ascii="仿宋_GB2312" w:hAnsi="仿宋_GB2312" w:eastAsia="仿宋_GB2312" w:cs="仿宋_GB2312"/>
          <w:color w:val="000000"/>
          <w:kern w:val="0"/>
          <w:sz w:val="32"/>
          <w:szCs w:val="32"/>
          <w:lang w:eastAsia="zh-CN"/>
        </w:rPr>
        <w:t>基本支出</w:t>
      </w:r>
      <w:r>
        <w:rPr>
          <w:rFonts w:hint="eastAsia" w:ascii="仿宋_GB2312" w:hAnsi="仿宋_GB2312" w:eastAsia="仿宋_GB2312" w:cs="仿宋_GB2312"/>
          <w:color w:val="000000"/>
          <w:kern w:val="0"/>
          <w:sz w:val="32"/>
          <w:szCs w:val="32"/>
          <w:lang w:val="en-US" w:eastAsia="zh-CN"/>
        </w:rPr>
        <w:t>保障单位基本运行，</w:t>
      </w:r>
      <w:r>
        <w:rPr>
          <w:rFonts w:hint="eastAsia" w:ascii="仿宋_GB2312" w:hAnsi="仿宋_GB2312" w:eastAsia="仿宋_GB2312" w:cs="仿宋_GB2312"/>
          <w:color w:val="000000"/>
          <w:kern w:val="0"/>
          <w:sz w:val="32"/>
          <w:szCs w:val="32"/>
          <w:lang w:eastAsia="zh-CN"/>
        </w:rPr>
        <w:t>达到目标值，就丹霞大景区规划编制、</w:t>
      </w:r>
      <w:r>
        <w:rPr>
          <w:rFonts w:hint="eastAsia" w:ascii="仿宋_GB2312" w:hAnsi="仿宋_GB2312" w:eastAsia="仿宋_GB2312" w:cs="仿宋_GB2312"/>
          <w:color w:val="000000"/>
          <w:kern w:val="0"/>
          <w:sz w:val="32"/>
          <w:szCs w:val="32"/>
          <w:lang w:val="en-US" w:eastAsia="zh-CN"/>
        </w:rPr>
        <w:t>世界地质公园规划编制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张掖七彩丹霞保护条例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颁布实施、张掖世界地质公园博物馆特色科普基地项目建设、</w:t>
      </w:r>
      <w:r>
        <w:rPr>
          <w:rFonts w:hint="eastAsia" w:ascii="仿宋_GB2312" w:hAnsi="仿宋_GB2312" w:eastAsia="仿宋_GB2312" w:cs="仿宋_GB2312"/>
          <w:color w:val="000000"/>
          <w:kern w:val="0"/>
          <w:sz w:val="32"/>
          <w:szCs w:val="32"/>
          <w:lang w:eastAsia="zh-CN"/>
        </w:rPr>
        <w:t>宣传营销、市场监管等职能发挥，带动景区良好发展；</w:t>
      </w:r>
      <w:r>
        <w:rPr>
          <w:rFonts w:hint="eastAsia" w:ascii="仿宋_GB2312" w:hAnsi="仿宋_GB2312" w:eastAsia="仿宋_GB2312" w:cs="仿宋_GB2312"/>
          <w:color w:val="000000"/>
          <w:kern w:val="0"/>
          <w:sz w:val="32"/>
          <w:szCs w:val="32"/>
          <w:lang w:val="en-US" w:eastAsia="zh-CN"/>
        </w:rPr>
        <w:t>地质博物馆运行经费支出</w:t>
      </w:r>
      <w:r>
        <w:rPr>
          <w:rFonts w:hint="eastAsia" w:ascii="仿宋_GB2312" w:hAnsi="仿宋_GB2312" w:eastAsia="仿宋_GB2312" w:cs="仿宋_GB2312"/>
          <w:color w:val="000000"/>
          <w:kern w:val="0"/>
          <w:sz w:val="32"/>
          <w:szCs w:val="32"/>
          <w:lang w:eastAsia="zh-CN"/>
        </w:rPr>
        <w:t>保障地质博物馆日常运行，在正常开馆时迎接国内外游客，为其普及张掖地质公园内彩色丘陵景观与丹霞地貌景观的相关地学知识，提升游客满意度水平；</w:t>
      </w:r>
      <w:r>
        <w:rPr>
          <w:rFonts w:hint="eastAsia" w:ascii="仿宋_GB2312" w:hAnsi="仿宋_GB2312" w:eastAsia="仿宋_GB2312" w:cs="仿宋_GB2312"/>
          <w:color w:val="000000"/>
          <w:kern w:val="0"/>
          <w:sz w:val="32"/>
          <w:szCs w:val="32"/>
          <w:lang w:val="en-US" w:eastAsia="zh-CN"/>
        </w:rPr>
        <w:t>申报创建世界地质公园专项支出按照项目支出绩效评价要求资金使用合规，政府采购合规，实现张掖国家地质公园申报成功为张掖世界地质公园，提升张掖旅游文化整体形象和水平，打造张掖国际化旅游目的地。</w:t>
      </w:r>
    </w:p>
    <w:p>
      <w:pPr>
        <w:keepNext w:val="0"/>
        <w:keepLines w:val="0"/>
        <w:pageBreakBefore w:val="0"/>
        <w:kinsoku/>
        <w:wordWrap/>
        <w:topLinePunct w:val="0"/>
        <w:autoSpaceDE/>
        <w:autoSpaceDN/>
        <w:bidi w:val="0"/>
        <w:spacing w:line="587"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四、存在的问题</w:t>
      </w:r>
    </w:p>
    <w:p>
      <w:pPr>
        <w:keepNext w:val="0"/>
        <w:keepLines w:val="0"/>
        <w:pageBreakBefore w:val="0"/>
        <w:kinsoku/>
        <w:wordWrap/>
        <w:topLinePunct w:val="0"/>
        <w:autoSpaceDE/>
        <w:autoSpaceDN/>
        <w:bidi w:val="0"/>
        <w:spacing w:line="587"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年度各项经费都按照预算完成支出，并在保障管委会各项重点工作正常运行方面发挥重要作用，存在的问题是受疫情等不可抗力因素的影响，预算执行率缓慢，究其原因还是对于各项资金预算编制细化程度不够。使得工作开展相对性滞后，不利于业务活动的正常推动与开展。</w:t>
      </w:r>
    </w:p>
    <w:p>
      <w:pPr>
        <w:keepNext w:val="0"/>
        <w:keepLines w:val="0"/>
        <w:pageBreakBefore w:val="0"/>
        <w:kinsoku/>
        <w:wordWrap/>
        <w:topLinePunct w:val="0"/>
        <w:autoSpaceDE/>
        <w:autoSpaceDN/>
        <w:bidi w:val="0"/>
        <w:spacing w:line="587" w:lineRule="exact"/>
        <w:ind w:firstLine="640" w:firstLineChars="200"/>
        <w:textAlignment w:val="auto"/>
        <w:rPr>
          <w:rFonts w:hint="eastAsia" w:ascii="黑体" w:hAnsi="黑体" w:eastAsia="黑体"/>
          <w:color w:val="000000"/>
          <w:sz w:val="32"/>
          <w:szCs w:val="32"/>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五、</w:t>
      </w:r>
      <w:r>
        <w:rPr>
          <w:rFonts w:hint="eastAsia" w:ascii="黑体" w:hAnsi="黑体" w:eastAsia="黑体"/>
          <w:color w:val="000000"/>
          <w:sz w:val="32"/>
          <w:szCs w:val="32"/>
        </w:rPr>
        <w:t>下一步改进工作的措施</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宋体" w:eastAsia="仿宋_GB2312"/>
          <w:sz w:val="32"/>
          <w:szCs w:val="32"/>
          <w:lang w:val="en-US" w:eastAsia="zh-CN"/>
        </w:rPr>
      </w:pPr>
      <w:bookmarkStart w:id="3" w:name="七、其他需说明的情况"/>
      <w:bookmarkEnd w:id="3"/>
      <w:bookmarkStart w:id="4" w:name="六、主要经验及做法"/>
      <w:bookmarkEnd w:id="4"/>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val="en-US" w:eastAsia="zh-CN"/>
        </w:rPr>
        <w:t>加强财务管理。严格执行《中华人民共和国预算法》</w:t>
      </w:r>
      <w:r>
        <w:rPr>
          <w:rFonts w:hint="eastAsia" w:ascii="仿宋_GB2312" w:hAnsi="宋体" w:eastAsia="仿宋_GB2312"/>
          <w:sz w:val="32"/>
          <w:szCs w:val="32"/>
          <w:lang w:eastAsia="zh-CN"/>
        </w:rPr>
        <w:t>、</w:t>
      </w:r>
      <w:r>
        <w:rPr>
          <w:rFonts w:hint="eastAsia" w:ascii="仿宋_GB2312" w:hAnsi="仿宋_GB2312" w:eastAsia="仿宋_GB2312" w:cs="仿宋_GB2312"/>
          <w:color w:val="000000"/>
          <w:sz w:val="32"/>
          <w:szCs w:val="32"/>
          <w:lang w:val="en-US" w:eastAsia="zh-CN"/>
        </w:rPr>
        <w:t>《政府会计制度》、《政府部门经济支出分类》的有关规定及我委财务管理制度，合理合法按照资金的使用用途，严格形成支出</w:t>
      </w:r>
      <w:r>
        <w:rPr>
          <w:rFonts w:hint="eastAsia" w:ascii="仿宋_GB2312" w:hAnsi="宋体" w:eastAsia="仿宋_GB2312"/>
          <w:sz w:val="32"/>
          <w:szCs w:val="32"/>
        </w:rPr>
        <w:t>，确保专款专用</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确保财务核算的真实性、有效性、准确性、完整性。</w:t>
      </w:r>
    </w:p>
    <w:p>
      <w:pPr>
        <w:keepNext w:val="0"/>
        <w:keepLines w:val="0"/>
        <w:pageBreakBefore w:val="0"/>
        <w:kinsoku/>
        <w:wordWrap/>
        <w:topLinePunct w:val="0"/>
        <w:autoSpaceDE/>
        <w:autoSpaceDN/>
        <w:bidi w:val="0"/>
        <w:spacing w:line="587"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合理编制</w:t>
      </w:r>
      <w:r>
        <w:rPr>
          <w:rFonts w:hint="eastAsia" w:ascii="仿宋_GB2312" w:hAnsi="仿宋_GB2312" w:eastAsia="仿宋_GB2312" w:cs="仿宋_GB2312"/>
          <w:color w:val="000000"/>
          <w:sz w:val="32"/>
          <w:szCs w:val="32"/>
        </w:rPr>
        <w:t>预算。</w:t>
      </w:r>
      <w:r>
        <w:rPr>
          <w:rFonts w:hint="eastAsia" w:ascii="仿宋_GB2312" w:hAnsi="仿宋_GB2312" w:eastAsia="仿宋_GB2312" w:cs="仿宋_GB2312"/>
          <w:color w:val="000000"/>
          <w:sz w:val="32"/>
          <w:szCs w:val="32"/>
          <w:lang w:val="en-US" w:eastAsia="zh-CN"/>
        </w:rPr>
        <w:t>严格按照市财政要求，不仅提升部门预算的准确行，仍要提高专项预算的预判性，根据我委开展业务情况合理合法的预算各项支出，提高精准性。严肃告知我委工作人员，参照部门预算执行，确悉未预判在内的，按照相关要求提请上级部门审核追加后方可执行。</w:t>
      </w:r>
    </w:p>
    <w:p>
      <w:pPr>
        <w:keepNext w:val="0"/>
        <w:keepLines w:val="0"/>
        <w:pageBreakBefore w:val="0"/>
        <w:kinsoku/>
        <w:wordWrap/>
        <w:topLinePunct w:val="0"/>
        <w:autoSpaceDE/>
        <w:autoSpaceDN/>
        <w:bidi w:val="0"/>
        <w:spacing w:line="587"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完善绩效管理。梳理并完善各项规章制度，增强制度的严谨性，并严格按照制度执行；加强财务管理，节约开支，使有限的经费保证单位正常运转；根据批复的预算和业务需要，加强支出绩效管理，将预算指标下达与支出绩效挂钩。</w:t>
      </w:r>
    </w:p>
    <w:p>
      <w:pPr>
        <w:pStyle w:val="2"/>
        <w:keepNext w:val="0"/>
        <w:keepLines w:val="0"/>
        <w:pageBreakBefore w:val="0"/>
        <w:kinsoku/>
        <w:wordWrap/>
        <w:topLinePunct w:val="0"/>
        <w:autoSpaceDE/>
        <w:autoSpaceDN/>
        <w:bidi w:val="0"/>
        <w:spacing w:beforeLines="0" w:line="587" w:lineRule="exact"/>
        <w:ind w:firstLine="480" w:firstLineChars="200"/>
        <w:textAlignment w:val="auto"/>
        <w:rPr>
          <w:rFonts w:hint="default"/>
          <w:lang w:val="en-US" w:eastAsia="zh-CN"/>
        </w:rPr>
      </w:pPr>
    </w:p>
    <w:p>
      <w:pPr>
        <w:keepNext w:val="0"/>
        <w:keepLines w:val="0"/>
        <w:pageBreakBefore w:val="0"/>
        <w:kinsoku/>
        <w:wordWrap/>
        <w:topLinePunct w:val="0"/>
        <w:autoSpaceDE/>
        <w:autoSpaceDN/>
        <w:bidi w:val="0"/>
        <w:spacing w:line="587" w:lineRule="exact"/>
        <w:ind w:firstLine="4480" w:firstLineChars="14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张掖丹霞大景区管理委员会</w:t>
      </w:r>
    </w:p>
    <w:p>
      <w:pPr>
        <w:keepNext w:val="0"/>
        <w:keepLines w:val="0"/>
        <w:pageBreakBefore w:val="0"/>
        <w:kinsoku/>
        <w:wordWrap/>
        <w:topLinePunct w:val="0"/>
        <w:autoSpaceDE/>
        <w:autoSpaceDN/>
        <w:bidi w:val="0"/>
        <w:spacing w:line="587" w:lineRule="exact"/>
        <w:ind w:firstLine="5120" w:firstLineChars="1600"/>
        <w:jc w:val="both"/>
        <w:textAlignment w:val="auto"/>
      </w:pPr>
      <w:r>
        <w:rPr>
          <w:rFonts w:hint="eastAsia" w:ascii="仿宋_GB2312" w:hAnsi="仿宋_GB2312" w:eastAsia="仿宋_GB2312" w:cs="仿宋_GB2312"/>
          <w:color w:val="000000"/>
          <w:sz w:val="32"/>
          <w:szCs w:val="32"/>
          <w:lang w:val="en-US" w:eastAsia="zh-CN"/>
        </w:rPr>
        <w:t>202</w:t>
      </w:r>
      <w:bookmarkStart w:id="5" w:name="_GoBack"/>
      <w:bookmarkEnd w:id="5"/>
      <w:r>
        <w:rPr>
          <w:rFonts w:hint="eastAsia" w:ascii="仿宋_GB2312" w:hAnsi="仿宋_GB2312" w:eastAsia="仿宋_GB2312" w:cs="仿宋_GB2312"/>
          <w:color w:val="000000"/>
          <w:sz w:val="32"/>
          <w:szCs w:val="32"/>
          <w:lang w:val="en-US" w:eastAsia="zh-CN"/>
        </w:rPr>
        <w:t>2年12月30日</w:t>
      </w:r>
    </w:p>
    <w:sectPr>
      <w:footerReference r:id="rId3" w:type="default"/>
      <w:footerReference r:id="rId4" w:type="even"/>
      <w:pgSz w:w="11906" w:h="16838"/>
      <w:pgMar w:top="2098" w:right="1474" w:bottom="181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E-BZ-PK7482de-Identity-H">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NDU4ZDg5MjAyOWU5MzJlODRhNzAxZTNiZmI1MzUifQ=="/>
  </w:docVars>
  <w:rsids>
    <w:rsidRoot w:val="79640B20"/>
    <w:rsid w:val="02283016"/>
    <w:rsid w:val="0313544C"/>
    <w:rsid w:val="03305FFE"/>
    <w:rsid w:val="03993BA4"/>
    <w:rsid w:val="0687062B"/>
    <w:rsid w:val="06B62CBE"/>
    <w:rsid w:val="084D0F58"/>
    <w:rsid w:val="0F3A0931"/>
    <w:rsid w:val="16911289"/>
    <w:rsid w:val="17147CB9"/>
    <w:rsid w:val="18D250C2"/>
    <w:rsid w:val="19D35C0A"/>
    <w:rsid w:val="1A5C26E5"/>
    <w:rsid w:val="1C346708"/>
    <w:rsid w:val="1C8C20A0"/>
    <w:rsid w:val="1D664516"/>
    <w:rsid w:val="1FC54529"/>
    <w:rsid w:val="20BB73F7"/>
    <w:rsid w:val="255D6CCF"/>
    <w:rsid w:val="26A34BB6"/>
    <w:rsid w:val="28120052"/>
    <w:rsid w:val="2B25527B"/>
    <w:rsid w:val="2B762899"/>
    <w:rsid w:val="2C7F265E"/>
    <w:rsid w:val="2F433D54"/>
    <w:rsid w:val="34A7312F"/>
    <w:rsid w:val="3625117A"/>
    <w:rsid w:val="370C2303"/>
    <w:rsid w:val="430417B4"/>
    <w:rsid w:val="4A510301"/>
    <w:rsid w:val="4C981403"/>
    <w:rsid w:val="505A77E4"/>
    <w:rsid w:val="51E2489F"/>
    <w:rsid w:val="533D58C6"/>
    <w:rsid w:val="541D7610"/>
    <w:rsid w:val="564D05DF"/>
    <w:rsid w:val="56A63783"/>
    <w:rsid w:val="57B1418D"/>
    <w:rsid w:val="581F1A3E"/>
    <w:rsid w:val="5A4A2677"/>
    <w:rsid w:val="5A704A06"/>
    <w:rsid w:val="60A70823"/>
    <w:rsid w:val="61B47D12"/>
    <w:rsid w:val="61CE1DDF"/>
    <w:rsid w:val="680447AD"/>
    <w:rsid w:val="6D090170"/>
    <w:rsid w:val="6D9B170F"/>
    <w:rsid w:val="7040659E"/>
    <w:rsid w:val="71E51446"/>
    <w:rsid w:val="727B2D69"/>
    <w:rsid w:val="735A4E91"/>
    <w:rsid w:val="74DA6AB9"/>
    <w:rsid w:val="79640B20"/>
    <w:rsid w:val="7D7A39D5"/>
    <w:rsid w:val="7F055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啊"/>
    <w:basedOn w:val="1"/>
    <w:qFormat/>
    <w:uiPriority w:val="0"/>
    <w:pPr>
      <w:widowControl w:val="0"/>
      <w:adjustRightInd/>
      <w:snapToGrid/>
      <w:spacing w:beforeLines="100" w:after="0" w:line="276" w:lineRule="auto"/>
      <w:ind w:left="210" w:right="210" w:firstLine="600"/>
      <w:contextualSpacing/>
      <w:jc w:val="both"/>
    </w:pPr>
    <w:rPr>
      <w:rFonts w:ascii="微软雅黑" w:hAnsi="Times New Roman" w:cs="Times New Roman"/>
      <w:color w:val="000000"/>
      <w:kern w:val="2"/>
      <w:sz w:val="24"/>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3871</Words>
  <Characters>4325</Characters>
  <Lines>0</Lines>
  <Paragraphs>0</Paragraphs>
  <TotalTime>17</TotalTime>
  <ScaleCrop>false</ScaleCrop>
  <LinksUpToDate>false</LinksUpToDate>
  <CharactersWithSpaces>4326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2022-07-19T07:31:00Z</dcterms:created>
  <dc:creator>り ﹏、 阳光</dc:creator>
  <cp:lastModifiedBy>WPS_1497928274</cp:lastModifiedBy>
  <cp:lastPrinted>2023-01-09T08:58:02Z</cp:lastPrinted>
  <dcterms:modified xsi:type="dcterms:W3CDTF">2023-01-09T08:59:24Z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8E51BA1091AF42FEA25152287403F201</vt:lpwstr>
  </property>
</Properties>
</file>