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EC80C">
      <w:pPr>
        <w:adjustRightInd w:val="0"/>
        <w:snapToGrid w:val="0"/>
        <w:spacing w:line="587" w:lineRule="exact"/>
        <w:rPr>
          <w:rFonts w:hint="eastAsia" w:ascii="黑体" w:eastAsia="黑体"/>
        </w:rPr>
      </w:pPr>
      <w:r>
        <w:rPr>
          <w:rFonts w:hint="eastAsia" w:ascii="黑体" w:eastAsia="黑体"/>
        </w:rPr>
        <w:t>附件：</w:t>
      </w:r>
    </w:p>
    <w:p w14:paraId="1318DA28">
      <w:pPr>
        <w:tabs>
          <w:tab w:val="left" w:pos="12926"/>
        </w:tabs>
        <w:adjustRightInd w:val="0"/>
        <w:snapToGrid w:val="0"/>
        <w:spacing w:line="587" w:lineRule="exact"/>
        <w:ind w:right="84" w:rightChars="40"/>
        <w:rPr>
          <w:rFonts w:hint="eastAsia" w:ascii="文鼎小标宋简" w:eastAsia="文鼎小标宋简"/>
          <w:sz w:val="44"/>
          <w:szCs w:val="44"/>
        </w:rPr>
      </w:pPr>
    </w:p>
    <w:p w14:paraId="7497BBAB">
      <w:pPr>
        <w:tabs>
          <w:tab w:val="left" w:pos="12926"/>
        </w:tabs>
        <w:adjustRightInd w:val="0"/>
        <w:snapToGrid w:val="0"/>
        <w:spacing w:line="587" w:lineRule="exact"/>
        <w:ind w:right="84" w:rightChars="40"/>
        <w:rPr>
          <w:rFonts w:hint="eastAsia" w:ascii="文鼎小标宋简" w:eastAsia="文鼎小标宋简"/>
          <w:sz w:val="44"/>
          <w:szCs w:val="44"/>
        </w:rPr>
      </w:pPr>
    </w:p>
    <w:p w14:paraId="6F9A3C32">
      <w:pPr>
        <w:tabs>
          <w:tab w:val="left" w:pos="12926"/>
        </w:tabs>
        <w:adjustRightInd w:val="0"/>
        <w:snapToGrid w:val="0"/>
        <w:spacing w:line="587" w:lineRule="exact"/>
        <w:ind w:right="84" w:rightChars="40"/>
        <w:jc w:val="center"/>
        <w:rPr>
          <w:rFonts w:hint="eastAsia" w:ascii="文鼎小标宋简" w:eastAsia="文鼎小标宋简"/>
          <w:sz w:val="44"/>
          <w:szCs w:val="44"/>
        </w:rPr>
      </w:pPr>
      <w:r>
        <w:rPr>
          <w:rFonts w:hint="eastAsia" w:ascii="文鼎小标宋简" w:eastAsia="文鼎小标宋简"/>
          <w:sz w:val="44"/>
          <w:szCs w:val="44"/>
        </w:rPr>
        <w:t>全市落实省政府推动非公有制经济跨越发展</w:t>
      </w:r>
    </w:p>
    <w:p w14:paraId="745D8781">
      <w:pPr>
        <w:tabs>
          <w:tab w:val="left" w:pos="12926"/>
        </w:tabs>
        <w:adjustRightInd w:val="0"/>
        <w:snapToGrid w:val="0"/>
        <w:spacing w:line="587" w:lineRule="exact"/>
        <w:ind w:right="84" w:rightChars="40"/>
        <w:jc w:val="center"/>
        <w:rPr>
          <w:rFonts w:hint="eastAsia" w:ascii="文鼎小标宋简" w:eastAsia="文鼎小标宋简"/>
          <w:sz w:val="44"/>
          <w:szCs w:val="44"/>
        </w:rPr>
      </w:pPr>
      <w:r>
        <w:rPr>
          <w:rFonts w:hint="eastAsia" w:ascii="文鼎小标宋简" w:eastAsia="文鼎小标宋简"/>
          <w:sz w:val="44"/>
          <w:szCs w:val="44"/>
        </w:rPr>
        <w:t>30条意见工作任务分解表</w:t>
      </w:r>
    </w:p>
    <w:tbl>
      <w:tblPr>
        <w:tblStyle w:val="2"/>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091"/>
        <w:gridCol w:w="9761"/>
        <w:gridCol w:w="1421"/>
      </w:tblGrid>
      <w:tr w14:paraId="5DEB9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56" w:type="dxa"/>
            <w:noWrap w:val="0"/>
            <w:vAlign w:val="center"/>
          </w:tcPr>
          <w:p w14:paraId="10CE9BF5">
            <w:pPr>
              <w:adjustRightInd w:val="0"/>
              <w:snapToGrid w:val="0"/>
              <w:spacing w:line="280" w:lineRule="exact"/>
              <w:jc w:val="center"/>
              <w:rPr>
                <w:rFonts w:hint="eastAsia" w:ascii="黑体" w:eastAsia="黑体"/>
                <w:sz w:val="28"/>
                <w:szCs w:val="28"/>
              </w:rPr>
            </w:pPr>
            <w:r>
              <w:rPr>
                <w:rFonts w:hint="eastAsia" w:ascii="黑体" w:eastAsia="黑体"/>
                <w:sz w:val="28"/>
                <w:szCs w:val="28"/>
              </w:rPr>
              <w:t>项目</w:t>
            </w:r>
          </w:p>
        </w:tc>
        <w:tc>
          <w:tcPr>
            <w:tcW w:w="1091" w:type="dxa"/>
            <w:noWrap w:val="0"/>
            <w:vAlign w:val="center"/>
          </w:tcPr>
          <w:p w14:paraId="63591994">
            <w:pPr>
              <w:adjustRightInd w:val="0"/>
              <w:snapToGrid w:val="0"/>
              <w:spacing w:line="280" w:lineRule="exact"/>
              <w:jc w:val="center"/>
              <w:rPr>
                <w:rFonts w:hint="eastAsia" w:ascii="黑体" w:eastAsia="黑体"/>
                <w:sz w:val="28"/>
                <w:szCs w:val="28"/>
              </w:rPr>
            </w:pPr>
            <w:r>
              <w:rPr>
                <w:rFonts w:hint="eastAsia" w:ascii="黑体" w:eastAsia="黑体"/>
                <w:sz w:val="28"/>
                <w:szCs w:val="28"/>
              </w:rPr>
              <w:t>内容</w:t>
            </w:r>
          </w:p>
        </w:tc>
        <w:tc>
          <w:tcPr>
            <w:tcW w:w="9761" w:type="dxa"/>
            <w:noWrap w:val="0"/>
            <w:vAlign w:val="center"/>
          </w:tcPr>
          <w:p w14:paraId="3B5D9C1D">
            <w:pPr>
              <w:adjustRightInd w:val="0"/>
              <w:snapToGrid w:val="0"/>
              <w:spacing w:line="280" w:lineRule="exact"/>
              <w:ind w:firstLine="560" w:firstLineChars="200"/>
              <w:jc w:val="center"/>
              <w:rPr>
                <w:rFonts w:hint="eastAsia" w:ascii="黑体" w:eastAsia="黑体"/>
                <w:sz w:val="28"/>
                <w:szCs w:val="28"/>
              </w:rPr>
            </w:pPr>
            <w:r>
              <w:rPr>
                <w:rFonts w:hint="eastAsia" w:ascii="黑体" w:eastAsia="黑体"/>
                <w:sz w:val="28"/>
                <w:szCs w:val="28"/>
              </w:rPr>
              <w:t>主要任务</w:t>
            </w:r>
          </w:p>
        </w:tc>
        <w:tc>
          <w:tcPr>
            <w:tcW w:w="1421" w:type="dxa"/>
            <w:noWrap w:val="0"/>
            <w:vAlign w:val="center"/>
          </w:tcPr>
          <w:p w14:paraId="3FCC09BC">
            <w:pPr>
              <w:adjustRightInd w:val="0"/>
              <w:snapToGrid w:val="0"/>
              <w:spacing w:line="280" w:lineRule="exact"/>
              <w:rPr>
                <w:rFonts w:hint="eastAsia" w:ascii="黑体" w:eastAsia="黑体"/>
                <w:sz w:val="28"/>
                <w:szCs w:val="28"/>
              </w:rPr>
            </w:pPr>
            <w:r>
              <w:rPr>
                <w:rFonts w:hint="eastAsia" w:ascii="黑体" w:eastAsia="黑体"/>
                <w:sz w:val="28"/>
                <w:szCs w:val="28"/>
              </w:rPr>
              <w:t>责任部门</w:t>
            </w:r>
          </w:p>
        </w:tc>
      </w:tr>
      <w:tr w14:paraId="79645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56" w:type="dxa"/>
            <w:vMerge w:val="restart"/>
            <w:noWrap w:val="0"/>
            <w:vAlign w:val="center"/>
          </w:tcPr>
          <w:p w14:paraId="37B57FF1">
            <w:pPr>
              <w:adjustRightInd w:val="0"/>
              <w:snapToGrid w:val="0"/>
              <w:spacing w:line="280" w:lineRule="exact"/>
              <w:rPr>
                <w:rFonts w:hint="eastAsia" w:ascii="仿宋_GB2312"/>
                <w:szCs w:val="21"/>
              </w:rPr>
            </w:pPr>
            <w:r>
              <w:rPr>
                <w:rFonts w:hint="eastAsia" w:ascii="仿宋_GB2312"/>
                <w:szCs w:val="21"/>
              </w:rPr>
              <w:t>完善公共资源配置机制</w:t>
            </w:r>
          </w:p>
        </w:tc>
        <w:tc>
          <w:tcPr>
            <w:tcW w:w="1091" w:type="dxa"/>
            <w:noWrap w:val="0"/>
            <w:vAlign w:val="center"/>
          </w:tcPr>
          <w:p w14:paraId="3D6A70F0">
            <w:pPr>
              <w:adjustRightInd w:val="0"/>
              <w:snapToGrid w:val="0"/>
              <w:spacing w:line="260" w:lineRule="exact"/>
              <w:rPr>
                <w:rFonts w:hint="eastAsia" w:ascii="仿宋_GB2312"/>
                <w:szCs w:val="21"/>
              </w:rPr>
            </w:pPr>
            <w:r>
              <w:rPr>
                <w:rFonts w:hint="eastAsia" w:ascii="仿宋_GB2312"/>
                <w:szCs w:val="21"/>
              </w:rPr>
              <w:t>切实消除行业垄断和壁垒</w:t>
            </w:r>
          </w:p>
        </w:tc>
        <w:tc>
          <w:tcPr>
            <w:tcW w:w="9761" w:type="dxa"/>
            <w:noWrap w:val="0"/>
            <w:vAlign w:val="center"/>
          </w:tcPr>
          <w:p w14:paraId="627D16F5">
            <w:pPr>
              <w:adjustRightInd w:val="0"/>
              <w:snapToGrid w:val="0"/>
              <w:spacing w:line="260" w:lineRule="exact"/>
              <w:ind w:firstLine="420" w:firstLineChars="200"/>
              <w:rPr>
                <w:rFonts w:hint="eastAsia" w:ascii="仿宋_GB2312"/>
                <w:szCs w:val="21"/>
              </w:rPr>
            </w:pPr>
            <w:r>
              <w:rPr>
                <w:rFonts w:hint="eastAsia" w:ascii="仿宋_GB2312"/>
                <w:szCs w:val="21"/>
              </w:rPr>
              <w:t>按照“法无禁止即可为”原则，鼓励引导非公经济进入法律法规未明确禁止准入的行业和领域。在各类公共资源配置方面，彻底取消所有制限制，保障各类所有制经济公平竞争，享有平等获得公共资源的权利和机会。</w:t>
            </w:r>
          </w:p>
        </w:tc>
        <w:tc>
          <w:tcPr>
            <w:tcW w:w="1421" w:type="dxa"/>
            <w:noWrap w:val="0"/>
            <w:vAlign w:val="center"/>
          </w:tcPr>
          <w:p w14:paraId="478B1F93">
            <w:pPr>
              <w:adjustRightInd w:val="0"/>
              <w:snapToGrid w:val="0"/>
              <w:spacing w:line="280" w:lineRule="exact"/>
              <w:jc w:val="center"/>
              <w:rPr>
                <w:rFonts w:hint="eastAsia" w:ascii="仿宋_GB2312"/>
                <w:szCs w:val="21"/>
              </w:rPr>
            </w:pPr>
            <w:r>
              <w:rPr>
                <w:rFonts w:hint="eastAsia" w:ascii="仿宋_GB2312"/>
                <w:szCs w:val="21"/>
              </w:rPr>
              <w:t>市发改委</w:t>
            </w:r>
          </w:p>
        </w:tc>
      </w:tr>
      <w:tr w14:paraId="73889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56" w:type="dxa"/>
            <w:vMerge w:val="continue"/>
            <w:noWrap w:val="0"/>
            <w:vAlign w:val="center"/>
          </w:tcPr>
          <w:p w14:paraId="669BC380">
            <w:pPr>
              <w:adjustRightInd w:val="0"/>
              <w:snapToGrid w:val="0"/>
              <w:spacing w:line="280" w:lineRule="exact"/>
              <w:ind w:firstLine="420" w:firstLineChars="200"/>
              <w:rPr>
                <w:rFonts w:hint="eastAsia" w:ascii="仿宋_GB2312"/>
                <w:szCs w:val="21"/>
              </w:rPr>
            </w:pPr>
          </w:p>
        </w:tc>
        <w:tc>
          <w:tcPr>
            <w:tcW w:w="1091" w:type="dxa"/>
            <w:noWrap w:val="0"/>
            <w:vAlign w:val="center"/>
          </w:tcPr>
          <w:p w14:paraId="7617FF07">
            <w:pPr>
              <w:adjustRightInd w:val="0"/>
              <w:snapToGrid w:val="0"/>
              <w:spacing w:line="260" w:lineRule="exact"/>
              <w:rPr>
                <w:rFonts w:hint="eastAsia" w:ascii="仿宋_GB2312"/>
                <w:szCs w:val="21"/>
              </w:rPr>
            </w:pPr>
            <w:r>
              <w:rPr>
                <w:rFonts w:hint="eastAsia" w:ascii="仿宋_GB2312"/>
                <w:szCs w:val="21"/>
              </w:rPr>
              <w:t>推进公共资源市场</w:t>
            </w:r>
            <w:r>
              <w:rPr>
                <w:rFonts w:hint="eastAsia" w:ascii="仿宋_GB2312"/>
                <w:spacing w:val="-20"/>
                <w:szCs w:val="21"/>
              </w:rPr>
              <w:t>化配置改革</w:t>
            </w:r>
          </w:p>
        </w:tc>
        <w:tc>
          <w:tcPr>
            <w:tcW w:w="9761" w:type="dxa"/>
            <w:noWrap w:val="0"/>
            <w:vAlign w:val="center"/>
          </w:tcPr>
          <w:p w14:paraId="25816ACE">
            <w:pPr>
              <w:adjustRightInd w:val="0"/>
              <w:snapToGrid w:val="0"/>
              <w:spacing w:line="260" w:lineRule="exact"/>
              <w:ind w:firstLine="420" w:firstLineChars="200"/>
              <w:rPr>
                <w:rFonts w:hint="eastAsia" w:ascii="仿宋_GB2312"/>
                <w:szCs w:val="21"/>
              </w:rPr>
            </w:pPr>
            <w:r>
              <w:rPr>
                <w:rFonts w:hint="eastAsia" w:ascii="仿宋_GB2312"/>
                <w:szCs w:val="21"/>
              </w:rPr>
              <w:t>加强公共资源交易管理，建立健全招投标、拍卖、挂牌出让等市场化配置机制。严格实行公共资源配置进场交</w:t>
            </w:r>
            <w:r>
              <w:rPr>
                <w:rFonts w:hint="eastAsia" w:ascii="仿宋_GB2312"/>
                <w:spacing w:val="-20"/>
                <w:szCs w:val="21"/>
              </w:rPr>
              <w:t>易，杜</w:t>
            </w:r>
            <w:r>
              <w:rPr>
                <w:rFonts w:hint="eastAsia" w:ascii="仿宋_GB2312"/>
                <w:szCs w:val="21"/>
              </w:rPr>
              <w:t>绝公共资源交易中各种形式</w:t>
            </w:r>
            <w:r>
              <w:rPr>
                <w:rFonts w:hint="eastAsia" w:ascii="仿宋_GB2312"/>
                <w:spacing w:val="-20"/>
                <w:szCs w:val="21"/>
              </w:rPr>
              <w:t>的“暗箱”操作。对</w:t>
            </w:r>
            <w:r>
              <w:rPr>
                <w:rFonts w:hint="eastAsia" w:ascii="仿宋_GB2312"/>
                <w:szCs w:val="21"/>
              </w:rPr>
              <w:t>市场化条件尚不成熟或者因客观条件限制难以通过招</w:t>
            </w:r>
            <w:r>
              <w:rPr>
                <w:rFonts w:hint="eastAsia" w:ascii="仿宋_GB2312"/>
                <w:spacing w:val="-20"/>
                <w:szCs w:val="21"/>
              </w:rPr>
              <w:t>标、拍卖、挂</w:t>
            </w:r>
            <w:r>
              <w:rPr>
                <w:rFonts w:hint="eastAsia" w:ascii="仿宋_GB2312"/>
                <w:szCs w:val="21"/>
              </w:rPr>
              <w:t>牌等方式交易的公共资源，可采用竞争性谈判、询价和单一来源采购等方式进行交易。</w:t>
            </w:r>
          </w:p>
        </w:tc>
        <w:tc>
          <w:tcPr>
            <w:tcW w:w="1421" w:type="dxa"/>
            <w:noWrap w:val="0"/>
            <w:vAlign w:val="center"/>
          </w:tcPr>
          <w:p w14:paraId="73CF507D">
            <w:pPr>
              <w:adjustRightInd w:val="0"/>
              <w:snapToGrid w:val="0"/>
              <w:spacing w:line="280" w:lineRule="exact"/>
              <w:jc w:val="center"/>
              <w:rPr>
                <w:rFonts w:hint="eastAsia" w:ascii="仿宋_GB2312"/>
                <w:szCs w:val="21"/>
              </w:rPr>
            </w:pPr>
            <w:r>
              <w:rPr>
                <w:rFonts w:hint="eastAsia" w:ascii="仿宋_GB2312"/>
                <w:szCs w:val="21"/>
              </w:rPr>
              <w:t>市公共资源交易中心</w:t>
            </w:r>
          </w:p>
        </w:tc>
      </w:tr>
      <w:tr w14:paraId="09DBF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856" w:type="dxa"/>
            <w:vMerge w:val="continue"/>
            <w:noWrap w:val="0"/>
            <w:vAlign w:val="center"/>
          </w:tcPr>
          <w:p w14:paraId="7DAD9C16">
            <w:pPr>
              <w:adjustRightInd w:val="0"/>
              <w:snapToGrid w:val="0"/>
              <w:spacing w:line="280" w:lineRule="exact"/>
              <w:ind w:firstLine="420" w:firstLineChars="200"/>
              <w:rPr>
                <w:rFonts w:hint="eastAsia" w:ascii="仿宋_GB2312"/>
                <w:szCs w:val="21"/>
              </w:rPr>
            </w:pPr>
          </w:p>
        </w:tc>
        <w:tc>
          <w:tcPr>
            <w:tcW w:w="1091" w:type="dxa"/>
            <w:noWrap w:val="0"/>
            <w:vAlign w:val="center"/>
          </w:tcPr>
          <w:p w14:paraId="3120EC50">
            <w:pPr>
              <w:adjustRightInd w:val="0"/>
              <w:snapToGrid w:val="0"/>
              <w:spacing w:line="260" w:lineRule="exact"/>
              <w:rPr>
                <w:rFonts w:hint="eastAsia" w:ascii="仿宋_GB2312"/>
                <w:szCs w:val="21"/>
              </w:rPr>
            </w:pPr>
            <w:r>
              <w:rPr>
                <w:rFonts w:hint="eastAsia" w:ascii="仿宋_GB2312"/>
                <w:szCs w:val="21"/>
              </w:rPr>
              <w:t>全面推进公共资源配置信息公开</w:t>
            </w:r>
          </w:p>
        </w:tc>
        <w:tc>
          <w:tcPr>
            <w:tcW w:w="9761" w:type="dxa"/>
            <w:noWrap w:val="0"/>
            <w:vAlign w:val="center"/>
          </w:tcPr>
          <w:p w14:paraId="5F9EFAB3">
            <w:pPr>
              <w:adjustRightInd w:val="0"/>
              <w:snapToGrid w:val="0"/>
              <w:spacing w:line="260" w:lineRule="exact"/>
              <w:ind w:firstLine="404" w:firstLineChars="200"/>
              <w:rPr>
                <w:rFonts w:hint="eastAsia" w:ascii="仿宋_GB2312"/>
                <w:spacing w:val="-4"/>
                <w:szCs w:val="21"/>
              </w:rPr>
            </w:pPr>
            <w:r>
              <w:rPr>
                <w:rFonts w:hint="eastAsia" w:ascii="仿宋_GB2312"/>
                <w:spacing w:val="-4"/>
                <w:szCs w:val="21"/>
              </w:rPr>
              <w:t>建立涉及非公经济市场准入行政审批事项公开制度，行政审批事项应向全社会公布，以便于查询和监督。各级各部门应公开经济社会发展规划、城乡规划、土地利用总体规划和行业发展规划，以及政府管理的土地、矿产资源、产业项目、投资政策等公共资源领域的信息，涉及公共资源配置的行政审批事项应由省级主管部门通过门户网站及有关媒介向社会全面公开信</w:t>
            </w:r>
            <w:r>
              <w:rPr>
                <w:rFonts w:hint="eastAsia" w:ascii="仿宋_GB2312"/>
                <w:spacing w:val="-20"/>
                <w:szCs w:val="21"/>
              </w:rPr>
              <w:t>息，切</w:t>
            </w:r>
            <w:r>
              <w:rPr>
                <w:rFonts w:hint="eastAsia" w:ascii="仿宋_GB2312"/>
                <w:spacing w:val="-4"/>
                <w:szCs w:val="21"/>
              </w:rPr>
              <w:t>实保障各类市场主体的知情权、参与权、选择权和监督权。</w:t>
            </w:r>
          </w:p>
        </w:tc>
        <w:tc>
          <w:tcPr>
            <w:tcW w:w="1421" w:type="dxa"/>
            <w:noWrap w:val="0"/>
            <w:vAlign w:val="center"/>
          </w:tcPr>
          <w:p w14:paraId="33067DE5">
            <w:pPr>
              <w:adjustRightInd w:val="0"/>
              <w:snapToGrid w:val="0"/>
              <w:spacing w:line="280" w:lineRule="exact"/>
              <w:jc w:val="center"/>
              <w:rPr>
                <w:rFonts w:hint="eastAsia" w:ascii="仿宋_GB2312"/>
                <w:szCs w:val="21"/>
              </w:rPr>
            </w:pPr>
            <w:r>
              <w:rPr>
                <w:rFonts w:hint="eastAsia" w:ascii="仿宋_GB2312"/>
                <w:szCs w:val="21"/>
              </w:rPr>
              <w:t>市编办</w:t>
            </w:r>
          </w:p>
        </w:tc>
      </w:tr>
      <w:tr w14:paraId="06726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856" w:type="dxa"/>
            <w:vMerge w:val="continue"/>
            <w:noWrap w:val="0"/>
            <w:vAlign w:val="center"/>
          </w:tcPr>
          <w:p w14:paraId="082BC55C">
            <w:pPr>
              <w:adjustRightInd w:val="0"/>
              <w:snapToGrid w:val="0"/>
              <w:spacing w:line="280" w:lineRule="exact"/>
              <w:ind w:firstLine="420" w:firstLineChars="200"/>
              <w:rPr>
                <w:rFonts w:hint="eastAsia" w:ascii="仿宋_GB2312"/>
                <w:szCs w:val="21"/>
              </w:rPr>
            </w:pPr>
          </w:p>
        </w:tc>
        <w:tc>
          <w:tcPr>
            <w:tcW w:w="1091" w:type="dxa"/>
            <w:noWrap w:val="0"/>
            <w:vAlign w:val="center"/>
          </w:tcPr>
          <w:p w14:paraId="671A67D5">
            <w:pPr>
              <w:adjustRightInd w:val="0"/>
              <w:snapToGrid w:val="0"/>
              <w:spacing w:line="260" w:lineRule="exact"/>
              <w:ind w:left="-2" w:leftChars="-1"/>
              <w:rPr>
                <w:rFonts w:hint="eastAsia" w:ascii="仿宋_GB2312"/>
                <w:szCs w:val="21"/>
              </w:rPr>
            </w:pPr>
            <w:r>
              <w:rPr>
                <w:rFonts w:hint="eastAsia" w:ascii="仿宋_GB2312"/>
                <w:szCs w:val="21"/>
              </w:rPr>
              <w:t>积极推进市场准入制度改革</w:t>
            </w:r>
          </w:p>
        </w:tc>
        <w:tc>
          <w:tcPr>
            <w:tcW w:w="9761" w:type="dxa"/>
            <w:noWrap w:val="0"/>
            <w:vAlign w:val="center"/>
          </w:tcPr>
          <w:p w14:paraId="20A0BA50">
            <w:pPr>
              <w:adjustRightInd w:val="0"/>
              <w:snapToGrid w:val="0"/>
              <w:spacing w:line="260" w:lineRule="exact"/>
              <w:ind w:firstLine="420" w:firstLineChars="200"/>
              <w:rPr>
                <w:rFonts w:hint="eastAsia" w:ascii="仿宋_GB2312"/>
                <w:szCs w:val="21"/>
              </w:rPr>
            </w:pPr>
            <w:r>
              <w:rPr>
                <w:rFonts w:hint="eastAsia" w:ascii="仿宋_GB2312"/>
                <w:szCs w:val="21"/>
              </w:rPr>
              <w:t>根据《甘肃省注册资本登记制度改革实施方案》(甘政发〔2014〕22号)，依法放宽经营范围、市场主体住所(经营场所)登记条件，实行注册资本认缴登记制，推行企业、个体工商户和农民专业合作社年度报告制度。逐步实行“先照后证”，创造条件逐步削减市场准入前置审批事项。所有行政审批事项，除法律法规有明确规定</w:t>
            </w:r>
            <w:r>
              <w:rPr>
                <w:rFonts w:hint="eastAsia" w:ascii="仿宋_GB2312"/>
                <w:spacing w:val="-20"/>
                <w:szCs w:val="21"/>
              </w:rPr>
              <w:t>外，政</w:t>
            </w:r>
            <w:r>
              <w:rPr>
                <w:rFonts w:hint="eastAsia" w:ascii="仿宋_GB2312"/>
                <w:szCs w:val="21"/>
              </w:rPr>
              <w:t>府主管部门不得随意附加审批条件、提高准入门槛，破除各种形式的行政垄断。</w:t>
            </w:r>
          </w:p>
        </w:tc>
        <w:tc>
          <w:tcPr>
            <w:tcW w:w="1421" w:type="dxa"/>
            <w:noWrap w:val="0"/>
            <w:vAlign w:val="center"/>
          </w:tcPr>
          <w:p w14:paraId="6BBA66BF">
            <w:pPr>
              <w:adjustRightInd w:val="0"/>
              <w:snapToGrid w:val="0"/>
              <w:spacing w:line="280" w:lineRule="exact"/>
              <w:jc w:val="center"/>
              <w:rPr>
                <w:rFonts w:hint="eastAsia" w:ascii="仿宋_GB2312"/>
                <w:szCs w:val="21"/>
              </w:rPr>
            </w:pPr>
            <w:r>
              <w:rPr>
                <w:rFonts w:hint="eastAsia" w:ascii="仿宋_GB2312"/>
                <w:szCs w:val="21"/>
              </w:rPr>
              <w:t>市工商局</w:t>
            </w:r>
          </w:p>
        </w:tc>
      </w:tr>
      <w:tr w14:paraId="38AE2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856" w:type="dxa"/>
            <w:vMerge w:val="continue"/>
            <w:noWrap w:val="0"/>
            <w:vAlign w:val="center"/>
          </w:tcPr>
          <w:p w14:paraId="0051D815">
            <w:pPr>
              <w:adjustRightInd w:val="0"/>
              <w:snapToGrid w:val="0"/>
              <w:spacing w:line="280" w:lineRule="exact"/>
              <w:rPr>
                <w:rFonts w:hint="eastAsia" w:ascii="仿宋_GB2312"/>
                <w:szCs w:val="21"/>
              </w:rPr>
            </w:pPr>
          </w:p>
        </w:tc>
        <w:tc>
          <w:tcPr>
            <w:tcW w:w="1091" w:type="dxa"/>
            <w:noWrap w:val="0"/>
            <w:vAlign w:val="center"/>
          </w:tcPr>
          <w:p w14:paraId="27560C24">
            <w:pPr>
              <w:adjustRightInd w:val="0"/>
              <w:snapToGrid w:val="0"/>
              <w:spacing w:line="260" w:lineRule="exact"/>
              <w:rPr>
                <w:rFonts w:hint="eastAsia" w:ascii="仿宋_GB2312"/>
                <w:szCs w:val="21"/>
              </w:rPr>
            </w:pPr>
            <w:r>
              <w:rPr>
                <w:rFonts w:hint="eastAsia" w:ascii="仿宋_GB2312"/>
                <w:szCs w:val="21"/>
              </w:rPr>
              <w:t>推进特许经营竞争性市场准入</w:t>
            </w:r>
          </w:p>
        </w:tc>
        <w:tc>
          <w:tcPr>
            <w:tcW w:w="9761" w:type="dxa"/>
            <w:noWrap w:val="0"/>
            <w:vAlign w:val="center"/>
          </w:tcPr>
          <w:p w14:paraId="720BAA01">
            <w:pPr>
              <w:adjustRightInd w:val="0"/>
              <w:snapToGrid w:val="0"/>
              <w:spacing w:line="260" w:lineRule="exact"/>
              <w:ind w:firstLine="420" w:firstLineChars="200"/>
              <w:rPr>
                <w:rFonts w:hint="eastAsia" w:ascii="仿宋_GB2312"/>
                <w:szCs w:val="21"/>
              </w:rPr>
            </w:pPr>
            <w:r>
              <w:rPr>
                <w:rFonts w:hint="eastAsia" w:ascii="仿宋_GB2312"/>
                <w:szCs w:val="21"/>
              </w:rPr>
              <w:t>对需经特定程序获得有限资源开发利用、公共资源配置以及直接关系公共利益的特定行业的市场准入，各级政府应依法、科学管理，规范设置准入条件，明确进入途径、运行方式和监管办法，不得单独对非公经济设置附加条件，保障非公经济平等获得特许经营资源的权益。特许经营权的实施应坚持合理布局、有效配置资源以及公开、公平、公正的原则，建立公众参与机制，采取市场化资源配置方式，保障各类市场主体公平竞争。特许经营权的出让，实施机关应在出让方案批准之日起20日内，将特许经营权出让方案信息向社会公开发布。</w:t>
            </w:r>
          </w:p>
        </w:tc>
        <w:tc>
          <w:tcPr>
            <w:tcW w:w="1421" w:type="dxa"/>
            <w:noWrap w:val="0"/>
            <w:vAlign w:val="center"/>
          </w:tcPr>
          <w:p w14:paraId="264B30B0">
            <w:pPr>
              <w:adjustRightInd w:val="0"/>
              <w:snapToGrid w:val="0"/>
              <w:spacing w:line="280" w:lineRule="exact"/>
              <w:jc w:val="center"/>
              <w:rPr>
                <w:rFonts w:hint="eastAsia" w:ascii="仿宋_GB2312"/>
                <w:szCs w:val="21"/>
              </w:rPr>
            </w:pPr>
            <w:r>
              <w:rPr>
                <w:rFonts w:hint="eastAsia" w:ascii="仿宋_GB2312"/>
                <w:szCs w:val="21"/>
              </w:rPr>
              <w:t xml:space="preserve">市工商局  </w:t>
            </w:r>
          </w:p>
          <w:p w14:paraId="66746378">
            <w:pPr>
              <w:adjustRightInd w:val="0"/>
              <w:snapToGrid w:val="0"/>
              <w:spacing w:line="280" w:lineRule="exact"/>
              <w:jc w:val="center"/>
              <w:rPr>
                <w:rFonts w:hint="eastAsia" w:ascii="仿宋_GB2312"/>
                <w:szCs w:val="21"/>
              </w:rPr>
            </w:pPr>
            <w:r>
              <w:rPr>
                <w:rFonts w:hint="eastAsia" w:ascii="仿宋_GB2312"/>
                <w:szCs w:val="21"/>
              </w:rPr>
              <w:t>市发改委</w:t>
            </w:r>
          </w:p>
          <w:p w14:paraId="3B7ED292">
            <w:pPr>
              <w:adjustRightInd w:val="0"/>
              <w:snapToGrid w:val="0"/>
              <w:spacing w:line="280" w:lineRule="exact"/>
              <w:jc w:val="center"/>
              <w:rPr>
                <w:rFonts w:hint="eastAsia" w:ascii="仿宋_GB2312"/>
                <w:szCs w:val="21"/>
              </w:rPr>
            </w:pPr>
            <w:r>
              <w:rPr>
                <w:rFonts w:hint="eastAsia" w:ascii="仿宋_GB2312"/>
                <w:szCs w:val="21"/>
              </w:rPr>
              <w:t>市财政局</w:t>
            </w:r>
          </w:p>
        </w:tc>
      </w:tr>
      <w:tr w14:paraId="22E04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56" w:type="dxa"/>
            <w:noWrap w:val="0"/>
            <w:vAlign w:val="center"/>
          </w:tcPr>
          <w:p w14:paraId="6B702451">
            <w:pPr>
              <w:adjustRightInd w:val="0"/>
              <w:snapToGrid w:val="0"/>
              <w:spacing w:line="280" w:lineRule="exact"/>
              <w:jc w:val="center"/>
              <w:rPr>
                <w:rFonts w:hint="eastAsia" w:ascii="黑体" w:eastAsia="黑体"/>
                <w:sz w:val="28"/>
                <w:szCs w:val="28"/>
              </w:rPr>
            </w:pPr>
            <w:r>
              <w:rPr>
                <w:rFonts w:hint="eastAsia" w:ascii="黑体" w:eastAsia="黑体"/>
                <w:sz w:val="28"/>
                <w:szCs w:val="28"/>
              </w:rPr>
              <w:t>项目</w:t>
            </w:r>
          </w:p>
        </w:tc>
        <w:tc>
          <w:tcPr>
            <w:tcW w:w="1091" w:type="dxa"/>
            <w:noWrap w:val="0"/>
            <w:vAlign w:val="center"/>
          </w:tcPr>
          <w:p w14:paraId="01F9E319">
            <w:pPr>
              <w:adjustRightInd w:val="0"/>
              <w:snapToGrid w:val="0"/>
              <w:spacing w:line="280" w:lineRule="exact"/>
              <w:jc w:val="center"/>
              <w:rPr>
                <w:rFonts w:hint="eastAsia" w:ascii="黑体" w:eastAsia="黑体"/>
                <w:sz w:val="28"/>
                <w:szCs w:val="28"/>
              </w:rPr>
            </w:pPr>
            <w:r>
              <w:rPr>
                <w:rFonts w:hint="eastAsia" w:ascii="黑体" w:eastAsia="黑体"/>
                <w:sz w:val="28"/>
                <w:szCs w:val="28"/>
              </w:rPr>
              <w:t>内容</w:t>
            </w:r>
          </w:p>
        </w:tc>
        <w:tc>
          <w:tcPr>
            <w:tcW w:w="9761" w:type="dxa"/>
            <w:noWrap w:val="0"/>
            <w:vAlign w:val="center"/>
          </w:tcPr>
          <w:p w14:paraId="5E9FB6BA">
            <w:pPr>
              <w:adjustRightInd w:val="0"/>
              <w:snapToGrid w:val="0"/>
              <w:spacing w:line="280" w:lineRule="exact"/>
              <w:ind w:firstLine="560" w:firstLineChars="200"/>
              <w:jc w:val="center"/>
              <w:rPr>
                <w:rFonts w:hint="eastAsia" w:ascii="黑体" w:eastAsia="黑体"/>
                <w:sz w:val="28"/>
                <w:szCs w:val="28"/>
              </w:rPr>
            </w:pPr>
            <w:r>
              <w:rPr>
                <w:rFonts w:hint="eastAsia" w:ascii="黑体" w:eastAsia="黑体"/>
                <w:sz w:val="28"/>
                <w:szCs w:val="28"/>
              </w:rPr>
              <w:t>主要任务</w:t>
            </w:r>
          </w:p>
        </w:tc>
        <w:tc>
          <w:tcPr>
            <w:tcW w:w="1421" w:type="dxa"/>
            <w:noWrap w:val="0"/>
            <w:vAlign w:val="center"/>
          </w:tcPr>
          <w:p w14:paraId="4B23C928">
            <w:pPr>
              <w:adjustRightInd w:val="0"/>
              <w:snapToGrid w:val="0"/>
              <w:spacing w:line="280" w:lineRule="exact"/>
              <w:jc w:val="center"/>
              <w:rPr>
                <w:rFonts w:hint="eastAsia" w:ascii="黑体" w:eastAsia="黑体"/>
                <w:sz w:val="28"/>
                <w:szCs w:val="28"/>
              </w:rPr>
            </w:pPr>
            <w:r>
              <w:rPr>
                <w:rFonts w:hint="eastAsia" w:ascii="黑体" w:eastAsia="黑体"/>
                <w:sz w:val="28"/>
                <w:szCs w:val="28"/>
              </w:rPr>
              <w:t>责任部门</w:t>
            </w:r>
          </w:p>
        </w:tc>
      </w:tr>
      <w:tr w14:paraId="43076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856" w:type="dxa"/>
            <w:vMerge w:val="restart"/>
            <w:noWrap w:val="0"/>
            <w:vAlign w:val="center"/>
          </w:tcPr>
          <w:p w14:paraId="069D03DB">
            <w:pPr>
              <w:adjustRightInd w:val="0"/>
              <w:snapToGrid w:val="0"/>
              <w:spacing w:line="280" w:lineRule="exact"/>
              <w:rPr>
                <w:rFonts w:hint="eastAsia" w:ascii="仿宋_GB2312"/>
                <w:szCs w:val="21"/>
              </w:rPr>
            </w:pPr>
            <w:r>
              <w:rPr>
                <w:rFonts w:hint="eastAsia" w:ascii="仿宋_GB2312"/>
                <w:szCs w:val="21"/>
              </w:rPr>
              <w:t>支持和引导非公经济拓展发展领域</w:t>
            </w:r>
          </w:p>
        </w:tc>
        <w:tc>
          <w:tcPr>
            <w:tcW w:w="1091" w:type="dxa"/>
            <w:vMerge w:val="restart"/>
            <w:noWrap w:val="0"/>
            <w:vAlign w:val="center"/>
          </w:tcPr>
          <w:p w14:paraId="07DA8CA6">
            <w:pPr>
              <w:adjustRightInd w:val="0"/>
              <w:snapToGrid w:val="0"/>
              <w:spacing w:line="320" w:lineRule="exact"/>
              <w:rPr>
                <w:rFonts w:hint="eastAsia" w:ascii="仿宋_GB2312"/>
                <w:szCs w:val="21"/>
              </w:rPr>
            </w:pPr>
            <w:r>
              <w:rPr>
                <w:rFonts w:hint="eastAsia" w:ascii="仿宋_GB2312"/>
                <w:szCs w:val="21"/>
              </w:rPr>
              <w:t>支持非公经济进入基础设施领域</w:t>
            </w:r>
          </w:p>
        </w:tc>
        <w:tc>
          <w:tcPr>
            <w:tcW w:w="9761" w:type="dxa"/>
            <w:noWrap w:val="0"/>
            <w:vAlign w:val="center"/>
          </w:tcPr>
          <w:p w14:paraId="44FD3FA9">
            <w:pPr>
              <w:adjustRightInd w:val="0"/>
              <w:snapToGrid w:val="0"/>
              <w:spacing w:line="320" w:lineRule="exact"/>
              <w:ind w:firstLine="420" w:firstLineChars="200"/>
              <w:rPr>
                <w:rFonts w:hint="eastAsia" w:ascii="仿宋_GB2312"/>
                <w:szCs w:val="21"/>
              </w:rPr>
            </w:pPr>
            <w:r>
              <w:rPr>
                <w:rFonts w:hint="eastAsia" w:ascii="仿宋_GB2312"/>
                <w:szCs w:val="21"/>
              </w:rPr>
              <w:t>允许和鼓励具备相应资质条件的非公经济进入交通运输领域，参与公路、桥梁、隧道、车站、码头、综合运输枢纽、物流园区、运输站场等交通基础设施的建设、养护、运营和管理，及交通运输新兴业务领域(交通信息化、交通智能业务、科技创新业务、节能减排、绿色交通建设)的投资、建设和经营。</w:t>
            </w:r>
          </w:p>
        </w:tc>
        <w:tc>
          <w:tcPr>
            <w:tcW w:w="1421" w:type="dxa"/>
            <w:noWrap w:val="0"/>
            <w:vAlign w:val="center"/>
          </w:tcPr>
          <w:p w14:paraId="7ED788E3">
            <w:pPr>
              <w:adjustRightInd w:val="0"/>
              <w:snapToGrid w:val="0"/>
              <w:spacing w:line="320" w:lineRule="exact"/>
              <w:ind w:left="118" w:hanging="117" w:hangingChars="56"/>
              <w:jc w:val="center"/>
              <w:rPr>
                <w:rFonts w:hint="eastAsia" w:ascii="仿宋_GB2312"/>
                <w:szCs w:val="21"/>
              </w:rPr>
            </w:pPr>
            <w:r>
              <w:rPr>
                <w:rFonts w:hint="eastAsia" w:ascii="仿宋_GB2312"/>
                <w:szCs w:val="21"/>
              </w:rPr>
              <w:t>市交通局</w:t>
            </w:r>
          </w:p>
        </w:tc>
      </w:tr>
      <w:tr w14:paraId="370C3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56" w:type="dxa"/>
            <w:vMerge w:val="continue"/>
            <w:noWrap w:val="0"/>
            <w:vAlign w:val="center"/>
          </w:tcPr>
          <w:p w14:paraId="136A4D1A">
            <w:pPr>
              <w:adjustRightInd w:val="0"/>
              <w:snapToGrid w:val="0"/>
              <w:spacing w:line="280" w:lineRule="exact"/>
              <w:rPr>
                <w:rFonts w:hint="eastAsia" w:ascii="仿宋_GB2312"/>
                <w:szCs w:val="21"/>
              </w:rPr>
            </w:pPr>
          </w:p>
        </w:tc>
        <w:tc>
          <w:tcPr>
            <w:tcW w:w="1091" w:type="dxa"/>
            <w:vMerge w:val="continue"/>
            <w:noWrap w:val="0"/>
            <w:vAlign w:val="center"/>
          </w:tcPr>
          <w:p w14:paraId="3EFC23BE">
            <w:pPr>
              <w:adjustRightInd w:val="0"/>
              <w:snapToGrid w:val="0"/>
              <w:spacing w:line="320" w:lineRule="exact"/>
              <w:ind w:firstLine="420" w:firstLineChars="200"/>
              <w:rPr>
                <w:rFonts w:hint="eastAsia" w:ascii="仿宋_GB2312"/>
                <w:szCs w:val="21"/>
              </w:rPr>
            </w:pPr>
          </w:p>
        </w:tc>
        <w:tc>
          <w:tcPr>
            <w:tcW w:w="9761" w:type="dxa"/>
            <w:noWrap w:val="0"/>
            <w:vAlign w:val="center"/>
          </w:tcPr>
          <w:p w14:paraId="10FA9D4F">
            <w:pPr>
              <w:adjustRightInd w:val="0"/>
              <w:snapToGrid w:val="0"/>
              <w:spacing w:line="320" w:lineRule="exact"/>
              <w:ind w:firstLine="420" w:firstLineChars="200"/>
              <w:rPr>
                <w:rFonts w:hint="eastAsia" w:ascii="仿宋_GB2312"/>
                <w:szCs w:val="21"/>
              </w:rPr>
            </w:pPr>
            <w:r>
              <w:rPr>
                <w:rFonts w:hint="eastAsia" w:ascii="仿宋_GB2312"/>
                <w:szCs w:val="21"/>
              </w:rPr>
              <w:t>鼓励非公经济进入水利工程建设领域，以独资、合资、合作、捐赠及村民“一事一议”筹资筹劳等方式参与水利工程建设，投资建设农田水利、跨流域调水、水资源综合利用、水土保持等水利项目。</w:t>
            </w:r>
          </w:p>
        </w:tc>
        <w:tc>
          <w:tcPr>
            <w:tcW w:w="1421" w:type="dxa"/>
            <w:noWrap w:val="0"/>
            <w:vAlign w:val="center"/>
          </w:tcPr>
          <w:p w14:paraId="5C837F97">
            <w:pPr>
              <w:adjustRightInd w:val="0"/>
              <w:snapToGrid w:val="0"/>
              <w:spacing w:line="320" w:lineRule="exact"/>
              <w:ind w:left="118" w:hanging="117" w:hangingChars="56"/>
              <w:jc w:val="center"/>
              <w:rPr>
                <w:rFonts w:hint="eastAsia" w:ascii="仿宋_GB2312"/>
                <w:szCs w:val="21"/>
              </w:rPr>
            </w:pPr>
            <w:r>
              <w:rPr>
                <w:rFonts w:hint="eastAsia" w:ascii="仿宋_GB2312"/>
                <w:szCs w:val="21"/>
              </w:rPr>
              <w:t>市水务局</w:t>
            </w:r>
          </w:p>
        </w:tc>
      </w:tr>
      <w:tr w14:paraId="1EA6C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56" w:type="dxa"/>
            <w:vMerge w:val="continue"/>
            <w:noWrap w:val="0"/>
            <w:vAlign w:val="center"/>
          </w:tcPr>
          <w:p w14:paraId="16E347E4">
            <w:pPr>
              <w:adjustRightInd w:val="0"/>
              <w:snapToGrid w:val="0"/>
              <w:spacing w:line="280" w:lineRule="exact"/>
              <w:rPr>
                <w:rFonts w:hint="eastAsia" w:ascii="仿宋_GB2312"/>
                <w:szCs w:val="21"/>
              </w:rPr>
            </w:pPr>
          </w:p>
        </w:tc>
        <w:tc>
          <w:tcPr>
            <w:tcW w:w="1091" w:type="dxa"/>
            <w:vMerge w:val="restart"/>
            <w:noWrap w:val="0"/>
            <w:vAlign w:val="center"/>
          </w:tcPr>
          <w:p w14:paraId="2ED11AE9">
            <w:pPr>
              <w:adjustRightInd w:val="0"/>
              <w:snapToGrid w:val="0"/>
              <w:spacing w:line="320" w:lineRule="exact"/>
              <w:rPr>
                <w:rFonts w:hint="eastAsia" w:ascii="仿宋_GB2312"/>
                <w:szCs w:val="21"/>
              </w:rPr>
            </w:pPr>
            <w:r>
              <w:rPr>
                <w:rFonts w:hint="eastAsia" w:ascii="仿宋_GB2312"/>
                <w:szCs w:val="21"/>
              </w:rPr>
              <w:t>支持非公经济进入市政公用事业建设领域</w:t>
            </w:r>
          </w:p>
        </w:tc>
        <w:tc>
          <w:tcPr>
            <w:tcW w:w="9761" w:type="dxa"/>
            <w:noWrap w:val="0"/>
            <w:vAlign w:val="center"/>
          </w:tcPr>
          <w:p w14:paraId="79E7F721">
            <w:pPr>
              <w:adjustRightInd w:val="0"/>
              <w:snapToGrid w:val="0"/>
              <w:spacing w:line="320" w:lineRule="exact"/>
              <w:ind w:firstLine="420" w:firstLineChars="200"/>
              <w:rPr>
                <w:rFonts w:hint="eastAsia" w:ascii="仿宋_GB2312"/>
                <w:szCs w:val="21"/>
              </w:rPr>
            </w:pPr>
            <w:r>
              <w:rPr>
                <w:rFonts w:hint="eastAsia" w:ascii="仿宋_GB2312"/>
                <w:szCs w:val="21"/>
              </w:rPr>
              <w:t>按照公平竞争的原则，支持和鼓励非公经济参与市政基础设施项目建设经营。允许非公经济通过出资入股、收购股权、参股、控股、租赁或购买服务等形式参与城镇供水、供暖、供气、生活污水垃圾处理设施及配套管网等市政基础设施建设和经营。通过招商引资方式，积极鼓励非公经济参与城镇燃气经营管理。</w:t>
            </w:r>
          </w:p>
        </w:tc>
        <w:tc>
          <w:tcPr>
            <w:tcW w:w="1421" w:type="dxa"/>
            <w:noWrap w:val="0"/>
            <w:vAlign w:val="center"/>
          </w:tcPr>
          <w:p w14:paraId="330010E4">
            <w:pPr>
              <w:adjustRightInd w:val="0"/>
              <w:snapToGrid w:val="0"/>
              <w:spacing w:line="320" w:lineRule="exact"/>
              <w:ind w:left="118" w:hanging="117" w:hangingChars="56"/>
              <w:jc w:val="center"/>
              <w:rPr>
                <w:rFonts w:hint="eastAsia" w:ascii="仿宋_GB2312"/>
                <w:szCs w:val="21"/>
              </w:rPr>
            </w:pPr>
            <w:r>
              <w:rPr>
                <w:rFonts w:hint="eastAsia" w:ascii="仿宋_GB2312"/>
                <w:szCs w:val="21"/>
              </w:rPr>
              <w:t>市建设局</w:t>
            </w:r>
          </w:p>
        </w:tc>
      </w:tr>
      <w:tr w14:paraId="22F38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56" w:type="dxa"/>
            <w:vMerge w:val="continue"/>
            <w:noWrap w:val="0"/>
            <w:vAlign w:val="center"/>
          </w:tcPr>
          <w:p w14:paraId="05AAD69B">
            <w:pPr>
              <w:adjustRightInd w:val="0"/>
              <w:snapToGrid w:val="0"/>
              <w:spacing w:line="280" w:lineRule="exact"/>
              <w:rPr>
                <w:rFonts w:hint="eastAsia" w:ascii="仿宋_GB2312"/>
                <w:szCs w:val="21"/>
              </w:rPr>
            </w:pPr>
          </w:p>
        </w:tc>
        <w:tc>
          <w:tcPr>
            <w:tcW w:w="1091" w:type="dxa"/>
            <w:vMerge w:val="continue"/>
            <w:noWrap w:val="0"/>
            <w:vAlign w:val="center"/>
          </w:tcPr>
          <w:p w14:paraId="3E9F18A5">
            <w:pPr>
              <w:adjustRightInd w:val="0"/>
              <w:snapToGrid w:val="0"/>
              <w:spacing w:line="320" w:lineRule="exact"/>
              <w:ind w:firstLine="420" w:firstLineChars="200"/>
              <w:rPr>
                <w:rFonts w:hint="eastAsia" w:ascii="仿宋_GB2312"/>
                <w:szCs w:val="21"/>
              </w:rPr>
            </w:pPr>
          </w:p>
        </w:tc>
        <w:tc>
          <w:tcPr>
            <w:tcW w:w="9761" w:type="dxa"/>
            <w:noWrap w:val="0"/>
            <w:vAlign w:val="center"/>
          </w:tcPr>
          <w:p w14:paraId="66F6767E">
            <w:pPr>
              <w:adjustRightInd w:val="0"/>
              <w:snapToGrid w:val="0"/>
              <w:spacing w:line="320" w:lineRule="exact"/>
              <w:ind w:firstLine="420" w:firstLineChars="200"/>
              <w:rPr>
                <w:rFonts w:hint="eastAsia" w:ascii="仿宋_GB2312"/>
                <w:szCs w:val="21"/>
              </w:rPr>
            </w:pPr>
            <w:r>
              <w:rPr>
                <w:rFonts w:hint="eastAsia" w:ascii="仿宋_GB2312"/>
                <w:szCs w:val="21"/>
              </w:rPr>
              <w:t>按照国家税收政策，非公企业从事《环境保护节能节水项目所得税优惠目录(试行)》(财税〔2009〕166号)规定的城镇污水处理、生活垃圾处理项目的投资经营所得，自项目取得第一笔生产经营收入所得纳税年度起，第一年至第三年免征企业所得税，第四年至第六年减半征收企业所得税。</w:t>
            </w:r>
          </w:p>
        </w:tc>
        <w:tc>
          <w:tcPr>
            <w:tcW w:w="1421" w:type="dxa"/>
            <w:noWrap w:val="0"/>
            <w:vAlign w:val="center"/>
          </w:tcPr>
          <w:p w14:paraId="5F3C7332">
            <w:pPr>
              <w:adjustRightInd w:val="0"/>
              <w:snapToGrid w:val="0"/>
              <w:spacing w:line="320" w:lineRule="exact"/>
              <w:ind w:left="118" w:hanging="117" w:hangingChars="56"/>
              <w:jc w:val="center"/>
              <w:rPr>
                <w:rFonts w:hint="eastAsia" w:ascii="仿宋_GB2312"/>
                <w:szCs w:val="21"/>
              </w:rPr>
            </w:pPr>
            <w:r>
              <w:rPr>
                <w:rFonts w:hint="eastAsia" w:ascii="仿宋_GB2312"/>
                <w:szCs w:val="21"/>
              </w:rPr>
              <w:t>市国税局</w:t>
            </w:r>
          </w:p>
          <w:p w14:paraId="054F4F99">
            <w:pPr>
              <w:adjustRightInd w:val="0"/>
              <w:snapToGrid w:val="0"/>
              <w:spacing w:line="320" w:lineRule="exact"/>
              <w:ind w:left="118" w:hanging="117" w:hangingChars="56"/>
              <w:jc w:val="center"/>
              <w:rPr>
                <w:rFonts w:hint="eastAsia" w:ascii="仿宋_GB2312"/>
                <w:szCs w:val="21"/>
              </w:rPr>
            </w:pPr>
            <w:r>
              <w:rPr>
                <w:rFonts w:hint="eastAsia" w:ascii="仿宋_GB2312"/>
                <w:szCs w:val="21"/>
              </w:rPr>
              <w:t>市地税局</w:t>
            </w:r>
          </w:p>
        </w:tc>
      </w:tr>
      <w:tr w14:paraId="7F75C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trPr>
        <w:tc>
          <w:tcPr>
            <w:tcW w:w="856" w:type="dxa"/>
            <w:vMerge w:val="continue"/>
            <w:noWrap w:val="0"/>
            <w:vAlign w:val="center"/>
          </w:tcPr>
          <w:p w14:paraId="49F0D7B9">
            <w:pPr>
              <w:adjustRightInd w:val="0"/>
              <w:snapToGrid w:val="0"/>
              <w:spacing w:line="280" w:lineRule="exact"/>
              <w:rPr>
                <w:rFonts w:hint="eastAsia" w:ascii="仿宋_GB2312"/>
                <w:szCs w:val="21"/>
              </w:rPr>
            </w:pPr>
          </w:p>
        </w:tc>
        <w:tc>
          <w:tcPr>
            <w:tcW w:w="1091" w:type="dxa"/>
            <w:noWrap w:val="0"/>
            <w:vAlign w:val="center"/>
          </w:tcPr>
          <w:p w14:paraId="138707F4">
            <w:pPr>
              <w:adjustRightInd w:val="0"/>
              <w:snapToGrid w:val="0"/>
              <w:spacing w:line="320" w:lineRule="exact"/>
              <w:rPr>
                <w:rFonts w:hint="eastAsia" w:ascii="仿宋_GB2312"/>
                <w:szCs w:val="21"/>
              </w:rPr>
            </w:pPr>
            <w:r>
              <w:rPr>
                <w:rFonts w:hint="eastAsia" w:ascii="仿宋_GB2312"/>
                <w:szCs w:val="21"/>
              </w:rPr>
              <w:t>支持非公经济进入能源开发领域</w:t>
            </w:r>
          </w:p>
        </w:tc>
        <w:tc>
          <w:tcPr>
            <w:tcW w:w="9761" w:type="dxa"/>
            <w:noWrap w:val="0"/>
            <w:vAlign w:val="center"/>
          </w:tcPr>
          <w:p w14:paraId="10D54E38">
            <w:pPr>
              <w:adjustRightInd w:val="0"/>
              <w:snapToGrid w:val="0"/>
              <w:spacing w:line="320" w:lineRule="exact"/>
              <w:ind w:firstLine="420" w:firstLineChars="200"/>
              <w:rPr>
                <w:rFonts w:hint="eastAsia" w:ascii="仿宋_GB2312"/>
                <w:szCs w:val="21"/>
              </w:rPr>
            </w:pPr>
            <w:r>
              <w:rPr>
                <w:rFonts w:hint="eastAsia" w:ascii="仿宋_GB2312"/>
                <w:szCs w:val="21"/>
              </w:rPr>
              <w:t>鼓励和引导非公资本投资太阳能、风能、地热能、生物质能等新能源产业建设。支持非公经济参与煤炭资源的开采、经营和投资煤炭洗选和深加工产业。鼓励非公经济以多种形式投资煤层气、页岩气等非常规油气资源勘查开发项目，支持非公经济建设天然气支线管道工程、城市燃气管网项目、液化天然气生产装置、天然气储存转运设施、加气站、加油站。鼓励非公经济进入能源基础设施领域，建设汽车充电站。鼓励有实力的非公企业投资建设原油商业储备库、城镇天然气应急调峰储配设施和成品油商业储备、天然气分布式能源供应系统。允许非公经济以独资、控股或参股形式参与水电站、火电站、热电站、天然气发电、余压余热发电等项目建设及电力服务有关业务，鼓励非公经济参与特定区域供电线路、微电网建设，支持符合条件的非公企业向大用户直供电力，并在具备条件的地方开展发电竞价上网试点。</w:t>
            </w:r>
          </w:p>
        </w:tc>
        <w:tc>
          <w:tcPr>
            <w:tcW w:w="1421" w:type="dxa"/>
            <w:noWrap w:val="0"/>
            <w:vAlign w:val="center"/>
          </w:tcPr>
          <w:p w14:paraId="39F5E4E6">
            <w:pPr>
              <w:adjustRightInd w:val="0"/>
              <w:snapToGrid w:val="0"/>
              <w:spacing w:line="320" w:lineRule="exact"/>
              <w:ind w:left="118" w:hanging="117" w:hangingChars="56"/>
              <w:jc w:val="center"/>
              <w:rPr>
                <w:rFonts w:hint="eastAsia" w:ascii="仿宋_GB2312"/>
                <w:szCs w:val="21"/>
              </w:rPr>
            </w:pPr>
            <w:r>
              <w:rPr>
                <w:rFonts w:hint="eastAsia" w:ascii="仿宋_GB2312"/>
                <w:szCs w:val="21"/>
              </w:rPr>
              <w:t>市发改委</w:t>
            </w:r>
          </w:p>
        </w:tc>
      </w:tr>
      <w:tr w14:paraId="6FE66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856" w:type="dxa"/>
            <w:vMerge w:val="continue"/>
            <w:noWrap w:val="0"/>
            <w:vAlign w:val="center"/>
          </w:tcPr>
          <w:p w14:paraId="52926A1C">
            <w:pPr>
              <w:adjustRightInd w:val="0"/>
              <w:snapToGrid w:val="0"/>
              <w:spacing w:line="280" w:lineRule="exact"/>
              <w:rPr>
                <w:rFonts w:hint="eastAsia" w:ascii="仿宋_GB2312"/>
                <w:szCs w:val="21"/>
              </w:rPr>
            </w:pPr>
          </w:p>
        </w:tc>
        <w:tc>
          <w:tcPr>
            <w:tcW w:w="1091" w:type="dxa"/>
            <w:noWrap w:val="0"/>
            <w:vAlign w:val="center"/>
          </w:tcPr>
          <w:p w14:paraId="23134194">
            <w:pPr>
              <w:adjustRightInd w:val="0"/>
              <w:snapToGrid w:val="0"/>
              <w:spacing w:line="320" w:lineRule="exact"/>
              <w:rPr>
                <w:rFonts w:hint="eastAsia" w:ascii="仿宋_GB2312"/>
                <w:szCs w:val="21"/>
              </w:rPr>
            </w:pPr>
            <w:r>
              <w:rPr>
                <w:rFonts w:hint="eastAsia" w:ascii="仿宋_GB2312"/>
                <w:szCs w:val="21"/>
              </w:rPr>
              <w:t>支持非公经济进入矿产资源开发领域</w:t>
            </w:r>
          </w:p>
        </w:tc>
        <w:tc>
          <w:tcPr>
            <w:tcW w:w="9761" w:type="dxa"/>
            <w:noWrap w:val="0"/>
            <w:vAlign w:val="center"/>
          </w:tcPr>
          <w:p w14:paraId="3E846DD6">
            <w:pPr>
              <w:adjustRightInd w:val="0"/>
              <w:snapToGrid w:val="0"/>
              <w:spacing w:line="320" w:lineRule="exact"/>
              <w:ind w:firstLine="420" w:firstLineChars="200"/>
              <w:rPr>
                <w:rFonts w:hint="eastAsia" w:ascii="仿宋_GB2312"/>
                <w:szCs w:val="21"/>
              </w:rPr>
            </w:pPr>
            <w:r>
              <w:rPr>
                <w:rFonts w:hint="eastAsia" w:ascii="仿宋_GB2312"/>
                <w:szCs w:val="21"/>
              </w:rPr>
              <w:t>鼓励非公企业自主组建勘查单位，依法申请取得勘查资质，开展地质勘查。鼓励非公企业参与整装勘查区找矿突破工作，推进非公资本与找矿技术有机结合。非公企业开发尾矿和低品位矿产资源的，依法减免矿产资源补偿费。鼓励非公企业研发先进技术，对矿产资源节约与综合利用中采用、推广先进技术工艺取得显著成效的非公企业纳入中央和省上有关奖励补助政策申报范围。</w:t>
            </w:r>
          </w:p>
        </w:tc>
        <w:tc>
          <w:tcPr>
            <w:tcW w:w="1421" w:type="dxa"/>
            <w:noWrap w:val="0"/>
            <w:vAlign w:val="center"/>
          </w:tcPr>
          <w:p w14:paraId="2BE8123A">
            <w:pPr>
              <w:adjustRightInd w:val="0"/>
              <w:snapToGrid w:val="0"/>
              <w:spacing w:line="320" w:lineRule="exact"/>
              <w:ind w:left="106" w:hanging="106" w:hangingChars="56"/>
              <w:rPr>
                <w:rFonts w:hint="eastAsia" w:ascii="仿宋_GB2312"/>
                <w:spacing w:val="-10"/>
                <w:szCs w:val="21"/>
              </w:rPr>
            </w:pPr>
            <w:r>
              <w:rPr>
                <w:rFonts w:hint="eastAsia" w:ascii="仿宋_GB2312"/>
                <w:spacing w:val="-10"/>
                <w:szCs w:val="21"/>
              </w:rPr>
              <w:t>市国土资源局</w:t>
            </w:r>
          </w:p>
        </w:tc>
      </w:tr>
      <w:tr w14:paraId="1B550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56" w:type="dxa"/>
            <w:noWrap w:val="0"/>
            <w:vAlign w:val="center"/>
          </w:tcPr>
          <w:p w14:paraId="50C42A5E">
            <w:pPr>
              <w:adjustRightInd w:val="0"/>
              <w:snapToGrid w:val="0"/>
              <w:spacing w:line="280" w:lineRule="exact"/>
              <w:jc w:val="center"/>
              <w:rPr>
                <w:rFonts w:hint="eastAsia" w:ascii="黑体" w:eastAsia="黑体"/>
                <w:sz w:val="28"/>
                <w:szCs w:val="28"/>
              </w:rPr>
            </w:pPr>
            <w:r>
              <w:rPr>
                <w:rFonts w:hint="eastAsia" w:ascii="黑体" w:eastAsia="黑体"/>
                <w:sz w:val="28"/>
                <w:szCs w:val="28"/>
              </w:rPr>
              <w:t>项目</w:t>
            </w:r>
          </w:p>
        </w:tc>
        <w:tc>
          <w:tcPr>
            <w:tcW w:w="1091" w:type="dxa"/>
            <w:noWrap w:val="0"/>
            <w:vAlign w:val="center"/>
          </w:tcPr>
          <w:p w14:paraId="571D37ED">
            <w:pPr>
              <w:adjustRightInd w:val="0"/>
              <w:snapToGrid w:val="0"/>
              <w:spacing w:line="280" w:lineRule="exact"/>
              <w:jc w:val="center"/>
              <w:rPr>
                <w:rFonts w:hint="eastAsia" w:ascii="黑体" w:eastAsia="黑体"/>
                <w:sz w:val="28"/>
                <w:szCs w:val="28"/>
              </w:rPr>
            </w:pPr>
            <w:r>
              <w:rPr>
                <w:rFonts w:hint="eastAsia" w:ascii="黑体" w:eastAsia="黑体"/>
                <w:sz w:val="28"/>
                <w:szCs w:val="28"/>
              </w:rPr>
              <w:t>内容</w:t>
            </w:r>
          </w:p>
        </w:tc>
        <w:tc>
          <w:tcPr>
            <w:tcW w:w="9761" w:type="dxa"/>
            <w:noWrap w:val="0"/>
            <w:vAlign w:val="center"/>
          </w:tcPr>
          <w:p w14:paraId="054F6E02">
            <w:pPr>
              <w:adjustRightInd w:val="0"/>
              <w:snapToGrid w:val="0"/>
              <w:spacing w:line="280" w:lineRule="exact"/>
              <w:ind w:firstLine="560" w:firstLineChars="200"/>
              <w:jc w:val="center"/>
              <w:rPr>
                <w:rFonts w:hint="eastAsia" w:ascii="黑体" w:eastAsia="黑体"/>
                <w:sz w:val="28"/>
                <w:szCs w:val="28"/>
              </w:rPr>
            </w:pPr>
            <w:r>
              <w:rPr>
                <w:rFonts w:hint="eastAsia" w:ascii="黑体" w:eastAsia="黑体"/>
                <w:sz w:val="28"/>
                <w:szCs w:val="28"/>
              </w:rPr>
              <w:t>主要任务</w:t>
            </w:r>
          </w:p>
        </w:tc>
        <w:tc>
          <w:tcPr>
            <w:tcW w:w="1421" w:type="dxa"/>
            <w:noWrap w:val="0"/>
            <w:vAlign w:val="center"/>
          </w:tcPr>
          <w:p w14:paraId="0E1E6523">
            <w:pPr>
              <w:adjustRightInd w:val="0"/>
              <w:snapToGrid w:val="0"/>
              <w:spacing w:line="280" w:lineRule="exact"/>
              <w:ind w:left="157" w:hanging="156" w:hangingChars="56"/>
              <w:jc w:val="center"/>
              <w:rPr>
                <w:rFonts w:hint="eastAsia" w:ascii="黑体" w:eastAsia="黑体"/>
                <w:sz w:val="28"/>
                <w:szCs w:val="28"/>
              </w:rPr>
            </w:pPr>
            <w:r>
              <w:rPr>
                <w:rFonts w:hint="eastAsia" w:ascii="黑体" w:eastAsia="黑体"/>
                <w:sz w:val="28"/>
                <w:szCs w:val="28"/>
              </w:rPr>
              <w:t>责任部门</w:t>
            </w:r>
          </w:p>
        </w:tc>
      </w:tr>
      <w:tr w14:paraId="7B413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 w:type="dxa"/>
            <w:vMerge w:val="restart"/>
            <w:noWrap w:val="0"/>
            <w:vAlign w:val="center"/>
          </w:tcPr>
          <w:p w14:paraId="378DF27A">
            <w:pPr>
              <w:adjustRightInd w:val="0"/>
              <w:snapToGrid w:val="0"/>
              <w:spacing w:line="280" w:lineRule="exact"/>
              <w:rPr>
                <w:rFonts w:hint="eastAsia" w:ascii="仿宋_GB2312"/>
                <w:szCs w:val="21"/>
              </w:rPr>
            </w:pPr>
            <w:r>
              <w:rPr>
                <w:rFonts w:hint="eastAsia" w:ascii="仿宋_GB2312"/>
                <w:szCs w:val="21"/>
              </w:rPr>
              <w:t>支持和引导非公经济拓展发展领域</w:t>
            </w:r>
          </w:p>
        </w:tc>
        <w:tc>
          <w:tcPr>
            <w:tcW w:w="1091" w:type="dxa"/>
            <w:vMerge w:val="restart"/>
            <w:noWrap w:val="0"/>
            <w:vAlign w:val="center"/>
          </w:tcPr>
          <w:p w14:paraId="2E4B97C7">
            <w:pPr>
              <w:adjustRightInd w:val="0"/>
              <w:snapToGrid w:val="0"/>
              <w:spacing w:line="280" w:lineRule="exact"/>
              <w:rPr>
                <w:rFonts w:hint="eastAsia" w:ascii="仿宋_GB2312"/>
                <w:szCs w:val="21"/>
              </w:rPr>
            </w:pPr>
            <w:r>
              <w:rPr>
                <w:rFonts w:hint="eastAsia" w:ascii="仿宋_GB2312"/>
                <w:szCs w:val="21"/>
              </w:rPr>
              <w:t>支持非公经济进入社会事业领域</w:t>
            </w:r>
          </w:p>
        </w:tc>
        <w:tc>
          <w:tcPr>
            <w:tcW w:w="9761" w:type="dxa"/>
            <w:noWrap w:val="0"/>
            <w:vAlign w:val="center"/>
          </w:tcPr>
          <w:p w14:paraId="57DBE3D7">
            <w:pPr>
              <w:adjustRightInd w:val="0"/>
              <w:snapToGrid w:val="0"/>
              <w:spacing w:line="280" w:lineRule="exact"/>
              <w:ind w:firstLine="420" w:firstLineChars="200"/>
              <w:rPr>
                <w:rFonts w:hint="eastAsia" w:ascii="仿宋_GB2312"/>
                <w:szCs w:val="21"/>
              </w:rPr>
            </w:pPr>
            <w:r>
              <w:rPr>
                <w:rFonts w:hint="eastAsia" w:ascii="仿宋_GB2312"/>
                <w:szCs w:val="21"/>
              </w:rPr>
              <w:t>支持非公经济兴办各类医疗机构，参与公立医院转制改组。</w:t>
            </w:r>
          </w:p>
        </w:tc>
        <w:tc>
          <w:tcPr>
            <w:tcW w:w="1421" w:type="dxa"/>
            <w:noWrap w:val="0"/>
            <w:vAlign w:val="center"/>
          </w:tcPr>
          <w:p w14:paraId="1F5E76EE">
            <w:pPr>
              <w:adjustRightInd w:val="0"/>
              <w:snapToGrid w:val="0"/>
              <w:spacing w:line="280" w:lineRule="exact"/>
              <w:ind w:left="118" w:hanging="117" w:hangingChars="56"/>
              <w:jc w:val="center"/>
              <w:rPr>
                <w:rFonts w:hint="eastAsia" w:ascii="仿宋_GB2312"/>
                <w:szCs w:val="21"/>
              </w:rPr>
            </w:pPr>
            <w:r>
              <w:rPr>
                <w:rFonts w:hint="eastAsia" w:ascii="仿宋_GB2312"/>
                <w:szCs w:val="21"/>
              </w:rPr>
              <w:t>市卫生局</w:t>
            </w:r>
          </w:p>
        </w:tc>
      </w:tr>
      <w:tr w14:paraId="17918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56" w:type="dxa"/>
            <w:vMerge w:val="continue"/>
            <w:noWrap w:val="0"/>
            <w:vAlign w:val="center"/>
          </w:tcPr>
          <w:p w14:paraId="76BCA79D">
            <w:pPr>
              <w:adjustRightInd w:val="0"/>
              <w:snapToGrid w:val="0"/>
              <w:spacing w:line="280" w:lineRule="exact"/>
              <w:ind w:firstLine="420" w:firstLineChars="200"/>
              <w:rPr>
                <w:rFonts w:hint="eastAsia" w:ascii="仿宋_GB2312"/>
                <w:szCs w:val="21"/>
              </w:rPr>
            </w:pPr>
          </w:p>
        </w:tc>
        <w:tc>
          <w:tcPr>
            <w:tcW w:w="1091" w:type="dxa"/>
            <w:vMerge w:val="continue"/>
            <w:noWrap w:val="0"/>
            <w:vAlign w:val="center"/>
          </w:tcPr>
          <w:p w14:paraId="7C5DACB0">
            <w:pPr>
              <w:adjustRightInd w:val="0"/>
              <w:snapToGrid w:val="0"/>
              <w:spacing w:line="280" w:lineRule="exact"/>
              <w:ind w:firstLine="420" w:firstLineChars="200"/>
              <w:rPr>
                <w:rFonts w:hint="eastAsia" w:ascii="仿宋_GB2312"/>
                <w:szCs w:val="21"/>
              </w:rPr>
            </w:pPr>
          </w:p>
        </w:tc>
        <w:tc>
          <w:tcPr>
            <w:tcW w:w="9761" w:type="dxa"/>
            <w:noWrap w:val="0"/>
            <w:vAlign w:val="center"/>
          </w:tcPr>
          <w:p w14:paraId="3A6B8B2D">
            <w:pPr>
              <w:adjustRightInd w:val="0"/>
              <w:snapToGrid w:val="0"/>
              <w:spacing w:line="280" w:lineRule="exact"/>
              <w:ind w:firstLine="420" w:firstLineChars="200"/>
              <w:rPr>
                <w:rFonts w:hint="eastAsia" w:ascii="仿宋_GB2312"/>
                <w:szCs w:val="21"/>
              </w:rPr>
            </w:pPr>
            <w:r>
              <w:rPr>
                <w:rFonts w:hint="eastAsia" w:ascii="仿宋_GB2312"/>
                <w:szCs w:val="21"/>
              </w:rPr>
              <w:t>鼓励和引导非公经济进入学前教育和学历教育领域。鼓励发展民办职业教育，积极支持有特色、高水平、高质量民办高校发展。</w:t>
            </w:r>
          </w:p>
        </w:tc>
        <w:tc>
          <w:tcPr>
            <w:tcW w:w="1421" w:type="dxa"/>
            <w:noWrap w:val="0"/>
            <w:vAlign w:val="center"/>
          </w:tcPr>
          <w:p w14:paraId="3F226883">
            <w:pPr>
              <w:adjustRightInd w:val="0"/>
              <w:snapToGrid w:val="0"/>
              <w:spacing w:line="280" w:lineRule="exact"/>
              <w:ind w:left="118" w:hanging="117" w:hangingChars="56"/>
              <w:jc w:val="center"/>
              <w:rPr>
                <w:rFonts w:hint="eastAsia" w:ascii="仿宋_GB2312"/>
                <w:szCs w:val="21"/>
              </w:rPr>
            </w:pPr>
            <w:r>
              <w:rPr>
                <w:rFonts w:hint="eastAsia" w:ascii="仿宋_GB2312"/>
                <w:szCs w:val="21"/>
              </w:rPr>
              <w:t>市教育局</w:t>
            </w:r>
          </w:p>
        </w:tc>
      </w:tr>
      <w:tr w14:paraId="206D7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56" w:type="dxa"/>
            <w:vMerge w:val="continue"/>
            <w:noWrap w:val="0"/>
            <w:vAlign w:val="center"/>
          </w:tcPr>
          <w:p w14:paraId="1CDC2382">
            <w:pPr>
              <w:adjustRightInd w:val="0"/>
              <w:snapToGrid w:val="0"/>
              <w:spacing w:line="280" w:lineRule="exact"/>
              <w:ind w:firstLine="420" w:firstLineChars="200"/>
              <w:rPr>
                <w:rFonts w:hint="eastAsia" w:ascii="仿宋_GB2312"/>
                <w:szCs w:val="21"/>
              </w:rPr>
            </w:pPr>
          </w:p>
        </w:tc>
        <w:tc>
          <w:tcPr>
            <w:tcW w:w="1091" w:type="dxa"/>
            <w:vMerge w:val="continue"/>
            <w:noWrap w:val="0"/>
            <w:vAlign w:val="center"/>
          </w:tcPr>
          <w:p w14:paraId="2A185664">
            <w:pPr>
              <w:adjustRightInd w:val="0"/>
              <w:snapToGrid w:val="0"/>
              <w:spacing w:line="280" w:lineRule="exact"/>
              <w:ind w:firstLine="420" w:firstLineChars="200"/>
              <w:rPr>
                <w:rFonts w:hint="eastAsia" w:ascii="仿宋_GB2312"/>
                <w:szCs w:val="21"/>
              </w:rPr>
            </w:pPr>
          </w:p>
        </w:tc>
        <w:tc>
          <w:tcPr>
            <w:tcW w:w="9761" w:type="dxa"/>
            <w:noWrap w:val="0"/>
            <w:vAlign w:val="center"/>
          </w:tcPr>
          <w:p w14:paraId="2D66EB07">
            <w:pPr>
              <w:adjustRightInd w:val="0"/>
              <w:snapToGrid w:val="0"/>
              <w:spacing w:line="280" w:lineRule="exact"/>
              <w:ind w:firstLine="420" w:firstLineChars="200"/>
              <w:rPr>
                <w:rFonts w:hint="eastAsia" w:ascii="仿宋_GB2312"/>
                <w:szCs w:val="21"/>
              </w:rPr>
            </w:pPr>
            <w:r>
              <w:rPr>
                <w:rFonts w:hint="eastAsia" w:ascii="仿宋_GB2312"/>
                <w:szCs w:val="21"/>
              </w:rPr>
              <w:t>鼓励非公经济进入养老服务领域，通过用地保障、信贷支持和政府补助、购买服务等多种形式，以独资、合资、合作、承包、联营等方式投资兴建老年公寓、老年养护院、社区老年人日间照料中心、农村互助老人幸福院和敬老院等各类社会养老服务机构。</w:t>
            </w:r>
          </w:p>
        </w:tc>
        <w:tc>
          <w:tcPr>
            <w:tcW w:w="1421" w:type="dxa"/>
            <w:noWrap w:val="0"/>
            <w:vAlign w:val="center"/>
          </w:tcPr>
          <w:p w14:paraId="73DD1AF5">
            <w:pPr>
              <w:adjustRightInd w:val="0"/>
              <w:snapToGrid w:val="0"/>
              <w:spacing w:line="280" w:lineRule="exact"/>
              <w:ind w:left="118" w:hanging="117" w:hangingChars="56"/>
              <w:jc w:val="center"/>
              <w:rPr>
                <w:rFonts w:hint="eastAsia" w:ascii="仿宋_GB2312"/>
                <w:szCs w:val="21"/>
              </w:rPr>
            </w:pPr>
            <w:r>
              <w:rPr>
                <w:rFonts w:hint="eastAsia" w:ascii="仿宋_GB2312"/>
                <w:szCs w:val="21"/>
              </w:rPr>
              <w:t>市民政局</w:t>
            </w:r>
          </w:p>
        </w:tc>
      </w:tr>
      <w:tr w14:paraId="00634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6" w:type="dxa"/>
            <w:vMerge w:val="continue"/>
            <w:noWrap w:val="0"/>
            <w:vAlign w:val="center"/>
          </w:tcPr>
          <w:p w14:paraId="3475C897">
            <w:pPr>
              <w:adjustRightInd w:val="0"/>
              <w:snapToGrid w:val="0"/>
              <w:spacing w:line="240" w:lineRule="exact"/>
              <w:ind w:firstLine="420" w:firstLineChars="200"/>
              <w:rPr>
                <w:rFonts w:hint="eastAsia" w:ascii="仿宋_GB2312"/>
                <w:szCs w:val="21"/>
              </w:rPr>
            </w:pPr>
          </w:p>
        </w:tc>
        <w:tc>
          <w:tcPr>
            <w:tcW w:w="1091" w:type="dxa"/>
            <w:vMerge w:val="restart"/>
            <w:noWrap w:val="0"/>
            <w:vAlign w:val="center"/>
          </w:tcPr>
          <w:p w14:paraId="288E801E">
            <w:pPr>
              <w:adjustRightInd w:val="0"/>
              <w:snapToGrid w:val="0"/>
              <w:spacing w:line="280" w:lineRule="exact"/>
              <w:rPr>
                <w:rFonts w:hint="eastAsia" w:ascii="仿宋_GB2312"/>
                <w:spacing w:val="-20"/>
                <w:szCs w:val="21"/>
              </w:rPr>
            </w:pPr>
            <w:r>
              <w:rPr>
                <w:rFonts w:hint="eastAsia" w:ascii="仿宋_GB2312"/>
                <w:szCs w:val="21"/>
              </w:rPr>
              <w:t>支持非公经济进入文化和旅游产业领域</w:t>
            </w:r>
          </w:p>
        </w:tc>
        <w:tc>
          <w:tcPr>
            <w:tcW w:w="9761" w:type="dxa"/>
            <w:noWrap w:val="0"/>
            <w:vAlign w:val="center"/>
          </w:tcPr>
          <w:p w14:paraId="44C46670">
            <w:pPr>
              <w:adjustRightInd w:val="0"/>
              <w:snapToGrid w:val="0"/>
              <w:spacing w:line="280" w:lineRule="exact"/>
              <w:ind w:firstLine="420" w:firstLineChars="200"/>
              <w:rPr>
                <w:rFonts w:hint="eastAsia" w:ascii="仿宋_GB2312"/>
                <w:szCs w:val="21"/>
              </w:rPr>
            </w:pPr>
            <w:r>
              <w:rPr>
                <w:rFonts w:hint="eastAsia" w:ascii="仿宋_GB2312"/>
                <w:szCs w:val="21"/>
              </w:rPr>
              <w:t>鼓励和引导民间资本以独资、合资、合作、联营、特许经营等多种方式，参与文化、旅游产业发展。鼓励非公经济投资演艺、娱乐、网络文化、动漫、游戏、文化旅游、文化会展、创意设计、数字文化服务等行业和领域。</w:t>
            </w:r>
          </w:p>
        </w:tc>
        <w:tc>
          <w:tcPr>
            <w:tcW w:w="1421" w:type="dxa"/>
            <w:noWrap w:val="0"/>
            <w:vAlign w:val="center"/>
          </w:tcPr>
          <w:p w14:paraId="19A657B1">
            <w:pPr>
              <w:adjustRightInd w:val="0"/>
              <w:snapToGrid w:val="0"/>
              <w:spacing w:line="280" w:lineRule="exact"/>
              <w:jc w:val="center"/>
              <w:rPr>
                <w:rFonts w:hint="eastAsia" w:ascii="仿宋_GB2312"/>
                <w:szCs w:val="21"/>
              </w:rPr>
            </w:pPr>
            <w:r>
              <w:rPr>
                <w:rFonts w:hint="eastAsia" w:ascii="仿宋_GB2312"/>
                <w:szCs w:val="21"/>
              </w:rPr>
              <w:t>市文广新局</w:t>
            </w:r>
          </w:p>
        </w:tc>
      </w:tr>
      <w:tr w14:paraId="6199C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6" w:type="dxa"/>
            <w:vMerge w:val="continue"/>
            <w:noWrap w:val="0"/>
            <w:vAlign w:val="center"/>
          </w:tcPr>
          <w:p w14:paraId="4C7B3964">
            <w:pPr>
              <w:adjustRightInd w:val="0"/>
              <w:snapToGrid w:val="0"/>
              <w:spacing w:line="240" w:lineRule="exact"/>
              <w:ind w:firstLine="420" w:firstLineChars="200"/>
              <w:rPr>
                <w:rFonts w:hint="eastAsia" w:ascii="仿宋_GB2312"/>
                <w:szCs w:val="21"/>
              </w:rPr>
            </w:pPr>
          </w:p>
        </w:tc>
        <w:tc>
          <w:tcPr>
            <w:tcW w:w="1091" w:type="dxa"/>
            <w:vMerge w:val="continue"/>
            <w:noWrap w:val="0"/>
            <w:vAlign w:val="center"/>
          </w:tcPr>
          <w:p w14:paraId="3A2C6579">
            <w:pPr>
              <w:adjustRightInd w:val="0"/>
              <w:snapToGrid w:val="0"/>
              <w:spacing w:line="280" w:lineRule="exact"/>
              <w:rPr>
                <w:rFonts w:hint="eastAsia" w:ascii="仿宋_GB2312"/>
                <w:szCs w:val="21"/>
              </w:rPr>
            </w:pPr>
          </w:p>
        </w:tc>
        <w:tc>
          <w:tcPr>
            <w:tcW w:w="9761" w:type="dxa"/>
            <w:noWrap w:val="0"/>
            <w:vAlign w:val="center"/>
          </w:tcPr>
          <w:p w14:paraId="0129604B">
            <w:pPr>
              <w:adjustRightInd w:val="0"/>
              <w:snapToGrid w:val="0"/>
              <w:spacing w:line="280" w:lineRule="exact"/>
              <w:ind w:firstLine="420" w:firstLineChars="200"/>
              <w:rPr>
                <w:rFonts w:hint="eastAsia" w:ascii="仿宋_GB2312"/>
                <w:szCs w:val="21"/>
              </w:rPr>
            </w:pPr>
            <w:r>
              <w:rPr>
                <w:rFonts w:hint="eastAsia" w:ascii="仿宋_GB2312"/>
                <w:szCs w:val="21"/>
              </w:rPr>
              <w:t>鼓励非公经济进入旅游领域，参与旅游资源开发、景区项目建设和旅游基础设施建设。民间资本投资运营的旅游基础设施享受同等税费减免政策。</w:t>
            </w:r>
          </w:p>
        </w:tc>
        <w:tc>
          <w:tcPr>
            <w:tcW w:w="1421" w:type="dxa"/>
            <w:noWrap w:val="0"/>
            <w:vAlign w:val="center"/>
          </w:tcPr>
          <w:p w14:paraId="6AD50D3D">
            <w:pPr>
              <w:adjustRightInd w:val="0"/>
              <w:snapToGrid w:val="0"/>
              <w:spacing w:line="280" w:lineRule="exact"/>
              <w:ind w:left="118" w:hanging="117" w:hangingChars="56"/>
              <w:jc w:val="center"/>
              <w:rPr>
                <w:rFonts w:hint="eastAsia" w:ascii="仿宋_GB2312"/>
                <w:szCs w:val="21"/>
              </w:rPr>
            </w:pPr>
            <w:r>
              <w:rPr>
                <w:rFonts w:hint="eastAsia" w:ascii="仿宋_GB2312"/>
                <w:szCs w:val="21"/>
              </w:rPr>
              <w:t>市旅游局</w:t>
            </w:r>
          </w:p>
        </w:tc>
      </w:tr>
      <w:tr w14:paraId="59F9C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trPr>
        <w:tc>
          <w:tcPr>
            <w:tcW w:w="856" w:type="dxa"/>
            <w:vMerge w:val="continue"/>
            <w:noWrap w:val="0"/>
            <w:vAlign w:val="center"/>
          </w:tcPr>
          <w:p w14:paraId="29B9EC14">
            <w:pPr>
              <w:adjustRightInd w:val="0"/>
              <w:snapToGrid w:val="0"/>
              <w:spacing w:line="240" w:lineRule="exact"/>
              <w:ind w:firstLine="420" w:firstLineChars="200"/>
              <w:rPr>
                <w:rFonts w:hint="eastAsia" w:ascii="仿宋_GB2312"/>
                <w:szCs w:val="21"/>
              </w:rPr>
            </w:pPr>
          </w:p>
        </w:tc>
        <w:tc>
          <w:tcPr>
            <w:tcW w:w="1091" w:type="dxa"/>
            <w:vMerge w:val="continue"/>
            <w:noWrap w:val="0"/>
            <w:vAlign w:val="center"/>
          </w:tcPr>
          <w:p w14:paraId="46655194">
            <w:pPr>
              <w:adjustRightInd w:val="0"/>
              <w:snapToGrid w:val="0"/>
              <w:spacing w:line="280" w:lineRule="exact"/>
              <w:ind w:firstLine="420" w:firstLineChars="200"/>
              <w:rPr>
                <w:rFonts w:hint="eastAsia" w:ascii="仿宋_GB2312"/>
                <w:szCs w:val="21"/>
              </w:rPr>
            </w:pPr>
          </w:p>
        </w:tc>
        <w:tc>
          <w:tcPr>
            <w:tcW w:w="9761" w:type="dxa"/>
            <w:noWrap w:val="0"/>
            <w:vAlign w:val="center"/>
          </w:tcPr>
          <w:p w14:paraId="05830351">
            <w:pPr>
              <w:adjustRightInd w:val="0"/>
              <w:snapToGrid w:val="0"/>
              <w:spacing w:line="280" w:lineRule="exact"/>
              <w:ind w:firstLine="420" w:firstLineChars="200"/>
              <w:rPr>
                <w:rFonts w:hint="eastAsia" w:ascii="仿宋_GB2312"/>
                <w:szCs w:val="21"/>
              </w:rPr>
            </w:pPr>
            <w:r>
              <w:rPr>
                <w:rFonts w:hint="eastAsia" w:ascii="仿宋_GB2312"/>
                <w:szCs w:val="21"/>
              </w:rPr>
              <w:t>支持非公经济参与出版经营活动，投资设立印刷复制企业，从事出版物、包装装潢印刷品及其他印刷品、可录类光盘生产和只读类光盘印刷复制经营活动。支持非公经济投资设立出版物批发、零售、连锁经营企业，从事图书、报纸、期刊、音像制品、电子出版物等出版产品发行经营活动。支持非公经济从事数字出版经营活动，投资设立网络出版包括动漫出版、游戏出版、手机出版、电子书出版、电影电视剧制作和产品开发等数字出版企业。</w:t>
            </w:r>
          </w:p>
        </w:tc>
        <w:tc>
          <w:tcPr>
            <w:tcW w:w="1421" w:type="dxa"/>
            <w:noWrap w:val="0"/>
            <w:vAlign w:val="center"/>
          </w:tcPr>
          <w:p w14:paraId="6046DE52">
            <w:pPr>
              <w:adjustRightInd w:val="0"/>
              <w:snapToGrid w:val="0"/>
              <w:spacing w:line="280" w:lineRule="exact"/>
              <w:ind w:left="118" w:hanging="117" w:hangingChars="56"/>
              <w:jc w:val="center"/>
              <w:rPr>
                <w:rFonts w:hint="eastAsia" w:ascii="仿宋_GB2312"/>
                <w:szCs w:val="21"/>
              </w:rPr>
            </w:pPr>
            <w:r>
              <w:rPr>
                <w:rFonts w:hint="eastAsia" w:ascii="仿宋_GB2312"/>
                <w:szCs w:val="21"/>
              </w:rPr>
              <w:t>市文广新局</w:t>
            </w:r>
          </w:p>
        </w:tc>
      </w:tr>
      <w:tr w14:paraId="5C349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56" w:type="dxa"/>
            <w:vMerge w:val="continue"/>
            <w:noWrap w:val="0"/>
            <w:vAlign w:val="center"/>
          </w:tcPr>
          <w:p w14:paraId="38FBCA58">
            <w:pPr>
              <w:adjustRightInd w:val="0"/>
              <w:snapToGrid w:val="0"/>
              <w:spacing w:line="240" w:lineRule="exact"/>
              <w:ind w:firstLine="420" w:firstLineChars="200"/>
              <w:rPr>
                <w:rFonts w:hint="eastAsia" w:ascii="仿宋_GB2312"/>
                <w:szCs w:val="21"/>
              </w:rPr>
            </w:pPr>
          </w:p>
        </w:tc>
        <w:tc>
          <w:tcPr>
            <w:tcW w:w="1091" w:type="dxa"/>
            <w:noWrap w:val="0"/>
            <w:vAlign w:val="center"/>
          </w:tcPr>
          <w:p w14:paraId="50EF1295">
            <w:pPr>
              <w:adjustRightInd w:val="0"/>
              <w:snapToGrid w:val="0"/>
              <w:spacing w:line="280" w:lineRule="exact"/>
              <w:rPr>
                <w:rFonts w:hint="eastAsia" w:ascii="仿宋_GB2312"/>
                <w:szCs w:val="21"/>
              </w:rPr>
            </w:pPr>
            <w:r>
              <w:rPr>
                <w:rFonts w:hint="eastAsia" w:ascii="仿宋_GB2312"/>
                <w:szCs w:val="21"/>
              </w:rPr>
              <w:t>支持非公经济进入物流业重点领域</w:t>
            </w:r>
          </w:p>
        </w:tc>
        <w:tc>
          <w:tcPr>
            <w:tcW w:w="9761" w:type="dxa"/>
            <w:noWrap w:val="0"/>
            <w:vAlign w:val="center"/>
          </w:tcPr>
          <w:p w14:paraId="57F36FE2">
            <w:pPr>
              <w:adjustRightInd w:val="0"/>
              <w:snapToGrid w:val="0"/>
              <w:spacing w:line="280" w:lineRule="exact"/>
              <w:ind w:firstLine="420" w:firstLineChars="200"/>
              <w:rPr>
                <w:rFonts w:hint="eastAsia" w:ascii="仿宋_GB2312"/>
                <w:szCs w:val="21"/>
              </w:rPr>
            </w:pPr>
            <w:r>
              <w:rPr>
                <w:rFonts w:hint="eastAsia" w:ascii="仿宋_GB2312"/>
                <w:szCs w:val="21"/>
              </w:rPr>
              <w:t>支持非公经济进入肉食品冷链物流、城市配送(含冷链)、医药物流、再生资源物流、特种货物运输、大宗物资物流、多式联运、集装箱、供应链管理、国际物流和保税物流等重点物流领域。鼓励非公经济参与物流标准化体系建设，促进物流企业网络化经营，扶持发展现代物流企业集团。积极支持非公经济投资从事社会化物流服务。支持非公经济进入物流基础设施领域，投资运输、仓储、配送、分拨、物流信息化以及物流园区等领域的物流基础设施建设，鼓励非公经济投资参与公铁联运、水铁联运、公水联运等转运中心设施建设。</w:t>
            </w:r>
          </w:p>
        </w:tc>
        <w:tc>
          <w:tcPr>
            <w:tcW w:w="1421" w:type="dxa"/>
            <w:noWrap w:val="0"/>
            <w:vAlign w:val="center"/>
          </w:tcPr>
          <w:p w14:paraId="49B1775D">
            <w:pPr>
              <w:adjustRightInd w:val="0"/>
              <w:snapToGrid w:val="0"/>
              <w:spacing w:line="280" w:lineRule="exact"/>
              <w:jc w:val="center"/>
              <w:rPr>
                <w:rFonts w:hint="eastAsia" w:ascii="仿宋_GB2312"/>
                <w:szCs w:val="21"/>
              </w:rPr>
            </w:pPr>
            <w:r>
              <w:rPr>
                <w:rFonts w:hint="eastAsia" w:ascii="仿宋_GB2312"/>
                <w:szCs w:val="21"/>
              </w:rPr>
              <w:t>市商务局</w:t>
            </w:r>
          </w:p>
        </w:tc>
      </w:tr>
      <w:tr w14:paraId="6F863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56" w:type="dxa"/>
            <w:noWrap w:val="0"/>
            <w:vAlign w:val="center"/>
          </w:tcPr>
          <w:p w14:paraId="6B29E5FB">
            <w:pPr>
              <w:adjustRightInd w:val="0"/>
              <w:snapToGrid w:val="0"/>
              <w:spacing w:line="240" w:lineRule="exact"/>
              <w:rPr>
                <w:rFonts w:hint="eastAsia" w:ascii="仿宋_GB2312"/>
                <w:szCs w:val="21"/>
              </w:rPr>
            </w:pPr>
            <w:r>
              <w:rPr>
                <w:rFonts w:hint="eastAsia" w:ascii="仿宋_GB2312"/>
                <w:szCs w:val="21"/>
              </w:rPr>
              <w:t>大力发展混合所有制经济</w:t>
            </w:r>
          </w:p>
        </w:tc>
        <w:tc>
          <w:tcPr>
            <w:tcW w:w="1091" w:type="dxa"/>
            <w:noWrap w:val="0"/>
            <w:vAlign w:val="center"/>
          </w:tcPr>
          <w:p w14:paraId="7DA1F8AC">
            <w:pPr>
              <w:adjustRightInd w:val="0"/>
              <w:snapToGrid w:val="0"/>
              <w:spacing w:line="240" w:lineRule="exact"/>
              <w:rPr>
                <w:rFonts w:hint="eastAsia" w:ascii="仿宋_GB2312"/>
                <w:szCs w:val="21"/>
              </w:rPr>
            </w:pPr>
            <w:r>
              <w:rPr>
                <w:rFonts w:hint="eastAsia" w:ascii="仿宋_GB2312"/>
                <w:szCs w:val="21"/>
              </w:rPr>
              <w:t>探索非公经济以多种形式参与国有企业改制</w:t>
            </w:r>
          </w:p>
        </w:tc>
        <w:tc>
          <w:tcPr>
            <w:tcW w:w="9761" w:type="dxa"/>
            <w:noWrap w:val="0"/>
            <w:vAlign w:val="center"/>
          </w:tcPr>
          <w:p w14:paraId="45F73234">
            <w:pPr>
              <w:adjustRightInd w:val="0"/>
              <w:snapToGrid w:val="0"/>
              <w:spacing w:line="280" w:lineRule="exact"/>
              <w:ind w:firstLine="420" w:firstLineChars="200"/>
              <w:rPr>
                <w:rFonts w:hint="eastAsia" w:ascii="仿宋_GB2312"/>
                <w:szCs w:val="21"/>
              </w:rPr>
            </w:pPr>
            <w:r>
              <w:rPr>
                <w:rFonts w:hint="eastAsia" w:ascii="仿宋_GB2312"/>
                <w:szCs w:val="21"/>
              </w:rPr>
              <w:t>积极探索非公经济通过参股、控股或并购等多种形式，依法参与国有企业的改制重组，推动国有企业股权多元化或股权社会化。</w:t>
            </w:r>
          </w:p>
        </w:tc>
        <w:tc>
          <w:tcPr>
            <w:tcW w:w="1421" w:type="dxa"/>
            <w:noWrap w:val="0"/>
            <w:vAlign w:val="center"/>
          </w:tcPr>
          <w:p w14:paraId="04BCEC1A">
            <w:pPr>
              <w:adjustRightInd w:val="0"/>
              <w:snapToGrid w:val="0"/>
              <w:spacing w:line="280" w:lineRule="exact"/>
              <w:jc w:val="center"/>
              <w:rPr>
                <w:rFonts w:hint="eastAsia" w:ascii="仿宋_GB2312"/>
                <w:szCs w:val="21"/>
              </w:rPr>
            </w:pPr>
            <w:r>
              <w:rPr>
                <w:rFonts w:hint="eastAsia" w:ascii="仿宋_GB2312"/>
                <w:szCs w:val="21"/>
              </w:rPr>
              <w:t>市国资办</w:t>
            </w:r>
          </w:p>
        </w:tc>
      </w:tr>
      <w:tr w14:paraId="19D2D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0B959CBF">
            <w:pPr>
              <w:adjustRightInd w:val="0"/>
              <w:snapToGrid w:val="0"/>
              <w:spacing w:line="280" w:lineRule="exact"/>
              <w:jc w:val="center"/>
              <w:rPr>
                <w:rFonts w:hint="eastAsia" w:ascii="黑体" w:eastAsia="黑体"/>
                <w:sz w:val="28"/>
                <w:szCs w:val="28"/>
              </w:rPr>
            </w:pPr>
            <w:r>
              <w:rPr>
                <w:rFonts w:hint="eastAsia" w:ascii="黑体" w:eastAsia="黑体"/>
                <w:sz w:val="28"/>
                <w:szCs w:val="28"/>
              </w:rPr>
              <w:t>项目</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0D42423B">
            <w:pPr>
              <w:adjustRightInd w:val="0"/>
              <w:snapToGrid w:val="0"/>
              <w:spacing w:line="280" w:lineRule="exact"/>
              <w:jc w:val="center"/>
              <w:rPr>
                <w:rFonts w:hint="eastAsia" w:ascii="黑体" w:eastAsia="黑体"/>
                <w:sz w:val="28"/>
                <w:szCs w:val="28"/>
              </w:rPr>
            </w:pPr>
            <w:r>
              <w:rPr>
                <w:rFonts w:hint="eastAsia" w:ascii="黑体" w:eastAsia="黑体"/>
                <w:sz w:val="28"/>
                <w:szCs w:val="28"/>
              </w:rPr>
              <w:t>内容</w:t>
            </w:r>
          </w:p>
        </w:tc>
        <w:tc>
          <w:tcPr>
            <w:tcW w:w="9761" w:type="dxa"/>
            <w:tcBorders>
              <w:top w:val="single" w:color="auto" w:sz="4" w:space="0"/>
              <w:left w:val="single" w:color="auto" w:sz="4" w:space="0"/>
              <w:bottom w:val="single" w:color="auto" w:sz="4" w:space="0"/>
              <w:right w:val="single" w:color="auto" w:sz="4" w:space="0"/>
            </w:tcBorders>
            <w:noWrap w:val="0"/>
            <w:vAlign w:val="center"/>
          </w:tcPr>
          <w:p w14:paraId="09815DCE">
            <w:pPr>
              <w:adjustRightInd w:val="0"/>
              <w:snapToGrid w:val="0"/>
              <w:spacing w:line="280" w:lineRule="exact"/>
              <w:ind w:firstLine="560" w:firstLineChars="200"/>
              <w:jc w:val="center"/>
              <w:rPr>
                <w:rFonts w:hint="eastAsia" w:ascii="黑体" w:eastAsia="黑体"/>
                <w:sz w:val="28"/>
                <w:szCs w:val="28"/>
              </w:rPr>
            </w:pPr>
            <w:r>
              <w:rPr>
                <w:rFonts w:hint="eastAsia" w:ascii="黑体" w:eastAsia="黑体"/>
                <w:sz w:val="28"/>
                <w:szCs w:val="28"/>
              </w:rPr>
              <w:t>主要任务</w:t>
            </w:r>
          </w:p>
        </w:tc>
        <w:tc>
          <w:tcPr>
            <w:tcW w:w="1421" w:type="dxa"/>
            <w:tcBorders>
              <w:top w:val="single" w:color="auto" w:sz="4" w:space="0"/>
              <w:left w:val="single" w:color="auto" w:sz="4" w:space="0"/>
              <w:bottom w:val="single" w:color="auto" w:sz="4" w:space="0"/>
              <w:right w:val="single" w:color="auto" w:sz="4" w:space="0"/>
            </w:tcBorders>
            <w:noWrap w:val="0"/>
            <w:vAlign w:val="center"/>
          </w:tcPr>
          <w:p w14:paraId="520FF5B7">
            <w:pPr>
              <w:adjustRightInd w:val="0"/>
              <w:snapToGrid w:val="0"/>
              <w:spacing w:line="280" w:lineRule="exact"/>
              <w:rPr>
                <w:rFonts w:hint="eastAsia" w:ascii="黑体" w:eastAsia="黑体"/>
                <w:sz w:val="28"/>
                <w:szCs w:val="28"/>
              </w:rPr>
            </w:pPr>
            <w:r>
              <w:rPr>
                <w:rFonts w:hint="eastAsia" w:ascii="黑体" w:eastAsia="黑体"/>
                <w:sz w:val="28"/>
                <w:szCs w:val="28"/>
              </w:rPr>
              <w:t>责任部门</w:t>
            </w:r>
          </w:p>
        </w:tc>
      </w:tr>
      <w:tr w14:paraId="3D92F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856" w:type="dxa"/>
            <w:vMerge w:val="restart"/>
            <w:noWrap w:val="0"/>
            <w:vAlign w:val="center"/>
          </w:tcPr>
          <w:p w14:paraId="40300B1B">
            <w:pPr>
              <w:adjustRightInd w:val="0"/>
              <w:snapToGrid w:val="0"/>
              <w:spacing w:line="240" w:lineRule="exact"/>
              <w:rPr>
                <w:rFonts w:hint="eastAsia" w:ascii="仿宋_GB2312"/>
                <w:szCs w:val="21"/>
              </w:rPr>
            </w:pPr>
            <w:r>
              <w:rPr>
                <w:rFonts w:hint="eastAsia" w:ascii="仿宋_GB2312"/>
                <w:szCs w:val="21"/>
              </w:rPr>
              <w:t>大力发展混合所有制经济</w:t>
            </w:r>
          </w:p>
        </w:tc>
        <w:tc>
          <w:tcPr>
            <w:tcW w:w="1091" w:type="dxa"/>
            <w:noWrap w:val="0"/>
            <w:vAlign w:val="center"/>
          </w:tcPr>
          <w:p w14:paraId="3B90A651">
            <w:pPr>
              <w:adjustRightInd w:val="0"/>
              <w:snapToGrid w:val="0"/>
              <w:spacing w:line="240" w:lineRule="exact"/>
              <w:rPr>
                <w:rFonts w:hint="eastAsia" w:ascii="仿宋_GB2312"/>
                <w:szCs w:val="21"/>
              </w:rPr>
            </w:pPr>
            <w:r>
              <w:rPr>
                <w:rFonts w:hint="eastAsia" w:ascii="仿宋_GB2312"/>
                <w:szCs w:val="21"/>
              </w:rPr>
              <w:t>积极引入非公经济参与国有企业改制重组</w:t>
            </w:r>
          </w:p>
        </w:tc>
        <w:tc>
          <w:tcPr>
            <w:tcW w:w="9761" w:type="dxa"/>
            <w:noWrap w:val="0"/>
            <w:vAlign w:val="center"/>
          </w:tcPr>
          <w:p w14:paraId="2D7025B9">
            <w:pPr>
              <w:adjustRightInd w:val="0"/>
              <w:snapToGrid w:val="0"/>
              <w:spacing w:line="240" w:lineRule="exact"/>
              <w:ind w:firstLine="420" w:firstLineChars="200"/>
              <w:rPr>
                <w:rFonts w:hint="eastAsia" w:ascii="仿宋_GB2312"/>
                <w:szCs w:val="21"/>
              </w:rPr>
            </w:pPr>
            <w:r>
              <w:rPr>
                <w:rFonts w:hint="eastAsia" w:ascii="仿宋_GB2312"/>
                <w:szCs w:val="21"/>
              </w:rPr>
              <w:t>结合市属国有企业产业结构调整、改制重组、厂办大集体改革、商贸流通企业改革、招商引资、股权投资、上市融资等具体项目，通过省、市级公共资源交易市场、媒体和互联网等渠道，不定期面向社会广泛发布信息，保障非公经济的知情权和参与权。支持非公经济主体通过出资入股、收购股权、认购可转债、融资租赁、收购闲置资产等多种形式参与国有企业重组上市或国有控股上市公司增发股票。支持非公经济主体与国有资本共同出资设立股权投资基金。积极引入股权投资基金参与国有企业改制上市、重组整合、企业并购，共同投资战略新兴产业、创新性和孵化期等高收益、高风险业务。</w:t>
            </w:r>
          </w:p>
        </w:tc>
        <w:tc>
          <w:tcPr>
            <w:tcW w:w="1421" w:type="dxa"/>
            <w:vMerge w:val="restart"/>
            <w:noWrap w:val="0"/>
            <w:vAlign w:val="center"/>
          </w:tcPr>
          <w:p w14:paraId="19B32123">
            <w:pPr>
              <w:adjustRightInd w:val="0"/>
              <w:snapToGrid w:val="0"/>
              <w:spacing w:line="240" w:lineRule="exact"/>
              <w:jc w:val="center"/>
              <w:rPr>
                <w:rFonts w:hint="eastAsia" w:ascii="仿宋_GB2312"/>
                <w:szCs w:val="21"/>
              </w:rPr>
            </w:pPr>
            <w:r>
              <w:rPr>
                <w:rFonts w:hint="eastAsia" w:ascii="仿宋_GB2312"/>
                <w:szCs w:val="21"/>
              </w:rPr>
              <w:t>市国资办</w:t>
            </w:r>
          </w:p>
        </w:tc>
      </w:tr>
      <w:tr w14:paraId="46905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56" w:type="dxa"/>
            <w:vMerge w:val="continue"/>
            <w:noWrap w:val="0"/>
            <w:vAlign w:val="center"/>
          </w:tcPr>
          <w:p w14:paraId="2A851AEB">
            <w:pPr>
              <w:adjustRightInd w:val="0"/>
              <w:snapToGrid w:val="0"/>
              <w:spacing w:line="240" w:lineRule="exact"/>
              <w:ind w:firstLine="420" w:firstLineChars="200"/>
              <w:rPr>
                <w:rFonts w:hint="eastAsia" w:ascii="仿宋_GB2312"/>
                <w:szCs w:val="21"/>
              </w:rPr>
            </w:pPr>
          </w:p>
        </w:tc>
        <w:tc>
          <w:tcPr>
            <w:tcW w:w="1091" w:type="dxa"/>
            <w:noWrap w:val="0"/>
            <w:vAlign w:val="center"/>
          </w:tcPr>
          <w:p w14:paraId="23DB52FC">
            <w:pPr>
              <w:adjustRightInd w:val="0"/>
              <w:snapToGrid w:val="0"/>
              <w:spacing w:line="240" w:lineRule="exact"/>
              <w:rPr>
                <w:rFonts w:hint="eastAsia" w:ascii="仿宋_GB2312"/>
                <w:szCs w:val="21"/>
              </w:rPr>
            </w:pPr>
            <w:r>
              <w:rPr>
                <w:rFonts w:hint="eastAsia" w:ascii="仿宋_GB2312"/>
                <w:szCs w:val="21"/>
              </w:rPr>
              <w:t>创新非公经济参与国有企业改制出资方式</w:t>
            </w:r>
          </w:p>
        </w:tc>
        <w:tc>
          <w:tcPr>
            <w:tcW w:w="9761" w:type="dxa"/>
            <w:noWrap w:val="0"/>
            <w:vAlign w:val="center"/>
          </w:tcPr>
          <w:p w14:paraId="30187428">
            <w:pPr>
              <w:adjustRightInd w:val="0"/>
              <w:snapToGrid w:val="0"/>
              <w:spacing w:line="240" w:lineRule="exact"/>
              <w:ind w:firstLine="420" w:firstLineChars="200"/>
              <w:rPr>
                <w:rFonts w:hint="eastAsia" w:ascii="仿宋_GB2312"/>
                <w:szCs w:val="21"/>
              </w:rPr>
            </w:pPr>
            <w:r>
              <w:rPr>
                <w:rFonts w:hint="eastAsia" w:ascii="仿宋_GB2312"/>
                <w:szCs w:val="21"/>
              </w:rPr>
              <w:t>非公经济主体参与国有企业改制重组可以用货币出资，也可以用实物、知识产权、土地使用权等法律、行政法规允许的方式出资。允许关键岗位的经营管理者、核心技术人员和业务骨干以现金、技术等出资参与企业改制。支持混合所有制经济实行企业员工持股，形成资本所有者和劳动者利益共同体。</w:t>
            </w:r>
          </w:p>
        </w:tc>
        <w:tc>
          <w:tcPr>
            <w:tcW w:w="1421" w:type="dxa"/>
            <w:vMerge w:val="continue"/>
            <w:noWrap w:val="0"/>
            <w:vAlign w:val="center"/>
          </w:tcPr>
          <w:p w14:paraId="1B893BCA">
            <w:pPr>
              <w:adjustRightInd w:val="0"/>
              <w:snapToGrid w:val="0"/>
              <w:spacing w:line="240" w:lineRule="exact"/>
              <w:jc w:val="center"/>
              <w:rPr>
                <w:rFonts w:hint="eastAsia" w:ascii="仿宋_GB2312"/>
                <w:szCs w:val="21"/>
              </w:rPr>
            </w:pPr>
          </w:p>
        </w:tc>
      </w:tr>
      <w:tr w14:paraId="4EF4C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856" w:type="dxa"/>
            <w:vMerge w:val="continue"/>
            <w:noWrap w:val="0"/>
            <w:vAlign w:val="center"/>
          </w:tcPr>
          <w:p w14:paraId="32121419">
            <w:pPr>
              <w:adjustRightInd w:val="0"/>
              <w:snapToGrid w:val="0"/>
              <w:spacing w:line="240" w:lineRule="exact"/>
              <w:ind w:firstLine="420" w:firstLineChars="200"/>
              <w:rPr>
                <w:rFonts w:hint="eastAsia" w:ascii="仿宋_GB2312"/>
                <w:szCs w:val="21"/>
              </w:rPr>
            </w:pPr>
          </w:p>
        </w:tc>
        <w:tc>
          <w:tcPr>
            <w:tcW w:w="1091" w:type="dxa"/>
            <w:noWrap w:val="0"/>
            <w:vAlign w:val="center"/>
          </w:tcPr>
          <w:p w14:paraId="1FB7B90D">
            <w:pPr>
              <w:adjustRightInd w:val="0"/>
              <w:snapToGrid w:val="0"/>
              <w:spacing w:line="240" w:lineRule="exact"/>
              <w:rPr>
                <w:rFonts w:hint="eastAsia" w:ascii="仿宋_GB2312"/>
                <w:szCs w:val="21"/>
              </w:rPr>
            </w:pPr>
            <w:r>
              <w:rPr>
                <w:rFonts w:hint="eastAsia" w:ascii="仿宋_GB2312"/>
                <w:szCs w:val="21"/>
              </w:rPr>
              <w:t>积极利用政府性资金引导非公经济参与国有企业改革发展工作</w:t>
            </w:r>
          </w:p>
        </w:tc>
        <w:tc>
          <w:tcPr>
            <w:tcW w:w="9761" w:type="dxa"/>
            <w:noWrap w:val="0"/>
            <w:vAlign w:val="center"/>
          </w:tcPr>
          <w:p w14:paraId="48CC7520">
            <w:pPr>
              <w:adjustRightInd w:val="0"/>
              <w:snapToGrid w:val="0"/>
              <w:spacing w:line="240" w:lineRule="exact"/>
              <w:ind w:firstLine="420" w:firstLineChars="200"/>
              <w:rPr>
                <w:rFonts w:hint="eastAsia" w:ascii="仿宋_GB2312"/>
                <w:szCs w:val="21"/>
              </w:rPr>
            </w:pPr>
            <w:r>
              <w:rPr>
                <w:rFonts w:hint="eastAsia" w:ascii="仿宋_GB2312"/>
                <w:szCs w:val="21"/>
              </w:rPr>
              <w:t>支持符合条件的非公经济项目按规定申请各类财政专项建设资金、政府补助性资金。探索建立非公经济参与国有企业改革发展的制度机制，鼓励非公经济主体参与国有企业重大改制重组、重大改革创新、重要产业提升及重点关闭退出等项目。</w:t>
            </w:r>
          </w:p>
        </w:tc>
        <w:tc>
          <w:tcPr>
            <w:tcW w:w="1421" w:type="dxa"/>
            <w:noWrap w:val="0"/>
            <w:vAlign w:val="center"/>
          </w:tcPr>
          <w:p w14:paraId="50914701">
            <w:pPr>
              <w:adjustRightInd w:val="0"/>
              <w:snapToGrid w:val="0"/>
              <w:spacing w:line="240" w:lineRule="exact"/>
              <w:jc w:val="center"/>
              <w:rPr>
                <w:rFonts w:hint="eastAsia" w:ascii="仿宋_GB2312"/>
                <w:szCs w:val="21"/>
              </w:rPr>
            </w:pPr>
            <w:r>
              <w:rPr>
                <w:rFonts w:hint="eastAsia" w:ascii="仿宋_GB2312"/>
                <w:szCs w:val="21"/>
              </w:rPr>
              <w:t>市财政局</w:t>
            </w:r>
          </w:p>
          <w:p w14:paraId="459BAFBA">
            <w:pPr>
              <w:adjustRightInd w:val="0"/>
              <w:snapToGrid w:val="0"/>
              <w:spacing w:line="240" w:lineRule="exact"/>
              <w:jc w:val="center"/>
              <w:rPr>
                <w:rFonts w:ascii="仿宋_GB2312"/>
                <w:szCs w:val="21"/>
              </w:rPr>
            </w:pPr>
            <w:r>
              <w:rPr>
                <w:rFonts w:hint="eastAsia" w:ascii="仿宋_GB2312"/>
                <w:szCs w:val="21"/>
              </w:rPr>
              <w:t>市国资办</w:t>
            </w:r>
          </w:p>
          <w:p w14:paraId="3922D50F">
            <w:pPr>
              <w:adjustRightInd w:val="0"/>
              <w:snapToGrid w:val="0"/>
              <w:spacing w:line="240" w:lineRule="exact"/>
              <w:jc w:val="center"/>
              <w:rPr>
                <w:rFonts w:hint="eastAsia" w:ascii="仿宋_GB2312"/>
                <w:szCs w:val="21"/>
              </w:rPr>
            </w:pPr>
          </w:p>
        </w:tc>
      </w:tr>
      <w:tr w14:paraId="22D06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6" w:type="dxa"/>
            <w:vMerge w:val="restart"/>
            <w:noWrap w:val="0"/>
            <w:vAlign w:val="center"/>
          </w:tcPr>
          <w:p w14:paraId="2848F141">
            <w:pPr>
              <w:adjustRightInd w:val="0"/>
              <w:snapToGrid w:val="0"/>
              <w:spacing w:line="240" w:lineRule="exact"/>
              <w:rPr>
                <w:rFonts w:hint="eastAsia" w:ascii="仿宋_GB2312"/>
                <w:szCs w:val="21"/>
              </w:rPr>
            </w:pPr>
            <w:r>
              <w:rPr>
                <w:rFonts w:hint="eastAsia" w:ascii="仿宋_GB2312"/>
                <w:szCs w:val="21"/>
              </w:rPr>
              <w:t>加大财税金融支持力度</w:t>
            </w:r>
          </w:p>
        </w:tc>
        <w:tc>
          <w:tcPr>
            <w:tcW w:w="1091" w:type="dxa"/>
            <w:noWrap w:val="0"/>
            <w:vAlign w:val="center"/>
          </w:tcPr>
          <w:p w14:paraId="179BBFC0">
            <w:pPr>
              <w:adjustRightInd w:val="0"/>
              <w:snapToGrid w:val="0"/>
              <w:spacing w:line="240" w:lineRule="exact"/>
              <w:rPr>
                <w:rFonts w:hint="eastAsia" w:ascii="仿宋_GB2312"/>
                <w:szCs w:val="21"/>
              </w:rPr>
            </w:pPr>
            <w:r>
              <w:rPr>
                <w:rFonts w:hint="eastAsia" w:ascii="仿宋_GB2312"/>
                <w:szCs w:val="21"/>
              </w:rPr>
              <w:t>加大对中小微企业的支持力度</w:t>
            </w:r>
          </w:p>
        </w:tc>
        <w:tc>
          <w:tcPr>
            <w:tcW w:w="9761" w:type="dxa"/>
            <w:noWrap w:val="0"/>
            <w:vAlign w:val="center"/>
          </w:tcPr>
          <w:p w14:paraId="131D2FE2">
            <w:pPr>
              <w:adjustRightInd w:val="0"/>
              <w:snapToGrid w:val="0"/>
              <w:spacing w:line="240" w:lineRule="exact"/>
              <w:ind w:firstLine="420" w:firstLineChars="200"/>
              <w:rPr>
                <w:rFonts w:hint="eastAsia" w:ascii="仿宋_GB2312"/>
                <w:szCs w:val="21"/>
              </w:rPr>
            </w:pPr>
            <w:r>
              <w:rPr>
                <w:rFonts w:hint="eastAsia" w:ascii="仿宋_GB2312"/>
                <w:szCs w:val="21"/>
              </w:rPr>
              <w:t>市县政府要落实中小微企业属地化管理责任，制定完善支持中小微企业发展的具体措施，逐步加大财力投入，转变支持方式，为中小微企业营造公平、公正的发展环境。用足用好中央和省级中小微企业专项资金，优先支持中小微企业科技创新，改善中小微企业融资环境，完善中小微企业服务体系。省级相关中小微企业管理部门要建立中小微企业发展协调推进机制，加强沟通、完善制度、简化程序，确保各项扶持政策、资金投入协调互补，形成合力，充分发挥应有效益。</w:t>
            </w:r>
          </w:p>
        </w:tc>
        <w:tc>
          <w:tcPr>
            <w:tcW w:w="1421" w:type="dxa"/>
            <w:vMerge w:val="restart"/>
            <w:noWrap w:val="0"/>
            <w:vAlign w:val="center"/>
          </w:tcPr>
          <w:p w14:paraId="2F877FAF">
            <w:pPr>
              <w:adjustRightInd w:val="0"/>
              <w:snapToGrid w:val="0"/>
              <w:spacing w:line="240" w:lineRule="exact"/>
              <w:jc w:val="center"/>
              <w:rPr>
                <w:rFonts w:hint="eastAsia" w:ascii="仿宋_GB2312"/>
                <w:szCs w:val="21"/>
              </w:rPr>
            </w:pPr>
            <w:r>
              <w:rPr>
                <w:rFonts w:hint="eastAsia" w:ascii="仿宋_GB2312"/>
                <w:szCs w:val="21"/>
              </w:rPr>
              <w:t>市工信委</w:t>
            </w:r>
          </w:p>
        </w:tc>
      </w:tr>
      <w:tr w14:paraId="0C20E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56" w:type="dxa"/>
            <w:vMerge w:val="continue"/>
            <w:noWrap w:val="0"/>
            <w:vAlign w:val="center"/>
          </w:tcPr>
          <w:p w14:paraId="35D27DA5">
            <w:pPr>
              <w:adjustRightInd w:val="0"/>
              <w:snapToGrid w:val="0"/>
              <w:spacing w:line="240" w:lineRule="exact"/>
              <w:ind w:firstLine="420" w:firstLineChars="200"/>
              <w:rPr>
                <w:rFonts w:hint="eastAsia" w:ascii="仿宋_GB2312"/>
                <w:szCs w:val="21"/>
              </w:rPr>
            </w:pPr>
          </w:p>
        </w:tc>
        <w:tc>
          <w:tcPr>
            <w:tcW w:w="1091" w:type="dxa"/>
            <w:noWrap w:val="0"/>
            <w:vAlign w:val="center"/>
          </w:tcPr>
          <w:p w14:paraId="4D57AFEE">
            <w:pPr>
              <w:adjustRightInd w:val="0"/>
              <w:snapToGrid w:val="0"/>
              <w:spacing w:line="240" w:lineRule="exact"/>
              <w:rPr>
                <w:rFonts w:hint="eastAsia" w:ascii="仿宋_GB2312"/>
                <w:spacing w:val="-20"/>
                <w:szCs w:val="21"/>
              </w:rPr>
            </w:pPr>
            <w:r>
              <w:rPr>
                <w:rFonts w:hint="eastAsia" w:ascii="仿宋_GB2312"/>
                <w:spacing w:val="-20"/>
                <w:szCs w:val="21"/>
              </w:rPr>
              <w:t>创新中小微企业资金投入方式</w:t>
            </w:r>
          </w:p>
        </w:tc>
        <w:tc>
          <w:tcPr>
            <w:tcW w:w="9761" w:type="dxa"/>
            <w:noWrap w:val="0"/>
            <w:vAlign w:val="center"/>
          </w:tcPr>
          <w:p w14:paraId="72FC955F">
            <w:pPr>
              <w:adjustRightInd w:val="0"/>
              <w:snapToGrid w:val="0"/>
              <w:spacing w:line="240" w:lineRule="exact"/>
              <w:ind w:firstLine="420" w:firstLineChars="200"/>
              <w:rPr>
                <w:rFonts w:hint="eastAsia" w:ascii="仿宋_GB2312"/>
                <w:szCs w:val="21"/>
              </w:rPr>
            </w:pPr>
            <w:r>
              <w:rPr>
                <w:rFonts w:hint="eastAsia" w:ascii="仿宋_GB2312"/>
                <w:szCs w:val="21"/>
              </w:rPr>
              <w:t>充分划分政府与市场界限，更多运用贴息、基金、购买服务、业务补偿和奖励、股权投资、代偿代补等间接方式，降低政策门槛，扩大扶持范围，吸引和撬动信贷和民间资金投入，助推全省中小微企业加快发展。</w:t>
            </w:r>
          </w:p>
        </w:tc>
        <w:tc>
          <w:tcPr>
            <w:tcW w:w="1421" w:type="dxa"/>
            <w:vMerge w:val="continue"/>
            <w:noWrap w:val="0"/>
            <w:vAlign w:val="center"/>
          </w:tcPr>
          <w:p w14:paraId="269F5290">
            <w:pPr>
              <w:adjustRightInd w:val="0"/>
              <w:snapToGrid w:val="0"/>
              <w:spacing w:line="240" w:lineRule="exact"/>
              <w:ind w:firstLine="420" w:firstLineChars="200"/>
              <w:jc w:val="center"/>
              <w:rPr>
                <w:rFonts w:hint="eastAsia" w:ascii="仿宋_GB2312"/>
                <w:szCs w:val="21"/>
              </w:rPr>
            </w:pPr>
          </w:p>
        </w:tc>
      </w:tr>
      <w:tr w14:paraId="5C993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56" w:type="dxa"/>
            <w:vMerge w:val="continue"/>
            <w:noWrap w:val="0"/>
            <w:vAlign w:val="center"/>
          </w:tcPr>
          <w:p w14:paraId="512EB8EC">
            <w:pPr>
              <w:adjustRightInd w:val="0"/>
              <w:snapToGrid w:val="0"/>
              <w:spacing w:line="240" w:lineRule="exact"/>
              <w:ind w:firstLine="420" w:firstLineChars="200"/>
              <w:rPr>
                <w:rFonts w:hint="eastAsia" w:ascii="仿宋_GB2312"/>
                <w:szCs w:val="21"/>
              </w:rPr>
            </w:pPr>
          </w:p>
        </w:tc>
        <w:tc>
          <w:tcPr>
            <w:tcW w:w="1091" w:type="dxa"/>
            <w:noWrap w:val="0"/>
            <w:vAlign w:val="center"/>
          </w:tcPr>
          <w:p w14:paraId="6FFE8BD2">
            <w:pPr>
              <w:adjustRightInd w:val="0"/>
              <w:snapToGrid w:val="0"/>
              <w:spacing w:line="240" w:lineRule="exact"/>
              <w:rPr>
                <w:rFonts w:hint="eastAsia" w:ascii="仿宋_GB2312"/>
                <w:szCs w:val="21"/>
              </w:rPr>
            </w:pPr>
            <w:r>
              <w:rPr>
                <w:rFonts w:hint="eastAsia" w:ascii="仿宋_GB2312"/>
                <w:szCs w:val="21"/>
              </w:rPr>
              <w:t>政府采购货物、服务和工程，对各类所有制企业同等对待</w:t>
            </w:r>
          </w:p>
        </w:tc>
        <w:tc>
          <w:tcPr>
            <w:tcW w:w="9761" w:type="dxa"/>
            <w:noWrap w:val="0"/>
            <w:vAlign w:val="center"/>
          </w:tcPr>
          <w:p w14:paraId="57E15D56">
            <w:pPr>
              <w:adjustRightInd w:val="0"/>
              <w:snapToGrid w:val="0"/>
              <w:spacing w:line="240" w:lineRule="exact"/>
              <w:ind w:firstLine="420" w:firstLineChars="200"/>
              <w:rPr>
                <w:rFonts w:hint="eastAsia" w:ascii="仿宋_GB2312"/>
                <w:szCs w:val="21"/>
              </w:rPr>
            </w:pPr>
            <w:r>
              <w:rPr>
                <w:rFonts w:hint="eastAsia" w:ascii="仿宋_GB2312"/>
                <w:szCs w:val="21"/>
              </w:rPr>
              <w:t>面向小微企业的采购项目不低于年度预算总额30％，采购评审中对小微企业产品可给予6％—10％的价格扣除。鼓励大中型企业和小微企业组成联合体共同参与非专门面向中小企业的政府采购活动，小微企业的合同金额占到联合体协议合同总金额30％以上的，可给予联合体2％—3％的价格扣除。</w:t>
            </w:r>
          </w:p>
        </w:tc>
        <w:tc>
          <w:tcPr>
            <w:tcW w:w="1421" w:type="dxa"/>
            <w:noWrap w:val="0"/>
            <w:vAlign w:val="center"/>
          </w:tcPr>
          <w:p w14:paraId="3D1C860B">
            <w:pPr>
              <w:adjustRightInd w:val="0"/>
              <w:snapToGrid w:val="0"/>
              <w:spacing w:line="240" w:lineRule="exact"/>
              <w:jc w:val="center"/>
              <w:rPr>
                <w:rFonts w:hint="eastAsia" w:ascii="仿宋_GB2312"/>
                <w:szCs w:val="21"/>
              </w:rPr>
            </w:pPr>
            <w:r>
              <w:rPr>
                <w:rFonts w:hint="eastAsia" w:ascii="仿宋_GB2312"/>
                <w:szCs w:val="21"/>
              </w:rPr>
              <w:t>市财政局      市公共资源交易中心</w:t>
            </w:r>
          </w:p>
        </w:tc>
      </w:tr>
      <w:tr w14:paraId="49661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05374DE7">
            <w:pPr>
              <w:adjustRightInd w:val="0"/>
              <w:snapToGrid w:val="0"/>
              <w:spacing w:line="280" w:lineRule="exact"/>
              <w:jc w:val="center"/>
              <w:rPr>
                <w:rFonts w:hint="eastAsia" w:ascii="黑体" w:eastAsia="黑体"/>
                <w:sz w:val="28"/>
                <w:szCs w:val="28"/>
              </w:rPr>
            </w:pPr>
            <w:r>
              <w:rPr>
                <w:rFonts w:hint="eastAsia" w:ascii="黑体" w:eastAsia="黑体"/>
                <w:sz w:val="28"/>
                <w:szCs w:val="28"/>
              </w:rPr>
              <w:t>项目</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790D61D5">
            <w:pPr>
              <w:adjustRightInd w:val="0"/>
              <w:snapToGrid w:val="0"/>
              <w:spacing w:line="280" w:lineRule="exact"/>
              <w:jc w:val="center"/>
              <w:rPr>
                <w:rFonts w:hint="eastAsia" w:ascii="黑体" w:eastAsia="黑体"/>
                <w:sz w:val="28"/>
                <w:szCs w:val="28"/>
              </w:rPr>
            </w:pPr>
            <w:r>
              <w:rPr>
                <w:rFonts w:hint="eastAsia" w:ascii="黑体" w:eastAsia="黑体"/>
                <w:sz w:val="28"/>
                <w:szCs w:val="28"/>
              </w:rPr>
              <w:t>内容</w:t>
            </w:r>
          </w:p>
        </w:tc>
        <w:tc>
          <w:tcPr>
            <w:tcW w:w="9761" w:type="dxa"/>
            <w:tcBorders>
              <w:top w:val="single" w:color="auto" w:sz="4" w:space="0"/>
              <w:left w:val="single" w:color="auto" w:sz="4" w:space="0"/>
              <w:bottom w:val="single" w:color="auto" w:sz="4" w:space="0"/>
              <w:right w:val="single" w:color="auto" w:sz="4" w:space="0"/>
            </w:tcBorders>
            <w:noWrap w:val="0"/>
            <w:vAlign w:val="center"/>
          </w:tcPr>
          <w:p w14:paraId="5D2C98BF">
            <w:pPr>
              <w:adjustRightInd w:val="0"/>
              <w:snapToGrid w:val="0"/>
              <w:spacing w:line="280" w:lineRule="exact"/>
              <w:ind w:firstLine="560" w:firstLineChars="200"/>
              <w:jc w:val="center"/>
              <w:rPr>
                <w:rFonts w:hint="eastAsia" w:ascii="黑体" w:eastAsia="黑体"/>
                <w:sz w:val="28"/>
                <w:szCs w:val="28"/>
              </w:rPr>
            </w:pPr>
            <w:r>
              <w:rPr>
                <w:rFonts w:hint="eastAsia" w:ascii="黑体" w:eastAsia="黑体"/>
                <w:sz w:val="28"/>
                <w:szCs w:val="28"/>
              </w:rPr>
              <w:t>主要任务</w:t>
            </w:r>
          </w:p>
        </w:tc>
        <w:tc>
          <w:tcPr>
            <w:tcW w:w="1421" w:type="dxa"/>
            <w:tcBorders>
              <w:top w:val="single" w:color="auto" w:sz="4" w:space="0"/>
              <w:left w:val="single" w:color="auto" w:sz="4" w:space="0"/>
              <w:bottom w:val="single" w:color="auto" w:sz="4" w:space="0"/>
              <w:right w:val="single" w:color="auto" w:sz="4" w:space="0"/>
            </w:tcBorders>
            <w:noWrap w:val="0"/>
            <w:vAlign w:val="center"/>
          </w:tcPr>
          <w:p w14:paraId="7327202C">
            <w:pPr>
              <w:adjustRightInd w:val="0"/>
              <w:snapToGrid w:val="0"/>
              <w:spacing w:line="280" w:lineRule="exact"/>
              <w:jc w:val="center"/>
              <w:rPr>
                <w:rFonts w:hint="eastAsia" w:ascii="黑体" w:eastAsia="黑体"/>
                <w:sz w:val="28"/>
                <w:szCs w:val="28"/>
              </w:rPr>
            </w:pPr>
            <w:r>
              <w:rPr>
                <w:rFonts w:hint="eastAsia" w:ascii="黑体" w:eastAsia="黑体"/>
                <w:sz w:val="28"/>
                <w:szCs w:val="28"/>
              </w:rPr>
              <w:t>责任部门</w:t>
            </w:r>
          </w:p>
        </w:tc>
      </w:tr>
      <w:tr w14:paraId="5328E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856" w:type="dxa"/>
            <w:vMerge w:val="restart"/>
            <w:noWrap w:val="0"/>
            <w:vAlign w:val="center"/>
          </w:tcPr>
          <w:p w14:paraId="1D825BB3">
            <w:pPr>
              <w:adjustRightInd w:val="0"/>
              <w:snapToGrid w:val="0"/>
              <w:spacing w:line="240" w:lineRule="exact"/>
              <w:rPr>
                <w:rFonts w:hint="eastAsia" w:ascii="仿宋_GB2312"/>
                <w:szCs w:val="21"/>
              </w:rPr>
            </w:pPr>
            <w:r>
              <w:rPr>
                <w:rFonts w:hint="eastAsia" w:ascii="仿宋_GB2312"/>
                <w:szCs w:val="21"/>
              </w:rPr>
              <w:t>加大财税金融支持力度</w:t>
            </w:r>
          </w:p>
        </w:tc>
        <w:tc>
          <w:tcPr>
            <w:tcW w:w="1091" w:type="dxa"/>
            <w:noWrap w:val="0"/>
            <w:vAlign w:val="center"/>
          </w:tcPr>
          <w:p w14:paraId="6E3A27B6">
            <w:pPr>
              <w:adjustRightInd w:val="0"/>
              <w:snapToGrid w:val="0"/>
              <w:spacing w:line="260" w:lineRule="exact"/>
              <w:rPr>
                <w:rFonts w:hint="eastAsia" w:ascii="仿宋_GB2312"/>
                <w:szCs w:val="21"/>
              </w:rPr>
            </w:pPr>
            <w:r>
              <w:rPr>
                <w:rFonts w:hint="eastAsia" w:ascii="仿宋_GB2312"/>
                <w:szCs w:val="21"/>
              </w:rPr>
              <w:t>充分发挥税制改革及税收优惠政策减免效应</w:t>
            </w:r>
          </w:p>
        </w:tc>
        <w:tc>
          <w:tcPr>
            <w:tcW w:w="9761" w:type="dxa"/>
            <w:noWrap w:val="0"/>
            <w:vAlign w:val="center"/>
          </w:tcPr>
          <w:p w14:paraId="72CD1FB6">
            <w:pPr>
              <w:adjustRightInd w:val="0"/>
              <w:snapToGrid w:val="0"/>
              <w:spacing w:line="260" w:lineRule="exact"/>
              <w:ind w:firstLine="420" w:firstLineChars="200"/>
              <w:rPr>
                <w:rFonts w:hint="eastAsia" w:ascii="仿宋_GB2312"/>
                <w:szCs w:val="21"/>
              </w:rPr>
            </w:pPr>
            <w:r>
              <w:rPr>
                <w:rFonts w:hint="eastAsia" w:ascii="仿宋_GB2312"/>
                <w:szCs w:val="21"/>
              </w:rPr>
              <w:t>按照国家统一部署，扎实开展“营改增”试点推进工作，最大程度发挥其减轻小微企业税负的试点效应。认真落实财政部、国家税务总局《关于暂免征收部分小微企业增值税和营业税的通知》(财税〔2013〕52号)及其他税收减免政策，对增值税小规模纳税人中月销售额不超过2万元的非公经济，暂免征收增值税；对营业税纳税人中月营业额不超过2万元的非公经济，暂免征收营业税。严格执行财政部、国家税务总局《关于小型微利企业所得税优惠政策有关问题的通知》(财税〔2014〕34号)精神，将小微企业减半征收所得税优惠政策实施范围的上限，由年应纳税所得额6万元提高至10万元。</w:t>
            </w:r>
          </w:p>
        </w:tc>
        <w:tc>
          <w:tcPr>
            <w:tcW w:w="1421" w:type="dxa"/>
            <w:noWrap w:val="0"/>
            <w:vAlign w:val="center"/>
          </w:tcPr>
          <w:p w14:paraId="0ACD8C97">
            <w:pPr>
              <w:adjustRightInd w:val="0"/>
              <w:snapToGrid w:val="0"/>
              <w:spacing w:line="260" w:lineRule="exact"/>
              <w:jc w:val="center"/>
              <w:rPr>
                <w:rFonts w:ascii="仿宋_GB2312"/>
                <w:szCs w:val="21"/>
              </w:rPr>
            </w:pPr>
            <w:r>
              <w:rPr>
                <w:rFonts w:hint="eastAsia" w:ascii="仿宋_GB2312"/>
                <w:szCs w:val="21"/>
              </w:rPr>
              <w:t>市财政局      市国税局      市地税局</w:t>
            </w:r>
          </w:p>
          <w:p w14:paraId="61C562AA">
            <w:pPr>
              <w:adjustRightInd w:val="0"/>
              <w:snapToGrid w:val="0"/>
              <w:spacing w:line="260" w:lineRule="exact"/>
              <w:jc w:val="center"/>
              <w:rPr>
                <w:rFonts w:hint="eastAsia" w:ascii="仿宋_GB2312"/>
                <w:szCs w:val="21"/>
              </w:rPr>
            </w:pPr>
          </w:p>
        </w:tc>
      </w:tr>
      <w:tr w14:paraId="1DA83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856" w:type="dxa"/>
            <w:vMerge w:val="continue"/>
            <w:noWrap w:val="0"/>
            <w:vAlign w:val="center"/>
          </w:tcPr>
          <w:p w14:paraId="5CD3812F">
            <w:pPr>
              <w:adjustRightInd w:val="0"/>
              <w:snapToGrid w:val="0"/>
              <w:spacing w:line="240" w:lineRule="exact"/>
              <w:ind w:firstLine="420" w:firstLineChars="200"/>
              <w:rPr>
                <w:rFonts w:hint="eastAsia" w:ascii="仿宋_GB2312"/>
                <w:szCs w:val="21"/>
              </w:rPr>
            </w:pPr>
          </w:p>
        </w:tc>
        <w:tc>
          <w:tcPr>
            <w:tcW w:w="1091" w:type="dxa"/>
            <w:noWrap w:val="0"/>
            <w:vAlign w:val="center"/>
          </w:tcPr>
          <w:p w14:paraId="1BAB8FC6">
            <w:pPr>
              <w:adjustRightInd w:val="0"/>
              <w:snapToGrid w:val="0"/>
              <w:spacing w:line="260" w:lineRule="exact"/>
              <w:rPr>
                <w:rFonts w:hint="eastAsia" w:ascii="仿宋_GB2312"/>
                <w:szCs w:val="21"/>
              </w:rPr>
            </w:pPr>
            <w:r>
              <w:rPr>
                <w:rFonts w:hint="eastAsia" w:ascii="仿宋_GB2312"/>
                <w:szCs w:val="21"/>
              </w:rPr>
              <w:t>支持非公经济进入金融服务业</w:t>
            </w:r>
          </w:p>
        </w:tc>
        <w:tc>
          <w:tcPr>
            <w:tcW w:w="9761" w:type="dxa"/>
            <w:noWrap w:val="0"/>
            <w:vAlign w:val="center"/>
          </w:tcPr>
          <w:p w14:paraId="73FD5AF0">
            <w:pPr>
              <w:adjustRightInd w:val="0"/>
              <w:snapToGrid w:val="0"/>
              <w:spacing w:line="260" w:lineRule="exact"/>
              <w:ind w:firstLine="380" w:firstLineChars="200"/>
              <w:rPr>
                <w:rFonts w:hint="eastAsia" w:ascii="仿宋_GB2312"/>
                <w:spacing w:val="-10"/>
                <w:szCs w:val="21"/>
              </w:rPr>
            </w:pPr>
            <w:r>
              <w:rPr>
                <w:rFonts w:hint="eastAsia" w:ascii="仿宋_GB2312"/>
                <w:spacing w:val="-10"/>
                <w:szCs w:val="21"/>
              </w:rPr>
              <w:t>在加强立法、规范准入、严格监管、有效防范金融风险的前提下，支持非公经济参股城市商业银行、农村商业银行和村镇银行。支持非公企业发起设立小额贷款公司，支持符合条件的非公企业发起设立金融中介服务机构。支持发展地方金融机构，争取开展设立民营银行试点工作，支持发展村镇银行、小额贷款公司、融资担保公司、典当行以及各类资金互助组织等，按照现行国家已出台的相关税收优惠政策执行。</w:t>
            </w:r>
          </w:p>
        </w:tc>
        <w:tc>
          <w:tcPr>
            <w:tcW w:w="1421" w:type="dxa"/>
            <w:noWrap w:val="0"/>
            <w:vAlign w:val="center"/>
          </w:tcPr>
          <w:p w14:paraId="4809F89C">
            <w:pPr>
              <w:adjustRightInd w:val="0"/>
              <w:snapToGrid w:val="0"/>
              <w:spacing w:line="260" w:lineRule="exact"/>
              <w:jc w:val="center"/>
              <w:rPr>
                <w:rFonts w:hint="eastAsia" w:ascii="仿宋_GB2312"/>
                <w:szCs w:val="21"/>
              </w:rPr>
            </w:pPr>
            <w:r>
              <w:rPr>
                <w:rFonts w:hint="eastAsia" w:ascii="仿宋_GB2312"/>
                <w:szCs w:val="21"/>
              </w:rPr>
              <w:t>市金融办      市工信局      市商务局</w:t>
            </w:r>
          </w:p>
        </w:tc>
      </w:tr>
      <w:tr w14:paraId="52B26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56" w:type="dxa"/>
            <w:vMerge w:val="continue"/>
            <w:noWrap w:val="0"/>
            <w:vAlign w:val="center"/>
          </w:tcPr>
          <w:p w14:paraId="4CFC8339">
            <w:pPr>
              <w:adjustRightInd w:val="0"/>
              <w:snapToGrid w:val="0"/>
              <w:spacing w:line="240" w:lineRule="exact"/>
              <w:ind w:firstLine="420" w:firstLineChars="200"/>
              <w:rPr>
                <w:rFonts w:hint="eastAsia" w:ascii="仿宋_GB2312"/>
                <w:szCs w:val="21"/>
              </w:rPr>
            </w:pPr>
          </w:p>
        </w:tc>
        <w:tc>
          <w:tcPr>
            <w:tcW w:w="1091" w:type="dxa"/>
            <w:noWrap w:val="0"/>
            <w:vAlign w:val="center"/>
          </w:tcPr>
          <w:p w14:paraId="7BB14D8C">
            <w:pPr>
              <w:adjustRightInd w:val="0"/>
              <w:snapToGrid w:val="0"/>
              <w:spacing w:line="260" w:lineRule="exact"/>
              <w:rPr>
                <w:rFonts w:hint="eastAsia" w:ascii="仿宋_GB2312"/>
                <w:szCs w:val="21"/>
              </w:rPr>
            </w:pPr>
            <w:r>
              <w:rPr>
                <w:rFonts w:hint="eastAsia" w:ascii="仿宋_GB2312"/>
                <w:szCs w:val="21"/>
              </w:rPr>
              <w:t>加快完善融资担保体系</w:t>
            </w:r>
          </w:p>
        </w:tc>
        <w:tc>
          <w:tcPr>
            <w:tcW w:w="9761" w:type="dxa"/>
            <w:noWrap w:val="0"/>
            <w:vAlign w:val="center"/>
          </w:tcPr>
          <w:p w14:paraId="003C0762">
            <w:pPr>
              <w:adjustRightInd w:val="0"/>
              <w:snapToGrid w:val="0"/>
              <w:spacing w:line="260" w:lineRule="exact"/>
              <w:ind w:firstLine="420" w:firstLineChars="200"/>
              <w:rPr>
                <w:rFonts w:hint="eastAsia" w:ascii="仿宋_GB2312"/>
                <w:szCs w:val="21"/>
              </w:rPr>
            </w:pPr>
            <w:r>
              <w:rPr>
                <w:rFonts w:hint="eastAsia" w:ascii="仿宋_GB2312"/>
                <w:szCs w:val="21"/>
              </w:rPr>
              <w:t>加强与政策性担保公司的合作，并通过多方参股的方式，逐步建立省市县三级融资担保体系，提高省市各级担保公司资本金，不断提高对非公企业重点是中小企业的贷款担保能力，降低非公企业融资难度和成本。</w:t>
            </w:r>
          </w:p>
        </w:tc>
        <w:tc>
          <w:tcPr>
            <w:tcW w:w="1421" w:type="dxa"/>
            <w:noWrap w:val="0"/>
            <w:vAlign w:val="center"/>
          </w:tcPr>
          <w:p w14:paraId="5023B985">
            <w:pPr>
              <w:adjustRightInd w:val="0"/>
              <w:snapToGrid w:val="0"/>
              <w:spacing w:line="260" w:lineRule="exact"/>
              <w:jc w:val="center"/>
              <w:rPr>
                <w:rFonts w:hint="eastAsia" w:ascii="仿宋_GB2312"/>
                <w:szCs w:val="21"/>
              </w:rPr>
            </w:pPr>
            <w:r>
              <w:rPr>
                <w:rFonts w:hint="eastAsia" w:ascii="仿宋_GB2312"/>
                <w:szCs w:val="21"/>
              </w:rPr>
              <w:t>市工信委       市财政局</w:t>
            </w:r>
          </w:p>
        </w:tc>
      </w:tr>
      <w:tr w14:paraId="4A2F7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56" w:type="dxa"/>
            <w:vMerge w:val="restart"/>
            <w:noWrap w:val="0"/>
            <w:vAlign w:val="center"/>
          </w:tcPr>
          <w:p w14:paraId="0A789A14">
            <w:pPr>
              <w:adjustRightInd w:val="0"/>
              <w:snapToGrid w:val="0"/>
              <w:spacing w:line="240" w:lineRule="exact"/>
              <w:rPr>
                <w:rFonts w:hint="eastAsia" w:ascii="仿宋_GB2312"/>
                <w:szCs w:val="21"/>
              </w:rPr>
            </w:pPr>
            <w:r>
              <w:rPr>
                <w:rFonts w:hint="eastAsia" w:ascii="仿宋_GB2312"/>
                <w:szCs w:val="21"/>
              </w:rPr>
              <w:t>创新人才和科技支持政策</w:t>
            </w:r>
          </w:p>
        </w:tc>
        <w:tc>
          <w:tcPr>
            <w:tcW w:w="1091" w:type="dxa"/>
            <w:noWrap w:val="0"/>
            <w:vAlign w:val="center"/>
          </w:tcPr>
          <w:p w14:paraId="639153A5">
            <w:pPr>
              <w:adjustRightInd w:val="0"/>
              <w:snapToGrid w:val="0"/>
              <w:spacing w:line="260" w:lineRule="exact"/>
              <w:rPr>
                <w:rFonts w:hint="eastAsia" w:ascii="仿宋_GB2312"/>
                <w:szCs w:val="21"/>
              </w:rPr>
            </w:pPr>
            <w:r>
              <w:rPr>
                <w:rFonts w:hint="eastAsia" w:ascii="仿宋_GB2312"/>
                <w:szCs w:val="21"/>
              </w:rPr>
              <w:t>鼓励非公企业吸纳高校毕业生就业</w:t>
            </w:r>
          </w:p>
        </w:tc>
        <w:tc>
          <w:tcPr>
            <w:tcW w:w="9761" w:type="dxa"/>
            <w:noWrap w:val="0"/>
            <w:vAlign w:val="center"/>
          </w:tcPr>
          <w:p w14:paraId="46284363">
            <w:pPr>
              <w:adjustRightInd w:val="0"/>
              <w:snapToGrid w:val="0"/>
              <w:spacing w:line="260" w:lineRule="exact"/>
              <w:ind w:firstLine="420" w:firstLineChars="200"/>
              <w:rPr>
                <w:rFonts w:hint="eastAsia" w:ascii="仿宋_GB2312"/>
                <w:szCs w:val="21"/>
              </w:rPr>
            </w:pPr>
            <w:r>
              <w:rPr>
                <w:rFonts w:hint="eastAsia" w:ascii="仿宋_GB2312"/>
                <w:szCs w:val="21"/>
              </w:rPr>
              <w:t>非公企业当年新招收登记失业普通高校毕业生达到企业现有在职职工总数超过30％(超过100人的企业达到15％)以上，可按规定申请小额担保贷款，并由所在地政府给予财政贴息支持。对非公企业招收就业困难的普通高校毕业生、签订劳动合同并交纳社会保险费的，按规定给予社会保险补贴。非公企业对其招收登记失业的普通高校毕业生进行职业技能和创业培训的，按规定享受补贴政策。对各地人社部门认定为高校毕业生就业见习基地的非公企业，接纳普通高校毕业生的，按规定给予就业见习补贴。支持知识密集型、劳动密集型和社会服务型等就业潜力大的非公企业发展，鼓励企业在新增就业岗位时优先聘用高校毕业生。对符合贷款条件、接收高校毕业生达到当年新增就业总人数20％的中小企业和非公企业，各级政府予以政策支持。</w:t>
            </w:r>
          </w:p>
        </w:tc>
        <w:tc>
          <w:tcPr>
            <w:tcW w:w="1421" w:type="dxa"/>
            <w:noWrap w:val="0"/>
            <w:vAlign w:val="center"/>
          </w:tcPr>
          <w:p w14:paraId="53A718A9">
            <w:pPr>
              <w:adjustRightInd w:val="0"/>
              <w:snapToGrid w:val="0"/>
              <w:spacing w:line="260" w:lineRule="exact"/>
              <w:jc w:val="center"/>
              <w:rPr>
                <w:rFonts w:hint="eastAsia" w:ascii="仿宋_GB2312"/>
                <w:szCs w:val="21"/>
              </w:rPr>
            </w:pPr>
            <w:r>
              <w:rPr>
                <w:rFonts w:hint="eastAsia" w:ascii="仿宋_GB2312"/>
                <w:szCs w:val="21"/>
              </w:rPr>
              <w:t>市人社局</w:t>
            </w:r>
          </w:p>
        </w:tc>
      </w:tr>
      <w:tr w14:paraId="0840D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56" w:type="dxa"/>
            <w:vMerge w:val="continue"/>
            <w:noWrap w:val="0"/>
            <w:vAlign w:val="center"/>
          </w:tcPr>
          <w:p w14:paraId="7052B928">
            <w:pPr>
              <w:adjustRightInd w:val="0"/>
              <w:snapToGrid w:val="0"/>
              <w:spacing w:line="240" w:lineRule="exact"/>
              <w:rPr>
                <w:rFonts w:hint="eastAsia" w:ascii="仿宋_GB2312"/>
                <w:szCs w:val="21"/>
              </w:rPr>
            </w:pPr>
          </w:p>
        </w:tc>
        <w:tc>
          <w:tcPr>
            <w:tcW w:w="1091" w:type="dxa"/>
            <w:noWrap w:val="0"/>
            <w:vAlign w:val="center"/>
          </w:tcPr>
          <w:p w14:paraId="4C3B85BA">
            <w:pPr>
              <w:adjustRightInd w:val="0"/>
              <w:snapToGrid w:val="0"/>
              <w:spacing w:line="260" w:lineRule="exact"/>
              <w:rPr>
                <w:rFonts w:hint="eastAsia" w:ascii="仿宋_GB2312"/>
                <w:szCs w:val="21"/>
              </w:rPr>
            </w:pPr>
            <w:r>
              <w:rPr>
                <w:rFonts w:hint="eastAsia" w:ascii="仿宋_GB2312"/>
                <w:szCs w:val="21"/>
              </w:rPr>
              <w:t>坚持对非公经济组织的人才一视同仁</w:t>
            </w:r>
          </w:p>
        </w:tc>
        <w:tc>
          <w:tcPr>
            <w:tcW w:w="9761" w:type="dxa"/>
            <w:noWrap w:val="0"/>
            <w:vAlign w:val="center"/>
          </w:tcPr>
          <w:p w14:paraId="58164C98">
            <w:pPr>
              <w:adjustRightInd w:val="0"/>
              <w:snapToGrid w:val="0"/>
              <w:spacing w:line="260" w:lineRule="exact"/>
              <w:ind w:firstLine="420" w:firstLineChars="200"/>
              <w:rPr>
                <w:rFonts w:hint="eastAsia" w:ascii="仿宋_GB2312"/>
                <w:szCs w:val="21"/>
              </w:rPr>
            </w:pPr>
            <w:r>
              <w:rPr>
                <w:rFonts w:hint="eastAsia" w:ascii="仿宋_GB2312"/>
                <w:szCs w:val="21"/>
              </w:rPr>
              <w:t>在面向社会的资助、基金、培训项目、人才信息库等公共资源运用上对非公经济组织人才平等开放，在改善创业环境和工作生活条件上积极提供服务。重视非公经济组织专业技术人才培养，适当放宽非公经济组织技术人员申报各级各类职称中外语和计算机考试成绩、学历、专业工作年限、业绩条件等资格评定条件。非公经济组织专业技术人员职称评审可通过个人档案所在单位、档案托管部门、工商注册的个体(私营)协会等渠道申报。对专业人员集中，对当地经济社会发展贡献较大，影响和带动力较强的大型非公经济组织，由人社职改部门直接提供职称评审服务。把非公经济人才纳入全市人才长远规划，根据非公企业发展需要，编制人才需求计划，帮助非公企业引进紧缺急需人才，根据非公企业的不同需求，开展多种形式的企业家培训。将非公经济组织的高层次专业技术人才纳入各级人才工程的选拔和管理范围，享受相应奖励和科研项目资助。在全省急需紧缺高层次人才引进工作中，非公经济组织享受同等的政策待遇。</w:t>
            </w:r>
          </w:p>
        </w:tc>
        <w:tc>
          <w:tcPr>
            <w:tcW w:w="1421" w:type="dxa"/>
            <w:noWrap w:val="0"/>
            <w:vAlign w:val="center"/>
          </w:tcPr>
          <w:p w14:paraId="78217080">
            <w:pPr>
              <w:adjustRightInd w:val="0"/>
              <w:snapToGrid w:val="0"/>
              <w:spacing w:line="260" w:lineRule="exact"/>
              <w:jc w:val="center"/>
              <w:rPr>
                <w:rFonts w:hint="eastAsia" w:ascii="仿宋_GB2312"/>
                <w:szCs w:val="21"/>
              </w:rPr>
            </w:pPr>
            <w:r>
              <w:rPr>
                <w:rFonts w:hint="eastAsia" w:ascii="仿宋_GB2312"/>
                <w:szCs w:val="21"/>
              </w:rPr>
              <w:t>市委组织部    市人社局</w:t>
            </w:r>
          </w:p>
        </w:tc>
      </w:tr>
      <w:tr w14:paraId="4387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56" w:type="dxa"/>
            <w:noWrap w:val="0"/>
            <w:vAlign w:val="center"/>
          </w:tcPr>
          <w:p w14:paraId="0676E94A">
            <w:pPr>
              <w:adjustRightInd w:val="0"/>
              <w:snapToGrid w:val="0"/>
              <w:spacing w:line="280" w:lineRule="exact"/>
              <w:jc w:val="center"/>
              <w:rPr>
                <w:rFonts w:hint="eastAsia" w:ascii="黑体" w:eastAsia="黑体"/>
                <w:sz w:val="28"/>
                <w:szCs w:val="28"/>
              </w:rPr>
            </w:pPr>
            <w:r>
              <w:rPr>
                <w:rFonts w:hint="eastAsia" w:ascii="黑体" w:eastAsia="黑体"/>
                <w:sz w:val="28"/>
                <w:szCs w:val="28"/>
              </w:rPr>
              <w:t>项目</w:t>
            </w:r>
          </w:p>
        </w:tc>
        <w:tc>
          <w:tcPr>
            <w:tcW w:w="1091" w:type="dxa"/>
            <w:noWrap w:val="0"/>
            <w:vAlign w:val="center"/>
          </w:tcPr>
          <w:p w14:paraId="1C573589">
            <w:pPr>
              <w:adjustRightInd w:val="0"/>
              <w:snapToGrid w:val="0"/>
              <w:spacing w:line="280" w:lineRule="exact"/>
              <w:jc w:val="center"/>
              <w:rPr>
                <w:rFonts w:hint="eastAsia" w:ascii="黑体" w:eastAsia="黑体"/>
                <w:sz w:val="28"/>
                <w:szCs w:val="28"/>
              </w:rPr>
            </w:pPr>
            <w:r>
              <w:rPr>
                <w:rFonts w:hint="eastAsia" w:ascii="黑体" w:eastAsia="黑体"/>
                <w:sz w:val="28"/>
                <w:szCs w:val="28"/>
              </w:rPr>
              <w:t>内容</w:t>
            </w:r>
          </w:p>
        </w:tc>
        <w:tc>
          <w:tcPr>
            <w:tcW w:w="9761" w:type="dxa"/>
            <w:noWrap w:val="0"/>
            <w:vAlign w:val="center"/>
          </w:tcPr>
          <w:p w14:paraId="5CD0BE9C">
            <w:pPr>
              <w:adjustRightInd w:val="0"/>
              <w:snapToGrid w:val="0"/>
              <w:spacing w:line="280" w:lineRule="exact"/>
              <w:ind w:firstLine="560" w:firstLineChars="200"/>
              <w:jc w:val="center"/>
              <w:rPr>
                <w:rFonts w:hint="eastAsia" w:ascii="黑体" w:eastAsia="黑体"/>
                <w:sz w:val="28"/>
                <w:szCs w:val="28"/>
              </w:rPr>
            </w:pPr>
            <w:r>
              <w:rPr>
                <w:rFonts w:hint="eastAsia" w:ascii="黑体" w:eastAsia="黑体"/>
                <w:sz w:val="28"/>
                <w:szCs w:val="28"/>
              </w:rPr>
              <w:t>主要任务</w:t>
            </w:r>
          </w:p>
        </w:tc>
        <w:tc>
          <w:tcPr>
            <w:tcW w:w="1421" w:type="dxa"/>
            <w:noWrap w:val="0"/>
            <w:vAlign w:val="center"/>
          </w:tcPr>
          <w:p w14:paraId="3AB13532">
            <w:pPr>
              <w:adjustRightInd w:val="0"/>
              <w:snapToGrid w:val="0"/>
              <w:spacing w:line="280" w:lineRule="exact"/>
              <w:jc w:val="center"/>
              <w:rPr>
                <w:rFonts w:hint="eastAsia" w:ascii="黑体" w:eastAsia="黑体"/>
                <w:sz w:val="28"/>
                <w:szCs w:val="28"/>
              </w:rPr>
            </w:pPr>
            <w:r>
              <w:rPr>
                <w:rFonts w:hint="eastAsia" w:ascii="黑体" w:eastAsia="黑体"/>
                <w:sz w:val="28"/>
                <w:szCs w:val="28"/>
              </w:rPr>
              <w:t>责任部门</w:t>
            </w:r>
          </w:p>
        </w:tc>
      </w:tr>
      <w:tr w14:paraId="59F64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6" w:type="dxa"/>
            <w:noWrap w:val="0"/>
            <w:vAlign w:val="center"/>
          </w:tcPr>
          <w:p w14:paraId="1A4E0DF9">
            <w:pPr>
              <w:adjustRightInd w:val="0"/>
              <w:snapToGrid w:val="0"/>
              <w:spacing w:line="240" w:lineRule="exact"/>
              <w:rPr>
                <w:rFonts w:hint="eastAsia" w:ascii="仿宋_GB2312"/>
                <w:szCs w:val="21"/>
              </w:rPr>
            </w:pPr>
            <w:r>
              <w:rPr>
                <w:rFonts w:hint="eastAsia" w:ascii="仿宋_GB2312"/>
                <w:szCs w:val="21"/>
              </w:rPr>
              <w:t>创新人才和科技支持政策</w:t>
            </w:r>
          </w:p>
        </w:tc>
        <w:tc>
          <w:tcPr>
            <w:tcW w:w="1091" w:type="dxa"/>
            <w:noWrap w:val="0"/>
            <w:vAlign w:val="center"/>
          </w:tcPr>
          <w:p w14:paraId="2D8A85EB">
            <w:pPr>
              <w:adjustRightInd w:val="0"/>
              <w:snapToGrid w:val="0"/>
              <w:spacing w:line="240" w:lineRule="exact"/>
              <w:rPr>
                <w:rFonts w:hint="eastAsia" w:ascii="仿宋_GB2312"/>
                <w:szCs w:val="21"/>
              </w:rPr>
            </w:pPr>
            <w:r>
              <w:rPr>
                <w:rFonts w:hint="eastAsia" w:ascii="仿宋_GB2312"/>
                <w:szCs w:val="21"/>
              </w:rPr>
              <w:t>大力支持非公经济的创新活动</w:t>
            </w:r>
          </w:p>
        </w:tc>
        <w:tc>
          <w:tcPr>
            <w:tcW w:w="9761" w:type="dxa"/>
            <w:noWrap w:val="0"/>
            <w:vAlign w:val="center"/>
          </w:tcPr>
          <w:p w14:paraId="6ADD4C27">
            <w:pPr>
              <w:adjustRightInd w:val="0"/>
              <w:snapToGrid w:val="0"/>
              <w:spacing w:line="240" w:lineRule="exact"/>
              <w:ind w:firstLine="420" w:firstLineChars="200"/>
              <w:rPr>
                <w:rFonts w:hint="eastAsia" w:ascii="仿宋_GB2312"/>
                <w:szCs w:val="21"/>
              </w:rPr>
            </w:pPr>
            <w:r>
              <w:rPr>
                <w:rFonts w:hint="eastAsia" w:ascii="仿宋_GB2312"/>
                <w:szCs w:val="21"/>
              </w:rPr>
              <w:t>支持非公企业与高校、科研机构联合开展产学研合作项目、联合建立研发机构。鼓励支持非公企业建立工程技术研究中心，支持科技成果向非公企业转化。实施“科技小巨人企业”培育计划，优先支持从事符合产业发展政策的高新技术产业和战略性新兴产业领域的科技型企业。落实鼓励企业创新的优惠政策，支持企业加大研发投入。制定非公经济技术支持培训计划，加强对非公经济科技创新的咨询、引导和培训。继续开展高新技术企业认定工作，使更多科技型非公企业享受税收优惠政策。允许企业科技保险费计入高新技术企业研究与开发费用核算范围，享受国家规定的税收优惠政策。</w:t>
            </w:r>
          </w:p>
        </w:tc>
        <w:tc>
          <w:tcPr>
            <w:tcW w:w="1421" w:type="dxa"/>
            <w:noWrap w:val="0"/>
            <w:vAlign w:val="center"/>
          </w:tcPr>
          <w:p w14:paraId="057C6386">
            <w:pPr>
              <w:adjustRightInd w:val="0"/>
              <w:snapToGrid w:val="0"/>
              <w:spacing w:line="240" w:lineRule="exact"/>
              <w:jc w:val="center"/>
              <w:rPr>
                <w:rFonts w:hint="eastAsia" w:ascii="仿宋_GB2312"/>
                <w:szCs w:val="21"/>
              </w:rPr>
            </w:pPr>
            <w:r>
              <w:rPr>
                <w:rFonts w:hint="eastAsia" w:ascii="仿宋_GB2312"/>
                <w:szCs w:val="21"/>
              </w:rPr>
              <w:t>市科技局</w:t>
            </w:r>
          </w:p>
        </w:tc>
      </w:tr>
      <w:tr w14:paraId="70D0B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856" w:type="dxa"/>
            <w:vMerge w:val="restart"/>
            <w:noWrap w:val="0"/>
            <w:vAlign w:val="center"/>
          </w:tcPr>
          <w:p w14:paraId="7F5E1BB9">
            <w:pPr>
              <w:adjustRightInd w:val="0"/>
              <w:snapToGrid w:val="0"/>
              <w:spacing w:line="240" w:lineRule="exact"/>
              <w:rPr>
                <w:rFonts w:hint="eastAsia" w:ascii="仿宋_GB2312"/>
                <w:szCs w:val="21"/>
              </w:rPr>
            </w:pPr>
            <w:r>
              <w:rPr>
                <w:rFonts w:hint="eastAsia" w:ascii="仿宋_GB2312"/>
                <w:szCs w:val="21"/>
              </w:rPr>
              <w:t>加强对非公经济的引导和服务</w:t>
            </w:r>
          </w:p>
        </w:tc>
        <w:tc>
          <w:tcPr>
            <w:tcW w:w="1091" w:type="dxa"/>
            <w:vMerge w:val="restart"/>
            <w:noWrap w:val="0"/>
            <w:vAlign w:val="center"/>
          </w:tcPr>
          <w:p w14:paraId="71186E4F">
            <w:pPr>
              <w:adjustRightInd w:val="0"/>
              <w:snapToGrid w:val="0"/>
              <w:spacing w:line="240" w:lineRule="exact"/>
              <w:rPr>
                <w:rFonts w:hint="eastAsia" w:ascii="仿宋_GB2312"/>
                <w:szCs w:val="21"/>
              </w:rPr>
            </w:pPr>
            <w:r>
              <w:rPr>
                <w:rFonts w:hint="eastAsia" w:ascii="仿宋_GB2312"/>
                <w:szCs w:val="21"/>
              </w:rPr>
              <w:t>引导非公企业建立现代企业制度</w:t>
            </w:r>
          </w:p>
        </w:tc>
        <w:tc>
          <w:tcPr>
            <w:tcW w:w="9761" w:type="dxa"/>
            <w:noWrap w:val="0"/>
            <w:vAlign w:val="center"/>
          </w:tcPr>
          <w:p w14:paraId="437402D2">
            <w:pPr>
              <w:adjustRightInd w:val="0"/>
              <w:snapToGrid w:val="0"/>
              <w:spacing w:line="240" w:lineRule="exact"/>
              <w:ind w:firstLine="380" w:firstLineChars="200"/>
              <w:rPr>
                <w:rFonts w:hint="eastAsia" w:ascii="仿宋_GB2312"/>
                <w:spacing w:val="-10"/>
                <w:szCs w:val="21"/>
              </w:rPr>
            </w:pPr>
            <w:r>
              <w:rPr>
                <w:rFonts w:hint="eastAsia" w:ascii="仿宋_GB2312"/>
                <w:spacing w:val="-10"/>
                <w:szCs w:val="21"/>
              </w:rPr>
              <w:t>鼓励引导重点非公企业体制机制创新，支持重点非公企业按照《公司法》要求，加快公司制改造步伐，完善法人治理结构，向科学化、现代化管理方向发展。鼓励、引导、支持重点非公企业改组、改制、改造，通过参股、相互参股、控股、职工持股、整体或部分收购、吸引外资等多种形式，促进投资主体多元化。</w:t>
            </w:r>
          </w:p>
        </w:tc>
        <w:tc>
          <w:tcPr>
            <w:tcW w:w="1421" w:type="dxa"/>
            <w:noWrap w:val="0"/>
            <w:vAlign w:val="center"/>
          </w:tcPr>
          <w:p w14:paraId="5223C6AC">
            <w:pPr>
              <w:adjustRightInd w:val="0"/>
              <w:snapToGrid w:val="0"/>
              <w:spacing w:line="240" w:lineRule="exact"/>
              <w:jc w:val="center"/>
              <w:rPr>
                <w:rFonts w:hint="eastAsia" w:ascii="仿宋_GB2312"/>
                <w:szCs w:val="21"/>
              </w:rPr>
            </w:pPr>
            <w:r>
              <w:rPr>
                <w:rFonts w:hint="eastAsia" w:ascii="仿宋_GB2312"/>
                <w:szCs w:val="21"/>
              </w:rPr>
              <w:t>市工信委</w:t>
            </w:r>
          </w:p>
        </w:tc>
      </w:tr>
      <w:tr w14:paraId="38BFE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56" w:type="dxa"/>
            <w:vMerge w:val="continue"/>
            <w:noWrap w:val="0"/>
            <w:vAlign w:val="center"/>
          </w:tcPr>
          <w:p w14:paraId="4F9A9BDE">
            <w:pPr>
              <w:adjustRightInd w:val="0"/>
              <w:snapToGrid w:val="0"/>
              <w:spacing w:line="240" w:lineRule="exact"/>
              <w:ind w:firstLine="420" w:firstLineChars="200"/>
              <w:rPr>
                <w:rFonts w:hint="eastAsia" w:ascii="仿宋_GB2312"/>
                <w:szCs w:val="21"/>
              </w:rPr>
            </w:pPr>
          </w:p>
        </w:tc>
        <w:tc>
          <w:tcPr>
            <w:tcW w:w="1091" w:type="dxa"/>
            <w:vMerge w:val="continue"/>
            <w:noWrap w:val="0"/>
            <w:vAlign w:val="center"/>
          </w:tcPr>
          <w:p w14:paraId="26E5A8BF">
            <w:pPr>
              <w:adjustRightInd w:val="0"/>
              <w:snapToGrid w:val="0"/>
              <w:spacing w:line="240" w:lineRule="exact"/>
              <w:ind w:firstLine="420" w:firstLineChars="200"/>
              <w:rPr>
                <w:rFonts w:hint="eastAsia" w:ascii="仿宋_GB2312"/>
                <w:szCs w:val="21"/>
              </w:rPr>
            </w:pPr>
          </w:p>
        </w:tc>
        <w:tc>
          <w:tcPr>
            <w:tcW w:w="9761" w:type="dxa"/>
            <w:noWrap w:val="0"/>
            <w:vAlign w:val="center"/>
          </w:tcPr>
          <w:p w14:paraId="3549A6CD">
            <w:pPr>
              <w:adjustRightInd w:val="0"/>
              <w:snapToGrid w:val="0"/>
              <w:spacing w:line="240" w:lineRule="exact"/>
              <w:ind w:firstLine="380" w:firstLineChars="200"/>
              <w:rPr>
                <w:rFonts w:hint="eastAsia" w:ascii="仿宋_GB2312"/>
                <w:spacing w:val="-10"/>
                <w:szCs w:val="21"/>
              </w:rPr>
            </w:pPr>
            <w:r>
              <w:rPr>
                <w:rFonts w:hint="eastAsia" w:ascii="仿宋_GB2312"/>
                <w:spacing w:val="-10"/>
                <w:szCs w:val="21"/>
              </w:rPr>
              <w:t>建立重点推荐上市非公企业后备库，加强上市辅导工作，引导、鼓励、支持重点非公企业境内外上市。</w:t>
            </w:r>
          </w:p>
        </w:tc>
        <w:tc>
          <w:tcPr>
            <w:tcW w:w="1421" w:type="dxa"/>
            <w:noWrap w:val="0"/>
            <w:vAlign w:val="center"/>
          </w:tcPr>
          <w:p w14:paraId="6DA85E94">
            <w:pPr>
              <w:adjustRightInd w:val="0"/>
              <w:snapToGrid w:val="0"/>
              <w:spacing w:line="240" w:lineRule="exact"/>
              <w:jc w:val="center"/>
              <w:rPr>
                <w:rFonts w:hint="eastAsia" w:ascii="仿宋_GB2312"/>
                <w:szCs w:val="21"/>
              </w:rPr>
            </w:pPr>
            <w:r>
              <w:rPr>
                <w:rFonts w:hint="eastAsia" w:ascii="仿宋_GB2312"/>
                <w:szCs w:val="21"/>
              </w:rPr>
              <w:t>市金融办</w:t>
            </w:r>
          </w:p>
        </w:tc>
      </w:tr>
      <w:tr w14:paraId="6AC70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56" w:type="dxa"/>
            <w:vMerge w:val="continue"/>
            <w:noWrap w:val="0"/>
            <w:vAlign w:val="center"/>
          </w:tcPr>
          <w:p w14:paraId="7E0728D5">
            <w:pPr>
              <w:adjustRightInd w:val="0"/>
              <w:snapToGrid w:val="0"/>
              <w:spacing w:line="240" w:lineRule="exact"/>
              <w:ind w:firstLine="420" w:firstLineChars="200"/>
              <w:rPr>
                <w:rFonts w:hint="eastAsia" w:ascii="仿宋_GB2312"/>
                <w:szCs w:val="21"/>
              </w:rPr>
            </w:pPr>
          </w:p>
        </w:tc>
        <w:tc>
          <w:tcPr>
            <w:tcW w:w="1091" w:type="dxa"/>
            <w:vMerge w:val="restart"/>
            <w:noWrap w:val="0"/>
            <w:vAlign w:val="center"/>
          </w:tcPr>
          <w:p w14:paraId="59A75531">
            <w:pPr>
              <w:adjustRightInd w:val="0"/>
              <w:snapToGrid w:val="0"/>
              <w:spacing w:line="240" w:lineRule="exact"/>
              <w:rPr>
                <w:rFonts w:hint="eastAsia" w:ascii="仿宋_GB2312"/>
                <w:szCs w:val="21"/>
              </w:rPr>
            </w:pPr>
            <w:r>
              <w:rPr>
                <w:rFonts w:hint="eastAsia" w:ascii="仿宋_GB2312"/>
                <w:szCs w:val="21"/>
              </w:rPr>
              <w:t>加强对非公经济的权益保护</w:t>
            </w:r>
          </w:p>
        </w:tc>
        <w:tc>
          <w:tcPr>
            <w:tcW w:w="9761" w:type="dxa"/>
            <w:noWrap w:val="0"/>
            <w:vAlign w:val="center"/>
          </w:tcPr>
          <w:p w14:paraId="1DD2954F">
            <w:pPr>
              <w:adjustRightInd w:val="0"/>
              <w:snapToGrid w:val="0"/>
              <w:spacing w:line="240" w:lineRule="exact"/>
              <w:ind w:firstLine="420" w:firstLineChars="200"/>
              <w:rPr>
                <w:rFonts w:hint="eastAsia" w:ascii="仿宋_GB2312"/>
                <w:szCs w:val="21"/>
              </w:rPr>
            </w:pPr>
            <w:r>
              <w:rPr>
                <w:rFonts w:hint="eastAsia" w:ascii="仿宋_GB2312"/>
                <w:szCs w:val="21"/>
              </w:rPr>
              <w:t>切实维护非公企业合法权益，未经法定程序，不得查封、扣留、冻结企业财产和资金。完善产权保护制度，健全归属清晰、权责明确、保护严格、流转顺畅的现代产权制度，依法保护非公经济财产权不受侵犯。</w:t>
            </w:r>
          </w:p>
        </w:tc>
        <w:tc>
          <w:tcPr>
            <w:tcW w:w="1421" w:type="dxa"/>
            <w:noWrap w:val="0"/>
            <w:vAlign w:val="center"/>
          </w:tcPr>
          <w:p w14:paraId="48AE4433">
            <w:pPr>
              <w:adjustRightInd w:val="0"/>
              <w:snapToGrid w:val="0"/>
              <w:spacing w:line="240" w:lineRule="exact"/>
              <w:jc w:val="center"/>
              <w:rPr>
                <w:rFonts w:hint="eastAsia" w:ascii="仿宋_GB2312"/>
                <w:szCs w:val="21"/>
              </w:rPr>
            </w:pPr>
            <w:r>
              <w:rPr>
                <w:rFonts w:hint="eastAsia" w:ascii="仿宋_GB2312"/>
                <w:szCs w:val="21"/>
              </w:rPr>
              <w:t>市工商联</w:t>
            </w:r>
          </w:p>
        </w:tc>
      </w:tr>
      <w:tr w14:paraId="6E756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856" w:type="dxa"/>
            <w:vMerge w:val="continue"/>
            <w:noWrap w:val="0"/>
            <w:vAlign w:val="center"/>
          </w:tcPr>
          <w:p w14:paraId="6E0F68F8">
            <w:pPr>
              <w:adjustRightInd w:val="0"/>
              <w:snapToGrid w:val="0"/>
              <w:spacing w:line="240" w:lineRule="exact"/>
              <w:ind w:firstLine="420" w:firstLineChars="200"/>
              <w:rPr>
                <w:rFonts w:hint="eastAsia" w:ascii="仿宋_GB2312"/>
                <w:szCs w:val="21"/>
              </w:rPr>
            </w:pPr>
          </w:p>
        </w:tc>
        <w:tc>
          <w:tcPr>
            <w:tcW w:w="1091" w:type="dxa"/>
            <w:vMerge w:val="continue"/>
            <w:noWrap w:val="0"/>
            <w:vAlign w:val="center"/>
          </w:tcPr>
          <w:p w14:paraId="21C9BDB6">
            <w:pPr>
              <w:adjustRightInd w:val="0"/>
              <w:snapToGrid w:val="0"/>
              <w:spacing w:line="240" w:lineRule="exact"/>
              <w:rPr>
                <w:rFonts w:hint="eastAsia" w:ascii="仿宋_GB2312"/>
                <w:szCs w:val="21"/>
              </w:rPr>
            </w:pPr>
          </w:p>
        </w:tc>
        <w:tc>
          <w:tcPr>
            <w:tcW w:w="9761" w:type="dxa"/>
            <w:noWrap w:val="0"/>
            <w:vAlign w:val="center"/>
          </w:tcPr>
          <w:p w14:paraId="12C63FAB">
            <w:pPr>
              <w:adjustRightInd w:val="0"/>
              <w:snapToGrid w:val="0"/>
              <w:spacing w:line="240" w:lineRule="exact"/>
              <w:ind w:firstLine="420" w:firstLineChars="200"/>
              <w:rPr>
                <w:rFonts w:hint="eastAsia" w:ascii="仿宋_GB2312"/>
                <w:szCs w:val="21"/>
              </w:rPr>
            </w:pPr>
            <w:r>
              <w:rPr>
                <w:rFonts w:hint="eastAsia" w:ascii="仿宋_GB2312"/>
                <w:szCs w:val="21"/>
              </w:rPr>
              <w:t>加强对专利权、著作权、商标权等知识产权的保护，支持驰名商标和著名商标的认定和保护，重点鼓励争创国家免检产品，支持申报地理标志、无公害食品、绿色食品、有机食品等资格认证。加强知识产权运用和保护，积极开展对非公经济主体的知识产权专题培训，支持非公经济主体开展知识产权管理标准化示范创建和知识产权试点示范工作，支持非公经济主体开展知识产权优势企业培育和认定工作。</w:t>
            </w:r>
          </w:p>
        </w:tc>
        <w:tc>
          <w:tcPr>
            <w:tcW w:w="1421" w:type="dxa"/>
            <w:noWrap w:val="0"/>
            <w:vAlign w:val="center"/>
          </w:tcPr>
          <w:p w14:paraId="22CF9079">
            <w:pPr>
              <w:adjustRightInd w:val="0"/>
              <w:snapToGrid w:val="0"/>
              <w:spacing w:line="240" w:lineRule="exact"/>
              <w:jc w:val="center"/>
              <w:rPr>
                <w:rFonts w:hint="eastAsia" w:ascii="仿宋_GB2312"/>
                <w:szCs w:val="21"/>
              </w:rPr>
            </w:pPr>
            <w:r>
              <w:rPr>
                <w:rFonts w:hint="eastAsia" w:ascii="仿宋_GB2312"/>
                <w:szCs w:val="21"/>
              </w:rPr>
              <w:t>市科技局     市工商局     市质检局     市农业局</w:t>
            </w:r>
          </w:p>
        </w:tc>
      </w:tr>
      <w:tr w14:paraId="36DDB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56" w:type="dxa"/>
            <w:vMerge w:val="continue"/>
            <w:noWrap w:val="0"/>
            <w:vAlign w:val="center"/>
          </w:tcPr>
          <w:p w14:paraId="78F7325E">
            <w:pPr>
              <w:adjustRightInd w:val="0"/>
              <w:snapToGrid w:val="0"/>
              <w:spacing w:line="240" w:lineRule="exact"/>
              <w:ind w:firstLine="420" w:firstLineChars="200"/>
              <w:rPr>
                <w:rFonts w:hint="eastAsia" w:ascii="仿宋_GB2312"/>
                <w:szCs w:val="21"/>
              </w:rPr>
            </w:pPr>
          </w:p>
        </w:tc>
        <w:tc>
          <w:tcPr>
            <w:tcW w:w="1091" w:type="dxa"/>
            <w:vMerge w:val="restart"/>
            <w:noWrap w:val="0"/>
            <w:vAlign w:val="center"/>
          </w:tcPr>
          <w:p w14:paraId="1E37A7FF">
            <w:pPr>
              <w:adjustRightInd w:val="0"/>
              <w:snapToGrid w:val="0"/>
              <w:spacing w:line="240" w:lineRule="exact"/>
              <w:rPr>
                <w:rFonts w:hint="eastAsia" w:ascii="仿宋_GB2312"/>
                <w:szCs w:val="21"/>
              </w:rPr>
            </w:pPr>
            <w:r>
              <w:rPr>
                <w:rFonts w:hint="eastAsia" w:ascii="仿宋_GB2312"/>
                <w:szCs w:val="21"/>
              </w:rPr>
              <w:t>切实提高政府服务效能</w:t>
            </w:r>
          </w:p>
        </w:tc>
        <w:tc>
          <w:tcPr>
            <w:tcW w:w="9761" w:type="dxa"/>
            <w:noWrap w:val="0"/>
            <w:vAlign w:val="center"/>
          </w:tcPr>
          <w:p w14:paraId="6FEE52CF">
            <w:pPr>
              <w:adjustRightInd w:val="0"/>
              <w:snapToGrid w:val="0"/>
              <w:spacing w:line="240" w:lineRule="exact"/>
              <w:ind w:firstLine="420" w:firstLineChars="200"/>
              <w:rPr>
                <w:rFonts w:hint="eastAsia" w:ascii="仿宋_GB2312"/>
                <w:szCs w:val="21"/>
              </w:rPr>
            </w:pPr>
            <w:r>
              <w:rPr>
                <w:rFonts w:hint="eastAsia" w:ascii="仿宋_GB2312"/>
                <w:szCs w:val="21"/>
              </w:rPr>
              <w:t>推进政府机构改革和政府职能转变，进一步清理和减少行政许可事项，重点减少投资和生产经营活动审批事项。市场机制能有效调节的经济活动，一律取消审批。</w:t>
            </w:r>
          </w:p>
        </w:tc>
        <w:tc>
          <w:tcPr>
            <w:tcW w:w="1421" w:type="dxa"/>
            <w:noWrap w:val="0"/>
            <w:vAlign w:val="center"/>
          </w:tcPr>
          <w:p w14:paraId="0FB44BBC">
            <w:pPr>
              <w:adjustRightInd w:val="0"/>
              <w:snapToGrid w:val="0"/>
              <w:spacing w:line="240" w:lineRule="exact"/>
              <w:jc w:val="center"/>
              <w:rPr>
                <w:rFonts w:hint="eastAsia" w:ascii="仿宋_GB2312"/>
                <w:szCs w:val="21"/>
              </w:rPr>
            </w:pPr>
            <w:r>
              <w:rPr>
                <w:rFonts w:hint="eastAsia" w:ascii="仿宋_GB2312"/>
                <w:szCs w:val="21"/>
              </w:rPr>
              <w:t>市编办</w:t>
            </w:r>
          </w:p>
        </w:tc>
      </w:tr>
      <w:tr w14:paraId="3A1A9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856" w:type="dxa"/>
            <w:vMerge w:val="continue"/>
            <w:noWrap w:val="0"/>
            <w:vAlign w:val="center"/>
          </w:tcPr>
          <w:p w14:paraId="68D952E6">
            <w:pPr>
              <w:adjustRightInd w:val="0"/>
              <w:snapToGrid w:val="0"/>
              <w:spacing w:line="240" w:lineRule="exact"/>
              <w:ind w:firstLine="420" w:firstLineChars="200"/>
              <w:rPr>
                <w:rFonts w:hint="eastAsia" w:ascii="仿宋_GB2312"/>
                <w:szCs w:val="21"/>
              </w:rPr>
            </w:pPr>
          </w:p>
        </w:tc>
        <w:tc>
          <w:tcPr>
            <w:tcW w:w="1091" w:type="dxa"/>
            <w:vMerge w:val="continue"/>
            <w:noWrap w:val="0"/>
            <w:vAlign w:val="center"/>
          </w:tcPr>
          <w:p w14:paraId="03DBA466">
            <w:pPr>
              <w:adjustRightInd w:val="0"/>
              <w:snapToGrid w:val="0"/>
              <w:spacing w:line="240" w:lineRule="exact"/>
              <w:ind w:firstLine="420" w:firstLineChars="200"/>
              <w:rPr>
                <w:rFonts w:hint="eastAsia" w:ascii="仿宋_GB2312"/>
                <w:szCs w:val="21"/>
              </w:rPr>
            </w:pPr>
          </w:p>
        </w:tc>
        <w:tc>
          <w:tcPr>
            <w:tcW w:w="9761" w:type="dxa"/>
            <w:noWrap w:val="0"/>
            <w:vAlign w:val="center"/>
          </w:tcPr>
          <w:p w14:paraId="2EB5F74A">
            <w:pPr>
              <w:adjustRightInd w:val="0"/>
              <w:snapToGrid w:val="0"/>
              <w:spacing w:line="240" w:lineRule="exact"/>
              <w:ind w:firstLine="420" w:firstLineChars="200"/>
              <w:rPr>
                <w:rFonts w:hint="eastAsia" w:ascii="仿宋_GB2312"/>
                <w:szCs w:val="21"/>
              </w:rPr>
            </w:pPr>
            <w:r>
              <w:rPr>
                <w:rFonts w:hint="eastAsia" w:ascii="仿宋_GB2312"/>
                <w:szCs w:val="21"/>
              </w:rPr>
              <w:t>完善主要由市场决定价格的机制，凡是能由市场形成价格的都交给市场，政府不进行不当干预。</w:t>
            </w:r>
          </w:p>
        </w:tc>
        <w:tc>
          <w:tcPr>
            <w:tcW w:w="1421" w:type="dxa"/>
            <w:noWrap w:val="0"/>
            <w:vAlign w:val="center"/>
          </w:tcPr>
          <w:p w14:paraId="486A25C3">
            <w:pPr>
              <w:adjustRightInd w:val="0"/>
              <w:snapToGrid w:val="0"/>
              <w:spacing w:line="240" w:lineRule="exact"/>
              <w:jc w:val="center"/>
              <w:rPr>
                <w:rFonts w:hint="eastAsia" w:ascii="仿宋_GB2312"/>
                <w:szCs w:val="21"/>
              </w:rPr>
            </w:pPr>
            <w:r>
              <w:rPr>
                <w:rFonts w:hint="eastAsia" w:ascii="仿宋_GB2312"/>
                <w:szCs w:val="21"/>
              </w:rPr>
              <w:t>市物价局</w:t>
            </w:r>
          </w:p>
        </w:tc>
      </w:tr>
      <w:tr w14:paraId="1FF25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56" w:type="dxa"/>
            <w:vMerge w:val="continue"/>
            <w:noWrap w:val="0"/>
            <w:vAlign w:val="center"/>
          </w:tcPr>
          <w:p w14:paraId="6D3B4F10">
            <w:pPr>
              <w:adjustRightInd w:val="0"/>
              <w:snapToGrid w:val="0"/>
              <w:spacing w:line="240" w:lineRule="exact"/>
              <w:ind w:firstLine="420" w:firstLineChars="200"/>
              <w:rPr>
                <w:rFonts w:hint="eastAsia" w:ascii="仿宋_GB2312"/>
                <w:szCs w:val="21"/>
              </w:rPr>
            </w:pPr>
          </w:p>
        </w:tc>
        <w:tc>
          <w:tcPr>
            <w:tcW w:w="1091" w:type="dxa"/>
            <w:vMerge w:val="continue"/>
            <w:noWrap w:val="0"/>
            <w:vAlign w:val="center"/>
          </w:tcPr>
          <w:p w14:paraId="1417FEBD">
            <w:pPr>
              <w:adjustRightInd w:val="0"/>
              <w:snapToGrid w:val="0"/>
              <w:spacing w:line="240" w:lineRule="exact"/>
              <w:ind w:firstLine="420" w:firstLineChars="200"/>
              <w:rPr>
                <w:rFonts w:hint="eastAsia" w:ascii="仿宋_GB2312"/>
                <w:szCs w:val="21"/>
              </w:rPr>
            </w:pPr>
          </w:p>
        </w:tc>
        <w:tc>
          <w:tcPr>
            <w:tcW w:w="9761" w:type="dxa"/>
            <w:noWrap w:val="0"/>
            <w:vAlign w:val="center"/>
          </w:tcPr>
          <w:p w14:paraId="7D151A1F">
            <w:pPr>
              <w:adjustRightInd w:val="0"/>
              <w:snapToGrid w:val="0"/>
              <w:spacing w:line="240" w:lineRule="exact"/>
              <w:ind w:firstLine="420" w:firstLineChars="200"/>
              <w:rPr>
                <w:rFonts w:hint="eastAsia" w:ascii="仿宋_GB2312"/>
                <w:szCs w:val="21"/>
              </w:rPr>
            </w:pPr>
            <w:r>
              <w:rPr>
                <w:rFonts w:hint="eastAsia" w:ascii="仿宋_GB2312"/>
                <w:szCs w:val="21"/>
              </w:rPr>
              <w:t>公开审批程序，完善行政审批服务中心“一站式”项目联合审批机制，行政许可项目逐步推行网上审批、能同步办理的同步并联办理。对重大项目、重大事项一事一议、特事特办，建立健全重大项目审批绿色通道，实行全程服务制度。</w:t>
            </w:r>
          </w:p>
        </w:tc>
        <w:tc>
          <w:tcPr>
            <w:tcW w:w="1421" w:type="dxa"/>
            <w:noWrap w:val="0"/>
            <w:vAlign w:val="center"/>
          </w:tcPr>
          <w:p w14:paraId="65E814CB">
            <w:pPr>
              <w:adjustRightInd w:val="0"/>
              <w:snapToGrid w:val="0"/>
              <w:spacing w:line="240" w:lineRule="exact"/>
              <w:jc w:val="center"/>
              <w:rPr>
                <w:rFonts w:hint="eastAsia" w:ascii="仿宋_GB2312"/>
                <w:szCs w:val="21"/>
              </w:rPr>
            </w:pPr>
            <w:r>
              <w:rPr>
                <w:rFonts w:hint="eastAsia" w:ascii="仿宋_GB2312"/>
                <w:szCs w:val="21"/>
              </w:rPr>
              <w:t>市政府政务服务中心</w:t>
            </w:r>
          </w:p>
        </w:tc>
      </w:tr>
      <w:tr w14:paraId="46863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6" w:type="dxa"/>
            <w:vMerge w:val="continue"/>
            <w:noWrap w:val="0"/>
            <w:vAlign w:val="center"/>
          </w:tcPr>
          <w:p w14:paraId="0FE4E99D">
            <w:pPr>
              <w:adjustRightInd w:val="0"/>
              <w:snapToGrid w:val="0"/>
              <w:spacing w:line="240" w:lineRule="exact"/>
              <w:ind w:firstLine="420" w:firstLineChars="200"/>
              <w:rPr>
                <w:rFonts w:hint="eastAsia" w:ascii="仿宋_GB2312"/>
                <w:szCs w:val="21"/>
              </w:rPr>
            </w:pPr>
          </w:p>
        </w:tc>
        <w:tc>
          <w:tcPr>
            <w:tcW w:w="1091" w:type="dxa"/>
            <w:noWrap w:val="0"/>
            <w:vAlign w:val="center"/>
          </w:tcPr>
          <w:p w14:paraId="2DB26117">
            <w:pPr>
              <w:adjustRightInd w:val="0"/>
              <w:snapToGrid w:val="0"/>
              <w:spacing w:line="240" w:lineRule="exact"/>
              <w:rPr>
                <w:rFonts w:hint="eastAsia" w:ascii="仿宋_GB2312"/>
                <w:szCs w:val="21"/>
              </w:rPr>
            </w:pPr>
            <w:r>
              <w:rPr>
                <w:rFonts w:hint="eastAsia" w:ascii="仿宋_GB2312"/>
                <w:szCs w:val="21"/>
              </w:rPr>
              <w:t>建立健全投诉查处机制</w:t>
            </w:r>
          </w:p>
        </w:tc>
        <w:tc>
          <w:tcPr>
            <w:tcW w:w="9761" w:type="dxa"/>
            <w:noWrap w:val="0"/>
            <w:vAlign w:val="center"/>
          </w:tcPr>
          <w:p w14:paraId="625D29EB">
            <w:pPr>
              <w:adjustRightInd w:val="0"/>
              <w:snapToGrid w:val="0"/>
              <w:spacing w:line="240" w:lineRule="exact"/>
              <w:ind w:firstLine="420" w:firstLineChars="200"/>
              <w:rPr>
                <w:rFonts w:hint="eastAsia" w:ascii="仿宋_GB2312"/>
                <w:szCs w:val="21"/>
              </w:rPr>
            </w:pPr>
            <w:r>
              <w:rPr>
                <w:rFonts w:hint="eastAsia" w:ascii="仿宋_GB2312"/>
                <w:szCs w:val="21"/>
              </w:rPr>
              <w:t>除法律、法规、规章另有规定外，5个工作日内回复投诉事项处理情况。严肃查处服务机关“门难进、脸难看、事难办”和“吃拿卡要”等问题。对故意刁难、妨碍企业生产经营造成严重影响的单位和个人，要依法依规严肃处理。</w:t>
            </w:r>
          </w:p>
        </w:tc>
        <w:tc>
          <w:tcPr>
            <w:tcW w:w="1421" w:type="dxa"/>
            <w:noWrap w:val="0"/>
            <w:vAlign w:val="center"/>
          </w:tcPr>
          <w:p w14:paraId="05C0E062">
            <w:pPr>
              <w:adjustRightInd w:val="0"/>
              <w:snapToGrid w:val="0"/>
              <w:spacing w:line="240" w:lineRule="exact"/>
              <w:jc w:val="center"/>
              <w:rPr>
                <w:rFonts w:hint="eastAsia" w:ascii="仿宋_GB2312"/>
                <w:szCs w:val="21"/>
              </w:rPr>
            </w:pPr>
            <w:r>
              <w:rPr>
                <w:rFonts w:hint="eastAsia" w:ascii="仿宋_GB2312"/>
                <w:szCs w:val="21"/>
              </w:rPr>
              <w:t>市监察局</w:t>
            </w:r>
          </w:p>
        </w:tc>
      </w:tr>
      <w:tr w14:paraId="14194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856" w:type="dxa"/>
            <w:vMerge w:val="continue"/>
            <w:tcBorders>
              <w:bottom w:val="single" w:color="auto" w:sz="4" w:space="0"/>
            </w:tcBorders>
            <w:noWrap w:val="0"/>
            <w:vAlign w:val="center"/>
          </w:tcPr>
          <w:p w14:paraId="28202272">
            <w:pPr>
              <w:adjustRightInd w:val="0"/>
              <w:snapToGrid w:val="0"/>
              <w:spacing w:line="240" w:lineRule="exact"/>
              <w:ind w:firstLine="420" w:firstLineChars="200"/>
              <w:rPr>
                <w:rFonts w:hint="eastAsia" w:ascii="仿宋_GB2312"/>
                <w:szCs w:val="21"/>
              </w:rPr>
            </w:pPr>
          </w:p>
        </w:tc>
        <w:tc>
          <w:tcPr>
            <w:tcW w:w="1091" w:type="dxa"/>
            <w:noWrap w:val="0"/>
            <w:vAlign w:val="center"/>
          </w:tcPr>
          <w:p w14:paraId="0E0FA0B8">
            <w:pPr>
              <w:adjustRightInd w:val="0"/>
              <w:snapToGrid w:val="0"/>
              <w:spacing w:line="240" w:lineRule="exact"/>
              <w:rPr>
                <w:rFonts w:hint="eastAsia" w:ascii="仿宋_GB2312"/>
                <w:szCs w:val="21"/>
              </w:rPr>
            </w:pPr>
            <w:r>
              <w:rPr>
                <w:rFonts w:hint="eastAsia" w:ascii="仿宋_GB2312"/>
                <w:szCs w:val="21"/>
              </w:rPr>
              <w:t>健全完善企业信用约束机制</w:t>
            </w:r>
          </w:p>
        </w:tc>
        <w:tc>
          <w:tcPr>
            <w:tcW w:w="9761" w:type="dxa"/>
            <w:tcBorders>
              <w:bottom w:val="single" w:color="auto" w:sz="4" w:space="0"/>
            </w:tcBorders>
            <w:noWrap w:val="0"/>
            <w:vAlign w:val="center"/>
          </w:tcPr>
          <w:p w14:paraId="70E9A0AA">
            <w:pPr>
              <w:adjustRightInd w:val="0"/>
              <w:snapToGrid w:val="0"/>
              <w:spacing w:line="240" w:lineRule="exact"/>
              <w:ind w:firstLine="420" w:firstLineChars="200"/>
              <w:rPr>
                <w:rFonts w:hint="eastAsia" w:ascii="仿宋_GB2312"/>
                <w:szCs w:val="21"/>
              </w:rPr>
            </w:pPr>
            <w:r>
              <w:rPr>
                <w:rFonts w:hint="eastAsia" w:ascii="仿宋_GB2312"/>
                <w:szCs w:val="21"/>
              </w:rPr>
              <w:t>加快建设企业信用信息公示平台，方便公众和政府管理部门及时、全面了解企业相关信用信息，扩大社会监督。建立有违规行为市场主体“黑名单”制度，逐步提高企业“失信成本”。强化企业自我管理、行业协会自律和社会组织监督，促进形成诚信、公平、有序的市场秩序。</w:t>
            </w:r>
          </w:p>
        </w:tc>
        <w:tc>
          <w:tcPr>
            <w:tcW w:w="1421" w:type="dxa"/>
            <w:tcBorders>
              <w:bottom w:val="single" w:color="auto" w:sz="4" w:space="0"/>
            </w:tcBorders>
            <w:noWrap w:val="0"/>
            <w:vAlign w:val="center"/>
          </w:tcPr>
          <w:p w14:paraId="20A774D8">
            <w:pPr>
              <w:adjustRightInd w:val="0"/>
              <w:snapToGrid w:val="0"/>
              <w:spacing w:line="240" w:lineRule="exact"/>
              <w:jc w:val="center"/>
              <w:rPr>
                <w:rFonts w:hint="eastAsia" w:ascii="仿宋_GB2312"/>
                <w:szCs w:val="21"/>
              </w:rPr>
            </w:pPr>
            <w:r>
              <w:rPr>
                <w:rFonts w:hint="eastAsia" w:ascii="仿宋_GB2312"/>
                <w:szCs w:val="21"/>
              </w:rPr>
              <w:t>市工商局</w:t>
            </w:r>
          </w:p>
        </w:tc>
      </w:tr>
    </w:tbl>
    <w:p w14:paraId="0F93A35F">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鼎小标宋简">
    <w:altName w:val="宋体"/>
    <w:panose1 w:val="0201060901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4B0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2024-12-25T07:23:16Z</dcterms:created>
  <dc:creator>pengg</dc:creator>
  <cp:lastModifiedBy>P几</cp:lastModifiedBy>
  <dcterms:modified xsi:type="dcterms:W3CDTF">2024-12-25T07:23:30Z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eyJoZGlkIjoiMTNiNWQwYmY2MTIzNjkxMGM4ZmFjOGRhMWMzZWJkNTMiLCJ1c2VySWQiOiI3MDc1MzY4MzgifQ==</vt:lpwstr>
  </property>
  <property fmtid="{D5CDD505-2E9C-101B-9397-08002B2CF9AE}" pid="4" name="ICV">
    <vt:lpwstr>AFBA1D9A51D5401C8D4373D5EEB7ED55_12</vt:lpwstr>
  </property>
</Properties>
</file>