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60623"/>
        <w15:color w:val="DBDBDB"/>
        <w:docPartObj>
          <w:docPartGallery w:val="Table of Contents"/>
          <w:docPartUnique/>
        </w:docPartObj>
      </w:sdtPr>
      <w:sdtEndPr>
        <w:rPr>
          <w:rFonts w:hint="eastAsia" w:ascii="仿宋_GB2312" w:hAnsi="仿宋_GB2312" w:eastAsia="仿宋_GB2312" w:cs="仿宋_GB2312"/>
          <w:b/>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1"/>
            <w:tabs>
              <w:tab w:val="right" w:leader="dot" w:pos="8845"/>
            </w:tabs>
            <w:rPr>
              <w:rFonts w:hint="eastAsia" w:ascii="仿宋_GB2312" w:hAnsi="仿宋_GB2312" w:eastAsia="仿宋_GB2312" w:cs="仿宋_GB2312"/>
              <w:b/>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TOC \o "1-2" \h \u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
              <w:spacing w:val="0"/>
              <w:kern w:val="2"/>
              <w:position w:val="0"/>
              <w:sz w:val="30"/>
              <w:szCs w:val="30"/>
              <w:lang w:val="en-US" w:eastAsia="zh-CN" w:bidi="ar"/>
            </w:rPr>
            <w:fldChar w:fldCharType="begin"/>
          </w:r>
          <w:r>
            <w:rPr>
              <w:rFonts w:hint="eastAsia" w:ascii="仿宋_GB2312" w:hAnsi="仿宋_GB2312" w:eastAsia="仿宋_GB2312" w:cs="仿宋_GB2312"/>
              <w:b/>
              <w:spacing w:val="0"/>
              <w:kern w:val="2"/>
              <w:position w:val="0"/>
              <w:sz w:val="30"/>
              <w:szCs w:val="30"/>
              <w:lang w:val="en-US" w:eastAsia="zh-CN" w:bidi="ar"/>
            </w:rPr>
            <w:instrText xml:space="preserve"> HYPERLINK \l _Toc2097 </w:instrText>
          </w:r>
          <w:r>
            <w:rPr>
              <w:rFonts w:hint="eastAsia" w:ascii="仿宋_GB2312" w:hAnsi="仿宋_GB2312" w:eastAsia="仿宋_GB2312" w:cs="仿宋_GB2312"/>
              <w:b/>
              <w:spacing w:val="0"/>
              <w:kern w:val="2"/>
              <w:position w:val="0"/>
              <w:sz w:val="30"/>
              <w:szCs w:val="30"/>
              <w:lang w:val="en-US" w:eastAsia="zh-CN" w:bidi="ar"/>
            </w:rPr>
            <w:fldChar w:fldCharType="separate"/>
          </w:r>
          <w:r>
            <w:rPr>
              <w:rFonts w:hint="eastAsia" w:ascii="仿宋_GB2312" w:hAnsi="仿宋_GB2312" w:eastAsia="仿宋_GB2312" w:cs="仿宋_GB2312"/>
              <w:b/>
              <w:spacing w:val="0"/>
              <w:kern w:val="2"/>
              <w:position w:val="0"/>
              <w:sz w:val="30"/>
              <w:szCs w:val="30"/>
              <w:lang w:val="en-US" w:eastAsia="zh-CN" w:bidi="ar"/>
            </w:rPr>
            <w:t>一、总体情况</w:t>
          </w:r>
          <w:r>
            <w:rPr>
              <w:rFonts w:hint="eastAsia" w:ascii="仿宋_GB2312" w:hAnsi="仿宋_GB2312" w:eastAsia="仿宋_GB2312" w:cs="仿宋_GB2312"/>
              <w:b/>
              <w:sz w:val="30"/>
              <w:szCs w:val="30"/>
            </w:rPr>
            <w:tab/>
          </w:r>
          <w:r>
            <w:rPr>
              <w:rFonts w:hint="eastAsia" w:ascii="仿宋_GB2312" w:hAnsi="仿宋_GB2312" w:eastAsia="仿宋_GB2312" w:cs="仿宋_GB2312"/>
              <w:b/>
              <w:sz w:val="30"/>
              <w:szCs w:val="30"/>
            </w:rPr>
            <w:fldChar w:fldCharType="begin"/>
          </w:r>
          <w:r>
            <w:rPr>
              <w:rFonts w:hint="eastAsia" w:ascii="仿宋_GB2312" w:hAnsi="仿宋_GB2312" w:eastAsia="仿宋_GB2312" w:cs="仿宋_GB2312"/>
              <w:b/>
              <w:sz w:val="30"/>
              <w:szCs w:val="30"/>
            </w:rPr>
            <w:instrText xml:space="preserve"> PAGEREF _Toc2097 \h </w:instrText>
          </w:r>
          <w:r>
            <w:rPr>
              <w:rFonts w:hint="eastAsia" w:ascii="仿宋_GB2312" w:hAnsi="仿宋_GB2312" w:eastAsia="仿宋_GB2312" w:cs="仿宋_GB2312"/>
              <w:b/>
              <w:sz w:val="30"/>
              <w:szCs w:val="30"/>
            </w:rPr>
            <w:fldChar w:fldCharType="separate"/>
          </w:r>
          <w:r>
            <w:rPr>
              <w:rFonts w:hint="eastAsia" w:ascii="仿宋_GB2312" w:hAnsi="仿宋_GB2312" w:eastAsia="仿宋_GB2312" w:cs="仿宋_GB2312"/>
              <w:b/>
              <w:sz w:val="30"/>
              <w:szCs w:val="30"/>
            </w:rPr>
            <w:t>1</w:t>
          </w:r>
          <w:r>
            <w:rPr>
              <w:rFonts w:hint="eastAsia" w:ascii="仿宋_GB2312" w:hAnsi="仿宋_GB2312" w:eastAsia="仿宋_GB2312" w:cs="仿宋_GB2312"/>
              <w:b/>
              <w:sz w:val="30"/>
              <w:szCs w:val="30"/>
            </w:rPr>
            <w:fldChar w:fldCharType="end"/>
          </w:r>
          <w:r>
            <w:rPr>
              <w:rFonts w:hint="eastAsia" w:ascii="仿宋_GB2312" w:hAnsi="仿宋_GB2312" w:eastAsia="仿宋_GB2312" w:cs="仿宋_GB2312"/>
              <w:b/>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_Toc11544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spacing w:val="0"/>
              <w:kern w:val="2"/>
              <w:position w:val="0"/>
              <w:sz w:val="30"/>
              <w:szCs w:val="30"/>
              <w:lang w:val="en-US" w:eastAsia="zh-CN" w:bidi="ar"/>
            </w:rPr>
            <w:t>（一）政策措施评估情况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_Toc11544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_Toc8207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spacing w:val="0"/>
              <w:kern w:val="2"/>
              <w:position w:val="0"/>
              <w:sz w:val="30"/>
              <w:szCs w:val="30"/>
              <w:lang w:val="en-US" w:eastAsia="zh-CN" w:bidi="ar"/>
            </w:rPr>
            <w:t>（二）自我审查清理情况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_Toc8207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_Toc26389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val="0"/>
              <w:spacing w:val="0"/>
              <w:kern w:val="2"/>
              <w:position w:val="0"/>
              <w:sz w:val="30"/>
              <w:szCs w:val="30"/>
              <w:lang w:val="en-US" w:eastAsia="zh-CN" w:bidi="ar"/>
            </w:rPr>
            <w:t>（三）工作部署落实情况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_Toc26389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1"/>
            <w:tabs>
              <w:tab w:val="right" w:leader="dot" w:pos="8845"/>
            </w:tabs>
            <w:rPr>
              <w:rFonts w:hint="eastAsia" w:ascii="仿宋_GB2312" w:hAnsi="仿宋_GB2312" w:eastAsia="仿宋_GB2312" w:cs="仿宋_GB2312"/>
              <w:b/>
              <w:sz w:val="30"/>
              <w:szCs w:val="30"/>
            </w:rPr>
          </w:pPr>
          <w:r>
            <w:rPr>
              <w:rFonts w:hint="eastAsia" w:ascii="仿宋_GB2312" w:hAnsi="仿宋_GB2312" w:eastAsia="仿宋_GB2312" w:cs="仿宋_GB2312"/>
              <w:b/>
              <w:spacing w:val="0"/>
              <w:kern w:val="2"/>
              <w:position w:val="0"/>
              <w:sz w:val="30"/>
              <w:szCs w:val="30"/>
              <w:lang w:val="en-US" w:eastAsia="zh-CN" w:bidi="ar"/>
            </w:rPr>
            <w:fldChar w:fldCharType="begin"/>
          </w:r>
          <w:r>
            <w:rPr>
              <w:rFonts w:hint="eastAsia" w:ascii="仿宋_GB2312" w:hAnsi="仿宋_GB2312" w:eastAsia="仿宋_GB2312" w:cs="仿宋_GB2312"/>
              <w:b/>
              <w:spacing w:val="0"/>
              <w:kern w:val="2"/>
              <w:position w:val="0"/>
              <w:sz w:val="30"/>
              <w:szCs w:val="30"/>
              <w:lang w:val="en-US" w:eastAsia="zh-CN" w:bidi="ar"/>
            </w:rPr>
            <w:instrText xml:space="preserve"> HYPERLINK \l _Toc9076 </w:instrText>
          </w:r>
          <w:r>
            <w:rPr>
              <w:rFonts w:hint="eastAsia" w:ascii="仿宋_GB2312" w:hAnsi="仿宋_GB2312" w:eastAsia="仿宋_GB2312" w:cs="仿宋_GB2312"/>
              <w:b/>
              <w:spacing w:val="0"/>
              <w:kern w:val="2"/>
              <w:position w:val="0"/>
              <w:sz w:val="30"/>
              <w:szCs w:val="30"/>
              <w:lang w:val="en-US" w:eastAsia="zh-CN" w:bidi="ar"/>
            </w:rPr>
            <w:fldChar w:fldCharType="separate"/>
          </w:r>
          <w:r>
            <w:rPr>
              <w:rFonts w:hint="eastAsia" w:ascii="仿宋_GB2312" w:hAnsi="仿宋_GB2312" w:eastAsia="仿宋_GB2312" w:cs="仿宋_GB2312"/>
              <w:b/>
              <w:bCs/>
              <w:spacing w:val="0"/>
              <w:kern w:val="2"/>
              <w:position w:val="0"/>
              <w:sz w:val="30"/>
              <w:szCs w:val="30"/>
              <w:lang w:val="en-US" w:eastAsia="zh-CN" w:bidi="ar"/>
            </w:rPr>
            <w:t>二、评估结果</w:t>
          </w:r>
          <w:r>
            <w:rPr>
              <w:rFonts w:hint="eastAsia" w:ascii="仿宋_GB2312" w:hAnsi="仿宋_GB2312" w:eastAsia="仿宋_GB2312" w:cs="仿宋_GB2312"/>
              <w:sz w:val="30"/>
              <w:szCs w:val="30"/>
            </w:rPr>
            <w:tab/>
          </w:r>
          <w:r>
            <w:rPr>
              <w:rFonts w:hint="eastAsia" w:ascii="仿宋_GB2312" w:hAnsi="仿宋_GB2312" w:eastAsia="仿宋_GB2312" w:cs="仿宋_GB2312"/>
              <w:b/>
              <w:sz w:val="30"/>
              <w:szCs w:val="30"/>
            </w:rPr>
            <w:fldChar w:fldCharType="begin"/>
          </w:r>
          <w:r>
            <w:rPr>
              <w:rFonts w:hint="eastAsia" w:ascii="仿宋_GB2312" w:hAnsi="仿宋_GB2312" w:eastAsia="仿宋_GB2312" w:cs="仿宋_GB2312"/>
              <w:b/>
              <w:sz w:val="30"/>
              <w:szCs w:val="30"/>
            </w:rPr>
            <w:instrText xml:space="preserve"> PAGEREF _Toc9076 \h </w:instrText>
          </w:r>
          <w:r>
            <w:rPr>
              <w:rFonts w:hint="eastAsia" w:ascii="仿宋_GB2312" w:hAnsi="仿宋_GB2312" w:eastAsia="仿宋_GB2312" w:cs="仿宋_GB2312"/>
              <w:b/>
              <w:sz w:val="30"/>
              <w:szCs w:val="30"/>
            </w:rPr>
            <w:fldChar w:fldCharType="separate"/>
          </w:r>
          <w:r>
            <w:rPr>
              <w:rFonts w:hint="eastAsia" w:ascii="仿宋_GB2312" w:hAnsi="仿宋_GB2312" w:eastAsia="仿宋_GB2312" w:cs="仿宋_GB2312"/>
              <w:b/>
              <w:sz w:val="30"/>
              <w:szCs w:val="30"/>
            </w:rPr>
            <w:t>4</w:t>
          </w:r>
          <w:r>
            <w:rPr>
              <w:rFonts w:hint="eastAsia" w:ascii="仿宋_GB2312" w:hAnsi="仿宋_GB2312" w:eastAsia="仿宋_GB2312" w:cs="仿宋_GB2312"/>
              <w:b/>
              <w:sz w:val="30"/>
              <w:szCs w:val="30"/>
            </w:rPr>
            <w:fldChar w:fldCharType="end"/>
          </w:r>
          <w:r>
            <w:rPr>
              <w:rFonts w:hint="eastAsia" w:ascii="仿宋_GB2312" w:hAnsi="仿宋_GB2312" w:eastAsia="仿宋_GB2312" w:cs="仿宋_GB2312"/>
              <w:b/>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_Toc9844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spacing w:val="0"/>
              <w:kern w:val="2"/>
              <w:position w:val="0"/>
              <w:sz w:val="30"/>
              <w:szCs w:val="30"/>
              <w:lang w:val="en-US" w:eastAsia="zh-CN" w:bidi="ar"/>
            </w:rPr>
            <w:t>（一） 工作部署落实情况得分</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_Toc9844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_Toc28616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spacing w:val="0"/>
              <w:kern w:val="0"/>
              <w:position w:val="0"/>
              <w:sz w:val="30"/>
              <w:szCs w:val="30"/>
              <w:lang w:val="en-US" w:eastAsia="zh-CN" w:bidi="ar"/>
            </w:rPr>
            <w:t>（二）政策措施评估得分</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_Toc28616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_Toc27842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spacing w:val="0"/>
              <w:kern w:val="0"/>
              <w:position w:val="0"/>
              <w:sz w:val="30"/>
              <w:szCs w:val="30"/>
              <w:lang w:val="en-US" w:eastAsia="zh-CN" w:bidi="ar-SA"/>
            </w:rPr>
            <w:t>（三）</w:t>
          </w:r>
          <w:r>
            <w:rPr>
              <w:rFonts w:hint="eastAsia" w:ascii="仿宋_GB2312" w:hAnsi="仿宋_GB2312" w:eastAsia="仿宋_GB2312" w:cs="仿宋_GB2312"/>
              <w:spacing w:val="0"/>
              <w:kern w:val="0"/>
              <w:position w:val="0"/>
              <w:sz w:val="30"/>
              <w:szCs w:val="30"/>
              <w:lang w:val="en-US" w:eastAsia="zh-CN" w:bidi="ar"/>
            </w:rPr>
            <w:t>公平竞争审查第三方评估工作配合情况得分</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_Toc27842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_Toc15139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spacing w:val="0"/>
              <w:kern w:val="0"/>
              <w:position w:val="0"/>
              <w:sz w:val="30"/>
              <w:szCs w:val="30"/>
              <w:lang w:val="en-US" w:eastAsia="zh-CN" w:bidi="ar-SA"/>
            </w:rPr>
            <w:t>（四）</w:t>
          </w:r>
          <w:r>
            <w:rPr>
              <w:rFonts w:hint="eastAsia" w:ascii="仿宋_GB2312" w:hAnsi="仿宋_GB2312" w:eastAsia="仿宋_GB2312" w:cs="仿宋_GB2312"/>
              <w:spacing w:val="0"/>
              <w:kern w:val="0"/>
              <w:position w:val="0"/>
              <w:sz w:val="30"/>
              <w:szCs w:val="30"/>
              <w:lang w:val="en-US" w:eastAsia="zh-CN" w:bidi="ar"/>
            </w:rPr>
            <w:t>公平竞争审查第三方评估最终得分</w:t>
          </w:r>
          <w:r>
            <w:rPr>
              <w:rFonts w:hint="eastAsia" w:ascii="仿宋_GB2312" w:hAnsi="仿宋_GB2312" w:eastAsia="仿宋_GB2312" w:cs="仿宋_GB2312"/>
              <w:sz w:val="30"/>
              <w:szCs w:val="30"/>
            </w:rPr>
            <w:tab/>
          </w:r>
          <w:bookmarkStart w:id="15" w:name="_GoBack"/>
          <w:bookmarkEnd w:id="15"/>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_Toc15139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1"/>
            <w:tabs>
              <w:tab w:val="right" w:leader="dot" w:pos="8845"/>
            </w:tabs>
            <w:rPr>
              <w:rFonts w:hint="eastAsia" w:ascii="仿宋_GB2312" w:hAnsi="仿宋_GB2312" w:eastAsia="仿宋_GB2312" w:cs="仿宋_GB2312"/>
              <w:b/>
              <w:sz w:val="30"/>
              <w:szCs w:val="30"/>
            </w:rPr>
          </w:pPr>
          <w:r>
            <w:rPr>
              <w:rFonts w:hint="eastAsia" w:ascii="仿宋_GB2312" w:hAnsi="仿宋_GB2312" w:eastAsia="仿宋_GB2312" w:cs="仿宋_GB2312"/>
              <w:b/>
              <w:spacing w:val="0"/>
              <w:kern w:val="2"/>
              <w:position w:val="0"/>
              <w:sz w:val="30"/>
              <w:szCs w:val="30"/>
              <w:lang w:val="en-US" w:eastAsia="zh-CN" w:bidi="ar"/>
            </w:rPr>
            <w:fldChar w:fldCharType="begin"/>
          </w:r>
          <w:r>
            <w:rPr>
              <w:rFonts w:hint="eastAsia" w:ascii="仿宋_GB2312" w:hAnsi="仿宋_GB2312" w:eastAsia="仿宋_GB2312" w:cs="仿宋_GB2312"/>
              <w:b/>
              <w:spacing w:val="0"/>
              <w:kern w:val="2"/>
              <w:position w:val="0"/>
              <w:sz w:val="30"/>
              <w:szCs w:val="30"/>
              <w:lang w:val="en-US" w:eastAsia="zh-CN" w:bidi="ar"/>
            </w:rPr>
            <w:instrText xml:space="preserve"> HYPERLINK \l _Toc20360 </w:instrText>
          </w:r>
          <w:r>
            <w:rPr>
              <w:rFonts w:hint="eastAsia" w:ascii="仿宋_GB2312" w:hAnsi="仿宋_GB2312" w:eastAsia="仿宋_GB2312" w:cs="仿宋_GB2312"/>
              <w:b/>
              <w:spacing w:val="0"/>
              <w:kern w:val="2"/>
              <w:position w:val="0"/>
              <w:sz w:val="30"/>
              <w:szCs w:val="30"/>
              <w:lang w:val="en-US" w:eastAsia="zh-CN" w:bidi="ar"/>
            </w:rPr>
            <w:fldChar w:fldCharType="separate"/>
          </w:r>
          <w:r>
            <w:rPr>
              <w:rFonts w:hint="eastAsia" w:ascii="仿宋_GB2312" w:hAnsi="仿宋_GB2312" w:eastAsia="仿宋_GB2312" w:cs="仿宋_GB2312"/>
              <w:b/>
              <w:bCs/>
              <w:spacing w:val="0"/>
              <w:kern w:val="2"/>
              <w:position w:val="0"/>
              <w:sz w:val="30"/>
              <w:szCs w:val="30"/>
              <w:lang w:val="en-US" w:eastAsia="zh-CN" w:bidi="ar"/>
            </w:rPr>
            <w:t>三、意见建议</w:t>
          </w:r>
          <w:r>
            <w:rPr>
              <w:rFonts w:hint="eastAsia" w:ascii="仿宋_GB2312" w:hAnsi="仿宋_GB2312" w:eastAsia="仿宋_GB2312" w:cs="仿宋_GB2312"/>
              <w:b/>
              <w:sz w:val="30"/>
              <w:szCs w:val="30"/>
            </w:rPr>
            <w:tab/>
          </w:r>
          <w:r>
            <w:rPr>
              <w:rFonts w:hint="eastAsia" w:ascii="仿宋_GB2312" w:hAnsi="仿宋_GB2312" w:eastAsia="仿宋_GB2312" w:cs="仿宋_GB2312"/>
              <w:b/>
              <w:sz w:val="30"/>
              <w:szCs w:val="30"/>
            </w:rPr>
            <w:fldChar w:fldCharType="begin"/>
          </w:r>
          <w:r>
            <w:rPr>
              <w:rFonts w:hint="eastAsia" w:ascii="仿宋_GB2312" w:hAnsi="仿宋_GB2312" w:eastAsia="仿宋_GB2312" w:cs="仿宋_GB2312"/>
              <w:b/>
              <w:sz w:val="30"/>
              <w:szCs w:val="30"/>
            </w:rPr>
            <w:instrText xml:space="preserve"> PAGEREF _Toc20360 \h </w:instrText>
          </w:r>
          <w:r>
            <w:rPr>
              <w:rFonts w:hint="eastAsia" w:ascii="仿宋_GB2312" w:hAnsi="仿宋_GB2312" w:eastAsia="仿宋_GB2312" w:cs="仿宋_GB2312"/>
              <w:b/>
              <w:sz w:val="30"/>
              <w:szCs w:val="30"/>
            </w:rPr>
            <w:fldChar w:fldCharType="separate"/>
          </w:r>
          <w:r>
            <w:rPr>
              <w:rFonts w:hint="eastAsia" w:ascii="仿宋_GB2312" w:hAnsi="仿宋_GB2312" w:eastAsia="仿宋_GB2312" w:cs="仿宋_GB2312"/>
              <w:b/>
              <w:sz w:val="30"/>
              <w:szCs w:val="30"/>
            </w:rPr>
            <w:t>6</w:t>
          </w:r>
          <w:r>
            <w:rPr>
              <w:rFonts w:hint="eastAsia" w:ascii="仿宋_GB2312" w:hAnsi="仿宋_GB2312" w:eastAsia="仿宋_GB2312" w:cs="仿宋_GB2312"/>
              <w:b/>
              <w:sz w:val="30"/>
              <w:szCs w:val="30"/>
            </w:rPr>
            <w:fldChar w:fldCharType="end"/>
          </w:r>
          <w:r>
            <w:rPr>
              <w:rFonts w:hint="eastAsia" w:ascii="仿宋_GB2312" w:hAnsi="仿宋_GB2312" w:eastAsia="仿宋_GB2312" w:cs="仿宋_GB2312"/>
              <w:b/>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_Toc25966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val="0"/>
              <w:spacing w:val="0"/>
              <w:kern w:val="2"/>
              <w:position w:val="0"/>
              <w:sz w:val="30"/>
              <w:szCs w:val="30"/>
              <w:lang w:val="en-US" w:eastAsia="zh-CN" w:bidi="ar"/>
            </w:rPr>
            <w:t>（一）加强审查机制建设，健全审查保障机制</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_Toc25966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_Toc30059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val="0"/>
              <w:spacing w:val="0"/>
              <w:kern w:val="2"/>
              <w:position w:val="0"/>
              <w:sz w:val="30"/>
              <w:szCs w:val="30"/>
              <w:lang w:val="en-US" w:eastAsia="zh-CN" w:bidi="ar"/>
            </w:rPr>
            <w:t>（二）加强内部培训，增强审查意识</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_Toc30059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_Toc12185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val="0"/>
              <w:spacing w:val="0"/>
              <w:kern w:val="2"/>
              <w:position w:val="0"/>
              <w:sz w:val="30"/>
              <w:szCs w:val="30"/>
              <w:lang w:val="en-US" w:eastAsia="zh-CN" w:bidi="ar"/>
            </w:rPr>
            <w:t>（三）聘请第三方进行审查，增强审查专业性</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_Toc12185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pStyle w:val="12"/>
            <w:tabs>
              <w:tab w:val="right" w:leader="dot" w:pos="8845"/>
            </w:tabs>
            <w:rPr>
              <w:rFonts w:hint="eastAsia" w:ascii="仿宋_GB2312" w:hAnsi="仿宋_GB2312" w:eastAsia="仿宋_GB2312" w:cs="仿宋_GB2312"/>
              <w:sz w:val="30"/>
              <w:szCs w:val="30"/>
            </w:rPr>
          </w:pPr>
          <w:r>
            <w:rPr>
              <w:rFonts w:hint="eastAsia" w:ascii="仿宋_GB2312" w:hAnsi="仿宋_GB2312" w:eastAsia="仿宋_GB2312" w:cs="仿宋_GB2312"/>
              <w:spacing w:val="0"/>
              <w:kern w:val="2"/>
              <w:position w:val="0"/>
              <w:sz w:val="30"/>
              <w:szCs w:val="30"/>
              <w:lang w:val="en-US" w:eastAsia="zh-CN" w:bidi="ar"/>
            </w:rPr>
            <w:fldChar w:fldCharType="begin"/>
          </w:r>
          <w:r>
            <w:rPr>
              <w:rFonts w:hint="eastAsia" w:ascii="仿宋_GB2312" w:hAnsi="仿宋_GB2312" w:eastAsia="仿宋_GB2312" w:cs="仿宋_GB2312"/>
              <w:spacing w:val="0"/>
              <w:kern w:val="2"/>
              <w:position w:val="0"/>
              <w:sz w:val="30"/>
              <w:szCs w:val="30"/>
              <w:lang w:val="en-US" w:eastAsia="zh-CN" w:bidi="ar"/>
            </w:rPr>
            <w:instrText xml:space="preserve"> HYPERLINK \l _Toc25869 </w:instrText>
          </w:r>
          <w:r>
            <w:rPr>
              <w:rFonts w:hint="eastAsia" w:ascii="仿宋_GB2312" w:hAnsi="仿宋_GB2312" w:eastAsia="仿宋_GB2312" w:cs="仿宋_GB2312"/>
              <w:spacing w:val="0"/>
              <w:kern w:val="2"/>
              <w:position w:val="0"/>
              <w:sz w:val="30"/>
              <w:szCs w:val="30"/>
              <w:lang w:val="en-US" w:eastAsia="zh-CN" w:bidi="ar"/>
            </w:rPr>
            <w:fldChar w:fldCharType="separate"/>
          </w:r>
          <w:r>
            <w:rPr>
              <w:rFonts w:hint="eastAsia" w:ascii="仿宋_GB2312" w:hAnsi="仿宋_GB2312" w:eastAsia="仿宋_GB2312" w:cs="仿宋_GB2312"/>
              <w:bCs w:val="0"/>
              <w:spacing w:val="0"/>
              <w:kern w:val="2"/>
              <w:position w:val="0"/>
              <w:sz w:val="30"/>
              <w:szCs w:val="30"/>
              <w:lang w:val="en-US" w:eastAsia="zh-CN" w:bidi="ar"/>
            </w:rPr>
            <w:t>（四）利用好公平竞争审查投诉举报回应机制</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_Toc25869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pacing w:val="0"/>
              <w:kern w:val="2"/>
              <w:position w:val="0"/>
              <w:sz w:val="30"/>
              <w:szCs w:val="30"/>
              <w:lang w:val="en-US" w:eastAsia="zh-CN" w:bidi="ar"/>
            </w:rPr>
            <w:fldChar w:fldCharType="end"/>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02" w:firstLineChars="200"/>
            <w:jc w:val="both"/>
            <w:textAlignment w:val="auto"/>
            <w:outlineLvl w:val="9"/>
            <w:rPr>
              <w:rFonts w:hint="eastAsia" w:ascii="仿宋_GB2312" w:hAnsi="仿宋_GB2312" w:eastAsia="仿宋_GB2312" w:cs="仿宋_GB2312"/>
              <w:spacing w:val="0"/>
              <w:kern w:val="2"/>
              <w:position w:val="0"/>
              <w:sz w:val="32"/>
              <w:szCs w:val="32"/>
              <w:lang w:val="en-US" w:eastAsia="zh-CN" w:bidi="ar"/>
            </w:rPr>
          </w:pPr>
          <w:r>
            <w:rPr>
              <w:rFonts w:hint="eastAsia" w:ascii="仿宋_GB2312" w:hAnsi="仿宋_GB2312" w:eastAsia="仿宋_GB2312" w:cs="仿宋_GB2312"/>
              <w:b/>
              <w:spacing w:val="0"/>
              <w:kern w:val="2"/>
              <w:position w:val="0"/>
              <w:sz w:val="30"/>
              <w:szCs w:val="30"/>
              <w:lang w:val="en-US" w:eastAsia="zh-CN" w:bidi="ar"/>
            </w:rPr>
            <w:fldChar w:fldCharType="end"/>
          </w:r>
        </w:p>
      </w:sdtContent>
    </w:sdt>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pPr>
      <w:bookmarkStart w:id="0" w:name="_Toc2097"/>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lang w:val="en-US" w:eastAsia="zh-CN" w:bidi="ar"/>
        </w:rPr>
        <w:sectPr>
          <w:pgSz w:w="11906" w:h="16838"/>
          <w:pgMar w:top="2098" w:right="1474" w:bottom="1984" w:left="1587" w:header="851" w:footer="1417" w:gutter="0"/>
          <w:paperSrc/>
          <w:pgNumType w:fmt="decimal"/>
          <w:cols w:space="0" w:num="1"/>
          <w:rtlGutter w:val="0"/>
          <w:docGrid w:type="lines" w:linePitch="312" w:charSpace="0"/>
        </w:sect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0"/>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r>
        <w:rPr>
          <w:rFonts w:hint="eastAsia" w:ascii="仿宋_GB2312" w:hAnsi="仿宋_GB2312" w:eastAsia="仿宋_GB2312" w:cs="仿宋_GB2312"/>
          <w:bCs w:val="0"/>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下文简称《实施细则》）设立专章“第三方评估”，对有关第三方评估问题予以明确，该《实施细则》第二十条规定：“政策制定单位可以根据工作实际，委托具备相应评估能力的高等院校、科研院所、专业咨询公司、律师事务所</w:t>
      </w:r>
      <w:r>
        <w:rPr>
          <w:rFonts w:hint="eastAsia" w:ascii="仿宋_GB2312" w:hAnsi="仿宋_GB2312" w:eastAsia="仿宋_GB2312" w:cs="仿宋_GB2312"/>
          <w:bCs w:val="0"/>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成员联席会议办公室经过询价，遴选甘肃金彤律师事务所对张掖市22个市直部门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评估机构审查了国家税务总局张掖市税务局提供的政策措施文件、调查表以及各项材料，系统总结了国家税务总局张掖市税务局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1" w:name="_Toc11544"/>
      <w:r>
        <w:rPr>
          <w:rFonts w:hint="eastAsia" w:ascii="楷体_GB2312" w:hAnsi="楷体_GB2312" w:eastAsia="楷体_GB2312" w:cs="楷体_GB2312"/>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国家税务总局张掖市税务局未提交2021—2022年度发布的政策措施。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仿宋_GB2312" w:hAnsi="仿宋_GB2312" w:eastAsia="仿宋_GB2312" w:cs="仿宋_GB2312"/>
          <w:spacing w:val="0"/>
          <w:kern w:val="2"/>
          <w:position w:val="0"/>
          <w:sz w:val="32"/>
          <w:szCs w:val="32"/>
        </w:rPr>
      </w:pPr>
      <w:bookmarkStart w:id="2" w:name="_Toc8207"/>
      <w:r>
        <w:rPr>
          <w:rFonts w:hint="eastAsia" w:ascii="楷体_GB2312" w:hAnsi="楷体_GB2312" w:eastAsia="楷体_GB2312" w:cs="楷体_GB2312"/>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国家税务总局张掖市税务局在开展审查工作过程中，已进行本单位内政策措施的自查并形成自查报告，对2021—2022年度公平竞争审查审查工作情况进行了书面总结。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对于涉及市场主体经济活动的存量政策措施，国家税务总局张掖市税务局已</w:t>
      </w:r>
      <w:r>
        <w:rPr>
          <w:rFonts w:hint="eastAsia" w:ascii="仿宋_GB2312" w:hAnsi="仿宋_GB2312" w:eastAsia="仿宋_GB2312" w:cs="仿宋_GB2312"/>
          <w:bCs w:val="0"/>
          <w:spacing w:val="0"/>
          <w:kern w:val="2"/>
          <w:position w:val="0"/>
          <w:sz w:val="32"/>
          <w:szCs w:val="32"/>
          <w:lang w:val="en-US" w:eastAsia="zh-CN" w:bidi="ar"/>
        </w:rPr>
        <w:t>进行内部审查和清理，并</w:t>
      </w:r>
      <w:r>
        <w:rPr>
          <w:rFonts w:hint="eastAsia" w:ascii="仿宋_GB2312" w:hAnsi="仿宋_GB2312" w:eastAsia="仿宋_GB2312" w:cs="仿宋_GB2312"/>
          <w:color w:val="000000"/>
          <w:spacing w:val="0"/>
          <w:kern w:val="0"/>
          <w:position w:val="0"/>
          <w:sz w:val="32"/>
          <w:szCs w:val="32"/>
          <w:lang w:val="en-US" w:eastAsia="zh-CN" w:bidi="ar"/>
        </w:rPr>
        <w:t>对本单位公平竞争审查工作进行了总结。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3" w:name="_Toc26389"/>
      <w:r>
        <w:rPr>
          <w:rFonts w:hint="eastAsia" w:ascii="楷体_GB2312" w:hAnsi="楷体_GB2312" w:eastAsia="楷体_GB2312" w:cs="楷体_GB2312"/>
          <w:bCs w:val="0"/>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r>
        <w:rPr>
          <w:rFonts w:hint="eastAsia" w:ascii="仿宋_GB2312" w:hAnsi="仿宋_GB2312" w:eastAsia="仿宋_GB2312" w:cs="仿宋_GB2312"/>
          <w:bCs w:val="0"/>
          <w:spacing w:val="0"/>
          <w:kern w:val="2"/>
          <w:position w:val="0"/>
          <w:sz w:val="32"/>
          <w:szCs w:val="32"/>
          <w:lang w:val="en-US" w:eastAsia="zh-CN" w:bidi="ar"/>
        </w:rPr>
        <w:t>为建立健全公平竞争审查工作机制，推动本单位公平竞争审查工作的贯彻落实，国家税务总局张掖市税务局结合工作实际，印发了《国家税务总局关于修改&lt;税务规范性文件制定管理办法&gt;的决定》、制定</w:t>
      </w:r>
      <w:r>
        <w:rPr>
          <w:rFonts w:hint="eastAsia"/>
          <w:lang w:val="en-US" w:eastAsia="zh-CN"/>
        </w:rPr>
        <w:t>了</w:t>
      </w:r>
      <w:r>
        <w:rPr>
          <w:rFonts w:hint="eastAsia" w:ascii="仿宋_GB2312" w:hAnsi="仿宋_GB2312" w:eastAsia="仿宋_GB2312" w:cs="仿宋_GB2312"/>
          <w:bCs w:val="0"/>
          <w:spacing w:val="0"/>
          <w:kern w:val="2"/>
          <w:position w:val="0"/>
          <w:sz w:val="32"/>
          <w:szCs w:val="32"/>
          <w:lang w:val="en-US" w:eastAsia="zh-CN" w:bidi="ar"/>
        </w:rPr>
        <w:t>《国家税务总局张掖市税务局关于开展妨碍统一市场和公平竞争政策措施清理工作的通知》，形成《国家税务总局张掖市税务局关于违规设置建筑业准入门槛增加企业负担问题自查工作的报告》，制定</w:t>
      </w:r>
      <w:r>
        <w:rPr>
          <w:rFonts w:hint="eastAsia"/>
          <w:lang w:val="en-US" w:eastAsia="zh-CN"/>
        </w:rPr>
        <w:t>了</w:t>
      </w:r>
      <w:r>
        <w:rPr>
          <w:rFonts w:hint="eastAsia" w:ascii="仿宋_GB2312" w:hAnsi="仿宋_GB2312" w:eastAsia="仿宋_GB2312" w:cs="仿宋_GB2312"/>
          <w:bCs w:val="0"/>
          <w:spacing w:val="0"/>
          <w:kern w:val="2"/>
          <w:position w:val="0"/>
          <w:sz w:val="32"/>
          <w:szCs w:val="32"/>
          <w:lang w:val="en-US" w:eastAsia="zh-CN" w:bidi="ar"/>
        </w:rPr>
        <w:t>《全市税务系统涉税（费）文件清理工作方案》，为全面落实公平竞争审查制度，通过张掖税务微信公众号公布投诉回应受理渠道和举报电话。</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color w:val="4472C4"/>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目前，国家税务总局张掖市税务局的公平竞争审查制度、审查流程和审查人员配置均已完善。</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outlineLvl w:val="0"/>
        <w:rPr>
          <w:rFonts w:hint="eastAsia" w:ascii="仿宋_GB2312" w:hAnsi="仿宋_GB2312" w:eastAsia="仿宋_GB2312" w:cs="仿宋_GB2312"/>
          <w:b/>
          <w:bCs/>
          <w:spacing w:val="0"/>
          <w:kern w:val="2"/>
          <w:position w:val="0"/>
          <w:sz w:val="32"/>
          <w:szCs w:val="32"/>
        </w:rPr>
      </w:pPr>
      <w:bookmarkStart w:id="4" w:name="_Toc9076"/>
      <w:r>
        <w:rPr>
          <w:rFonts w:hint="eastAsia" w:ascii="仿宋_GB2312" w:hAnsi="仿宋_GB2312" w:eastAsia="仿宋_GB2312" w:cs="仿宋_GB2312"/>
          <w:b/>
          <w:bCs/>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spacing w:val="0"/>
          <w:kern w:val="2"/>
          <w:position w:val="0"/>
          <w:sz w:val="32"/>
          <w:szCs w:val="32"/>
          <w:lang w:val="en-US" w:eastAsia="zh-CN" w:bidi="ar"/>
        </w:rPr>
        <w:t>根据《甘肃省市场监管局等四单位关于进一步推进落实公平竞争审查工作的通知》（甘市监发〔2020〕291号）及《张掖市公平竞争审查工作部门联席会议办公室关于开展公平竞争审查工作第三方评估的通知》（张公竞〔2022〕10号）文件要求，国家税务总局张掖市税务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9844"/>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表1公平竞争审查工作部署落实情况评分表</w:t>
      </w:r>
    </w:p>
    <w:tbl>
      <w:tblPr>
        <w:tblStyle w:val="9"/>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国家税务总局张掖市税务局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有报批文件、通知文件、审批流程文件或已建立的公平竞争审查制度、方案。</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有相关文件、资料。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根据公平竞争审查工作定期开展情况为依据进行判断（如是否形成自查报告等）。</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根据面向社会公众、企业主体介绍公平竞争审查制度情况、有组织针对性的宣传（如宣传资料、活动照片、公众号等判定）。</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根据开展公平竞争审查专题培训情况进行判断，有组织针对性的学习和培训（如培训照片、签到表、会议记录等资料）。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政策措施审查清理情况（40分）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以被评估单位审查记录为准，未形成书面审查结论出台政策措施的，视为未进行公平竞争审查。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是否形成书面审查报告（5分）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对妨碍公平竞争的政策措施已全部进行整改、废止的得满分。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82</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7" w:name="_Toc28616"/>
      <w:r>
        <w:rPr>
          <w:rFonts w:hint="eastAsia" w:ascii="楷体_GB2312" w:hAnsi="楷体_GB2312" w:eastAsia="楷体_GB2312" w:cs="楷体_GB2312"/>
          <w:color w:val="000000"/>
          <w:spacing w:val="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按照《张掖市公平竞争审查工作第三方评估执行手册》中评估指标量化打分，国家税务总局张掖市税务局在政策措施评估方面具体得分如表2所示：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表2政策措施评估结果统计表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表3政策措施评估标准及计算方法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（0%，10%）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（10%，20%）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仿宋_GB2312" w:hAnsi="仿宋_GB2312" w:eastAsia="仿宋_GB2312" w:cs="仿宋_GB2312"/>
          <w:color w:val="000000"/>
          <w:spacing w:val="0"/>
          <w:kern w:val="0"/>
          <w:position w:val="0"/>
          <w:sz w:val="32"/>
          <w:szCs w:val="32"/>
        </w:rPr>
      </w:pPr>
      <w:bookmarkStart w:id="8" w:name="_Toc27842"/>
      <w:r>
        <w:rPr>
          <w:rFonts w:hint="eastAsia" w:ascii="楷体_GB2312" w:hAnsi="楷体_GB2312" w:eastAsia="楷体_GB2312" w:cs="楷体_GB2312"/>
          <w:color w:val="000000"/>
          <w:spacing w:val="0"/>
          <w:kern w:val="0"/>
          <w:position w:val="0"/>
          <w:sz w:val="32"/>
          <w:szCs w:val="32"/>
          <w:lang w:val="en-US" w:eastAsia="zh-CN" w:bidi="ar-SA"/>
        </w:rPr>
        <w:t>（三）</w:t>
      </w:r>
      <w:r>
        <w:rPr>
          <w:rFonts w:hint="eastAsia" w:ascii="楷体_GB2312" w:hAnsi="楷体_GB2312" w:eastAsia="楷体_GB2312" w:cs="楷体_GB2312"/>
          <w:color w:val="000000"/>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000000"/>
          <w:spacing w:val="0"/>
          <w:kern w:val="0"/>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国家税务总局张掖市税务局在公平竞争审查工作第三方评估项目中积极配合，及时移交评估所需文件及佐证材料，沟通顺畅，确保了公平竞争审查第三方评估工作顺利开展，按照《张掖市公平竞争审查工作第三方评估执行手册》中评估指标量化打分，国家税务总局张掖市税务局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9" w:name="_Toc15139"/>
      <w:r>
        <w:rPr>
          <w:rFonts w:hint="eastAsia" w:ascii="楷体_GB2312" w:hAnsi="楷体_GB2312" w:eastAsia="楷体_GB2312" w:cs="楷体_GB2312"/>
          <w:color w:val="000000"/>
          <w:spacing w:val="0"/>
          <w:kern w:val="0"/>
          <w:position w:val="0"/>
          <w:sz w:val="32"/>
          <w:szCs w:val="32"/>
          <w:lang w:val="en-US" w:eastAsia="zh-CN" w:bidi="ar-SA"/>
        </w:rPr>
        <w:t>（四）</w:t>
      </w:r>
      <w:r>
        <w:rPr>
          <w:rFonts w:hint="eastAsia" w:ascii="楷体_GB2312" w:hAnsi="楷体_GB2312" w:eastAsia="楷体_GB2312" w:cs="楷体_GB2312"/>
          <w:color w:val="000000"/>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000000"/>
          <w:spacing w:val="0"/>
          <w:kern w:val="0"/>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根据最终得分</w:t>
      </w:r>
      <w:r>
        <w:rPr>
          <w:rFonts w:hint="eastAsia" w:ascii="仿宋" w:hAnsi="仿宋" w:eastAsia="仿宋" w:cs="仿宋"/>
          <w:color w:val="000000"/>
          <w:spacing w:val="0"/>
          <w:kern w:val="0"/>
          <w:position w:val="0"/>
          <w:sz w:val="32"/>
          <w:szCs w:val="32"/>
          <w:lang w:val="en-US" w:eastAsia="zh-CN" w:bidi="ar"/>
        </w:rPr>
        <w:t>=</w:t>
      </w:r>
      <w:r>
        <w:rPr>
          <w:rFonts w:hint="eastAsia" w:ascii="仿宋_GB2312" w:hAnsi="仿宋_GB2312" w:eastAsia="仿宋_GB2312" w:cs="仿宋_GB2312"/>
          <w:color w:val="000000"/>
          <w:spacing w:val="0"/>
          <w:kern w:val="0"/>
          <w:position w:val="0"/>
          <w:sz w:val="32"/>
          <w:szCs w:val="32"/>
          <w:lang w:val="en-US" w:eastAsia="zh-CN" w:bidi="ar"/>
        </w:rPr>
        <w:t>工作部署落实情况评估得分×50%＋政策措施评估得分×40%＋工作配合情况得分×10%的计算公式，国家税务总局张掖市税务局最终得分如表4所示：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表4国家税务总局张掖市税务局第三方评估最终得分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4"/>
        <w:gridCol w:w="3057"/>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被评估单位</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国家税务总局张掖市税务局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5"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公平竞争审查工作部署落实情况评估得分</w:t>
            </w:r>
          </w:p>
        </w:tc>
        <w:tc>
          <w:tcPr>
            <w:tcW w:w="3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措施评估得分</w:t>
            </w:r>
          </w:p>
        </w:tc>
        <w:tc>
          <w:tcPr>
            <w:tcW w:w="3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82</w:t>
            </w:r>
          </w:p>
        </w:tc>
        <w:tc>
          <w:tcPr>
            <w:tcW w:w="3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3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总分计算过程</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82×50%＋100×40%＋100×10%=91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1"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91</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outlineLvl w:val="0"/>
        <w:rPr>
          <w:rFonts w:hint="eastAsia" w:ascii="仿宋_GB2312" w:hAnsi="仿宋_GB2312" w:eastAsia="仿宋_GB2312" w:cs="仿宋_GB2312"/>
          <w:b/>
          <w:bCs/>
          <w:spacing w:val="0"/>
          <w:kern w:val="2"/>
          <w:position w:val="0"/>
          <w:sz w:val="32"/>
          <w:szCs w:val="32"/>
        </w:rPr>
      </w:pPr>
      <w:bookmarkStart w:id="10" w:name="_Toc20360"/>
      <w:r>
        <w:rPr>
          <w:rFonts w:hint="eastAsia" w:ascii="仿宋_GB2312" w:hAnsi="仿宋_GB2312" w:eastAsia="仿宋_GB2312" w:cs="仿宋_GB2312"/>
          <w:b/>
          <w:bCs/>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仿宋_GB2312" w:hAnsi="仿宋_GB2312" w:eastAsia="仿宋_GB2312" w:cs="仿宋_GB2312"/>
          <w:bCs w:val="0"/>
          <w:spacing w:val="0"/>
          <w:kern w:val="2"/>
          <w:position w:val="0"/>
          <w:sz w:val="32"/>
          <w:szCs w:val="32"/>
        </w:rPr>
      </w:pPr>
      <w:bookmarkStart w:id="11" w:name="_Toc25966"/>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未经过公平竞争审查程序就出台的涉及市场主体经营行为的政策措施文件一定程度上存在妨碍统一市场建设与公平竞争的风险，因此应当从审查机制建设入手，确保公平竞争审查机制运行顺畅。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一是坚持“谁起草、谁审查、谁担责”的原则</w:t>
      </w:r>
      <w:r>
        <w:rPr>
          <w:rFonts w:hint="eastAsia" w:ascii="仿宋_GB2312" w:hAnsi="仿宋_GB2312" w:eastAsia="仿宋_GB2312" w:cs="仿宋_GB2312"/>
          <w:bCs w:val="0"/>
          <w:spacing w:val="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初审，将初审结果报政策法规部门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二是确保应纳入公平竞争审查的政策措施均进行公平竞争审查程序</w:t>
      </w:r>
      <w:r>
        <w:rPr>
          <w:rFonts w:hint="eastAsia" w:ascii="仿宋_GB2312" w:hAnsi="仿宋_GB2312" w:eastAsia="仿宋_GB2312" w:cs="仿宋_GB2312"/>
          <w:bCs w:val="0"/>
          <w:spacing w:val="0"/>
          <w:kern w:val="2"/>
          <w:position w:val="0"/>
          <w:sz w:val="32"/>
          <w:szCs w:val="32"/>
          <w:lang w:val="en-US" w:eastAsia="zh-CN" w:bidi="ar"/>
        </w:rPr>
        <w:t>，各政策措施制定科室进行公平竞争审查，可以咨询专家学者、法律顾问、专业机构的意见，加强各业务科室同法制科的沟通协调，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三是健全审查保障机制</w:t>
      </w:r>
      <w:r>
        <w:rPr>
          <w:rFonts w:hint="eastAsia" w:ascii="仿宋_GB2312" w:hAnsi="仿宋_GB2312" w:eastAsia="仿宋_GB2312" w:cs="仿宋_GB2312"/>
          <w:bCs w:val="0"/>
          <w:spacing w:val="0"/>
          <w:kern w:val="2"/>
          <w:position w:val="0"/>
          <w:sz w:val="32"/>
          <w:szCs w:val="32"/>
          <w:lang w:val="en-US" w:eastAsia="zh-CN" w:bidi="ar"/>
        </w:rPr>
        <w:t>，政策法规部门定期检查各业务科室报送公平竞争审查文件是否全面，对应纳入公平竞争审查而未进行的，要及时补充审查，如有违反公平竞争审查标准的，应及时修改或予以废止。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2" w:name="_Toc30059"/>
      <w:r>
        <w:rPr>
          <w:rFonts w:hint="eastAsia" w:ascii="楷体_GB2312" w:hAnsi="楷体_GB2312" w:eastAsia="楷体_GB2312" w:cs="楷体_GB2312"/>
          <w:bCs w:val="0"/>
          <w:spacing w:val="0"/>
          <w:kern w:val="2"/>
          <w:position w:val="0"/>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公平竞争审查制度运行不畅、应纳入审查范围政策措施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一是加强本单位公平竞争审查机制与具体实施方案内容学习</w:t>
      </w:r>
      <w:r>
        <w:rPr>
          <w:rFonts w:hint="eastAsia" w:ascii="仿宋_GB2312" w:hAnsi="仿宋_GB2312" w:eastAsia="仿宋_GB2312" w:cs="仿宋_GB2312"/>
          <w:bCs w:val="0"/>
          <w:spacing w:val="0"/>
          <w:kern w:val="2"/>
          <w:position w:val="0"/>
          <w:sz w:val="32"/>
          <w:szCs w:val="32"/>
          <w:lang w:val="en-US" w:eastAsia="zh-CN" w:bidi="ar"/>
        </w:rPr>
        <w:t>，规范公平竞争审查流程，确保政策制定人员对公平竞争审查流程有深刻认识,相关的培训不仅要覆盖到政策法规部门工作人员，各职能科室也要重点学习，确保本科室文件能够按照公平竞争审查机制进行审查。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二是通过案例教育加深对公平竞争审查内容的理解</w:t>
      </w:r>
      <w:r>
        <w:rPr>
          <w:rFonts w:hint="eastAsia" w:ascii="仿宋_GB2312" w:hAnsi="仿宋_GB2312" w:eastAsia="仿宋_GB2312" w:cs="仿宋_GB2312"/>
          <w:bCs w:val="0"/>
          <w:spacing w:val="0"/>
          <w:kern w:val="2"/>
          <w:position w:val="0"/>
          <w:sz w:val="32"/>
          <w:szCs w:val="32"/>
          <w:lang w:val="en-US" w:eastAsia="zh-CN" w:bidi="ar"/>
        </w:rPr>
        <w:t>，学习本单位已发现的违反公平竞争审查标准案例，以及全省</w:t>
      </w:r>
      <w:r>
        <w:rPr>
          <w:rFonts w:hint="eastAsia"/>
          <w:lang w:eastAsia="zh-CN"/>
        </w:rPr>
        <w:t>、</w:t>
      </w:r>
      <w:r>
        <w:rPr>
          <w:rFonts w:hint="eastAsia" w:ascii="仿宋_GB2312" w:hAnsi="仿宋_GB2312" w:eastAsia="仿宋_GB2312" w:cs="仿宋_GB2312"/>
          <w:bCs w:val="0"/>
          <w:spacing w:val="0"/>
          <w:kern w:val="2"/>
          <w:position w:val="0"/>
          <w:sz w:val="32"/>
          <w:szCs w:val="32"/>
          <w:lang w:val="en-US" w:eastAsia="zh-CN" w:bidi="ar"/>
        </w:rPr>
        <w:t>全市</w:t>
      </w:r>
      <w:r>
        <w:rPr>
          <w:rFonts w:hint="eastAsia" w:ascii="仿宋_GB2312" w:hAnsi="仿宋_GB2312" w:eastAsia="仿宋_GB2312" w:cs="仿宋_GB2312"/>
          <w:bCs w:val="0"/>
          <w:spacing w:val="0"/>
          <w:kern w:val="2"/>
          <w:position w:val="0"/>
          <w:sz w:val="32"/>
          <w:szCs w:val="32"/>
          <w:lang w:val="en-US" w:eastAsia="zh-CN" w:bidi="ar"/>
        </w:rPr>
        <w:t>典型案例，深刻理解公平竞争审查标准，对政策措施制定职能科室要求在政策措施制定过程中，尽可能避免出台违反公平竞争审查标准的政策措施,对于政策法规部门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3" w:name="_Toc12185"/>
      <w:r>
        <w:rPr>
          <w:rFonts w:hint="eastAsia" w:ascii="楷体_GB2312" w:hAnsi="楷体_GB2312" w:eastAsia="楷体_GB2312" w:cs="楷体_GB2312"/>
          <w:bCs w:val="0"/>
          <w:spacing w:val="0"/>
          <w:kern w:val="2"/>
          <w:position w:val="0"/>
          <w:sz w:val="32"/>
          <w:szCs w:val="32"/>
          <w:lang w:val="en-US" w:eastAsia="zh-CN" w:bidi="ar"/>
        </w:rPr>
        <w:t>（三）聘请第三方进行审查，增强审查专业性</w:t>
      </w:r>
      <w:bookmarkEnd w:id="1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目前，公平竞争审查工作主要采取先由政策措施起草科室自查，再提政策法规部门</w:t>
      </w:r>
      <w:r>
        <w:rPr>
          <w:rFonts w:hint="eastAsia" w:ascii="仿宋_GB2312" w:hAnsi="仿宋_GB2312" w:eastAsia="仿宋_GB2312" w:cs="仿宋_GB2312"/>
          <w:bCs w:val="0"/>
          <w:color w:val="000000"/>
          <w:spacing w:val="0"/>
          <w:kern w:val="2"/>
          <w:position w:val="0"/>
          <w:sz w:val="32"/>
          <w:szCs w:val="32"/>
          <w:highlight w:val="none"/>
          <w:lang w:val="en-US" w:eastAsia="zh-CN" w:bidi="ar"/>
        </w:rPr>
        <w:t>复查</w:t>
      </w:r>
      <w:r>
        <w:rPr>
          <w:rFonts w:hint="eastAsia" w:ascii="仿宋_GB2312" w:hAnsi="仿宋_GB2312" w:eastAsia="仿宋_GB2312" w:cs="仿宋_GB2312"/>
          <w:bCs w:val="0"/>
          <w:spacing w:val="0"/>
          <w:kern w:val="2"/>
          <w:position w:val="0"/>
          <w:sz w:val="32"/>
          <w:szCs w:val="32"/>
          <w:highlight w:val="none"/>
          <w:lang w:val="en-US" w:eastAsia="zh-CN" w:bidi="ar"/>
        </w:rPr>
        <w:t>的形式,</w:t>
      </w:r>
      <w:r>
        <w:rPr>
          <w:rFonts w:hint="eastAsia" w:ascii="仿宋_GB2312" w:hAnsi="仿宋_GB2312" w:eastAsia="仿宋_GB2312" w:cs="仿宋_GB2312"/>
          <w:bCs w:val="0"/>
          <w:spacing w:val="0"/>
          <w:kern w:val="2"/>
          <w:position w:val="0"/>
          <w:sz w:val="32"/>
          <w:szCs w:val="32"/>
          <w:lang w:val="en-US" w:eastAsia="zh-CN" w:bidi="ar"/>
        </w:rPr>
        <w:t>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4" w:name="_Toc25869"/>
      <w:r>
        <w:rPr>
          <w:rFonts w:hint="eastAsia" w:ascii="楷体_GB2312" w:hAnsi="楷体_GB2312" w:eastAsia="楷体_GB2312" w:cs="楷体_GB2312"/>
          <w:bCs w:val="0"/>
          <w:spacing w:val="0"/>
          <w:kern w:val="2"/>
          <w:position w:val="0"/>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投诉举报回应机制的建立有助于充分发挥公平竞争审查工作中社会监督的作用,是提高公平竞争审查政策透明度的有效途径，国家税务总局张掖市税务局可以通过投诉举报“一站式”受理与处理机制，能够及时回应群众关切，发现和纠正政策措施中出现排除和限制竞争的问题。</w:t>
      </w: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eastAsia" w:ascii="仿宋_GB2312" w:hAnsi="仿宋_GB2312" w:eastAsia="仿宋_GB2312" w:cs="仿宋_GB2312"/>
          <w:spacing w:val="0"/>
          <w:position w:val="0"/>
        </w:rPr>
      </w:pP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eastAsia" w:ascii="仿宋_GB2312" w:hAnsi="仿宋_GB2312" w:eastAsia="仿宋_GB2312" w:cs="仿宋_GB2312"/>
          <w:spacing w:val="0"/>
          <w:position w:val="0"/>
        </w:rPr>
      </w:pPr>
    </w:p>
    <w:p>
      <w:pPr>
        <w:ind w:firstLine="315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仿宋_GB2312" w:eastAsia="仿宋_GB2312" w:cs="仿宋_GB2312"/>
          <w:spacing w:val="0"/>
          <w:position w:val="0"/>
          <w:lang w:val="en-US" w:eastAsia="zh-CN"/>
        </w:rPr>
        <w:t xml:space="preserve">               </w:t>
      </w:r>
      <w:r>
        <w:rPr>
          <w:rFonts w:hint="eastAsia" w:ascii="仿宋_GB2312" w:hAnsi="仿宋_GB2312" w:eastAsia="仿宋_GB2312" w:cs="仿宋_GB2312"/>
          <w:color w:val="auto"/>
          <w:spacing w:val="0"/>
          <w:position w:val="0"/>
          <w:lang w:val="en-US" w:eastAsia="zh-CN"/>
        </w:rPr>
        <w:t xml:space="preserve"> </w:t>
      </w: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default" w:ascii="仿宋_GB2312" w:hAnsi="仿宋_GB2312" w:eastAsia="仿宋_GB2312" w:cs="仿宋_GB2312"/>
          <w:spacing w:val="0"/>
          <w:position w:val="0"/>
          <w:lang w:val="en-US" w:eastAsia="zh-CN"/>
        </w:rPr>
      </w:pPr>
    </w:p>
    <w:sectPr>
      <w:footerReference r:id="rId3" w:type="default"/>
      <w:pgSz w:w="11906" w:h="16838"/>
      <w:pgMar w:top="2098" w:right="1474" w:bottom="1984" w:left="1587" w:header="851" w:footer="1417"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黑简体">
    <w:panose1 w:val="02010601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彩云简体">
    <w:panose1 w:val="02010601030101010101"/>
    <w:charset w:val="86"/>
    <w:family w:val="auto"/>
    <w:pitch w:val="default"/>
    <w:sig w:usb0="00000001" w:usb1="080E0000" w:usb2="00000000" w:usb3="00000000" w:csb0="00040000" w:csb1="00000000"/>
  </w:font>
  <w:font w:name="方正少儿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A006E13"/>
    <w:rsid w:val="0A2E45FB"/>
    <w:rsid w:val="0CC5414C"/>
    <w:rsid w:val="143A749A"/>
    <w:rsid w:val="155130EF"/>
    <w:rsid w:val="17334BBF"/>
    <w:rsid w:val="1E1520F9"/>
    <w:rsid w:val="1E16434C"/>
    <w:rsid w:val="1F1A358F"/>
    <w:rsid w:val="1FA43E7D"/>
    <w:rsid w:val="3A687C40"/>
    <w:rsid w:val="47017215"/>
    <w:rsid w:val="4A095B76"/>
    <w:rsid w:val="5CF4670B"/>
    <w:rsid w:val="65070DB0"/>
    <w:rsid w:val="6C2D2EED"/>
    <w:rsid w:val="6FD27C05"/>
    <w:rsid w:val="7029196A"/>
    <w:rsid w:val="71BD4ED9"/>
    <w:rsid w:val="75E25237"/>
    <w:rsid w:val="7B46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1">
    <w:name w:val="WPSOffice手动目录 1"/>
    <w:uiPriority w:val="0"/>
    <w:pPr>
      <w:ind w:leftChars="0"/>
    </w:pPr>
    <w:rPr>
      <w:sz w:val="20"/>
      <w:szCs w:val="20"/>
    </w:rPr>
  </w:style>
  <w:style w:type="paragraph" w:customStyle="1" w:styleId="12">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4528</Words>
  <Characters>4628</Characters>
  <Lines>0</Lines>
  <Paragraphs>0</Paragraphs>
  <TotalTime>0</TotalTime>
  <ScaleCrop>false</ScaleCrop>
  <LinksUpToDate>false</LinksUpToDate>
  <CharactersWithSpaces>4886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2023-03-23T04:01:00Z</dcterms:created>
  <dc:creator>笑笑妈</dc:creator>
  <cp:lastModifiedBy>盛斐</cp:lastModifiedBy>
  <dcterms:modified xsi:type="dcterms:W3CDTF">2023-06-23T10:20:38Z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5CF9E2B45AF4480798B7917B16E7A0DD</vt:lpwstr>
  </property>
</Properties>
</file>