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66334"/>
        <w15:color w:val="DBDBDB"/>
        <w:docPartObj>
          <w:docPartGallery w:val="Table of Contents"/>
          <w:docPartUnique/>
        </w:docPartObj>
      </w:sdtPr>
      <w:sdtEndPr>
        <w:rPr>
          <w:rFonts w:hint="eastAsia" w:ascii="黑体" w:hAnsi="黑体" w:eastAsia="黑体" w:cs="黑体"/>
          <w:b/>
          <w:bCs/>
          <w:color w:val="auto"/>
          <w:spacing w:val="0"/>
          <w:kern w:val="2"/>
          <w:position w:val="0"/>
          <w:sz w:val="21"/>
          <w:szCs w:val="32"/>
          <w:lang w:val="en-US" w:eastAsia="zh-CN" w:bidi="ar"/>
        </w:rPr>
      </w:sdtEndPr>
      <w:sdtContent>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7"/>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_Toc8058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_Toc8058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_Toc13857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lang w:val="en-US" w:eastAsia="zh-CN"/>
            </w:rPr>
            <w:t>一</w:t>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rPr>
            <w:t>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_Toc13857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_Toc10971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lang w:val="en-US" w:eastAsia="zh-CN"/>
            </w:rPr>
            <w:t>二</w:t>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rPr>
            <w:t>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_Toc10971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_Toc23886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lang w:val="en-US" w:eastAsia="zh-CN"/>
            </w:rPr>
            <w:t>三</w:t>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rPr>
            <w:t>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_Toc23886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_Toc9213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二、评估发现的问题</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_Toc9213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_Toc17932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rPr>
            <w:t>一</w:t>
          </w:r>
          <w:r>
            <w:rPr>
              <w:rFonts w:hint="eastAsia" w:ascii="仿宋_GB2312" w:hAnsi="仿宋_GB2312" w:eastAsia="仿宋_GB2312" w:cs="仿宋_GB2312"/>
              <w:bCs w:val="0"/>
              <w:spacing w:val="0"/>
              <w:w w:val="100"/>
              <w:position w:val="0"/>
              <w:sz w:val="32"/>
              <w:szCs w:val="32"/>
              <w:lang w:eastAsia="zh-CN"/>
            </w:rPr>
            <w:t>）</w:t>
          </w:r>
          <w:r>
            <w:rPr>
              <w:rFonts w:hint="eastAsia" w:ascii="仿宋_GB2312" w:hAnsi="仿宋_GB2312" w:eastAsia="仿宋_GB2312" w:cs="仿宋_GB2312"/>
              <w:bCs w:val="0"/>
              <w:spacing w:val="0"/>
              <w:w w:val="100"/>
              <w:position w:val="0"/>
              <w:sz w:val="32"/>
              <w:szCs w:val="32"/>
            </w:rPr>
            <w:t>审查过程不够规范</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_Toc3319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eastAsia="zh-CN"/>
            </w:rPr>
            <w:t>（二）工作</w:t>
          </w:r>
          <w:r>
            <w:rPr>
              <w:rFonts w:hint="eastAsia" w:ascii="仿宋_GB2312" w:hAnsi="仿宋_GB2312" w:eastAsia="仿宋_GB2312" w:cs="仿宋_GB2312"/>
              <w:bCs w:val="0"/>
              <w:spacing w:val="0"/>
              <w:w w:val="100"/>
              <w:position w:val="0"/>
              <w:sz w:val="32"/>
              <w:szCs w:val="32"/>
              <w:lang w:val="en-US" w:eastAsia="zh-CN"/>
            </w:rPr>
            <w:t>部署落实不完善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_Toc3319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_Toc17052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三、评估结果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_Toc17052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_Toc3436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_Toc2291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
            </w:rPr>
            <w:t>（二）政策措施抽样评估得分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_Toc25835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
            </w:rPr>
            <w:t>（三）公平竞争审查第三方评估工作配合情况得分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_Toc32265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
            </w:rPr>
            <w:t>（四）公平竞争审查第三方评估最终得分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_Toc32265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_Toc8593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四、意见建议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_Toc8593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_Toc18563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val="en-US" w:eastAsia="zh-CN"/>
            </w:rPr>
            <w:t>（一）加强内部培训，增强审查意识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_Toc18563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_Toc17534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val="en-US" w:eastAsia="zh-CN"/>
            </w:rPr>
            <w:t>（二）聘请第三方进行审查，增强审查专业性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_Toc17534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_Toc19916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position w:val="0"/>
              <w:sz w:val="32"/>
              <w:szCs w:val="32"/>
              <w:lang w:val="en-US" w:eastAsia="zh-CN"/>
            </w:rPr>
            <w:t>（三）利用好公平竞争审查投诉举报回应机制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_Toc19916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_Toc2834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附件一：市生态环境局提供文件目录</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_Toc2834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_Toc2843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附件二：市生态环境局政策措施评估表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_Toc2843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11</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643" w:firstLineChars="200"/>
            <w:jc w:val="both"/>
            <w:textAlignment w:val="auto"/>
            <w:outlineLvl w:val="9"/>
            <w:rPr>
              <w:rFonts w:hint="eastAsia"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
              <w:bCs/>
              <w:color w:val="auto"/>
              <w:spacing w:val="0"/>
              <w:kern w:val="2"/>
              <w:position w:val="0"/>
              <w:sz w:val="32"/>
              <w:szCs w:val="32"/>
              <w:lang w:val="en-US" w:eastAsia="zh-CN" w:bidi="ar"/>
            </w:rPr>
            <w:fldChar w:fldCharType="end"/>
          </w:r>
        </w:p>
      </w:sdtContent>
    </w:sdt>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sectPr>
          <w:pgSz w:w="11906" w:h="16839"/>
          <w:pgMar w:top="2098" w:right="1474" w:bottom="1984" w:left="1587" w:header="850" w:footer="1417" w:gutter="0"/>
          <w:pgBorders>
            <w:top w:val="none" w:sz="0" w:space="0"/>
            <w:left w:val="none" w:sz="0" w:space="0"/>
            <w:bottom w:val="none" w:sz="0" w:space="0"/>
            <w:right w:val="none" w:sz="0" w:space="0"/>
          </w:pgBorders>
          <w:pgNumType w:fmt="decimal"/>
          <w:cols w:space="0" w:num="1"/>
          <w:rtlGutter w:val="0"/>
          <w:docGrid w:linePitch="0" w:charSpace="0"/>
        </w:sectPr>
      </w:pPr>
      <w:bookmarkStart w:id="0" w:name="_Toc8058"/>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r>
        <w:rPr>
          <w:rFonts w:hint="eastAsia"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rPr>
      </w:pPr>
      <w:r>
        <w:rPr>
          <w:rFonts w:hint="eastAsia" w:ascii="仿宋_GB2312" w:hAnsi="仿宋_GB2312" w:eastAsia="仿宋_GB2312" w:cs="仿宋_GB2312"/>
          <w:bCs w:val="0"/>
          <w:color w:val="auto"/>
          <w:spacing w:val="0"/>
          <w:w w:val="100"/>
          <w:position w:val="0"/>
          <w:sz w:val="30"/>
          <w:szCs w:val="30"/>
        </w:rPr>
        <w:t>公平竞争是市场经济的基本原则，是市场机制高效运行的重要基础。公平竞争审查制度的建立及实施，有助于规范政府相关行为，防止出台排除限制市场竞争的政策措施。当前，随着全面深化改革战略的持续推进，全国统一市场的基本形成，公平竞争环境逐步提升。但同时也要看到，地方保护、行业壁垒等不符合建设全国统一市场和公平竞争的现象仍然存在。</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rPr>
      </w:pPr>
      <w:r>
        <w:rPr>
          <w:rFonts w:hint="eastAsia" w:ascii="仿宋_GB2312" w:hAnsi="仿宋_GB2312" w:eastAsia="仿宋_GB2312" w:cs="仿宋_GB2312"/>
          <w:bCs w:val="0"/>
          <w:color w:val="auto"/>
          <w:spacing w:val="0"/>
          <w:w w:val="100"/>
          <w:position w:val="0"/>
          <w:sz w:val="30"/>
          <w:szCs w:val="30"/>
        </w:rPr>
        <w:t>为规范政府有关行为，防止出台排除、限制竞争的政策措施，逐步清理废除妨碍全国统一市场和公平竞争的规定和做法，国务院印发了《关于在市场体系建设中建立公平竞争审查制度的意见》</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国发〔2016〕34号</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下文简称《意见》</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部署建立公平竞争审查制度。</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eastAsia="zh-CN"/>
        </w:rPr>
      </w:pPr>
      <w:r>
        <w:rPr>
          <w:rFonts w:hint="eastAsia" w:ascii="仿宋_GB2312" w:hAnsi="仿宋_GB2312" w:eastAsia="仿宋_GB2312" w:cs="仿宋_GB2312"/>
          <w:bCs w:val="0"/>
          <w:color w:val="auto"/>
          <w:spacing w:val="0"/>
          <w:w w:val="100"/>
          <w:position w:val="0"/>
          <w:sz w:val="30"/>
          <w:szCs w:val="30"/>
        </w:rPr>
        <w:t>在我国公平竞争审查制度中，第三方评估被作为一项重要的机制写入基本的制度设计。202</w:t>
      </w:r>
      <w:r>
        <w:rPr>
          <w:rFonts w:hint="eastAsia" w:ascii="仿宋_GB2312" w:hAnsi="仿宋_GB2312" w:eastAsia="仿宋_GB2312" w:cs="仿宋_GB2312"/>
          <w:bCs w:val="0"/>
          <w:color w:val="auto"/>
          <w:spacing w:val="0"/>
          <w:w w:val="100"/>
          <w:position w:val="0"/>
          <w:sz w:val="30"/>
          <w:szCs w:val="30"/>
          <w:lang w:val="en-US" w:eastAsia="zh-CN"/>
        </w:rPr>
        <w:t>1年，</w:t>
      </w:r>
      <w:r>
        <w:rPr>
          <w:rFonts w:hint="eastAsia" w:ascii="仿宋_GB2312" w:hAnsi="仿宋_GB2312" w:eastAsia="仿宋_GB2312" w:cs="仿宋_GB2312"/>
          <w:bCs w:val="0"/>
          <w:color w:val="auto"/>
          <w:spacing w:val="0"/>
          <w:w w:val="100"/>
          <w:position w:val="0"/>
          <w:sz w:val="30"/>
          <w:szCs w:val="30"/>
        </w:rPr>
        <w:t>市场监管总局、国家发展改革委、财政部</w:t>
      </w:r>
      <w:bookmarkStart w:id="35" w:name="_GoBack"/>
      <w:bookmarkEnd w:id="35"/>
      <w:r>
        <w:rPr>
          <w:rFonts w:hint="eastAsia" w:ascii="仿宋_GB2312" w:hAnsi="仿宋_GB2312" w:eastAsia="仿宋_GB2312" w:cs="仿宋_GB2312"/>
          <w:bCs w:val="0"/>
          <w:color w:val="auto"/>
          <w:spacing w:val="0"/>
          <w:w w:val="100"/>
          <w:position w:val="0"/>
          <w:sz w:val="30"/>
          <w:szCs w:val="30"/>
        </w:rPr>
        <w:t>、商务部、司法部会同有关部门修订的《公平竞争审查制度实施细则》</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下文简称《实施细则》</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设立专章“第三方评估”</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对有关第三方评估问题予以明确，该《实施细则》第二十条规定：“政策制定机关可以根据工作实际，委托具备相应评估能力的高等院校、科研院所</w:t>
      </w:r>
      <w:r>
        <w:rPr>
          <w:rFonts w:hint="eastAsia" w:ascii="仿宋_GB2312" w:hAnsi="仿宋_GB2312" w:eastAsia="仿宋_GB2312" w:cs="仿宋_GB2312"/>
          <w:bCs w:val="0"/>
          <w:color w:val="auto"/>
          <w:spacing w:val="0"/>
          <w:w w:val="100"/>
          <w:position w:val="0"/>
          <w:sz w:val="30"/>
          <w:szCs w:val="30"/>
          <w:lang w:eastAsia="zh-CN"/>
        </w:rPr>
        <w:t>、专业咨询公司</w:t>
      </w:r>
      <w:r>
        <w:rPr>
          <w:rFonts w:hint="eastAsia" w:ascii="仿宋_GB2312" w:hAnsi="仿宋_GB2312" w:eastAsia="仿宋_GB2312" w:cs="仿宋_GB2312"/>
          <w:bCs w:val="0"/>
          <w:color w:val="auto"/>
          <w:spacing w:val="0"/>
          <w:w w:val="100"/>
          <w:position w:val="0"/>
          <w:sz w:val="30"/>
          <w:szCs w:val="30"/>
          <w:lang w:val="en-US" w:eastAsia="zh-CN"/>
        </w:rPr>
        <w:t>、律师事务所</w:t>
      </w:r>
      <w:r>
        <w:rPr>
          <w:rFonts w:hint="eastAsia" w:ascii="仿宋_GB2312" w:hAnsi="仿宋_GB2312" w:eastAsia="仿宋_GB2312" w:cs="仿宋_GB2312"/>
          <w:bCs w:val="0"/>
          <w:color w:val="auto"/>
          <w:spacing w:val="0"/>
          <w:w w:val="100"/>
          <w:position w:val="0"/>
          <w:sz w:val="30"/>
          <w:szCs w:val="30"/>
        </w:rPr>
        <w:t>等第三方机构，对有关政策措施进行公平竞争评估，或者对公平竞争审查有关工作进行评估。各级联席会议办公室可以委托第三方机构，对本地公平竞争审查制度总体实施情况开展评估</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rPr>
      </w:pPr>
      <w:r>
        <w:rPr>
          <w:rFonts w:hint="eastAsia" w:ascii="仿宋_GB2312" w:hAnsi="仿宋_GB2312" w:eastAsia="仿宋_GB2312" w:cs="仿宋_GB2312"/>
          <w:bCs w:val="0"/>
          <w:color w:val="auto"/>
          <w:spacing w:val="0"/>
          <w:w w:val="100"/>
          <w:position w:val="0"/>
          <w:sz w:val="30"/>
          <w:szCs w:val="30"/>
        </w:rPr>
        <w:t>2022年3月25日</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eastAsia="zh-CN"/>
        </w:rPr>
      </w:pPr>
      <w:r>
        <w:rPr>
          <w:rFonts w:hint="eastAsia" w:ascii="仿宋_GB2312" w:hAnsi="仿宋_GB2312" w:eastAsia="仿宋_GB2312" w:cs="仿宋_GB2312"/>
          <w:bCs w:val="0"/>
          <w:color w:val="auto"/>
          <w:spacing w:val="0"/>
          <w:w w:val="100"/>
          <w:position w:val="0"/>
          <w:sz w:val="30"/>
          <w:szCs w:val="30"/>
        </w:rPr>
        <w:t>为进一步提高</w:t>
      </w:r>
      <w:r>
        <w:rPr>
          <w:rFonts w:hint="eastAsia" w:ascii="仿宋_GB2312" w:hAnsi="仿宋_GB2312" w:eastAsia="仿宋_GB2312" w:cs="仿宋_GB2312"/>
          <w:bCs w:val="0"/>
          <w:color w:val="auto"/>
          <w:spacing w:val="0"/>
          <w:w w:val="100"/>
          <w:position w:val="0"/>
          <w:sz w:val="30"/>
          <w:szCs w:val="30"/>
          <w:lang w:val="en-US" w:eastAsia="zh-CN"/>
        </w:rPr>
        <w:t>张掖市</w:t>
      </w:r>
      <w:r>
        <w:rPr>
          <w:rFonts w:hint="eastAsia" w:ascii="仿宋_GB2312" w:hAnsi="仿宋_GB2312" w:eastAsia="仿宋_GB2312" w:cs="仿宋_GB2312"/>
          <w:bCs w:val="0"/>
          <w:color w:val="auto"/>
          <w:spacing w:val="0"/>
          <w:w w:val="100"/>
          <w:position w:val="0"/>
          <w:sz w:val="30"/>
          <w:szCs w:val="30"/>
        </w:rPr>
        <w:t>公平竞争审查质量，确保审查效果，推动制度深入实施，防止出台排除、限制市场公平竞争的政策措施，</w:t>
      </w:r>
      <w:r>
        <w:rPr>
          <w:rFonts w:hint="eastAsia" w:ascii="仿宋_GB2312" w:hAnsi="仿宋_GB2312" w:eastAsia="仿宋_GB2312" w:cs="仿宋_GB2312"/>
          <w:b w:val="0"/>
          <w:bCs w:val="0"/>
          <w:color w:val="auto"/>
          <w:spacing w:val="0"/>
          <w:w w:val="100"/>
          <w:kern w:val="2"/>
          <w:position w:val="0"/>
          <w:sz w:val="30"/>
          <w:szCs w:val="30"/>
          <w:lang w:val="en-US" w:eastAsia="zh-CN" w:bidi="ar"/>
        </w:rPr>
        <w:t>张掖市公平竞争审查工作部门联席会议办公室经过询价，遴选甘肃金彤律师事务所对张掖市22个市直部门单位、6个县区和张掖市经济技术开发区的公平竞争审查制度实施情况进行综合</w:t>
      </w:r>
      <w:r>
        <w:rPr>
          <w:rFonts w:hint="eastAsia" w:ascii="仿宋_GB2312" w:hAnsi="仿宋_GB2312" w:eastAsia="仿宋_GB2312" w:cs="仿宋_GB2312"/>
          <w:bCs w:val="0"/>
          <w:color w:val="auto"/>
          <w:spacing w:val="0"/>
          <w:w w:val="100"/>
          <w:position w:val="0"/>
          <w:sz w:val="30"/>
          <w:szCs w:val="30"/>
        </w:rPr>
        <w:t>评估</w:t>
      </w:r>
      <w:r>
        <w:rPr>
          <w:rFonts w:hint="eastAsia" w:ascii="仿宋_GB2312" w:hAnsi="仿宋_GB2312" w:eastAsia="仿宋_GB2312" w:cs="仿宋_GB2312"/>
          <w:bCs w:val="0"/>
          <w:color w:val="auto"/>
          <w:spacing w:val="0"/>
          <w:w w:val="100"/>
          <w:position w:val="0"/>
          <w:sz w:val="30"/>
          <w:szCs w:val="30"/>
          <w:lang w:eastAsia="zh-CN"/>
        </w:rPr>
        <w:t>。</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rPr>
      </w:pPr>
      <w:r>
        <w:rPr>
          <w:rFonts w:hint="eastAsia" w:ascii="仿宋_GB2312" w:hAnsi="仿宋_GB2312" w:eastAsia="仿宋_GB2312" w:cs="仿宋_GB2312"/>
          <w:b w:val="0"/>
          <w:bCs/>
          <w:color w:val="auto"/>
          <w:spacing w:val="0"/>
          <w:w w:val="100"/>
          <w:kern w:val="2"/>
          <w:position w:val="0"/>
          <w:sz w:val="30"/>
          <w:szCs w:val="30"/>
          <w:lang w:val="en-US" w:eastAsia="zh-CN" w:bidi="ar"/>
        </w:rPr>
        <w:t>评估机构审查了张掖市生态环境局提供的2021-2022年度政策措施、填写调查表以及各项补充材料和佐证材料，并进行了现场查阅，</w:t>
      </w:r>
      <w:r>
        <w:rPr>
          <w:rFonts w:hint="eastAsia" w:ascii="仿宋_GB2312" w:hAnsi="仿宋_GB2312" w:eastAsia="仿宋_GB2312" w:cs="仿宋_GB2312"/>
          <w:bCs w:val="0"/>
          <w:color w:val="auto"/>
          <w:spacing w:val="0"/>
          <w:w w:val="100"/>
          <w:position w:val="0"/>
          <w:sz w:val="30"/>
          <w:szCs w:val="30"/>
        </w:rPr>
        <w:t>系统总结</w:t>
      </w:r>
      <w:r>
        <w:rPr>
          <w:rFonts w:hint="eastAsia" w:ascii="仿宋_GB2312" w:hAnsi="仿宋_GB2312" w:eastAsia="仿宋_GB2312" w:cs="仿宋_GB2312"/>
          <w:bCs w:val="0"/>
          <w:color w:val="auto"/>
          <w:spacing w:val="0"/>
          <w:w w:val="100"/>
          <w:position w:val="0"/>
          <w:sz w:val="30"/>
          <w:szCs w:val="30"/>
          <w:lang w:val="en-US" w:eastAsia="zh-CN"/>
        </w:rPr>
        <w:t>了</w:t>
      </w:r>
      <w:r>
        <w:rPr>
          <w:rFonts w:hint="eastAsia" w:ascii="仿宋_GB2312" w:hAnsi="仿宋_GB2312" w:eastAsia="仿宋_GB2312" w:cs="仿宋_GB2312"/>
          <w:bCs w:val="0"/>
          <w:color w:val="auto"/>
          <w:spacing w:val="0"/>
          <w:w w:val="100"/>
          <w:position w:val="0"/>
          <w:sz w:val="30"/>
          <w:szCs w:val="30"/>
          <w:lang w:eastAsia="zh-CN"/>
        </w:rPr>
        <w:t>张掖</w:t>
      </w:r>
      <w:r>
        <w:rPr>
          <w:rFonts w:hint="eastAsia" w:ascii="仿宋_GB2312" w:hAnsi="仿宋_GB2312" w:eastAsia="仿宋_GB2312" w:cs="仿宋_GB2312"/>
          <w:bCs w:val="0"/>
          <w:color w:val="auto"/>
          <w:spacing w:val="0"/>
          <w:w w:val="100"/>
          <w:position w:val="0"/>
          <w:sz w:val="30"/>
          <w:szCs w:val="30"/>
          <w:lang w:val="en-US" w:eastAsia="zh-CN"/>
        </w:rPr>
        <w:t>市生态环境局</w:t>
      </w:r>
      <w:r>
        <w:rPr>
          <w:rFonts w:hint="eastAsia" w:ascii="仿宋_GB2312" w:hAnsi="仿宋_GB2312" w:eastAsia="仿宋_GB2312" w:cs="仿宋_GB2312"/>
          <w:bCs w:val="0"/>
          <w:color w:val="auto"/>
          <w:spacing w:val="0"/>
          <w:w w:val="100"/>
          <w:position w:val="0"/>
          <w:sz w:val="30"/>
          <w:szCs w:val="30"/>
        </w:rPr>
        <w:t>落实公平竞争审查制度、论证公平竞争制度的环境成效，梳理分析可能存在的问题和原因，提出进一步完善的意见建议。评估总体情况如下：</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楷体_GB2312" w:hAnsi="楷体_GB2312" w:eastAsia="楷体_GB2312" w:cs="楷体_GB2312"/>
          <w:bCs w:val="0"/>
          <w:color w:val="auto"/>
          <w:spacing w:val="0"/>
          <w:w w:val="100"/>
          <w:position w:val="0"/>
          <w:sz w:val="30"/>
          <w:szCs w:val="30"/>
        </w:rPr>
      </w:pPr>
      <w:bookmarkStart w:id="1" w:name="_Toc13857"/>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lang w:val="en-US" w:eastAsia="zh-CN"/>
        </w:rPr>
        <w:t>一</w:t>
      </w:r>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rPr>
        <w:t>政策措施评估情况</w:t>
      </w:r>
      <w:bookmarkEnd w:id="1"/>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highlight w:val="yellow"/>
          <w:lang w:eastAsia="zh-CN"/>
        </w:rPr>
      </w:pPr>
      <w:r>
        <w:rPr>
          <w:rFonts w:hint="eastAsia" w:ascii="仿宋_GB2312" w:hAnsi="仿宋_GB2312" w:eastAsia="仿宋_GB2312" w:cs="仿宋_GB2312"/>
          <w:bCs w:val="0"/>
          <w:color w:val="auto"/>
          <w:spacing w:val="0"/>
          <w:w w:val="100"/>
          <w:position w:val="0"/>
          <w:sz w:val="30"/>
          <w:szCs w:val="30"/>
          <w:lang w:val="en-US" w:eastAsia="zh-CN"/>
        </w:rPr>
        <w:t>张掖市生态环境局共提供13</w:t>
      </w:r>
      <w:r>
        <w:rPr>
          <w:rFonts w:hint="eastAsia" w:ascii="仿宋_GB2312" w:hAnsi="仿宋_GB2312" w:eastAsia="仿宋_GB2312" w:cs="仿宋_GB2312"/>
          <w:bCs w:val="0"/>
          <w:color w:val="auto"/>
          <w:spacing w:val="0"/>
          <w:w w:val="100"/>
          <w:position w:val="0"/>
          <w:sz w:val="30"/>
          <w:szCs w:val="30"/>
        </w:rPr>
        <w:t>份由其起草</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制定的涉及市场主体经济活动的政策措施，其中包括202</w:t>
      </w:r>
      <w:r>
        <w:rPr>
          <w:rFonts w:hint="eastAsia" w:ascii="仿宋_GB2312" w:hAnsi="仿宋_GB2312" w:eastAsia="仿宋_GB2312" w:cs="仿宋_GB2312"/>
          <w:bCs w:val="0"/>
          <w:color w:val="auto"/>
          <w:spacing w:val="0"/>
          <w:w w:val="100"/>
          <w:position w:val="0"/>
          <w:sz w:val="30"/>
          <w:szCs w:val="30"/>
          <w:lang w:val="en-US" w:eastAsia="zh-CN"/>
        </w:rPr>
        <w:t>1</w:t>
      </w:r>
      <w:r>
        <w:rPr>
          <w:rFonts w:hint="eastAsia" w:ascii="仿宋_GB2312" w:hAnsi="仿宋_GB2312" w:eastAsia="仿宋_GB2312" w:cs="仿宋_GB2312"/>
          <w:bCs w:val="0"/>
          <w:color w:val="auto"/>
          <w:spacing w:val="0"/>
          <w:w w:val="100"/>
          <w:position w:val="0"/>
          <w:sz w:val="30"/>
          <w:szCs w:val="30"/>
        </w:rPr>
        <w:t>年</w:t>
      </w:r>
      <w:r>
        <w:rPr>
          <w:rFonts w:hint="eastAsia" w:ascii="仿宋_GB2312" w:hAnsi="仿宋_GB2312" w:eastAsia="仿宋_GB2312" w:cs="仿宋_GB2312"/>
          <w:bCs w:val="0"/>
          <w:color w:val="auto"/>
          <w:spacing w:val="0"/>
          <w:w w:val="100"/>
          <w:position w:val="0"/>
          <w:sz w:val="30"/>
          <w:szCs w:val="30"/>
          <w:lang w:val="en-US" w:eastAsia="zh-CN"/>
        </w:rPr>
        <w:t>之前出台</w:t>
      </w:r>
      <w:r>
        <w:rPr>
          <w:rFonts w:hint="eastAsia" w:ascii="仿宋_GB2312" w:hAnsi="仿宋_GB2312" w:eastAsia="仿宋_GB2312" w:cs="仿宋_GB2312"/>
          <w:bCs w:val="0"/>
          <w:color w:val="auto"/>
          <w:spacing w:val="0"/>
          <w:w w:val="100"/>
          <w:position w:val="0"/>
          <w:sz w:val="30"/>
          <w:szCs w:val="30"/>
        </w:rPr>
        <w:t>的</w:t>
      </w:r>
      <w:r>
        <w:rPr>
          <w:rFonts w:hint="eastAsia" w:ascii="仿宋_GB2312" w:hAnsi="仿宋_GB2312" w:eastAsia="仿宋_GB2312" w:cs="仿宋_GB2312"/>
          <w:bCs w:val="0"/>
          <w:color w:val="auto"/>
          <w:spacing w:val="0"/>
          <w:w w:val="100"/>
          <w:position w:val="0"/>
          <w:sz w:val="30"/>
          <w:szCs w:val="30"/>
          <w:lang w:val="en-US" w:eastAsia="zh-CN"/>
        </w:rPr>
        <w:t>存</w:t>
      </w:r>
      <w:r>
        <w:rPr>
          <w:rFonts w:hint="eastAsia" w:ascii="仿宋_GB2312" w:hAnsi="仿宋_GB2312" w:eastAsia="仿宋_GB2312" w:cs="仿宋_GB2312"/>
          <w:bCs w:val="0"/>
          <w:color w:val="auto"/>
          <w:spacing w:val="0"/>
          <w:w w:val="100"/>
          <w:position w:val="0"/>
          <w:sz w:val="30"/>
          <w:szCs w:val="30"/>
        </w:rPr>
        <w:t>量</w:t>
      </w:r>
      <w:r>
        <w:rPr>
          <w:rFonts w:hint="eastAsia" w:ascii="仿宋_GB2312" w:hAnsi="仿宋_GB2312" w:eastAsia="仿宋_GB2312" w:cs="仿宋_GB2312"/>
          <w:bCs w:val="0"/>
          <w:color w:val="auto"/>
          <w:spacing w:val="0"/>
          <w:w w:val="100"/>
          <w:position w:val="0"/>
          <w:sz w:val="30"/>
          <w:szCs w:val="30"/>
          <w:lang w:eastAsia="zh-CN"/>
        </w:rPr>
        <w:t>政策</w:t>
      </w:r>
      <w:r>
        <w:rPr>
          <w:rFonts w:hint="eastAsia" w:ascii="仿宋_GB2312" w:hAnsi="仿宋_GB2312" w:eastAsia="仿宋_GB2312" w:cs="仿宋_GB2312"/>
          <w:bCs w:val="0"/>
          <w:color w:val="auto"/>
          <w:spacing w:val="0"/>
          <w:w w:val="100"/>
          <w:position w:val="0"/>
          <w:sz w:val="30"/>
          <w:szCs w:val="30"/>
        </w:rPr>
        <w:t>措施</w:t>
      </w:r>
      <w:r>
        <w:rPr>
          <w:rFonts w:hint="eastAsia" w:ascii="仿宋_GB2312" w:hAnsi="仿宋_GB2312" w:eastAsia="仿宋_GB2312" w:cs="仿宋_GB2312"/>
          <w:bCs w:val="0"/>
          <w:color w:val="auto"/>
          <w:spacing w:val="0"/>
          <w:w w:val="100"/>
          <w:position w:val="0"/>
          <w:sz w:val="30"/>
          <w:szCs w:val="30"/>
          <w:lang w:val="en-US" w:eastAsia="zh-CN"/>
        </w:rPr>
        <w:t>5</w:t>
      </w:r>
      <w:r>
        <w:rPr>
          <w:rFonts w:hint="eastAsia" w:ascii="仿宋_GB2312" w:hAnsi="仿宋_GB2312" w:eastAsia="仿宋_GB2312" w:cs="仿宋_GB2312"/>
          <w:bCs w:val="0"/>
          <w:color w:val="auto"/>
          <w:spacing w:val="0"/>
          <w:w w:val="100"/>
          <w:position w:val="0"/>
          <w:sz w:val="30"/>
          <w:szCs w:val="30"/>
        </w:rPr>
        <w:t>份</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lang w:val="en-US" w:eastAsia="zh-CN"/>
        </w:rPr>
        <w:t>2021—2022年度出台的增量政策措施8份</w:t>
      </w:r>
      <w:r>
        <w:rPr>
          <w:rFonts w:hint="eastAsia" w:ascii="仿宋_GB2312" w:hAnsi="仿宋_GB2312" w:eastAsia="仿宋_GB2312" w:cs="仿宋_GB2312"/>
          <w:bCs w:val="0"/>
          <w:color w:val="auto"/>
          <w:spacing w:val="0"/>
          <w:w w:val="100"/>
          <w:position w:val="0"/>
          <w:sz w:val="30"/>
          <w:szCs w:val="30"/>
        </w:rPr>
        <w:t>。</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楷体_GB2312" w:hAnsi="楷体_GB2312" w:eastAsia="楷体_GB2312" w:cs="楷体_GB2312"/>
          <w:bCs w:val="0"/>
          <w:color w:val="auto"/>
          <w:spacing w:val="0"/>
          <w:w w:val="100"/>
          <w:position w:val="0"/>
          <w:sz w:val="30"/>
          <w:szCs w:val="30"/>
        </w:rPr>
      </w:pPr>
      <w:bookmarkStart w:id="2" w:name="_Toc10971"/>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lang w:val="en-US" w:eastAsia="zh-CN"/>
        </w:rPr>
        <w:t>二</w:t>
      </w:r>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rPr>
        <w:t>审查清理情况</w:t>
      </w:r>
      <w:bookmarkEnd w:id="2"/>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highlight w:val="none"/>
        </w:rPr>
      </w:pPr>
      <w:r>
        <w:rPr>
          <w:rFonts w:hint="eastAsia" w:ascii="仿宋_GB2312" w:hAnsi="仿宋_GB2312" w:eastAsia="仿宋_GB2312" w:cs="仿宋_GB2312"/>
          <w:bCs w:val="0"/>
          <w:color w:val="auto"/>
          <w:spacing w:val="0"/>
          <w:w w:val="100"/>
          <w:position w:val="0"/>
          <w:sz w:val="30"/>
          <w:szCs w:val="30"/>
          <w:lang w:val="en-US" w:eastAsia="zh-CN"/>
        </w:rPr>
        <w:t>张掖市生态环境局</w:t>
      </w:r>
      <w:r>
        <w:rPr>
          <w:rFonts w:hint="eastAsia" w:ascii="仿宋_GB2312" w:hAnsi="仿宋_GB2312" w:eastAsia="仿宋_GB2312" w:cs="仿宋_GB2312"/>
          <w:bCs w:val="0"/>
          <w:color w:val="auto"/>
          <w:spacing w:val="0"/>
          <w:w w:val="100"/>
          <w:position w:val="0"/>
          <w:sz w:val="30"/>
          <w:szCs w:val="30"/>
        </w:rPr>
        <w:t>在开展审查工作过程中，进行了本单位内</w:t>
      </w:r>
      <w:r>
        <w:rPr>
          <w:rFonts w:hint="eastAsia" w:ascii="仿宋_GB2312" w:hAnsi="仿宋_GB2312" w:eastAsia="仿宋_GB2312" w:cs="仿宋_GB2312"/>
          <w:bCs w:val="0"/>
          <w:color w:val="auto"/>
          <w:spacing w:val="0"/>
          <w:w w:val="100"/>
          <w:position w:val="0"/>
          <w:sz w:val="30"/>
          <w:szCs w:val="30"/>
          <w:lang w:val="en-US" w:eastAsia="zh-CN"/>
        </w:rPr>
        <w:t>部</w:t>
      </w:r>
      <w:r>
        <w:rPr>
          <w:rFonts w:hint="eastAsia" w:ascii="仿宋_GB2312" w:hAnsi="仿宋_GB2312" w:eastAsia="仿宋_GB2312" w:cs="仿宋_GB2312"/>
          <w:bCs w:val="0"/>
          <w:color w:val="auto"/>
          <w:spacing w:val="0"/>
          <w:w w:val="100"/>
          <w:position w:val="0"/>
          <w:sz w:val="30"/>
          <w:szCs w:val="30"/>
        </w:rPr>
        <w:t>自查并形成了自查报告，</w:t>
      </w:r>
      <w:r>
        <w:rPr>
          <w:rFonts w:hint="eastAsia" w:ascii="仿宋_GB2312" w:hAnsi="仿宋_GB2312" w:eastAsia="仿宋_GB2312" w:cs="仿宋_GB2312"/>
          <w:bCs w:val="0"/>
          <w:color w:val="auto"/>
          <w:spacing w:val="0"/>
          <w:w w:val="100"/>
          <w:position w:val="0"/>
          <w:sz w:val="30"/>
          <w:szCs w:val="30"/>
          <w:highlight w:val="none"/>
          <w:lang w:val="en-US" w:eastAsia="zh-CN"/>
        </w:rPr>
        <w:t>提供的</w:t>
      </w:r>
      <w:r>
        <w:rPr>
          <w:rFonts w:hint="eastAsia" w:ascii="仿宋_GB2312" w:hAnsi="仿宋_GB2312" w:eastAsia="仿宋_GB2312" w:cs="仿宋_GB2312"/>
          <w:bCs w:val="0"/>
          <w:color w:val="auto"/>
          <w:spacing w:val="0"/>
          <w:w w:val="100"/>
          <w:position w:val="0"/>
          <w:sz w:val="30"/>
          <w:szCs w:val="30"/>
          <w:highlight w:val="none"/>
        </w:rPr>
        <w:t>涉及市场主体经济活动的</w:t>
      </w:r>
      <w:r>
        <w:rPr>
          <w:rFonts w:hint="eastAsia" w:ascii="仿宋_GB2312" w:hAnsi="仿宋_GB2312" w:eastAsia="仿宋_GB2312" w:cs="仿宋_GB2312"/>
          <w:bCs w:val="0"/>
          <w:color w:val="auto"/>
          <w:spacing w:val="0"/>
          <w:w w:val="100"/>
          <w:position w:val="0"/>
          <w:sz w:val="30"/>
          <w:szCs w:val="30"/>
          <w:highlight w:val="none"/>
          <w:lang w:val="en-US" w:eastAsia="zh-CN"/>
        </w:rPr>
        <w:t>8份</w:t>
      </w:r>
      <w:r>
        <w:rPr>
          <w:rFonts w:hint="eastAsia" w:ascii="仿宋_GB2312" w:hAnsi="仿宋_GB2312" w:eastAsia="仿宋_GB2312" w:cs="仿宋_GB2312"/>
          <w:bCs w:val="0"/>
          <w:color w:val="auto"/>
          <w:spacing w:val="0"/>
          <w:w w:val="100"/>
          <w:position w:val="0"/>
          <w:sz w:val="30"/>
          <w:szCs w:val="30"/>
          <w:highlight w:val="none"/>
        </w:rPr>
        <w:t>增量措施</w:t>
      </w:r>
      <w:r>
        <w:rPr>
          <w:rFonts w:hint="eastAsia" w:ascii="仿宋_GB2312" w:hAnsi="仿宋_GB2312" w:eastAsia="仿宋_GB2312" w:cs="仿宋_GB2312"/>
          <w:bCs w:val="0"/>
          <w:color w:val="auto"/>
          <w:spacing w:val="0"/>
          <w:w w:val="100"/>
          <w:position w:val="0"/>
          <w:sz w:val="30"/>
          <w:szCs w:val="30"/>
          <w:highlight w:val="none"/>
          <w:lang w:eastAsia="zh-CN"/>
        </w:rPr>
        <w:t>，</w:t>
      </w:r>
      <w:r>
        <w:rPr>
          <w:rFonts w:hint="eastAsia" w:ascii="仿宋_GB2312" w:hAnsi="仿宋_GB2312" w:eastAsia="仿宋_GB2312" w:cs="仿宋_GB2312"/>
          <w:bCs w:val="0"/>
          <w:color w:val="auto"/>
          <w:spacing w:val="0"/>
          <w:w w:val="100"/>
          <w:position w:val="0"/>
          <w:sz w:val="30"/>
          <w:szCs w:val="30"/>
          <w:highlight w:val="none"/>
          <w:lang w:val="en-US" w:eastAsia="zh-CN"/>
        </w:rPr>
        <w:t>有1份</w:t>
      </w:r>
      <w:r>
        <w:rPr>
          <w:rFonts w:hint="eastAsia" w:ascii="仿宋_GB2312" w:hAnsi="仿宋_GB2312" w:eastAsia="仿宋_GB2312" w:cs="仿宋_GB2312"/>
          <w:bCs w:val="0"/>
          <w:color w:val="auto"/>
          <w:spacing w:val="0"/>
          <w:w w:val="100"/>
          <w:position w:val="0"/>
          <w:sz w:val="30"/>
          <w:szCs w:val="30"/>
          <w:highlight w:val="none"/>
        </w:rPr>
        <w:t>未按照公平竞争审查基本流程开展</w:t>
      </w:r>
      <w:r>
        <w:rPr>
          <w:rFonts w:hint="eastAsia" w:ascii="仿宋_GB2312" w:hAnsi="仿宋_GB2312" w:eastAsia="仿宋_GB2312" w:cs="仿宋_GB2312"/>
          <w:bCs w:val="0"/>
          <w:color w:val="auto"/>
          <w:spacing w:val="0"/>
          <w:w w:val="100"/>
          <w:position w:val="0"/>
          <w:sz w:val="30"/>
          <w:szCs w:val="30"/>
          <w:highlight w:val="none"/>
          <w:lang w:val="en-US" w:eastAsia="zh-CN"/>
        </w:rPr>
        <w:t>自我</w:t>
      </w:r>
      <w:r>
        <w:rPr>
          <w:rFonts w:hint="eastAsia" w:ascii="仿宋_GB2312" w:hAnsi="仿宋_GB2312" w:eastAsia="仿宋_GB2312" w:cs="仿宋_GB2312"/>
          <w:bCs w:val="0"/>
          <w:color w:val="auto"/>
          <w:spacing w:val="0"/>
          <w:w w:val="100"/>
          <w:position w:val="0"/>
          <w:sz w:val="30"/>
          <w:szCs w:val="30"/>
          <w:highlight w:val="none"/>
        </w:rPr>
        <w:t>审查，</w:t>
      </w:r>
      <w:r>
        <w:rPr>
          <w:rFonts w:hint="eastAsia" w:ascii="仿宋_GB2312" w:hAnsi="仿宋_GB2312" w:eastAsia="仿宋_GB2312" w:cs="仿宋_GB2312"/>
          <w:bCs w:val="0"/>
          <w:color w:val="auto"/>
          <w:spacing w:val="0"/>
          <w:w w:val="100"/>
          <w:position w:val="0"/>
          <w:sz w:val="30"/>
          <w:szCs w:val="30"/>
          <w:highlight w:val="none"/>
          <w:lang w:eastAsia="zh-CN"/>
        </w:rPr>
        <w:t>缺少</w:t>
      </w:r>
      <w:r>
        <w:rPr>
          <w:rFonts w:hint="eastAsia" w:ascii="仿宋_GB2312" w:hAnsi="仿宋_GB2312" w:eastAsia="仿宋_GB2312" w:cs="仿宋_GB2312"/>
          <w:bCs w:val="0"/>
          <w:color w:val="auto"/>
          <w:spacing w:val="0"/>
          <w:w w:val="100"/>
          <w:position w:val="0"/>
          <w:sz w:val="30"/>
          <w:szCs w:val="30"/>
          <w:highlight w:val="none"/>
        </w:rPr>
        <w:t>《公平竞争审查表》。</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color w:val="auto"/>
          <w:spacing w:val="0"/>
          <w:w w:val="100"/>
          <w:position w:val="0"/>
          <w:sz w:val="30"/>
          <w:szCs w:val="30"/>
          <w:highlight w:val="none"/>
        </w:rPr>
      </w:pPr>
      <w:r>
        <w:rPr>
          <w:rFonts w:hint="eastAsia" w:ascii="仿宋_GB2312" w:hAnsi="仿宋_GB2312" w:eastAsia="仿宋_GB2312" w:cs="仿宋_GB2312"/>
          <w:bCs w:val="0"/>
          <w:color w:val="auto"/>
          <w:spacing w:val="0"/>
          <w:w w:val="100"/>
          <w:position w:val="0"/>
          <w:sz w:val="30"/>
          <w:szCs w:val="30"/>
        </w:rPr>
        <w:t>对于涉及市场主体经济活动的存量</w:t>
      </w:r>
      <w:r>
        <w:rPr>
          <w:rFonts w:hint="eastAsia" w:ascii="仿宋_GB2312" w:hAnsi="仿宋_GB2312" w:eastAsia="仿宋_GB2312" w:cs="仿宋_GB2312"/>
          <w:bCs w:val="0"/>
          <w:color w:val="auto"/>
          <w:spacing w:val="0"/>
          <w:w w:val="100"/>
          <w:position w:val="0"/>
          <w:sz w:val="30"/>
          <w:szCs w:val="30"/>
          <w:lang w:eastAsia="zh-CN"/>
        </w:rPr>
        <w:t>政策</w:t>
      </w:r>
      <w:r>
        <w:rPr>
          <w:rFonts w:hint="eastAsia" w:ascii="仿宋_GB2312" w:hAnsi="仿宋_GB2312" w:eastAsia="仿宋_GB2312" w:cs="仿宋_GB2312"/>
          <w:bCs w:val="0"/>
          <w:color w:val="auto"/>
          <w:spacing w:val="0"/>
          <w:w w:val="100"/>
          <w:position w:val="0"/>
          <w:sz w:val="30"/>
          <w:szCs w:val="30"/>
        </w:rPr>
        <w:t>措施，</w:t>
      </w:r>
      <w:r>
        <w:rPr>
          <w:rFonts w:hint="eastAsia" w:ascii="仿宋_GB2312" w:hAnsi="仿宋_GB2312" w:eastAsia="仿宋_GB2312" w:cs="仿宋_GB2312"/>
          <w:bCs w:val="0"/>
          <w:color w:val="auto"/>
          <w:spacing w:val="0"/>
          <w:w w:val="100"/>
          <w:position w:val="0"/>
          <w:sz w:val="30"/>
          <w:szCs w:val="30"/>
          <w:lang w:eastAsia="zh-CN"/>
        </w:rPr>
        <w:t>张掖</w:t>
      </w:r>
      <w:r>
        <w:rPr>
          <w:rFonts w:hint="eastAsia" w:ascii="仿宋_GB2312" w:hAnsi="仿宋_GB2312" w:eastAsia="仿宋_GB2312" w:cs="仿宋_GB2312"/>
          <w:bCs w:val="0"/>
          <w:color w:val="auto"/>
          <w:spacing w:val="0"/>
          <w:w w:val="100"/>
          <w:position w:val="0"/>
          <w:sz w:val="30"/>
          <w:szCs w:val="30"/>
          <w:lang w:val="en-US" w:eastAsia="zh-CN"/>
        </w:rPr>
        <w:t>市生态环境局</w:t>
      </w:r>
      <w:r>
        <w:rPr>
          <w:rFonts w:hint="eastAsia" w:ascii="仿宋_GB2312" w:hAnsi="仿宋_GB2312" w:eastAsia="仿宋_GB2312" w:cs="仿宋_GB2312"/>
          <w:bCs w:val="0"/>
          <w:color w:val="auto"/>
          <w:spacing w:val="0"/>
          <w:w w:val="100"/>
          <w:position w:val="0"/>
          <w:sz w:val="30"/>
          <w:szCs w:val="30"/>
        </w:rPr>
        <w:t>进行了内部审查和清理，形成了</w:t>
      </w:r>
      <w:r>
        <w:rPr>
          <w:rFonts w:hint="eastAsia" w:ascii="仿宋_GB2312" w:hAnsi="仿宋_GB2312" w:eastAsia="仿宋_GB2312" w:cs="仿宋_GB2312"/>
          <w:bCs w:val="0"/>
          <w:color w:val="auto"/>
          <w:spacing w:val="0"/>
          <w:w w:val="100"/>
          <w:position w:val="0"/>
          <w:sz w:val="30"/>
          <w:szCs w:val="30"/>
          <w:highlight w:val="none"/>
        </w:rPr>
        <w:t>《</w:t>
      </w:r>
      <w:r>
        <w:rPr>
          <w:rFonts w:hint="eastAsia" w:ascii="仿宋_GB2312" w:hAnsi="仿宋_GB2312" w:eastAsia="仿宋_GB2312" w:cs="仿宋_GB2312"/>
          <w:bCs w:val="0"/>
          <w:color w:val="auto"/>
          <w:spacing w:val="0"/>
          <w:w w:val="100"/>
          <w:position w:val="0"/>
          <w:sz w:val="30"/>
          <w:szCs w:val="30"/>
          <w:highlight w:val="none"/>
          <w:lang w:val="en-US" w:eastAsia="zh-CN"/>
        </w:rPr>
        <w:t>张掖市生态环境局2022年公平竞争审查总结</w:t>
      </w:r>
      <w:r>
        <w:rPr>
          <w:rFonts w:hint="eastAsia" w:ascii="仿宋_GB2312" w:hAnsi="仿宋_GB2312" w:eastAsia="仿宋_GB2312" w:cs="仿宋_GB2312"/>
          <w:bCs w:val="0"/>
          <w:color w:val="auto"/>
          <w:spacing w:val="0"/>
          <w:w w:val="100"/>
          <w:position w:val="0"/>
          <w:sz w:val="30"/>
          <w:szCs w:val="30"/>
          <w:highlight w:val="none"/>
        </w:rPr>
        <w:t>》</w:t>
      </w:r>
      <w:r>
        <w:rPr>
          <w:rFonts w:hint="eastAsia" w:ascii="仿宋_GB2312" w:hAnsi="仿宋_GB2312" w:eastAsia="仿宋_GB2312" w:cs="仿宋_GB2312"/>
          <w:bCs w:val="0"/>
          <w:color w:val="auto"/>
          <w:spacing w:val="0"/>
          <w:w w:val="100"/>
          <w:position w:val="0"/>
          <w:sz w:val="30"/>
          <w:szCs w:val="30"/>
          <w:highlight w:val="none"/>
          <w:lang w:eastAsia="zh-CN"/>
        </w:rPr>
        <w:t>、</w:t>
      </w:r>
      <w:r>
        <w:rPr>
          <w:rFonts w:hint="eastAsia" w:ascii="仿宋_GB2312" w:hAnsi="仿宋_GB2312" w:eastAsia="仿宋_GB2312" w:cs="仿宋_GB2312"/>
          <w:bCs w:val="0"/>
          <w:color w:val="auto"/>
          <w:spacing w:val="0"/>
          <w:w w:val="100"/>
          <w:position w:val="0"/>
          <w:sz w:val="30"/>
          <w:szCs w:val="30"/>
          <w:highlight w:val="none"/>
        </w:rPr>
        <w:t>《</w:t>
      </w:r>
      <w:r>
        <w:rPr>
          <w:rFonts w:hint="eastAsia" w:ascii="仿宋_GB2312" w:hAnsi="仿宋_GB2312" w:eastAsia="仿宋_GB2312" w:cs="仿宋_GB2312"/>
          <w:bCs w:val="0"/>
          <w:color w:val="auto"/>
          <w:spacing w:val="0"/>
          <w:w w:val="100"/>
          <w:position w:val="0"/>
          <w:sz w:val="30"/>
          <w:szCs w:val="30"/>
          <w:highlight w:val="none"/>
          <w:lang w:val="en-US" w:eastAsia="zh-CN"/>
        </w:rPr>
        <w:t>2022年度公平竞争审查工作情况统计表</w:t>
      </w:r>
      <w:r>
        <w:rPr>
          <w:rFonts w:hint="eastAsia" w:ascii="仿宋_GB2312" w:hAnsi="仿宋_GB2312" w:eastAsia="仿宋_GB2312" w:cs="仿宋_GB2312"/>
          <w:bCs w:val="0"/>
          <w:color w:val="auto"/>
          <w:spacing w:val="0"/>
          <w:w w:val="100"/>
          <w:position w:val="0"/>
          <w:sz w:val="30"/>
          <w:szCs w:val="30"/>
          <w:highlight w:val="none"/>
        </w:rPr>
        <w:t>》和《</w:t>
      </w:r>
      <w:r>
        <w:rPr>
          <w:rFonts w:hint="eastAsia" w:ascii="仿宋_GB2312" w:hAnsi="仿宋_GB2312" w:eastAsia="仿宋_GB2312" w:cs="仿宋_GB2312"/>
          <w:bCs w:val="0"/>
          <w:color w:val="auto"/>
          <w:spacing w:val="0"/>
          <w:w w:val="100"/>
          <w:position w:val="0"/>
          <w:sz w:val="30"/>
          <w:szCs w:val="30"/>
          <w:highlight w:val="none"/>
          <w:lang w:val="en-US" w:eastAsia="zh-CN"/>
        </w:rPr>
        <w:t>政策措施抽查情况汇总表》</w:t>
      </w:r>
      <w:r>
        <w:rPr>
          <w:rFonts w:hint="eastAsia" w:ascii="仿宋_GB2312" w:hAnsi="仿宋_GB2312" w:eastAsia="仿宋_GB2312" w:cs="仿宋_GB2312"/>
          <w:color w:val="auto"/>
          <w:spacing w:val="0"/>
          <w:w w:val="100"/>
          <w:kern w:val="0"/>
          <w:position w:val="0"/>
          <w:sz w:val="30"/>
          <w:szCs w:val="30"/>
          <w:highlight w:val="none"/>
          <w:lang w:val="en-US" w:eastAsia="zh-CN" w:bidi="ar"/>
        </w:rPr>
        <w:t>，对本单位公平竞争审查工作进行了总结，且清晰具体地记录了审查、清理与废止的具体存量政策措施。</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楷体_GB2312" w:hAnsi="楷体_GB2312" w:eastAsia="楷体_GB2312" w:cs="楷体_GB2312"/>
          <w:bCs w:val="0"/>
          <w:color w:val="auto"/>
          <w:spacing w:val="0"/>
          <w:w w:val="100"/>
          <w:position w:val="0"/>
          <w:sz w:val="30"/>
          <w:szCs w:val="30"/>
        </w:rPr>
      </w:pPr>
      <w:bookmarkStart w:id="3" w:name="_bookmark2"/>
      <w:bookmarkEnd w:id="3"/>
      <w:bookmarkStart w:id="4" w:name="_Toc23886"/>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lang w:val="en-US" w:eastAsia="zh-CN"/>
        </w:rPr>
        <w:t>三</w:t>
      </w:r>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rPr>
        <w:t>工作部署落实情况</w:t>
      </w:r>
      <w:bookmarkEnd w:id="4"/>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rPr>
          <w:rFonts w:hint="eastAsia" w:ascii="仿宋_GB2312" w:hAnsi="仿宋_GB2312" w:eastAsia="仿宋_GB2312" w:cs="仿宋_GB2312"/>
          <w:bCs w:val="0"/>
          <w:color w:val="auto"/>
          <w:spacing w:val="0"/>
          <w:w w:val="100"/>
          <w:kern w:val="2"/>
          <w:position w:val="0"/>
          <w:sz w:val="30"/>
          <w:szCs w:val="30"/>
          <w:lang w:val="en-US" w:eastAsia="zh-CN" w:bidi="ar"/>
        </w:rPr>
      </w:pPr>
      <w:r>
        <w:rPr>
          <w:rFonts w:hint="eastAsia" w:ascii="仿宋_GB2312" w:hAnsi="仿宋_GB2312" w:eastAsia="仿宋_GB2312" w:cs="仿宋_GB2312"/>
          <w:bCs w:val="0"/>
          <w:color w:val="auto"/>
          <w:spacing w:val="0"/>
          <w:w w:val="100"/>
          <w:position w:val="0"/>
          <w:sz w:val="30"/>
          <w:szCs w:val="30"/>
        </w:rPr>
        <w:t>为建立健全公平竞争审查工作机制，推动本部门公平竞争审查工作的贯彻落实，</w:t>
      </w:r>
      <w:r>
        <w:rPr>
          <w:rFonts w:hint="eastAsia" w:ascii="仿宋_GB2312" w:hAnsi="仿宋_GB2312" w:eastAsia="仿宋_GB2312" w:cs="仿宋_GB2312"/>
          <w:bCs w:val="0"/>
          <w:color w:val="auto"/>
          <w:spacing w:val="0"/>
          <w:w w:val="100"/>
          <w:position w:val="0"/>
          <w:sz w:val="30"/>
          <w:szCs w:val="30"/>
          <w:lang w:eastAsia="zh-CN"/>
        </w:rPr>
        <w:t>张掖</w:t>
      </w:r>
      <w:r>
        <w:rPr>
          <w:rFonts w:hint="eastAsia" w:ascii="仿宋_GB2312" w:hAnsi="仿宋_GB2312" w:eastAsia="仿宋_GB2312" w:cs="仿宋_GB2312"/>
          <w:bCs w:val="0"/>
          <w:color w:val="auto"/>
          <w:spacing w:val="0"/>
          <w:w w:val="100"/>
          <w:position w:val="0"/>
          <w:sz w:val="30"/>
          <w:szCs w:val="30"/>
          <w:lang w:val="en-US" w:eastAsia="zh-CN"/>
        </w:rPr>
        <w:t>市生态环境局</w:t>
      </w:r>
      <w:r>
        <w:rPr>
          <w:rFonts w:hint="eastAsia" w:ascii="仿宋_GB2312" w:hAnsi="仿宋_GB2312" w:eastAsia="仿宋_GB2312" w:cs="仿宋_GB2312"/>
          <w:bCs w:val="0"/>
          <w:color w:val="auto"/>
          <w:spacing w:val="0"/>
          <w:w w:val="100"/>
          <w:position w:val="0"/>
          <w:sz w:val="30"/>
          <w:szCs w:val="30"/>
        </w:rPr>
        <w:t>于印发了</w:t>
      </w:r>
      <w:r>
        <w:rPr>
          <w:rFonts w:hint="eastAsia" w:ascii="仿宋_GB2312" w:hAnsi="仿宋_GB2312" w:eastAsia="仿宋_GB2312" w:cs="仿宋_GB2312"/>
          <w:bCs w:val="0"/>
          <w:color w:val="auto"/>
          <w:spacing w:val="0"/>
          <w:w w:val="100"/>
          <w:position w:val="0"/>
          <w:sz w:val="30"/>
          <w:szCs w:val="30"/>
          <w:highlight w:val="none"/>
        </w:rPr>
        <w:t>《</w:t>
      </w:r>
      <w:r>
        <w:rPr>
          <w:rFonts w:hint="eastAsia" w:ascii="仿宋_GB2312" w:hAnsi="仿宋_GB2312" w:eastAsia="仿宋_GB2312" w:cs="仿宋_GB2312"/>
          <w:bCs w:val="0"/>
          <w:color w:val="auto"/>
          <w:spacing w:val="0"/>
          <w:w w:val="100"/>
          <w:position w:val="0"/>
          <w:sz w:val="30"/>
          <w:szCs w:val="30"/>
          <w:highlight w:val="none"/>
          <w:lang w:val="en-US" w:eastAsia="zh-CN"/>
        </w:rPr>
        <w:t>张掖市生态环境局公平竞争审查工作规定》，</w:t>
      </w:r>
      <w:r>
        <w:rPr>
          <w:rFonts w:hint="eastAsia" w:ascii="仿宋_GB2312" w:hAnsi="仿宋_GB2312" w:eastAsia="仿宋_GB2312" w:cs="仿宋_GB2312"/>
          <w:bCs w:val="0"/>
          <w:color w:val="auto"/>
          <w:spacing w:val="0"/>
          <w:w w:val="100"/>
          <w:position w:val="0"/>
          <w:sz w:val="30"/>
          <w:szCs w:val="30"/>
          <w:lang w:val="en-US" w:eastAsia="zh-CN"/>
        </w:rPr>
        <w:t>制定了科学系统的审核方案和审核步骤。</w:t>
      </w:r>
      <w:r>
        <w:rPr>
          <w:rFonts w:hint="eastAsia" w:ascii="仿宋_GB2312" w:hAnsi="仿宋_GB2312" w:eastAsia="仿宋_GB2312" w:cs="仿宋_GB2312"/>
          <w:bCs w:val="0"/>
          <w:color w:val="auto"/>
          <w:spacing w:val="0"/>
          <w:w w:val="100"/>
          <w:kern w:val="2"/>
          <w:position w:val="0"/>
          <w:sz w:val="30"/>
          <w:szCs w:val="30"/>
          <w:lang w:val="en-US" w:eastAsia="zh-CN" w:bidi="ar"/>
        </w:rPr>
        <w:t>为全面落实公平竞争审查制度，通过张掖市人民政府网站公布投诉回应受理渠道和举报电话。</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rPr>
          <w:rFonts w:hint="eastAsia" w:ascii="仿宋_GB2312" w:hAnsi="仿宋_GB2312" w:eastAsia="仿宋_GB2312" w:cs="仿宋_GB2312"/>
          <w:bCs w:val="0"/>
          <w:color w:val="auto"/>
          <w:spacing w:val="0"/>
          <w:w w:val="100"/>
          <w:kern w:val="2"/>
          <w:position w:val="0"/>
          <w:sz w:val="30"/>
          <w:szCs w:val="30"/>
          <w:lang w:val="en-US" w:eastAsia="zh-CN" w:bidi="ar"/>
        </w:rPr>
      </w:pPr>
      <w:r>
        <w:rPr>
          <w:rFonts w:hint="eastAsia" w:ascii="仿宋_GB2312" w:hAnsi="仿宋_GB2312" w:eastAsia="仿宋_GB2312" w:cs="仿宋_GB2312"/>
          <w:bCs w:val="0"/>
          <w:color w:val="auto"/>
          <w:spacing w:val="0"/>
          <w:w w:val="100"/>
          <w:kern w:val="2"/>
          <w:position w:val="0"/>
          <w:sz w:val="30"/>
          <w:szCs w:val="30"/>
          <w:lang w:val="en-US" w:eastAsia="zh-CN" w:bidi="ar"/>
        </w:rPr>
        <w:t>目前，</w:t>
      </w:r>
      <w:r>
        <w:rPr>
          <w:rFonts w:hint="eastAsia" w:ascii="仿宋_GB2312" w:hAnsi="仿宋_GB2312" w:eastAsia="仿宋_GB2312" w:cs="仿宋_GB2312"/>
          <w:color w:val="auto"/>
          <w:spacing w:val="0"/>
          <w:w w:val="100"/>
          <w:kern w:val="2"/>
          <w:position w:val="0"/>
          <w:sz w:val="30"/>
          <w:szCs w:val="30"/>
          <w:lang w:eastAsia="zh-CN" w:bidi="ar"/>
        </w:rPr>
        <w:t>张掖市</w:t>
      </w:r>
      <w:r>
        <w:rPr>
          <w:rFonts w:hint="eastAsia" w:ascii="仿宋_GB2312" w:hAnsi="仿宋_GB2312" w:eastAsia="仿宋_GB2312" w:cs="仿宋_GB2312"/>
          <w:bCs w:val="0"/>
          <w:color w:val="auto"/>
          <w:spacing w:val="0"/>
          <w:w w:val="100"/>
          <w:position w:val="0"/>
          <w:sz w:val="30"/>
          <w:szCs w:val="30"/>
          <w:lang w:val="en-US" w:eastAsia="zh-CN"/>
        </w:rPr>
        <w:t>生态环境局</w:t>
      </w:r>
      <w:r>
        <w:rPr>
          <w:rFonts w:hint="eastAsia" w:ascii="仿宋_GB2312" w:hAnsi="仿宋_GB2312" w:eastAsia="仿宋_GB2312" w:cs="仿宋_GB2312"/>
          <w:bCs w:val="0"/>
          <w:color w:val="auto"/>
          <w:spacing w:val="0"/>
          <w:w w:val="100"/>
          <w:kern w:val="2"/>
          <w:position w:val="0"/>
          <w:sz w:val="30"/>
          <w:szCs w:val="30"/>
          <w:lang w:val="en-US" w:eastAsia="zh-CN" w:bidi="ar"/>
        </w:rPr>
        <w:t>的公平竞争审查制度、审查流程和审查人员配置均已完善。</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5" w:name="_Toc9213"/>
      <w:r>
        <w:rPr>
          <w:rFonts w:hint="eastAsia" w:ascii="黑体" w:hAnsi="黑体" w:eastAsia="黑体" w:cs="黑体"/>
          <w:b w:val="0"/>
          <w:bCs/>
          <w:color w:val="auto"/>
          <w:spacing w:val="0"/>
          <w:kern w:val="2"/>
          <w:position w:val="0"/>
          <w:sz w:val="32"/>
          <w:szCs w:val="32"/>
          <w:lang w:val="en-US" w:eastAsia="zh-CN" w:bidi="ar"/>
        </w:rPr>
        <w:t>二、评估发现的问题</w:t>
      </w:r>
      <w:bookmarkEnd w:id="5"/>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rPr>
      </w:pPr>
      <w:r>
        <w:rPr>
          <w:rFonts w:hint="eastAsia" w:ascii="仿宋_GB2312" w:hAnsi="仿宋_GB2312" w:eastAsia="仿宋_GB2312" w:cs="仿宋_GB2312"/>
          <w:bCs w:val="0"/>
          <w:color w:val="auto"/>
          <w:spacing w:val="0"/>
          <w:w w:val="100"/>
          <w:position w:val="0"/>
          <w:sz w:val="30"/>
          <w:szCs w:val="30"/>
        </w:rPr>
        <w:t>公平竞争审查</w:t>
      </w:r>
      <w:r>
        <w:rPr>
          <w:rFonts w:hint="eastAsia" w:ascii="仿宋_GB2312" w:hAnsi="仿宋_GB2312" w:eastAsia="仿宋_GB2312" w:cs="仿宋_GB2312"/>
          <w:bCs w:val="0"/>
          <w:color w:val="auto"/>
          <w:spacing w:val="0"/>
          <w:w w:val="100"/>
          <w:position w:val="0"/>
          <w:sz w:val="30"/>
          <w:szCs w:val="30"/>
          <w:lang w:eastAsia="zh-CN"/>
        </w:rPr>
        <w:t>工作</w:t>
      </w:r>
      <w:r>
        <w:rPr>
          <w:rFonts w:hint="eastAsia" w:ascii="仿宋_GB2312" w:hAnsi="仿宋_GB2312" w:eastAsia="仿宋_GB2312" w:cs="仿宋_GB2312"/>
          <w:bCs w:val="0"/>
          <w:color w:val="auto"/>
          <w:spacing w:val="0"/>
          <w:w w:val="100"/>
          <w:position w:val="0"/>
          <w:sz w:val="30"/>
          <w:szCs w:val="30"/>
        </w:rPr>
        <w:t>涉及法学、经济学和其他专业学科的交叉，对工作人员的素质和能力要求较高，再加上经济活动的复杂性以及新经济、新业态的快速发展，要求在行政资源和专业人才方面给予切实保障。目前</w:t>
      </w:r>
      <w:r>
        <w:rPr>
          <w:rFonts w:hint="eastAsia" w:ascii="仿宋_GB2312" w:hAnsi="仿宋_GB2312" w:eastAsia="仿宋_GB2312" w:cs="仿宋_GB2312"/>
          <w:bCs w:val="0"/>
          <w:color w:val="auto"/>
          <w:spacing w:val="0"/>
          <w:w w:val="100"/>
          <w:position w:val="0"/>
          <w:sz w:val="30"/>
          <w:szCs w:val="30"/>
          <w:lang w:eastAsia="zh-CN"/>
        </w:rPr>
        <w:t>张掖</w:t>
      </w:r>
      <w:r>
        <w:rPr>
          <w:rFonts w:hint="eastAsia" w:ascii="仿宋_GB2312" w:hAnsi="仿宋_GB2312" w:eastAsia="仿宋_GB2312" w:cs="仿宋_GB2312"/>
          <w:bCs w:val="0"/>
          <w:color w:val="auto"/>
          <w:spacing w:val="0"/>
          <w:w w:val="100"/>
          <w:position w:val="0"/>
          <w:sz w:val="30"/>
          <w:szCs w:val="30"/>
          <w:lang w:val="en-US" w:eastAsia="zh-CN"/>
        </w:rPr>
        <w:t>市</w:t>
      </w:r>
      <w:r>
        <w:rPr>
          <w:rFonts w:hint="eastAsia" w:ascii="仿宋_GB2312" w:hAnsi="仿宋_GB2312" w:eastAsia="仿宋_GB2312" w:cs="仿宋_GB2312"/>
          <w:bCs w:val="0"/>
          <w:color w:val="auto"/>
          <w:spacing w:val="0"/>
          <w:w w:val="100"/>
          <w:position w:val="0"/>
          <w:sz w:val="30"/>
          <w:szCs w:val="30"/>
        </w:rPr>
        <w:t>开展公平竞争审查工作机制虽已建立，但由于该项工作处于起步阶段，各成员单位还处在学习探索阶段。公平竞争工作的内部自我</w:t>
      </w:r>
      <w:r>
        <w:rPr>
          <w:rFonts w:hint="eastAsia" w:ascii="仿宋_GB2312" w:hAnsi="仿宋_GB2312" w:eastAsia="仿宋_GB2312" w:cs="仿宋_GB2312"/>
          <w:bCs w:val="0"/>
          <w:color w:val="auto"/>
          <w:spacing w:val="0"/>
          <w:w w:val="100"/>
          <w:position w:val="0"/>
          <w:sz w:val="30"/>
          <w:szCs w:val="30"/>
          <w:lang w:val="en-US" w:eastAsia="zh-CN"/>
        </w:rPr>
        <w:t>审</w:t>
      </w:r>
      <w:r>
        <w:rPr>
          <w:rFonts w:hint="eastAsia" w:ascii="仿宋_GB2312" w:hAnsi="仿宋_GB2312" w:eastAsia="仿宋_GB2312" w:cs="仿宋_GB2312"/>
          <w:bCs w:val="0"/>
          <w:color w:val="auto"/>
          <w:spacing w:val="0"/>
          <w:w w:val="100"/>
          <w:position w:val="0"/>
          <w:sz w:val="30"/>
          <w:szCs w:val="30"/>
        </w:rPr>
        <w:t>查对各单位的法制工作者的业务素质、学习能力、法律素养提出了更高的要求，加上法制队伍人手</w:t>
      </w:r>
      <w:r>
        <w:rPr>
          <w:rFonts w:hint="eastAsia" w:ascii="仿宋_GB2312" w:hAnsi="仿宋_GB2312" w:eastAsia="仿宋_GB2312" w:cs="仿宋_GB2312"/>
          <w:bCs w:val="0"/>
          <w:color w:val="auto"/>
          <w:spacing w:val="0"/>
          <w:w w:val="100"/>
          <w:position w:val="0"/>
          <w:sz w:val="30"/>
          <w:szCs w:val="30"/>
          <w:lang w:val="en-US" w:eastAsia="zh-CN"/>
        </w:rPr>
        <w:t>相对短缺</w:t>
      </w:r>
      <w:r>
        <w:rPr>
          <w:rFonts w:hint="eastAsia" w:ascii="仿宋_GB2312" w:hAnsi="仿宋_GB2312" w:eastAsia="仿宋_GB2312" w:cs="仿宋_GB2312"/>
          <w:bCs w:val="0"/>
          <w:color w:val="auto"/>
          <w:spacing w:val="0"/>
          <w:w w:val="100"/>
          <w:position w:val="0"/>
          <w:sz w:val="30"/>
          <w:szCs w:val="30"/>
        </w:rPr>
        <w:t>,导致</w:t>
      </w:r>
      <w:r>
        <w:rPr>
          <w:rFonts w:hint="eastAsia" w:ascii="仿宋_GB2312" w:hAnsi="仿宋_GB2312" w:eastAsia="仿宋_GB2312" w:cs="仿宋_GB2312"/>
          <w:bCs w:val="0"/>
          <w:color w:val="auto"/>
          <w:spacing w:val="0"/>
          <w:w w:val="100"/>
          <w:position w:val="0"/>
          <w:sz w:val="30"/>
          <w:szCs w:val="30"/>
          <w:lang w:eastAsia="zh-CN"/>
        </w:rPr>
        <w:t>张掖</w:t>
      </w:r>
      <w:r>
        <w:rPr>
          <w:rFonts w:hint="eastAsia" w:ascii="仿宋_GB2312" w:hAnsi="仿宋_GB2312" w:eastAsia="仿宋_GB2312" w:cs="仿宋_GB2312"/>
          <w:bCs w:val="0"/>
          <w:color w:val="auto"/>
          <w:spacing w:val="0"/>
          <w:w w:val="100"/>
          <w:position w:val="0"/>
          <w:sz w:val="30"/>
          <w:szCs w:val="30"/>
          <w:lang w:val="en-US" w:eastAsia="zh-CN"/>
        </w:rPr>
        <w:t>市生态环境局</w:t>
      </w:r>
      <w:r>
        <w:rPr>
          <w:rFonts w:hint="eastAsia" w:ascii="仿宋_GB2312" w:hAnsi="仿宋_GB2312" w:eastAsia="仿宋_GB2312" w:cs="仿宋_GB2312"/>
          <w:bCs w:val="0"/>
          <w:color w:val="auto"/>
          <w:spacing w:val="0"/>
          <w:w w:val="100"/>
          <w:position w:val="0"/>
          <w:sz w:val="30"/>
          <w:szCs w:val="30"/>
        </w:rPr>
        <w:t>公平竞争审查工作仍存在一定程度不足。</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楷体_GB2312" w:hAnsi="楷体_GB2312" w:eastAsia="楷体_GB2312" w:cs="楷体_GB2312"/>
          <w:bCs w:val="0"/>
          <w:color w:val="auto"/>
          <w:spacing w:val="0"/>
          <w:w w:val="100"/>
          <w:position w:val="0"/>
          <w:sz w:val="30"/>
          <w:szCs w:val="30"/>
        </w:rPr>
      </w:pPr>
      <w:bookmarkStart w:id="6" w:name="_Toc17932"/>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rPr>
        <w:t>一</w:t>
      </w:r>
      <w:r>
        <w:rPr>
          <w:rFonts w:hint="eastAsia" w:ascii="楷体_GB2312" w:hAnsi="楷体_GB2312" w:eastAsia="楷体_GB2312" w:cs="楷体_GB2312"/>
          <w:bCs w:val="0"/>
          <w:color w:val="auto"/>
          <w:spacing w:val="0"/>
          <w:w w:val="100"/>
          <w:position w:val="0"/>
          <w:sz w:val="30"/>
          <w:szCs w:val="30"/>
          <w:lang w:eastAsia="zh-CN"/>
        </w:rPr>
        <w:t>）</w:t>
      </w:r>
      <w:r>
        <w:rPr>
          <w:rFonts w:hint="eastAsia" w:ascii="楷体_GB2312" w:hAnsi="楷体_GB2312" w:eastAsia="楷体_GB2312" w:cs="楷体_GB2312"/>
          <w:bCs w:val="0"/>
          <w:color w:val="auto"/>
          <w:spacing w:val="0"/>
          <w:w w:val="100"/>
          <w:position w:val="0"/>
          <w:sz w:val="30"/>
          <w:szCs w:val="30"/>
        </w:rPr>
        <w:t>审查过程不够规范</w:t>
      </w:r>
      <w:bookmarkEnd w:id="6"/>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rPr>
      </w:pPr>
      <w:r>
        <w:rPr>
          <w:rFonts w:hint="eastAsia" w:ascii="仿宋_GB2312" w:hAnsi="仿宋_GB2312" w:eastAsia="仿宋_GB2312" w:cs="仿宋_GB2312"/>
          <w:bCs w:val="0"/>
          <w:color w:val="auto"/>
          <w:spacing w:val="0"/>
          <w:w w:val="100"/>
          <w:position w:val="0"/>
          <w:sz w:val="30"/>
          <w:szCs w:val="30"/>
        </w:rPr>
        <w:t>在本次第三方评估过程中发现,</w:t>
      </w:r>
      <w:r>
        <w:rPr>
          <w:rFonts w:hint="eastAsia" w:ascii="仿宋_GB2312" w:hAnsi="仿宋_GB2312" w:eastAsia="仿宋_GB2312" w:cs="仿宋_GB2312"/>
          <w:bCs w:val="0"/>
          <w:color w:val="auto"/>
          <w:spacing w:val="0"/>
          <w:w w:val="100"/>
          <w:position w:val="0"/>
          <w:sz w:val="30"/>
          <w:szCs w:val="30"/>
          <w:lang w:eastAsia="zh-CN"/>
        </w:rPr>
        <w:t>张掖</w:t>
      </w:r>
      <w:r>
        <w:rPr>
          <w:rFonts w:hint="eastAsia" w:ascii="仿宋_GB2312" w:hAnsi="仿宋_GB2312" w:eastAsia="仿宋_GB2312" w:cs="仿宋_GB2312"/>
          <w:bCs w:val="0"/>
          <w:color w:val="auto"/>
          <w:spacing w:val="0"/>
          <w:w w:val="100"/>
          <w:position w:val="0"/>
          <w:sz w:val="30"/>
          <w:szCs w:val="30"/>
          <w:lang w:val="en-US" w:eastAsia="zh-CN"/>
        </w:rPr>
        <w:t>市生态环境局</w:t>
      </w:r>
      <w:r>
        <w:rPr>
          <w:rFonts w:hint="eastAsia" w:ascii="仿宋_GB2312" w:hAnsi="仿宋_GB2312" w:eastAsia="仿宋_GB2312" w:cs="仿宋_GB2312"/>
          <w:bCs w:val="0"/>
          <w:color w:val="auto"/>
          <w:spacing w:val="0"/>
          <w:w w:val="100"/>
          <w:position w:val="0"/>
          <w:sz w:val="30"/>
          <w:szCs w:val="30"/>
        </w:rPr>
        <w:t>存在一定程度上的公平竞争审查流程不规范的问题。按照《实施细则》要求，增量</w:t>
      </w:r>
      <w:r>
        <w:rPr>
          <w:rFonts w:hint="eastAsia" w:ascii="仿宋_GB2312" w:hAnsi="仿宋_GB2312" w:eastAsia="仿宋_GB2312" w:cs="仿宋_GB2312"/>
          <w:bCs w:val="0"/>
          <w:color w:val="auto"/>
          <w:spacing w:val="0"/>
          <w:w w:val="100"/>
          <w:position w:val="0"/>
          <w:sz w:val="30"/>
          <w:szCs w:val="30"/>
          <w:lang w:eastAsia="zh-CN"/>
        </w:rPr>
        <w:t>政策</w:t>
      </w:r>
      <w:r>
        <w:rPr>
          <w:rFonts w:hint="eastAsia" w:ascii="仿宋_GB2312" w:hAnsi="仿宋_GB2312" w:eastAsia="仿宋_GB2312" w:cs="仿宋_GB2312"/>
          <w:bCs w:val="0"/>
          <w:color w:val="auto"/>
          <w:spacing w:val="0"/>
          <w:w w:val="100"/>
          <w:position w:val="0"/>
          <w:sz w:val="30"/>
          <w:szCs w:val="30"/>
        </w:rPr>
        <w:t>措施在出台前应当</w:t>
      </w:r>
      <w:r>
        <w:rPr>
          <w:rFonts w:hint="eastAsia" w:ascii="仿宋_GB2312" w:hAnsi="仿宋_GB2312" w:eastAsia="仿宋_GB2312" w:cs="仿宋_GB2312"/>
          <w:bCs w:val="0"/>
          <w:color w:val="auto"/>
          <w:spacing w:val="0"/>
          <w:w w:val="100"/>
          <w:position w:val="0"/>
          <w:sz w:val="30"/>
          <w:szCs w:val="30"/>
          <w:lang w:val="en-US" w:eastAsia="zh-CN"/>
        </w:rPr>
        <w:t>向利害关系人或社会公众征求意见并进行内部审核，但张掖市生态环境局提供的8份增量政策措施中，有1份未提供相关资料证明履行了上述程序</w:t>
      </w:r>
      <w:r>
        <w:rPr>
          <w:rFonts w:hint="eastAsia" w:ascii="仿宋_GB2312" w:hAnsi="仿宋_GB2312" w:eastAsia="仿宋_GB2312" w:cs="仿宋_GB2312"/>
          <w:bCs w:val="0"/>
          <w:color w:val="auto"/>
          <w:spacing w:val="0"/>
          <w:w w:val="100"/>
          <w:position w:val="0"/>
          <w:sz w:val="30"/>
          <w:szCs w:val="30"/>
        </w:rPr>
        <w:t>。</w:t>
      </w:r>
    </w:p>
    <w:p>
      <w:pPr>
        <w:keepNext w:val="0"/>
        <w:keepLines w:val="0"/>
        <w:pageBreakBefore w:val="0"/>
        <w:widowControl w:val="0"/>
        <w:numPr>
          <w:ilvl w:val="0"/>
          <w:numId w:val="0"/>
        </w:numPr>
        <w:kinsoku/>
        <w:wordWrap/>
        <w:overflowPunct/>
        <w:topLinePunct/>
        <w:autoSpaceDE/>
        <w:autoSpaceDN/>
        <w:bidi w:val="0"/>
        <w:adjustRightInd/>
        <w:snapToGrid/>
        <w:spacing w:beforeAutospacing="0" w:afterAutospacing="0" w:line="540" w:lineRule="exact"/>
        <w:ind w:left="0" w:leftChars="0" w:right="0" w:rightChars="0" w:firstLine="600" w:firstLineChars="200"/>
        <w:jc w:val="both"/>
        <w:textAlignment w:val="auto"/>
        <w:outlineLvl w:val="1"/>
        <w:rPr>
          <w:rFonts w:hint="eastAsia" w:ascii="楷体_GB2312" w:hAnsi="楷体_GB2312" w:eastAsia="楷体_GB2312" w:cs="楷体_GB2312"/>
          <w:bCs w:val="0"/>
          <w:color w:val="auto"/>
          <w:spacing w:val="0"/>
          <w:w w:val="100"/>
          <w:position w:val="0"/>
          <w:sz w:val="30"/>
          <w:szCs w:val="30"/>
        </w:rPr>
      </w:pPr>
      <w:bookmarkStart w:id="7" w:name="_Toc3319"/>
      <w:r>
        <w:rPr>
          <w:rFonts w:hint="eastAsia" w:ascii="楷体_GB2312" w:hAnsi="楷体_GB2312" w:eastAsia="楷体_GB2312" w:cs="楷体_GB2312"/>
          <w:bCs w:val="0"/>
          <w:color w:val="auto"/>
          <w:spacing w:val="0"/>
          <w:w w:val="100"/>
          <w:position w:val="0"/>
          <w:sz w:val="30"/>
          <w:szCs w:val="30"/>
          <w:lang w:eastAsia="zh-CN"/>
        </w:rPr>
        <w:t>（二）工作</w:t>
      </w:r>
      <w:r>
        <w:rPr>
          <w:rFonts w:hint="eastAsia" w:ascii="楷体_GB2312" w:hAnsi="楷体_GB2312" w:eastAsia="楷体_GB2312" w:cs="楷体_GB2312"/>
          <w:bCs w:val="0"/>
          <w:color w:val="auto"/>
          <w:spacing w:val="0"/>
          <w:w w:val="100"/>
          <w:position w:val="0"/>
          <w:sz w:val="30"/>
          <w:szCs w:val="30"/>
          <w:lang w:val="en-US" w:eastAsia="zh-CN"/>
        </w:rPr>
        <w:t>部署落实不完善</w:t>
      </w:r>
      <w:bookmarkEnd w:id="7"/>
    </w:p>
    <w:p>
      <w:pPr>
        <w:keepNext w:val="0"/>
        <w:keepLines w:val="0"/>
        <w:pageBreakBefore w:val="0"/>
        <w:widowControl w:val="0"/>
        <w:numPr>
          <w:ilvl w:val="0"/>
          <w:numId w:val="0"/>
        </w:numPr>
        <w:kinsoku/>
        <w:wordWrap/>
        <w:overflowPunct/>
        <w:topLinePunct/>
        <w:autoSpaceDE/>
        <w:autoSpaceDN/>
        <w:bidi w:val="0"/>
        <w:adjustRightInd/>
        <w:snapToGrid/>
        <w:spacing w:beforeAutospacing="0" w:afterAutospacing="0" w:line="540" w:lineRule="exact"/>
        <w:ind w:left="0" w:leftChars="0" w:right="0" w:rightChars="0" w:firstLine="600" w:firstLineChars="200"/>
        <w:jc w:val="both"/>
        <w:textAlignment w:val="auto"/>
        <w:outlineLvl w:val="9"/>
        <w:rPr>
          <w:rFonts w:hint="eastAsia" w:ascii="仿宋_GB2312" w:hAnsi="仿宋_GB2312" w:eastAsia="仿宋_GB2312" w:cs="仿宋_GB2312"/>
          <w:color w:val="auto"/>
          <w:spacing w:val="0"/>
          <w:w w:val="100"/>
          <w:position w:val="0"/>
          <w:sz w:val="30"/>
          <w:szCs w:val="30"/>
          <w:lang w:eastAsia="zh-CN"/>
        </w:rPr>
      </w:pPr>
      <w:r>
        <w:rPr>
          <w:rFonts w:hint="eastAsia" w:ascii="仿宋_GB2312" w:hAnsi="仿宋_GB2312" w:eastAsia="仿宋_GB2312" w:cs="仿宋_GB2312"/>
          <w:bCs w:val="0"/>
          <w:color w:val="auto"/>
          <w:spacing w:val="0"/>
          <w:w w:val="100"/>
          <w:position w:val="0"/>
          <w:sz w:val="30"/>
          <w:szCs w:val="30"/>
          <w:lang w:val="en-US" w:eastAsia="zh-CN"/>
        </w:rPr>
        <w:t>张掖市生态环境局未开展对</w:t>
      </w:r>
      <w:r>
        <w:rPr>
          <w:rFonts w:hint="eastAsia" w:ascii="仿宋_GB2312" w:hAnsi="仿宋_GB2312" w:eastAsia="仿宋_GB2312" w:cs="仿宋_GB2312"/>
          <w:bCs w:val="0"/>
          <w:color w:val="auto"/>
          <w:spacing w:val="0"/>
          <w:w w:val="100"/>
          <w:kern w:val="2"/>
          <w:position w:val="0"/>
          <w:sz w:val="30"/>
          <w:szCs w:val="30"/>
          <w:lang w:val="en-US" w:eastAsia="zh-CN" w:bidi="ar"/>
        </w:rPr>
        <w:t>社会公众进行公平竞争审查内容的宣传与普及活动，也未对</w:t>
      </w:r>
      <w:r>
        <w:rPr>
          <w:rFonts w:hint="eastAsia" w:ascii="仿宋_GB2312" w:hAnsi="仿宋_GB2312" w:eastAsia="仿宋_GB2312" w:cs="仿宋_GB2312"/>
          <w:bCs w:val="0"/>
          <w:color w:val="auto"/>
          <w:spacing w:val="0"/>
          <w:w w:val="100"/>
          <w:kern w:val="2"/>
          <w:position w:val="0"/>
          <w:sz w:val="30"/>
          <w:szCs w:val="30"/>
          <w:lang w:eastAsia="zh-CN" w:bidi="ar"/>
        </w:rPr>
        <w:t>本单位工作人员</w:t>
      </w:r>
      <w:r>
        <w:rPr>
          <w:rFonts w:hint="eastAsia" w:ascii="仿宋_GB2312" w:hAnsi="仿宋_GB2312" w:eastAsia="仿宋_GB2312" w:cs="仿宋_GB2312"/>
          <w:bCs w:val="0"/>
          <w:color w:val="auto"/>
          <w:spacing w:val="0"/>
          <w:w w:val="100"/>
          <w:kern w:val="2"/>
          <w:position w:val="0"/>
          <w:sz w:val="30"/>
          <w:szCs w:val="30"/>
          <w:lang w:val="en-US" w:eastAsia="zh-CN" w:bidi="ar"/>
        </w:rPr>
        <w:t>进行公平竞争审查内容的学习与培训工作。</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8" w:name="_Toc17052"/>
      <w:r>
        <w:rPr>
          <w:rFonts w:hint="eastAsia" w:ascii="黑体" w:hAnsi="黑体" w:eastAsia="黑体" w:cs="黑体"/>
          <w:b w:val="0"/>
          <w:bCs/>
          <w:color w:val="auto"/>
          <w:spacing w:val="0"/>
          <w:kern w:val="2"/>
          <w:position w:val="0"/>
          <w:sz w:val="32"/>
          <w:szCs w:val="32"/>
          <w:lang w:val="en-US" w:eastAsia="zh-CN" w:bidi="ar"/>
        </w:rPr>
        <w:t>三、评估结果</w:t>
      </w:r>
      <w:bookmarkEnd w:id="8"/>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0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Cs w:val="0"/>
          <w:color w:val="auto"/>
          <w:spacing w:val="0"/>
          <w:w w:val="100"/>
          <w:position w:val="0"/>
          <w:sz w:val="30"/>
          <w:szCs w:val="30"/>
        </w:rPr>
        <w:t>根据《甘肃省市场监管局等四部门关于进一步推进落实公平竞争审查工作的通知》（甘市监发〔2020〕291号）及《</w:t>
      </w:r>
      <w:r>
        <w:rPr>
          <w:rFonts w:hint="eastAsia" w:ascii="仿宋_GB2312" w:hAnsi="仿宋_GB2312" w:eastAsia="仿宋_GB2312" w:cs="仿宋_GB2312"/>
          <w:bCs w:val="0"/>
          <w:color w:val="auto"/>
          <w:spacing w:val="0"/>
          <w:w w:val="100"/>
          <w:position w:val="0"/>
          <w:sz w:val="30"/>
          <w:szCs w:val="30"/>
          <w:lang w:val="en-US" w:eastAsia="zh-CN"/>
        </w:rPr>
        <w:t>张掖市公平竞争审查工作部门联席会议办公室关于开展公平竞争审查工作第三方评估的通知</w:t>
      </w:r>
      <w:r>
        <w:rPr>
          <w:rFonts w:hint="eastAsia" w:ascii="仿宋_GB2312" w:hAnsi="仿宋_GB2312" w:eastAsia="仿宋_GB2312" w:cs="仿宋_GB2312"/>
          <w:bCs w:val="0"/>
          <w:color w:val="auto"/>
          <w:spacing w:val="0"/>
          <w:w w:val="100"/>
          <w:position w:val="0"/>
          <w:sz w:val="30"/>
          <w:szCs w:val="30"/>
        </w:rPr>
        <w:t>》（</w:t>
      </w:r>
      <w:r>
        <w:rPr>
          <w:rFonts w:hint="eastAsia" w:ascii="仿宋_GB2312" w:hAnsi="仿宋_GB2312" w:eastAsia="仿宋_GB2312" w:cs="仿宋_GB2312"/>
          <w:bCs w:val="0"/>
          <w:color w:val="auto"/>
          <w:spacing w:val="0"/>
          <w:w w:val="100"/>
          <w:position w:val="0"/>
          <w:sz w:val="30"/>
          <w:szCs w:val="30"/>
          <w:lang w:val="en-US" w:eastAsia="zh-CN"/>
        </w:rPr>
        <w:t>张公竞</w:t>
      </w:r>
      <w:r>
        <w:rPr>
          <w:rFonts w:hint="eastAsia" w:ascii="仿宋_GB2312" w:hAnsi="仿宋_GB2312" w:eastAsia="仿宋_GB2312" w:cs="仿宋_GB2312"/>
          <w:bCs w:val="0"/>
          <w:color w:val="auto"/>
          <w:spacing w:val="0"/>
          <w:w w:val="100"/>
          <w:position w:val="0"/>
          <w:sz w:val="30"/>
          <w:szCs w:val="30"/>
        </w:rPr>
        <w:t>〔202</w:t>
      </w:r>
      <w:r>
        <w:rPr>
          <w:rFonts w:hint="eastAsia" w:ascii="仿宋_GB2312" w:hAnsi="仿宋_GB2312" w:eastAsia="仿宋_GB2312" w:cs="仿宋_GB2312"/>
          <w:bCs w:val="0"/>
          <w:color w:val="auto"/>
          <w:spacing w:val="0"/>
          <w:w w:val="100"/>
          <w:position w:val="0"/>
          <w:sz w:val="30"/>
          <w:szCs w:val="30"/>
          <w:lang w:val="en-US" w:eastAsia="zh-CN"/>
        </w:rPr>
        <w:t>2</w:t>
      </w:r>
      <w:r>
        <w:rPr>
          <w:rFonts w:hint="eastAsia" w:ascii="仿宋_GB2312" w:hAnsi="仿宋_GB2312" w:eastAsia="仿宋_GB2312" w:cs="仿宋_GB2312"/>
          <w:bCs w:val="0"/>
          <w:color w:val="auto"/>
          <w:spacing w:val="0"/>
          <w:w w:val="100"/>
          <w:position w:val="0"/>
          <w:sz w:val="30"/>
          <w:szCs w:val="30"/>
        </w:rPr>
        <w:t>〕</w:t>
      </w:r>
      <w:r>
        <w:rPr>
          <w:rFonts w:hint="eastAsia" w:ascii="仿宋_GB2312" w:hAnsi="仿宋_GB2312" w:eastAsia="仿宋_GB2312" w:cs="仿宋_GB2312"/>
          <w:bCs w:val="0"/>
          <w:color w:val="auto"/>
          <w:spacing w:val="0"/>
          <w:w w:val="100"/>
          <w:position w:val="0"/>
          <w:sz w:val="30"/>
          <w:szCs w:val="30"/>
          <w:lang w:val="en-US" w:eastAsia="zh-CN"/>
        </w:rPr>
        <w:t>10</w:t>
      </w:r>
      <w:r>
        <w:rPr>
          <w:rFonts w:hint="eastAsia" w:ascii="仿宋_GB2312" w:hAnsi="仿宋_GB2312" w:eastAsia="仿宋_GB2312" w:cs="仿宋_GB2312"/>
          <w:bCs w:val="0"/>
          <w:color w:val="auto"/>
          <w:spacing w:val="0"/>
          <w:w w:val="100"/>
          <w:position w:val="0"/>
          <w:sz w:val="30"/>
          <w:szCs w:val="30"/>
        </w:rPr>
        <w:t>号</w:t>
      </w:r>
      <w:r>
        <w:rPr>
          <w:rFonts w:hint="eastAsia" w:ascii="仿宋_GB2312" w:hAnsi="仿宋_GB2312" w:eastAsia="仿宋_GB2312" w:cs="仿宋_GB2312"/>
          <w:bCs w:val="0"/>
          <w:color w:val="auto"/>
          <w:spacing w:val="0"/>
          <w:w w:val="100"/>
          <w:position w:val="0"/>
          <w:sz w:val="30"/>
          <w:szCs w:val="30"/>
          <w:lang w:eastAsia="zh-CN"/>
        </w:rPr>
        <w:t>）</w:t>
      </w:r>
      <w:r>
        <w:rPr>
          <w:rFonts w:hint="eastAsia" w:ascii="仿宋_GB2312" w:hAnsi="仿宋_GB2312" w:eastAsia="仿宋_GB2312" w:cs="仿宋_GB2312"/>
          <w:bCs w:val="0"/>
          <w:color w:val="auto"/>
          <w:spacing w:val="0"/>
          <w:w w:val="100"/>
          <w:position w:val="0"/>
          <w:sz w:val="30"/>
          <w:szCs w:val="30"/>
        </w:rPr>
        <w:t>文件要求</w:t>
      </w:r>
      <w:r>
        <w:rPr>
          <w:rFonts w:hint="eastAsia" w:ascii="仿宋_GB2312" w:hAnsi="仿宋_GB2312" w:eastAsia="仿宋_GB2312" w:cs="仿宋_GB2312"/>
          <w:bCs w:val="0"/>
          <w:color w:val="auto"/>
          <w:spacing w:val="0"/>
          <w:w w:val="100"/>
          <w:position w:val="0"/>
          <w:sz w:val="30"/>
          <w:szCs w:val="30"/>
          <w:lang w:eastAsia="zh-CN"/>
        </w:rPr>
        <w:t>，张掖</w:t>
      </w:r>
      <w:r>
        <w:rPr>
          <w:rFonts w:hint="eastAsia" w:ascii="仿宋_GB2312" w:hAnsi="仿宋_GB2312" w:eastAsia="仿宋_GB2312" w:cs="仿宋_GB2312"/>
          <w:bCs w:val="0"/>
          <w:color w:val="auto"/>
          <w:spacing w:val="0"/>
          <w:w w:val="100"/>
          <w:position w:val="0"/>
          <w:sz w:val="30"/>
          <w:szCs w:val="30"/>
          <w:lang w:val="en-US" w:eastAsia="zh-CN"/>
        </w:rPr>
        <w:t>市生态环境局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keepNext w:val="0"/>
        <w:keepLines w:val="0"/>
        <w:pageBreakBefore w:val="0"/>
        <w:widowControl w:val="0"/>
        <w:kinsoku/>
        <w:wordWrap/>
        <w:overflowPunct/>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9" w:name="_Toc9063"/>
      <w:bookmarkStart w:id="10" w:name="_Toc3436"/>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9"/>
      <w:bookmarkEnd w:id="10"/>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2"/>
        <w:tblW w:w="89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1"/>
        <w:gridCol w:w="927"/>
        <w:gridCol w:w="2147"/>
        <w:gridCol w:w="4494"/>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9" w:hRule="atLeast"/>
        </w:trPr>
        <w:tc>
          <w:tcPr>
            <w:tcW w:w="895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指标评价内容</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w:t>
            </w:r>
            <w:r>
              <w:rPr>
                <w:rFonts w:hint="default" w:ascii="仿宋_GB2312" w:hAnsi="仿宋_GB2312" w:eastAsia="仿宋_GB2312" w:cs="仿宋_GB2312"/>
                <w:b w:val="0"/>
                <w:bCs/>
                <w:color w:val="auto"/>
                <w:spacing w:val="0"/>
                <w:position w:val="0"/>
                <w:sz w:val="24"/>
                <w:szCs w:val="24"/>
                <w:lang w:val="en-US" w:eastAsia="zh-CN"/>
              </w:rPr>
              <w:t>分标准</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工作部署落实情况（45分）</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方案</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印发公平竞争审查方案（5分）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9"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建立相应审查机制</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建立公平竞争审查机制（10分）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建立投诉举报回应机制（5分）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相关文件</w:t>
            </w:r>
            <w:r>
              <w:rPr>
                <w:rFonts w:hint="eastAsia" w:ascii="仿宋_GB2312" w:hAnsi="仿宋_GB2312" w:eastAsia="仿宋_GB2312" w:cs="仿宋_GB2312"/>
                <w:b w:val="0"/>
                <w:bCs/>
                <w:color w:val="auto"/>
                <w:spacing w:val="0"/>
                <w:position w:val="0"/>
                <w:sz w:val="24"/>
                <w:szCs w:val="24"/>
                <w:lang w:val="en-US" w:eastAsia="zh-CN"/>
              </w:rPr>
              <w:t>、资料</w:t>
            </w:r>
            <w:r>
              <w:rPr>
                <w:rFonts w:hint="default"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引入第三方审查机制（5分）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第三方评估报告、专家意见等文件。</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7"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部署</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有具体的人员组成和分工。</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公平竞争审查机制运行状况（5分）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如是否形成自查报告等</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1"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宣传培训</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lang w:val="en-US" w:eastAsia="zh-CN"/>
              </w:rPr>
              <w:t>、有组织针对性的宣传（如</w:t>
            </w:r>
            <w:r>
              <w:rPr>
                <w:rFonts w:hint="default" w:ascii="仿宋_GB2312" w:hAnsi="仿宋_GB2312" w:eastAsia="仿宋_GB2312" w:cs="仿宋_GB2312"/>
                <w:b w:val="0"/>
                <w:bCs/>
                <w:color w:val="auto"/>
                <w:spacing w:val="0"/>
                <w:position w:val="0"/>
                <w:sz w:val="24"/>
                <w:szCs w:val="24"/>
                <w:lang w:val="en-US" w:eastAsia="zh-CN"/>
              </w:rPr>
              <w:t>宣传资料、活动照片</w:t>
            </w:r>
            <w:r>
              <w:rPr>
                <w:rFonts w:hint="eastAsia" w:ascii="仿宋_GB2312" w:hAnsi="仿宋_GB2312" w:eastAsia="仿宋_GB2312" w:cs="仿宋_GB2312"/>
                <w:b w:val="0"/>
                <w:bCs/>
                <w:color w:val="auto"/>
                <w:spacing w:val="0"/>
                <w:position w:val="0"/>
                <w:sz w:val="24"/>
                <w:szCs w:val="24"/>
                <w:lang w:val="en-US" w:eastAsia="zh-CN"/>
              </w:rPr>
              <w:t>、公众号等</w:t>
            </w:r>
            <w:r>
              <w:rPr>
                <w:rFonts w:hint="default" w:ascii="仿宋_GB2312" w:hAnsi="仿宋_GB2312" w:eastAsia="仿宋_GB2312" w:cs="仿宋_GB2312"/>
                <w:b w:val="0"/>
                <w:bCs/>
                <w:color w:val="auto"/>
                <w:spacing w:val="0"/>
                <w:position w:val="0"/>
                <w:sz w:val="24"/>
                <w:szCs w:val="24"/>
                <w:lang w:val="en-US" w:eastAsia="zh-CN"/>
              </w:rPr>
              <w:t>判定</w:t>
            </w:r>
            <w:r>
              <w:rPr>
                <w:rFonts w:hint="eastAsia"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9"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lang w:val="en-US" w:eastAsia="zh-CN"/>
              </w:rPr>
              <w:t>（如</w:t>
            </w:r>
            <w:r>
              <w:rPr>
                <w:rFonts w:hint="default" w:ascii="仿宋_GB2312" w:hAnsi="仿宋_GB2312" w:eastAsia="仿宋_GB2312" w:cs="仿宋_GB2312"/>
                <w:b w:val="0"/>
                <w:bCs/>
                <w:color w:val="auto"/>
                <w:spacing w:val="0"/>
                <w:position w:val="0"/>
                <w:sz w:val="24"/>
                <w:szCs w:val="24"/>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2"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政策措施审查清理情况（4</w:t>
            </w:r>
            <w:r>
              <w:rPr>
                <w:rFonts w:hint="eastAsia" w:ascii="仿宋_GB2312" w:hAnsi="仿宋_GB2312" w:eastAsia="仿宋_GB2312" w:cs="仿宋_GB2312"/>
                <w:b w:val="0"/>
                <w:bCs/>
                <w:color w:val="auto"/>
                <w:spacing w:val="0"/>
                <w:position w:val="0"/>
                <w:sz w:val="24"/>
                <w:szCs w:val="24"/>
                <w:lang w:val="en-US" w:eastAsia="zh-CN"/>
              </w:rPr>
              <w:t>0</w:t>
            </w:r>
            <w:r>
              <w:rPr>
                <w:rFonts w:hint="default" w:ascii="仿宋_GB2312" w:hAnsi="仿宋_GB2312" w:eastAsia="仿宋_GB2312" w:cs="仿宋_GB2312"/>
                <w:b w:val="0"/>
                <w:bCs/>
                <w:color w:val="auto"/>
                <w:spacing w:val="0"/>
                <w:position w:val="0"/>
                <w:sz w:val="24"/>
                <w:szCs w:val="24"/>
                <w:lang w:val="en-US" w:eastAsia="zh-CN"/>
              </w:rPr>
              <w:t>分）</w:t>
            </w:r>
          </w:p>
        </w:tc>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增量措施审查情况</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0"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政策措施审查是否全面（10分）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w:t>
            </w:r>
            <w:r>
              <w:rPr>
                <w:rFonts w:hint="eastAsia" w:ascii="仿宋_GB2312" w:hAnsi="仿宋_GB2312" w:eastAsia="仿宋_GB2312" w:cs="仿宋_GB2312"/>
                <w:b w:val="0"/>
                <w:bCs/>
                <w:color w:val="auto"/>
                <w:spacing w:val="0"/>
                <w:position w:val="0"/>
                <w:sz w:val="24"/>
                <w:szCs w:val="24"/>
                <w:lang w:val="en-US" w:eastAsia="zh-CN"/>
              </w:rPr>
              <w:t>审查</w:t>
            </w:r>
            <w:r>
              <w:rPr>
                <w:rFonts w:hint="default" w:ascii="仿宋_GB2312" w:hAnsi="仿宋_GB2312" w:eastAsia="仿宋_GB2312" w:cs="仿宋_GB2312"/>
                <w:b w:val="0"/>
                <w:bCs/>
                <w:color w:val="auto"/>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1"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存量措施清理情况</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4"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政策措施审查是否全面、规范（5分）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是否形成书面审查报告（</w:t>
            </w:r>
            <w:r>
              <w:rPr>
                <w:rFonts w:hint="eastAsia" w:ascii="仿宋_GB2312" w:hAnsi="仿宋_GB2312" w:eastAsia="仿宋_GB2312" w:cs="仿宋_GB2312"/>
                <w:b w:val="0"/>
                <w:bCs/>
                <w:color w:val="auto"/>
                <w:spacing w:val="0"/>
                <w:position w:val="0"/>
                <w:sz w:val="24"/>
                <w:szCs w:val="24"/>
                <w:lang w:val="en-US" w:eastAsia="zh-CN"/>
              </w:rPr>
              <w:t>5</w:t>
            </w:r>
            <w:r>
              <w:rPr>
                <w:rFonts w:hint="default" w:ascii="仿宋_GB2312" w:hAnsi="仿宋_GB2312" w:eastAsia="仿宋_GB2312" w:cs="仿宋_GB2312"/>
                <w:b w:val="0"/>
                <w:bCs/>
                <w:color w:val="auto"/>
                <w:spacing w:val="0"/>
                <w:position w:val="0"/>
                <w:sz w:val="24"/>
                <w:szCs w:val="24"/>
                <w:lang w:val="en-US" w:eastAsia="zh-CN"/>
              </w:rPr>
              <w:t>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lang w:val="en-US" w:eastAsia="zh-CN"/>
              </w:rPr>
              <w:t>。</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1"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公平竞争审查工作落实成效（15分）</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反馈</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无负面反馈得满分。</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7"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w:t>
            </w:r>
            <w:r>
              <w:rPr>
                <w:rFonts w:hint="eastAsia" w:ascii="仿宋_GB2312" w:hAnsi="仿宋_GB2312" w:eastAsia="仿宋_GB2312" w:cs="仿宋_GB2312"/>
                <w:b w:val="0"/>
                <w:bCs/>
                <w:color w:val="auto"/>
                <w:spacing w:val="0"/>
                <w:position w:val="0"/>
                <w:sz w:val="24"/>
                <w:szCs w:val="24"/>
                <w:lang w:val="en-US" w:eastAsia="zh-CN"/>
              </w:rPr>
              <w:t>已</w:t>
            </w:r>
            <w:r>
              <w:rPr>
                <w:rFonts w:hint="default" w:ascii="仿宋_GB2312" w:hAnsi="仿宋_GB2312" w:eastAsia="仿宋_GB2312" w:cs="仿宋_GB2312"/>
                <w:b w:val="0"/>
                <w:bCs/>
                <w:color w:val="auto"/>
                <w:spacing w:val="0"/>
                <w:position w:val="0"/>
                <w:sz w:val="24"/>
                <w:szCs w:val="24"/>
                <w:lang w:val="en-US" w:eastAsia="zh-CN"/>
              </w:rPr>
              <w:t>全部进行整改、废止的得满分。</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7"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0" w:hRule="atLeast"/>
        </w:trPr>
        <w:tc>
          <w:tcPr>
            <w:tcW w:w="17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最终得分</w:t>
            </w:r>
          </w:p>
        </w:tc>
        <w:tc>
          <w:tcPr>
            <w:tcW w:w="71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84</w:t>
            </w:r>
          </w:p>
        </w:tc>
      </w:tr>
    </w:tbl>
    <w:p>
      <w:pPr>
        <w:keepNext w:val="0"/>
        <w:keepLines w:val="0"/>
        <w:pageBreakBefore w:val="0"/>
        <w:widowControl/>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楷体_GB2312" w:hAnsi="楷体_GB2312" w:eastAsia="楷体_GB2312" w:cs="楷体_GB2312"/>
          <w:color w:val="auto"/>
          <w:spacing w:val="0"/>
          <w:w w:val="100"/>
          <w:position w:val="0"/>
          <w:sz w:val="30"/>
          <w:szCs w:val="30"/>
        </w:rPr>
      </w:pPr>
      <w:bookmarkStart w:id="11" w:name="_Toc2291"/>
      <w:r>
        <w:rPr>
          <w:rFonts w:hint="eastAsia" w:ascii="楷体_GB2312" w:hAnsi="楷体_GB2312" w:eastAsia="楷体_GB2312" w:cs="楷体_GB2312"/>
          <w:color w:val="auto"/>
          <w:spacing w:val="0"/>
          <w:w w:val="100"/>
          <w:kern w:val="0"/>
          <w:position w:val="0"/>
          <w:sz w:val="30"/>
          <w:szCs w:val="30"/>
          <w:lang w:val="en-US" w:eastAsia="zh-CN" w:bidi="ar"/>
        </w:rPr>
        <w:t>（二）政策措施抽样评估得分</w:t>
      </w:r>
      <w:bookmarkEnd w:id="11"/>
    </w:p>
    <w:p>
      <w:pPr>
        <w:keepNext w:val="0"/>
        <w:keepLines w:val="0"/>
        <w:pageBreakBefore w:val="0"/>
        <w:widowControl/>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color w:val="auto"/>
          <w:spacing w:val="0"/>
          <w:w w:val="100"/>
          <w:position w:val="0"/>
          <w:sz w:val="30"/>
          <w:szCs w:val="30"/>
        </w:rPr>
      </w:pPr>
      <w:r>
        <w:rPr>
          <w:rFonts w:hint="eastAsia" w:ascii="仿宋_GB2312" w:hAnsi="仿宋_GB2312" w:eastAsia="仿宋_GB2312" w:cs="仿宋_GB2312"/>
          <w:color w:val="auto"/>
          <w:spacing w:val="0"/>
          <w:w w:val="100"/>
          <w:kern w:val="0"/>
          <w:position w:val="0"/>
          <w:sz w:val="30"/>
          <w:szCs w:val="30"/>
          <w:lang w:val="en-US" w:eastAsia="zh-CN" w:bidi="ar"/>
        </w:rPr>
        <w:t>按照《张掖市公平竞争审查工作第三方评估执行手册》中评估指标量化打分，市生态环境局在政策措施抽样评估方面具体得分如表2所示：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表2政策措施评估结果统计表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3178"/>
        <w:gridCol w:w="2709"/>
        <w:gridCol w:w="963"/>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13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项目</w:t>
            </w:r>
          </w:p>
        </w:tc>
        <w:tc>
          <w:tcPr>
            <w:tcW w:w="31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0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有违反公平竞争的政策措施数量（份）</w:t>
            </w:r>
          </w:p>
        </w:tc>
        <w:tc>
          <w:tcPr>
            <w:tcW w:w="9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差错率（%）</w:t>
            </w:r>
          </w:p>
        </w:tc>
        <w:tc>
          <w:tcPr>
            <w:tcW w:w="74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3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w:t>
            </w:r>
          </w:p>
        </w:tc>
        <w:tc>
          <w:tcPr>
            <w:tcW w:w="31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w:t>
            </w:r>
          </w:p>
        </w:tc>
        <w:tc>
          <w:tcPr>
            <w:tcW w:w="270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9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74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highlight w:val="none"/>
          <w:lang w:val="en-US" w:eastAsia="zh-CN"/>
        </w:rPr>
      </w:pPr>
      <w:r>
        <w:rPr>
          <w:rFonts w:hint="eastAsia" w:ascii="仿宋_GB2312" w:hAnsi="仿宋_GB2312" w:eastAsia="仿宋_GB2312" w:cs="仿宋_GB2312"/>
          <w:bCs w:val="0"/>
          <w:color w:val="auto"/>
          <w:spacing w:val="0"/>
          <w:w w:val="100"/>
          <w:position w:val="0"/>
          <w:sz w:val="30"/>
          <w:szCs w:val="30"/>
          <w:highlight w:val="none"/>
          <w:lang w:val="en-US" w:eastAsia="zh-CN"/>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表3政策措施评估标准及计算方法</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829"/>
        <w:gridCol w:w="1609"/>
        <w:gridCol w:w="1525"/>
        <w:gridCol w:w="1682"/>
        <w:gridCol w:w="1147"/>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3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评估内容</w:t>
            </w:r>
          </w:p>
        </w:tc>
        <w:tc>
          <w:tcPr>
            <w:tcW w:w="6792" w:type="dxa"/>
            <w:gridSpan w:val="5"/>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评估标准</w:t>
            </w:r>
          </w:p>
        </w:tc>
        <w:tc>
          <w:tcPr>
            <w:tcW w:w="7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3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政策措施差错率</w:t>
            </w:r>
          </w:p>
        </w:tc>
        <w:tc>
          <w:tcPr>
            <w:tcW w:w="82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160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（0%，10%）</w:t>
            </w:r>
          </w:p>
        </w:tc>
        <w:tc>
          <w:tcPr>
            <w:tcW w:w="15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（10%，20%）</w:t>
            </w:r>
          </w:p>
        </w:tc>
        <w:tc>
          <w:tcPr>
            <w:tcW w:w="168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（20%，40%）</w:t>
            </w:r>
          </w:p>
        </w:tc>
        <w:tc>
          <w:tcPr>
            <w:tcW w:w="114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&gt;40%</w:t>
            </w:r>
          </w:p>
        </w:tc>
        <w:tc>
          <w:tcPr>
            <w:tcW w:w="7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3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对应得分</w:t>
            </w:r>
          </w:p>
        </w:tc>
        <w:tc>
          <w:tcPr>
            <w:tcW w:w="82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160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90</w:t>
            </w:r>
          </w:p>
        </w:tc>
        <w:tc>
          <w:tcPr>
            <w:tcW w:w="15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168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70</w:t>
            </w:r>
          </w:p>
        </w:tc>
        <w:tc>
          <w:tcPr>
            <w:tcW w:w="114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60</w:t>
            </w:r>
          </w:p>
        </w:tc>
        <w:tc>
          <w:tcPr>
            <w:tcW w:w="7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Autospacing="0" w:line="540" w:lineRule="exact"/>
        <w:ind w:left="0" w:leftChars="0" w:right="0" w:rightChars="0" w:firstLine="600" w:firstLineChars="200"/>
        <w:jc w:val="both"/>
        <w:textAlignment w:val="auto"/>
        <w:outlineLvl w:val="1"/>
        <w:rPr>
          <w:rFonts w:hint="eastAsia" w:ascii="楷体_GB2312" w:hAnsi="楷体_GB2312" w:eastAsia="楷体_GB2312" w:cs="楷体_GB2312"/>
          <w:color w:val="auto"/>
          <w:spacing w:val="0"/>
          <w:w w:val="100"/>
          <w:kern w:val="0"/>
          <w:position w:val="0"/>
          <w:sz w:val="30"/>
          <w:szCs w:val="30"/>
          <w:lang w:val="en-US" w:eastAsia="zh-CN" w:bidi="ar"/>
        </w:rPr>
      </w:pPr>
      <w:bookmarkStart w:id="12" w:name="_Toc25835"/>
      <w:r>
        <w:rPr>
          <w:rFonts w:hint="eastAsia" w:ascii="楷体_GB2312" w:hAnsi="楷体_GB2312" w:eastAsia="楷体_GB2312" w:cs="楷体_GB2312"/>
          <w:color w:val="auto"/>
          <w:spacing w:val="0"/>
          <w:w w:val="100"/>
          <w:kern w:val="0"/>
          <w:position w:val="0"/>
          <w:sz w:val="30"/>
          <w:szCs w:val="30"/>
          <w:lang w:val="en-US" w:eastAsia="zh-CN" w:bidi="ar"/>
        </w:rPr>
        <w:t>（三）公平竞争审查第三方评估工作配合情况得分</w:t>
      </w:r>
      <w:bookmarkEnd w:id="12"/>
    </w:p>
    <w:p>
      <w:pPr>
        <w:keepNext w:val="0"/>
        <w:keepLines w:val="0"/>
        <w:pageBreakBefore w:val="0"/>
        <w:widowControl w:val="0"/>
        <w:numPr>
          <w:ilvl w:val="0"/>
          <w:numId w:val="0"/>
        </w:numPr>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color w:val="auto"/>
          <w:spacing w:val="0"/>
          <w:w w:val="100"/>
          <w:kern w:val="0"/>
          <w:position w:val="0"/>
          <w:sz w:val="30"/>
          <w:szCs w:val="30"/>
          <w:lang w:val="en-US" w:eastAsia="zh-CN" w:bidi="ar"/>
        </w:rPr>
      </w:pPr>
      <w:r>
        <w:rPr>
          <w:rFonts w:hint="eastAsia" w:ascii="仿宋_GB2312" w:hAnsi="仿宋_GB2312" w:eastAsia="仿宋_GB2312" w:cs="仿宋_GB2312"/>
          <w:color w:val="auto"/>
          <w:spacing w:val="0"/>
          <w:w w:val="100"/>
          <w:kern w:val="0"/>
          <w:position w:val="0"/>
          <w:sz w:val="30"/>
          <w:szCs w:val="30"/>
          <w:lang w:val="en-US" w:eastAsia="zh-CN" w:bidi="ar"/>
        </w:rPr>
        <w:t>张掖市生态环境局在公平竞争审查工作第三方评估项目中积极配合，及时提交评估所需文件及佐证材料，沟通顺畅，确保了公平竞争审查第三方评估工作顺利开展，按</w:t>
      </w:r>
      <w:r>
        <w:rPr>
          <w:rFonts w:hint="eastAsia" w:ascii="仿宋_GB2312" w:hAnsi="仿宋_GB2312" w:eastAsia="仿宋_GB2312" w:cs="仿宋_GB2312"/>
          <w:color w:val="auto"/>
          <w:spacing w:val="0"/>
          <w:w w:val="100"/>
          <w:kern w:val="0"/>
          <w:position w:val="0"/>
          <w:sz w:val="30"/>
          <w:szCs w:val="30"/>
          <w:highlight w:val="none"/>
          <w:lang w:val="en-US" w:eastAsia="zh-CN" w:bidi="ar"/>
        </w:rPr>
        <w:t>照《张掖市公平竞争审查工作第三方评估执行手册》中评估指标量化打分</w:t>
      </w:r>
      <w:r>
        <w:rPr>
          <w:rFonts w:hint="eastAsia" w:ascii="仿宋_GB2312" w:hAnsi="仿宋_GB2312" w:eastAsia="仿宋_GB2312" w:cs="仿宋_GB2312"/>
          <w:color w:val="auto"/>
          <w:spacing w:val="0"/>
          <w:w w:val="100"/>
          <w:kern w:val="0"/>
          <w:position w:val="0"/>
          <w:sz w:val="30"/>
          <w:szCs w:val="30"/>
          <w:lang w:val="en-US" w:eastAsia="zh-CN" w:bidi="ar"/>
        </w:rPr>
        <w:t>，张掖市生态环境局在工作配合情况中得100分。</w:t>
      </w:r>
    </w:p>
    <w:p>
      <w:pPr>
        <w:keepNext w:val="0"/>
        <w:keepLines w:val="0"/>
        <w:pageBreakBefore w:val="0"/>
        <w:widowControl w:val="0"/>
        <w:numPr>
          <w:ilvl w:val="0"/>
          <w:numId w:val="0"/>
        </w:numPr>
        <w:suppressLineNumbers w:val="0"/>
        <w:kinsoku/>
        <w:wordWrap/>
        <w:overflowPunct/>
        <w:topLinePunct/>
        <w:autoSpaceDE/>
        <w:autoSpaceDN/>
        <w:bidi w:val="0"/>
        <w:adjustRightInd/>
        <w:snapToGrid/>
        <w:spacing w:beforeAutospacing="0" w:afterAutospacing="0" w:line="540" w:lineRule="exact"/>
        <w:ind w:left="0" w:leftChars="0" w:right="0" w:rightChars="0" w:firstLine="600" w:firstLineChars="200"/>
        <w:jc w:val="both"/>
        <w:textAlignment w:val="auto"/>
        <w:outlineLvl w:val="1"/>
        <w:rPr>
          <w:rFonts w:hint="eastAsia" w:ascii="楷体_GB2312" w:hAnsi="楷体_GB2312" w:eastAsia="楷体_GB2312" w:cs="楷体_GB2312"/>
          <w:color w:val="auto"/>
          <w:spacing w:val="0"/>
          <w:w w:val="100"/>
          <w:kern w:val="0"/>
          <w:position w:val="0"/>
          <w:sz w:val="30"/>
          <w:szCs w:val="30"/>
          <w:lang w:val="en-US" w:eastAsia="zh-CN" w:bidi="ar"/>
        </w:rPr>
      </w:pPr>
      <w:bookmarkStart w:id="13" w:name="_Toc32265"/>
      <w:r>
        <w:rPr>
          <w:rFonts w:hint="eastAsia" w:ascii="楷体_GB2312" w:hAnsi="楷体_GB2312" w:eastAsia="楷体_GB2312" w:cs="楷体_GB2312"/>
          <w:color w:val="auto"/>
          <w:spacing w:val="0"/>
          <w:w w:val="100"/>
          <w:kern w:val="0"/>
          <w:position w:val="0"/>
          <w:sz w:val="30"/>
          <w:szCs w:val="30"/>
          <w:lang w:val="en-US" w:eastAsia="zh-CN" w:bidi="ar"/>
        </w:rPr>
        <w:t>（四）公平竞争审查第三方评估最终得分</w:t>
      </w:r>
      <w:bookmarkEnd w:id="13"/>
    </w:p>
    <w:p>
      <w:pPr>
        <w:keepNext w:val="0"/>
        <w:keepLines w:val="0"/>
        <w:pageBreakBefore w:val="0"/>
        <w:widowControl w:val="0"/>
        <w:numPr>
          <w:ilvl w:val="0"/>
          <w:numId w:val="0"/>
        </w:numPr>
        <w:suppressLineNumbers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color w:val="auto"/>
          <w:spacing w:val="0"/>
          <w:w w:val="100"/>
          <w:kern w:val="0"/>
          <w:position w:val="0"/>
          <w:sz w:val="30"/>
          <w:szCs w:val="30"/>
          <w:lang w:val="en-US" w:eastAsia="zh-CN" w:bidi="ar"/>
        </w:rPr>
      </w:pPr>
      <w:r>
        <w:rPr>
          <w:rFonts w:hint="eastAsia" w:ascii="仿宋_GB2312" w:hAnsi="仿宋_GB2312" w:eastAsia="仿宋_GB2312" w:cs="仿宋_GB2312"/>
          <w:color w:val="auto"/>
          <w:spacing w:val="0"/>
          <w:w w:val="100"/>
          <w:kern w:val="0"/>
          <w:position w:val="0"/>
          <w:sz w:val="30"/>
          <w:szCs w:val="30"/>
          <w:lang w:val="en-US" w:eastAsia="zh-CN" w:bidi="ar"/>
        </w:rPr>
        <w:t>根据最终得分=工作部署落实情况评估得分×50%+政策措施评估得分×40%+工作配合情况得分×10%的计算公式，张掖市生态环境局最终得分如表4所示：</w:t>
      </w:r>
    </w:p>
    <w:p>
      <w:pPr>
        <w:keepNext w:val="0"/>
        <w:keepLines w:val="0"/>
        <w:pageBreakBefore w:val="0"/>
        <w:widowControl w:val="0"/>
        <w:suppressLineNumbers w:val="0"/>
        <w:kinsoku/>
        <w:wordWrap/>
        <w:overflowPunct/>
        <w:autoSpaceDE w:val="0"/>
        <w:autoSpaceDN/>
        <w:bidi w:val="0"/>
        <w:adjustRightInd/>
        <w:snapToGrid/>
        <w:spacing w:before="0" w:beforeAutospacing="0" w:after="0" w:afterAutospacing="0" w:line="560" w:lineRule="exact"/>
        <w:ind w:left="0" w:leftChars="0" w:right="0" w:rightChars="0" w:firstLine="0" w:firstLineChars="0"/>
        <w:jc w:val="center"/>
        <w:textAlignment w:val="auto"/>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表4张掖市生态环境局第三方评估最终得分</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4"/>
        <w:gridCol w:w="3057"/>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被评估单位</w:t>
            </w:r>
          </w:p>
        </w:tc>
        <w:tc>
          <w:tcPr>
            <w:tcW w:w="611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公平竞争审查政策措施评估得分</w:t>
            </w:r>
          </w:p>
        </w:tc>
        <w:tc>
          <w:tcPr>
            <w:tcW w:w="305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84</w:t>
            </w:r>
          </w:p>
        </w:tc>
        <w:tc>
          <w:tcPr>
            <w:tcW w:w="305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305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总分计算过程</w:t>
            </w:r>
          </w:p>
        </w:tc>
        <w:tc>
          <w:tcPr>
            <w:tcW w:w="611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84×50%+100×40%+100×10=92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w:t>
            </w:r>
          </w:p>
        </w:tc>
        <w:tc>
          <w:tcPr>
            <w:tcW w:w="611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92</w:t>
            </w:r>
          </w:p>
        </w:tc>
      </w:tr>
    </w:tbl>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14" w:name="_Toc8593"/>
      <w:r>
        <w:rPr>
          <w:rFonts w:hint="eastAsia" w:ascii="黑体" w:hAnsi="黑体" w:eastAsia="黑体" w:cs="黑体"/>
          <w:b w:val="0"/>
          <w:bCs/>
          <w:color w:val="auto"/>
          <w:spacing w:val="0"/>
          <w:kern w:val="2"/>
          <w:position w:val="0"/>
          <w:sz w:val="32"/>
          <w:szCs w:val="32"/>
          <w:lang w:val="en-US" w:eastAsia="zh-CN" w:bidi="ar"/>
        </w:rPr>
        <w:t>四、意见建议</w:t>
      </w:r>
      <w:bookmarkEnd w:id="14"/>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一）加强审查机制建设，健全审查保障机制在此次公平竞争第三方评估过程中，张掖市生态环境局部分政策措施出台前未进行公平竞争审查,新出台的涉及市场主体经营行为的政策措施可能会存在妨碍统一市场建设与公平竞争的风险，因此应当从审查机制建设入手，确保公平竞争审查机制运行顺畅。</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一是坚持“谁起草、谁审查、谁担责”的原则，重点落实起草部门的责任,涉及市场主体经营活动的政策措施需经起草部门负责人在进行公平竞争审查后填写《公平竞争审查表》，各科室负责对本部门制定的政策措施进行公平竞争审查初审，将初审结果报法制与规划发展科进行复审，只有通过依法审查，强化监督的做法，建立健全公平竞争审查保障机制，把自我审查和外部监督相结合，才能防止滥用行政权力排除、限制竞争行为。</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二是确保应纳入公平竞争审查的政策措施均进行公平竞争审查程序，各政策措施制定科室无法确定是否应进行公平竞争审查的，应报送法制与规划发展科进行研判，加强各业务处室同法规处的沟通协调，确保应纳入公平竞争审查的政策措施均按照公平竞争审查工作要求进行彻底审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三是健全审查保障机制，法制与规划发展科可定期检查各业务科室报送公平竞争审查文件是否全面，对应纳入公平竞争审查而未进行的，要及时补充审查，如有违反公平竞争审查标准的，应及时修改或予以废止。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仿宋_GB2312" w:hAnsi="仿宋_GB2312" w:eastAsia="仿宋_GB2312" w:cs="仿宋_GB2312"/>
          <w:bCs w:val="0"/>
          <w:color w:val="auto"/>
          <w:spacing w:val="0"/>
          <w:w w:val="100"/>
          <w:position w:val="0"/>
          <w:sz w:val="30"/>
          <w:szCs w:val="30"/>
          <w:lang w:val="en-US" w:eastAsia="zh-CN"/>
        </w:rPr>
      </w:pPr>
      <w:bookmarkStart w:id="15" w:name="_Toc18563"/>
      <w:r>
        <w:rPr>
          <w:rFonts w:hint="eastAsia" w:ascii="仿宋_GB2312" w:hAnsi="仿宋_GB2312" w:eastAsia="仿宋_GB2312" w:cs="仿宋_GB2312"/>
          <w:bCs w:val="0"/>
          <w:color w:val="auto"/>
          <w:spacing w:val="0"/>
          <w:w w:val="100"/>
          <w:position w:val="0"/>
          <w:sz w:val="30"/>
          <w:szCs w:val="30"/>
          <w:lang w:val="en-US" w:eastAsia="zh-CN"/>
        </w:rPr>
        <w:t>（一）加强内部培训，增强审查意识</w:t>
      </w:r>
      <w:bookmarkEnd w:id="15"/>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公平竞争审查制度运行不畅、应纳入审查范围文件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一是加强本单位公平竞争审查机制与具体实施方案内容学习，规范公平竞争审查流程，确保政策制定人员对公平竞争审查流程有深刻认识,相关培训不仅要覆盖到法制与规划发展科工作人员，各职能科室也要重点学习，确保本科室文件能够按照公平竞争审查机制进行审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二是通过案例教育加深对公平竞争审查内容的理解，学习本单位已发现的违反公平竞争审查标准的案例，以及全省、全市典型案例，深刻理解公平竞争审查标准，此类培训对政策文件制定职能科室要求在政策措施制定过程中，尽可能避免出台违反公平竞争审查标准的文件,对于法制与规划发展科负责公平竞争审查的职能人员要求能够发现各职能科室所制定政策措施违反公平竞争审查标准的内容。</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仿宋_GB2312" w:hAnsi="仿宋_GB2312" w:eastAsia="仿宋_GB2312" w:cs="仿宋_GB2312"/>
          <w:bCs w:val="0"/>
          <w:color w:val="auto"/>
          <w:spacing w:val="0"/>
          <w:w w:val="100"/>
          <w:position w:val="0"/>
          <w:sz w:val="30"/>
          <w:szCs w:val="30"/>
          <w:lang w:val="en-US" w:eastAsia="zh-CN"/>
        </w:rPr>
      </w:pPr>
      <w:bookmarkStart w:id="16" w:name="_Toc17534"/>
      <w:r>
        <w:rPr>
          <w:rFonts w:hint="eastAsia" w:ascii="仿宋_GB2312" w:hAnsi="仿宋_GB2312" w:eastAsia="仿宋_GB2312" w:cs="仿宋_GB2312"/>
          <w:bCs w:val="0"/>
          <w:color w:val="auto"/>
          <w:spacing w:val="0"/>
          <w:w w:val="100"/>
          <w:position w:val="0"/>
          <w:sz w:val="30"/>
          <w:szCs w:val="30"/>
          <w:lang w:val="en-US" w:eastAsia="zh-CN"/>
        </w:rPr>
        <w:t>（二）聘请第三方进行审查，增强审查专业性</w:t>
      </w:r>
      <w:bookmarkEnd w:id="16"/>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目前，公平竞争审查工作主要采取先由政策措施起草科室自查，再提交法制与规划发展科复查的形式,审查人员工作量大，审查质量难以保证，因此，建议联合外部的专业力量和团队，采取第三方审查方式，推动审查工作更精准、更专业、更高效。</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1"/>
        <w:rPr>
          <w:rFonts w:hint="eastAsia" w:ascii="仿宋_GB2312" w:hAnsi="仿宋_GB2312" w:eastAsia="仿宋_GB2312" w:cs="仿宋_GB2312"/>
          <w:bCs w:val="0"/>
          <w:color w:val="auto"/>
          <w:spacing w:val="0"/>
          <w:w w:val="100"/>
          <w:position w:val="0"/>
          <w:sz w:val="30"/>
          <w:szCs w:val="30"/>
          <w:lang w:val="en-US" w:eastAsia="zh-CN"/>
        </w:rPr>
      </w:pPr>
      <w:bookmarkStart w:id="17" w:name="_Toc19916"/>
      <w:r>
        <w:rPr>
          <w:rFonts w:hint="eastAsia" w:ascii="仿宋_GB2312" w:hAnsi="仿宋_GB2312" w:eastAsia="仿宋_GB2312" w:cs="仿宋_GB2312"/>
          <w:bCs w:val="0"/>
          <w:color w:val="auto"/>
          <w:spacing w:val="0"/>
          <w:w w:val="100"/>
          <w:position w:val="0"/>
          <w:sz w:val="30"/>
          <w:szCs w:val="30"/>
          <w:lang w:val="en-US" w:eastAsia="zh-CN"/>
        </w:rPr>
        <w:t>（三）利用好公平竞争审查投诉举报回应机制</w:t>
      </w:r>
      <w:bookmarkEnd w:id="17"/>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r>
        <w:rPr>
          <w:rFonts w:hint="eastAsia" w:ascii="仿宋_GB2312" w:hAnsi="仿宋_GB2312" w:eastAsia="仿宋_GB2312" w:cs="仿宋_GB2312"/>
          <w:bCs w:val="0"/>
          <w:color w:val="auto"/>
          <w:spacing w:val="0"/>
          <w:w w:val="100"/>
          <w:position w:val="0"/>
          <w:sz w:val="30"/>
          <w:szCs w:val="30"/>
          <w:lang w:val="en-US" w:eastAsia="zh-CN"/>
        </w:rPr>
        <w:t>投诉举报回应机制的建立有助于充分发挥公平竞争审查工作中社会监督的作用,是提高公平竞争审查政策透明度的有效途径，张掖市生态环境局可以通过公平竞争审查投诉举报“一站式”受理与处理机制，及时回应群众关切，发现和纠正政策措施中出现排除和限制竞争的问题。</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Cs w:val="0"/>
          <w:color w:val="auto"/>
          <w:spacing w:val="0"/>
          <w:w w:val="100"/>
          <w:position w:val="0"/>
          <w:sz w:val="30"/>
          <w:szCs w:val="30"/>
          <w:lang w:val="en-US" w:eastAsia="zh-CN"/>
        </w:rPr>
      </w:pPr>
    </w:p>
    <w:p>
      <w:pPr>
        <w:ind w:firstLine="450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_GB2312" w:hAnsi="仿宋_GB2312" w:eastAsia="仿宋_GB2312" w:cs="仿宋_GB2312"/>
          <w:bCs w:val="0"/>
          <w:color w:val="auto"/>
          <w:spacing w:val="0"/>
          <w:w w:val="100"/>
          <w:position w:val="0"/>
          <w:sz w:val="30"/>
          <w:szCs w:val="30"/>
          <w:lang w:val="en-US" w:eastAsia="zh-CN"/>
        </w:rPr>
        <w:t xml:space="preserve">    </w:t>
      </w: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4800" w:firstLineChars="1500"/>
        <w:rPr>
          <w:rFonts w:hint="default"/>
          <w:color w:val="auto"/>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default" w:ascii="仿宋_GB2312" w:hAnsi="仿宋_GB2312" w:eastAsia="仿宋_GB2312" w:cs="仿宋_GB2312"/>
          <w:bCs w:val="0"/>
          <w:color w:val="auto"/>
          <w:spacing w:val="0"/>
          <w:w w:val="100"/>
          <w:position w:val="0"/>
          <w:sz w:val="30"/>
          <w:szCs w:val="30"/>
          <w:lang w:val="en-US" w:eastAsia="zh-CN"/>
        </w:rPr>
        <w:sectPr>
          <w:footerReference r:id="rId3" w:type="default"/>
          <w:pgSz w:w="11906" w:h="16839"/>
          <w:pgMar w:top="2098" w:right="1474" w:bottom="1984" w:left="1587" w:header="850" w:footer="1417" w:gutter="0"/>
          <w:pgBorders>
            <w:top w:val="none" w:sz="0" w:space="0"/>
            <w:left w:val="none" w:sz="0" w:space="0"/>
            <w:bottom w:val="none" w:sz="0" w:space="0"/>
            <w:right w:val="none" w:sz="0" w:space="0"/>
          </w:pgBorders>
          <w:pgNumType w:fmt="decimal" w:start="1"/>
          <w:cols w:space="0" w:num="1"/>
          <w:rtlGutter w:val="0"/>
          <w:docGrid w:linePitch="0" w:charSpace="0"/>
        </w:sect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8" w:name="_Toc2834"/>
      <w:r>
        <w:rPr>
          <w:rFonts w:hint="eastAsia" w:ascii="黑体" w:hAnsi="黑体" w:eastAsia="黑体" w:cs="黑体"/>
          <w:b w:val="0"/>
          <w:bCs/>
          <w:color w:val="auto"/>
          <w:spacing w:val="0"/>
          <w:position w:val="0"/>
          <w:sz w:val="32"/>
          <w:szCs w:val="32"/>
          <w:lang w:val="en-US" w:eastAsia="zh-CN"/>
        </w:rPr>
        <w:t>附件一：市生态环境局提供文件目录</w:t>
      </w:r>
      <w:bookmarkEnd w:id="18"/>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lang w:val="en-US" w:eastAsia="zh-CN"/>
        </w:rPr>
      </w:pPr>
      <w:bookmarkStart w:id="19" w:name="_Toc5341"/>
      <w:r>
        <w:rPr>
          <w:rFonts w:hint="eastAsia" w:ascii="黑体" w:hAnsi="黑体" w:eastAsia="黑体" w:cs="黑体"/>
          <w:b w:val="0"/>
          <w:bCs/>
          <w:color w:val="auto"/>
          <w:spacing w:val="0"/>
          <w:kern w:val="2"/>
          <w:position w:val="0"/>
          <w:sz w:val="28"/>
          <w:szCs w:val="30"/>
          <w:lang w:val="en-US" w:eastAsia="zh-CN" w:bidi="ar"/>
        </w:rPr>
        <w:t>张掖市生态环境局提供文件目录</w:t>
      </w:r>
      <w:bookmarkEnd w:id="19"/>
    </w:p>
    <w:tbl>
      <w:tblPr>
        <w:tblStyle w:val="1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
        <w:gridCol w:w="1763"/>
        <w:gridCol w:w="5016"/>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序号</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50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张环委办发〔2019〕1号</w:t>
            </w:r>
          </w:p>
        </w:tc>
        <w:tc>
          <w:tcPr>
            <w:tcW w:w="5016"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张掖市环境保护委员会办公室关于印发《实施环境监管“小微权力”清单化管理工作方案》的通知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张环办发〔2019〕34号</w:t>
            </w:r>
          </w:p>
        </w:tc>
        <w:tc>
          <w:tcPr>
            <w:tcW w:w="5016"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张掖市生态环境局关于进一步加强建筑企业夜间施工环境管理工作的通知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张环发〔2019〕82号</w:t>
            </w:r>
          </w:p>
        </w:tc>
        <w:tc>
          <w:tcPr>
            <w:tcW w:w="5016"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张掖市生态环境局关于印发《开展重点企业环境监管“小微权力”清单化管理试点工作方案》的通知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张环发〔2020〕10号</w:t>
            </w:r>
          </w:p>
        </w:tc>
        <w:tc>
          <w:tcPr>
            <w:tcW w:w="5016"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关于印发张掖市铅蓄电池生产企业集中收集和跨区域转运制度工作方案的通知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张环函〔2020〕269号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5016"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张掖市生态环境局关于印发张掖市生态环境系统非法违法“小化工”专项整治实施方案的通知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张环发〔2021〕6号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张掖市生态环境局关于委托张掖市生态环境保护综合行政执法队张掖市生态环境局各县分局实施环境行政处罚有关事项的通知（3.18日修改）（1）</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张环办发〔2021〕16号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关于印发张掖市生态环境局环境影响评价技术单位考核管理制度（修订）的通知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张环环评发〔2021〕16号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关于印发张掖市生态环境局严格高耗能高排放建设项目生态环境管理工作实施方案的通知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张环函〔2021〕243号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张掖市生态环境局关于印发《张掖市生态环境准入清单（试行）》的函</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张环委办发〔2022〕2号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关于印发张掖市新冠肺炎疫情期间医疗污水和城镇污水应急处理方案的通知（1）</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11</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市委发〔2022〕12号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中共张掖市委、张掖市人民政府关于深入打好污染防治攻坚战的实施意见</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12</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张环环评发〔2022〕23号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关于印发2022年度环评与排污许可监管工作方案的通知（1）</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13</w:t>
            </w:r>
          </w:p>
        </w:tc>
        <w:tc>
          <w:tcPr>
            <w:tcW w:w="17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张政办发〔2022〕131号</w:t>
            </w:r>
          </w:p>
        </w:tc>
        <w:tc>
          <w:tcPr>
            <w:tcW w:w="50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张掖市人民政府办公室关于印发张掖市强化危险废物监管和利用处置能力改革工作实施方案的通知</w:t>
            </w:r>
          </w:p>
        </w:tc>
        <w:tc>
          <w:tcPr>
            <w:tcW w:w="119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bl>
    <w:p>
      <w:pPr>
        <w:keepNext w:val="0"/>
        <w:keepLines w:val="0"/>
        <w:pageBreakBefore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_GB2312" w:hAnsi="仿宋_GB2312" w:eastAsia="仿宋_GB2312" w:cs="仿宋_GB2312"/>
          <w:color w:val="auto"/>
          <w:spacing w:val="0"/>
          <w:w w:val="100"/>
          <w:position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20" w:name="_Toc2843"/>
      <w:r>
        <w:rPr>
          <w:rFonts w:hint="eastAsia" w:ascii="黑体" w:hAnsi="黑体" w:eastAsia="黑体" w:cs="黑体"/>
          <w:b w:val="0"/>
          <w:bCs/>
          <w:color w:val="auto"/>
          <w:spacing w:val="0"/>
          <w:position w:val="0"/>
          <w:sz w:val="32"/>
          <w:szCs w:val="32"/>
          <w:lang w:val="en-US" w:eastAsia="zh-CN"/>
        </w:rPr>
        <w:t>附件二：市生态环境局政策措施评估表</w:t>
      </w:r>
      <w:bookmarkEnd w:id="20"/>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color w:val="auto"/>
          <w:lang w:val="en-US" w:eastAsia="zh-CN"/>
        </w:rPr>
      </w:pPr>
      <w:bookmarkStart w:id="21" w:name="_Toc9270"/>
      <w:bookmarkStart w:id="22" w:name="_Toc26904"/>
      <w:r>
        <w:rPr>
          <w:rFonts w:hint="eastAsia" w:ascii="黑体" w:hAnsi="黑体" w:eastAsia="黑体" w:cs="黑体"/>
          <w:b w:val="0"/>
          <w:bCs/>
          <w:color w:val="auto"/>
          <w:spacing w:val="0"/>
          <w:kern w:val="2"/>
          <w:position w:val="0"/>
          <w:sz w:val="28"/>
          <w:szCs w:val="30"/>
          <w:lang w:val="en-US" w:eastAsia="zh-CN" w:bidi="ar"/>
        </w:rPr>
        <w:t>公平竞争第三方审查表</w:t>
      </w:r>
      <w:bookmarkEnd w:id="21"/>
      <w:bookmarkEnd w:id="22"/>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07"/>
        <w:gridCol w:w="12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5"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4"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张掖市环境保护委员会办公室关于印发《实施环境监管“小微权力”清单化管理工作方案》的通知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张环委办发〔2019〕1号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属于自查范围，以自查报告为准。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23" w:name="_Toc336"/>
      <w:r>
        <w:rPr>
          <w:rFonts w:hint="eastAsia" w:ascii="黑体" w:hAnsi="黑体" w:eastAsia="黑体" w:cs="黑体"/>
          <w:b w:val="0"/>
          <w:bCs/>
          <w:color w:val="auto"/>
          <w:spacing w:val="0"/>
          <w:kern w:val="2"/>
          <w:position w:val="0"/>
          <w:sz w:val="28"/>
          <w:szCs w:val="30"/>
          <w:lang w:val="en-US" w:eastAsia="zh-CN" w:bidi="ar"/>
        </w:rPr>
        <w:t>公平竞争第三方审查表</w:t>
      </w:r>
      <w:bookmarkEnd w:id="23"/>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07"/>
        <w:gridCol w:w="12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5"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4"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张掖市生态环境局关于进一步加强建筑企业夜间施工环境管理工作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张环办发〔2019〕34号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5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属于自查范围，以自查报告为准</w:t>
            </w:r>
          </w:p>
        </w:tc>
      </w:tr>
    </w:tbl>
    <w:p>
      <w:pPr>
        <w:rPr>
          <w:color w:val="auto"/>
        </w:rPr>
      </w:pPr>
    </w:p>
    <w:p>
      <w:pPr>
        <w:rPr>
          <w:color w:val="auto"/>
        </w:rPr>
      </w:pPr>
    </w:p>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24" w:name="_Toc23787"/>
      <w:r>
        <w:rPr>
          <w:rFonts w:hint="eastAsia" w:ascii="黑体" w:hAnsi="黑体" w:eastAsia="黑体" w:cs="黑体"/>
          <w:b w:val="0"/>
          <w:bCs/>
          <w:color w:val="auto"/>
          <w:spacing w:val="0"/>
          <w:kern w:val="2"/>
          <w:position w:val="0"/>
          <w:sz w:val="28"/>
          <w:szCs w:val="30"/>
          <w:lang w:val="en-US" w:eastAsia="zh-CN" w:bidi="ar"/>
        </w:rPr>
        <w:t>公平竞争第三方审查表</w:t>
      </w:r>
      <w:bookmarkEnd w:id="24"/>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28"/>
        <w:gridCol w:w="12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4"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张掖市生态环境局关于印发《开展重点企业环境监管“小微权力”清单化管理试点工作方案》的通知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张环发〔2019〕82号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85"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8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属于自查范围，以自查报告为准。</w:t>
            </w:r>
          </w:p>
        </w:tc>
      </w:tr>
    </w:tbl>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25" w:name="_Toc27860"/>
      <w:r>
        <w:rPr>
          <w:rFonts w:hint="eastAsia" w:ascii="黑体" w:hAnsi="黑体" w:eastAsia="黑体" w:cs="黑体"/>
          <w:b w:val="0"/>
          <w:bCs/>
          <w:color w:val="auto"/>
          <w:spacing w:val="0"/>
          <w:kern w:val="2"/>
          <w:position w:val="0"/>
          <w:sz w:val="28"/>
          <w:szCs w:val="30"/>
          <w:lang w:val="en-US" w:eastAsia="zh-CN" w:bidi="ar"/>
        </w:rPr>
        <w:t>公平竞争第三方审查表</w:t>
      </w:r>
      <w:bookmarkEnd w:id="25"/>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782"/>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2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4"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关于印发张掖市铅蓄电池生产企业集中收集和跨区域转运制度工作方案的通知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张环发〔2020〕10号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6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属于自查范围，以自查报告为准。</w:t>
            </w:r>
          </w:p>
        </w:tc>
      </w:tr>
    </w:tbl>
    <w:p>
      <w:pPr>
        <w:rPr>
          <w:color w:val="auto"/>
        </w:rPr>
      </w:pPr>
    </w:p>
    <w:p>
      <w:pPr>
        <w:rPr>
          <w:color w:val="auto"/>
        </w:rPr>
      </w:pPr>
    </w:p>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26" w:name="_Toc8865"/>
      <w:r>
        <w:rPr>
          <w:rFonts w:hint="eastAsia" w:ascii="黑体" w:hAnsi="黑体" w:eastAsia="黑体" w:cs="黑体"/>
          <w:b w:val="0"/>
          <w:bCs/>
          <w:color w:val="auto"/>
          <w:spacing w:val="0"/>
          <w:kern w:val="2"/>
          <w:position w:val="0"/>
          <w:sz w:val="28"/>
          <w:szCs w:val="30"/>
          <w:lang w:val="en-US" w:eastAsia="zh-CN" w:bidi="ar"/>
        </w:rPr>
        <w:t>公平竞争第三方审查表</w:t>
      </w:r>
      <w:bookmarkEnd w:id="26"/>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28"/>
        <w:gridCol w:w="12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4"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张掖市生态环境局关于印发张掖市生态环境系统非法违法“小化工”专项整治实施方案的通知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张环函〔2020〕269号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488"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属于自查范围，以自查报告为准。</w:t>
            </w:r>
          </w:p>
        </w:tc>
      </w:tr>
    </w:tbl>
    <w:p>
      <w:pPr>
        <w:rPr>
          <w:color w:val="auto"/>
        </w:rPr>
      </w:pPr>
    </w:p>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color w:val="auto"/>
          <w:sz w:val="28"/>
          <w:szCs w:val="28"/>
          <w:lang w:val="en-US" w:eastAsia="zh-CN"/>
        </w:rPr>
      </w:pPr>
      <w:bookmarkStart w:id="27" w:name="_Toc10128"/>
      <w:r>
        <w:rPr>
          <w:rFonts w:hint="eastAsia" w:ascii="黑体" w:hAnsi="黑体" w:eastAsia="黑体" w:cs="黑体"/>
          <w:b w:val="0"/>
          <w:bCs/>
          <w:color w:val="auto"/>
          <w:spacing w:val="0"/>
          <w:kern w:val="2"/>
          <w:position w:val="0"/>
          <w:sz w:val="28"/>
          <w:szCs w:val="30"/>
          <w:lang w:val="en-US" w:eastAsia="zh-CN" w:bidi="ar"/>
        </w:rPr>
        <w:t>公平竞争第三方审查表</w:t>
      </w:r>
      <w:bookmarkEnd w:id="27"/>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5011"/>
        <w:gridCol w:w="11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9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张掖市生态环境局关于委托张掖市生态环境保护综合行政执法对张掖市生态环境局各县分局实施环境行政处罚有关事项的通知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张环发〔2021〕6号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内部管理性文件。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28" w:name="_Toc24819"/>
      <w:r>
        <w:rPr>
          <w:rFonts w:hint="eastAsia" w:ascii="黑体" w:hAnsi="黑体" w:eastAsia="黑体" w:cs="黑体"/>
          <w:b w:val="0"/>
          <w:bCs/>
          <w:color w:val="auto"/>
          <w:spacing w:val="0"/>
          <w:kern w:val="2"/>
          <w:position w:val="0"/>
          <w:sz w:val="28"/>
          <w:szCs w:val="30"/>
          <w:lang w:val="en-US" w:eastAsia="zh-CN" w:bidi="ar"/>
        </w:rPr>
        <w:t>公平竞争第三方审查表</w:t>
      </w:r>
      <w:bookmarkEnd w:id="28"/>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49"/>
        <w:gridCol w:w="12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52"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张掖市生态环境局关于印发张掖市生态环境局环境影响评价技术单位考核管理制度（修订）的通知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张环办发〔2021〕16号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03"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638"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29" w:name="_Toc27303"/>
      <w:r>
        <w:rPr>
          <w:rFonts w:hint="eastAsia" w:ascii="黑体" w:hAnsi="黑体" w:eastAsia="黑体" w:cs="黑体"/>
          <w:b w:val="0"/>
          <w:bCs/>
          <w:color w:val="auto"/>
          <w:spacing w:val="0"/>
          <w:kern w:val="2"/>
          <w:position w:val="0"/>
          <w:sz w:val="28"/>
          <w:szCs w:val="30"/>
          <w:lang w:val="en-US" w:eastAsia="zh-CN" w:bidi="ar"/>
        </w:rPr>
        <w:t>公平竞争第三方审查表</w:t>
      </w:r>
      <w:bookmarkEnd w:id="29"/>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03"/>
        <w:gridCol w:w="13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3"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张掖市生态环境局严格高耗能高排放建设项目生态环境管理工作实施方案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张环环评发〔2021〕16号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9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4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38"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不违反公平竞争审核标准。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pStyle w:val="2"/>
        <w:rPr>
          <w:color w:val="auto"/>
        </w:rPr>
      </w:pPr>
    </w:p>
    <w:p>
      <w:pPr>
        <w:rPr>
          <w:color w:val="auto"/>
        </w:rPr>
      </w:pPr>
    </w:p>
    <w:p>
      <w:pPr>
        <w:pStyle w:val="2"/>
        <w:rPr>
          <w:color w:val="auto"/>
        </w:rPr>
      </w:pPr>
    </w:p>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30" w:name="_Toc16547"/>
      <w:r>
        <w:rPr>
          <w:rFonts w:hint="eastAsia" w:ascii="黑体" w:hAnsi="黑体" w:eastAsia="黑体" w:cs="黑体"/>
          <w:b w:val="0"/>
          <w:bCs/>
          <w:color w:val="auto"/>
          <w:spacing w:val="0"/>
          <w:kern w:val="2"/>
          <w:position w:val="0"/>
          <w:sz w:val="28"/>
          <w:szCs w:val="30"/>
          <w:lang w:val="en-US" w:eastAsia="zh-CN" w:bidi="ar"/>
        </w:rPr>
        <w:t>公平竞争第三方审查表</w:t>
      </w:r>
      <w:bookmarkEnd w:id="30"/>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5011"/>
        <w:gridCol w:w="11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4"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张掖市生态环境局关于印发《张掖市生态环境准入清单（试行）》的函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张环函〔2021〕243号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5"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1、未履行征求意见程序；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2、未形成书面审查结论。</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31" w:name="_Toc26457"/>
      <w:r>
        <w:rPr>
          <w:rFonts w:hint="eastAsia" w:ascii="黑体" w:hAnsi="黑体" w:eastAsia="黑体" w:cs="黑体"/>
          <w:b w:val="0"/>
          <w:bCs/>
          <w:color w:val="auto"/>
          <w:spacing w:val="0"/>
          <w:kern w:val="2"/>
          <w:position w:val="0"/>
          <w:sz w:val="28"/>
          <w:szCs w:val="30"/>
          <w:lang w:val="en-US" w:eastAsia="zh-CN" w:bidi="ar"/>
        </w:rPr>
        <w:t>公平竞争第三方审查表</w:t>
      </w:r>
      <w:bookmarkEnd w:id="31"/>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782"/>
        <w:gridCol w:w="13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张掖市新冠肺炎疫情期间医疗污水和城镇污水应急处理方案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张环委办发〔2022〕2号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张掖市生态环境保护委员会办公室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32" w:name="_Toc13164"/>
      <w:r>
        <w:rPr>
          <w:rFonts w:hint="eastAsia" w:ascii="黑体" w:hAnsi="黑体" w:eastAsia="黑体" w:cs="黑体"/>
          <w:b w:val="0"/>
          <w:bCs/>
          <w:color w:val="auto"/>
          <w:spacing w:val="0"/>
          <w:kern w:val="2"/>
          <w:position w:val="0"/>
          <w:sz w:val="28"/>
          <w:szCs w:val="30"/>
          <w:lang w:val="en-US" w:eastAsia="zh-CN" w:bidi="ar"/>
        </w:rPr>
        <w:t>公平竞争第三方审查表</w:t>
      </w:r>
      <w:bookmarkEnd w:id="32"/>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86"/>
        <w:gridCol w:w="12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中共张掖市委张掖市人民政府关于深入打好污染防治攻坚战的实施意见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市委发〔2022〕12号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13"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33" w:name="_Toc8192"/>
      <w:r>
        <w:rPr>
          <w:rFonts w:hint="eastAsia" w:ascii="黑体" w:hAnsi="黑体" w:eastAsia="黑体" w:cs="黑体"/>
          <w:b w:val="0"/>
          <w:bCs/>
          <w:color w:val="auto"/>
          <w:spacing w:val="0"/>
          <w:kern w:val="2"/>
          <w:position w:val="0"/>
          <w:sz w:val="28"/>
          <w:szCs w:val="30"/>
          <w:lang w:val="en-US" w:eastAsia="zh-CN" w:bidi="ar"/>
        </w:rPr>
        <w:t>公平竞争第三方审查表</w:t>
      </w:r>
      <w:bookmarkEnd w:id="33"/>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86"/>
        <w:gridCol w:w="12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2022年度环评与排污许可监管工作方案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张环环评发〔2022〕23号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4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pStyle w:val="2"/>
        <w:rPr>
          <w:color w:val="auto"/>
        </w:rPr>
      </w:pPr>
    </w:p>
    <w:p>
      <w:pPr>
        <w:rPr>
          <w:color w:val="auto"/>
        </w:rPr>
      </w:pPr>
    </w:p>
    <w:p>
      <w:pPr>
        <w:pStyle w:val="2"/>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34" w:name="_Toc29575"/>
      <w:r>
        <w:rPr>
          <w:rFonts w:hint="eastAsia" w:ascii="黑体" w:hAnsi="黑体" w:eastAsia="黑体" w:cs="黑体"/>
          <w:b w:val="0"/>
          <w:bCs/>
          <w:color w:val="auto"/>
          <w:spacing w:val="0"/>
          <w:kern w:val="2"/>
          <w:position w:val="0"/>
          <w:sz w:val="28"/>
          <w:szCs w:val="30"/>
          <w:lang w:val="en-US" w:eastAsia="zh-CN" w:bidi="ar"/>
        </w:rPr>
        <w:t>公平竞争第三方审查表</w:t>
      </w:r>
      <w:bookmarkEnd w:id="34"/>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28"/>
        <w:gridCol w:w="12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张掖市强化危险废物监管和利用处置能力改革工作实施方案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张政办发〔2022〕131号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8"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12"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pStyle w:val="2"/>
        <w:jc w:val="center"/>
        <w:rPr>
          <w:rFonts w:hint="eastAsia" w:ascii="仿宋_GB2312" w:hAnsi="仿宋_GB2312" w:eastAsia="仿宋_GB2312" w:cs="仿宋_GB2312"/>
          <w:b w:val="0"/>
          <w:bCs/>
          <w:color w:val="auto"/>
          <w:spacing w:val="0"/>
          <w:position w:val="0"/>
          <w:sz w:val="28"/>
          <w:szCs w:val="28"/>
          <w:lang w:val="en-US" w:eastAsia="zh-CN"/>
        </w:rPr>
      </w:pPr>
    </w:p>
    <w:p>
      <w:pPr>
        <w:pStyle w:val="2"/>
        <w:jc w:val="both"/>
        <w:rPr>
          <w:rFonts w:hint="eastAsia" w:ascii="仿宋_GB2312" w:hAnsi="仿宋_GB2312" w:eastAsia="仿宋_GB2312" w:cs="仿宋_GB2312"/>
          <w:color w:val="auto"/>
          <w:sz w:val="28"/>
          <w:szCs w:val="28"/>
          <w:lang w:val="en-US" w:eastAsia="zh-CN"/>
        </w:rPr>
      </w:pPr>
    </w:p>
    <w:sectPr>
      <w:pgSz w:w="11906" w:h="16838"/>
      <w:pgMar w:top="2098" w:right="1474" w:bottom="1984"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8"/>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7D94090"/>
    <w:rsid w:val="0BBE57E7"/>
    <w:rsid w:val="0FD06F21"/>
    <w:rsid w:val="105A63E6"/>
    <w:rsid w:val="11094917"/>
    <w:rsid w:val="12A264D7"/>
    <w:rsid w:val="14A46517"/>
    <w:rsid w:val="193858B8"/>
    <w:rsid w:val="1CBE6D63"/>
    <w:rsid w:val="2278553D"/>
    <w:rsid w:val="26F81514"/>
    <w:rsid w:val="275B00C0"/>
    <w:rsid w:val="29270BDD"/>
    <w:rsid w:val="2C9019A4"/>
    <w:rsid w:val="2F55300E"/>
    <w:rsid w:val="2F8B1115"/>
    <w:rsid w:val="2FEF290A"/>
    <w:rsid w:val="32E11C4C"/>
    <w:rsid w:val="34774282"/>
    <w:rsid w:val="36E843EA"/>
    <w:rsid w:val="3FFFC7E7"/>
    <w:rsid w:val="42936772"/>
    <w:rsid w:val="50141236"/>
    <w:rsid w:val="526F57C8"/>
    <w:rsid w:val="53FA06C9"/>
    <w:rsid w:val="55FC37E4"/>
    <w:rsid w:val="58613EFA"/>
    <w:rsid w:val="5DF986B5"/>
    <w:rsid w:val="60832528"/>
    <w:rsid w:val="613C46E7"/>
    <w:rsid w:val="6192035A"/>
    <w:rsid w:val="6AEB2F7A"/>
    <w:rsid w:val="74B3733F"/>
    <w:rsid w:val="79FB92B9"/>
    <w:rsid w:val="7E9844A9"/>
    <w:rsid w:val="7F274748"/>
    <w:rsid w:val="7F5911ED"/>
    <w:rsid w:val="7FF7A386"/>
    <w:rsid w:val="9C794B54"/>
    <w:rsid w:val="CFF15B50"/>
    <w:rsid w:val="DFD44C3B"/>
    <w:rsid w:val="E5B90898"/>
    <w:rsid w:val="E5FE1D2A"/>
    <w:rsid w:val="FFEE4E5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Body Text"/>
    <w:basedOn w:val="1"/>
    <w:qFormat/>
    <w:uiPriority w:val="0"/>
    <w:pPr>
      <w:keepNext w:val="0"/>
      <w:keepLines w:val="0"/>
      <w:widowControl w:val="0"/>
      <w:suppressLineNumbers w:val="0"/>
      <w:ind w:left="100"/>
      <w:jc w:val="both"/>
    </w:pPr>
    <w:rPr>
      <w:rFonts w:hint="eastAsia" w:ascii="微软雅黑" w:hAnsi="微软雅黑" w:eastAsia="微软雅黑" w:cs="微软雅黑"/>
      <w:kern w:val="2"/>
      <w:sz w:val="48"/>
      <w:szCs w:val="48"/>
      <w:lang w:val="en-US" w:eastAsia="zh-CN" w:bidi="ar"/>
    </w:rPr>
  </w:style>
  <w:style w:type="paragraph" w:styleId="7">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5">
    <w:name w:val="List Paragraph"/>
    <w:basedOn w:val="1"/>
    <w:qFormat/>
    <w:uiPriority w:val="0"/>
    <w:pPr>
      <w:keepNext w:val="0"/>
      <w:keepLines w:val="0"/>
      <w:widowControl w:val="0"/>
      <w:suppressLineNumbers w:val="0"/>
      <w:spacing w:before="66" w:beforeAutospacing="0"/>
      <w:ind w:left="457" w:hanging="358"/>
      <w:jc w:val="both"/>
    </w:pPr>
    <w:rPr>
      <w:rFonts w:hint="eastAsia" w:ascii="微软雅黑" w:hAnsi="微软雅黑" w:eastAsia="微软雅黑" w:cs="微软雅黑"/>
      <w:kern w:val="2"/>
      <w:sz w:val="21"/>
      <w:szCs w:val="21"/>
      <w:lang w:val="en-US" w:eastAsia="zh-CN" w:bidi="ar"/>
    </w:rPr>
  </w:style>
  <w:style w:type="paragraph" w:customStyle="1" w:styleId="16">
    <w:name w:val="样式 正文缩进正文缩进2正文缩进 Char Char正文缩进 Char Char Char Char正文缩进 Char ..."/>
    <w:qFormat/>
    <w:uiPriority w:val="0"/>
    <w:pPr>
      <w:keepNext w:val="0"/>
      <w:keepLines w:val="0"/>
      <w:widowControl w:val="0"/>
      <w:suppressLineNumbers w:val="0"/>
      <w:spacing w:before="0" w:beforeAutospacing="0" w:after="0" w:afterAutospacing="0" w:line="560" w:lineRule="exact"/>
      <w:ind w:left="0" w:right="0" w:firstLine="200" w:firstLineChars="200"/>
      <w:jc w:val="both"/>
    </w:pPr>
    <w:rPr>
      <w:rFonts w:hint="eastAsia" w:ascii="仿宋" w:hAnsi="仿宋" w:eastAsia="仿宋_GB2312" w:cs="宋体"/>
      <w:kern w:val="0"/>
      <w:sz w:val="32"/>
      <w:szCs w:val="32"/>
      <w:lang w:val="en-US" w:eastAsia="zh-CN" w:bidi="ar"/>
    </w:rPr>
  </w:style>
  <w:style w:type="paragraph" w:customStyle="1" w:styleId="17">
    <w:name w:val="WPSOffice手动目录 1"/>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37</Pages>
  <Words>15563</Words>
  <Characters>15800</Characters>
  <Lines>0</Lines>
  <Paragraphs>0</Paragraphs>
  <TotalTime>0</TotalTime>
  <ScaleCrop>false</ScaleCrop>
  <LinksUpToDate>false</LinksUpToDate>
  <CharactersWithSpaces>15862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2023-02-10T09:45:00Z</dcterms:created>
  <dc:creator>笑笑妈</dc:creator>
  <cp:lastModifiedBy>盛斐</cp:lastModifiedBy>
  <dcterms:modified xsi:type="dcterms:W3CDTF">2023-06-23T09:57:35Z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52067424A9C14635A50338ECD0D5DF18</vt:lpwstr>
  </property>
</Properties>
</file>