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kern w:val="2"/>
          <w:sz w:val="36"/>
          <w:szCs w:val="36"/>
          <w:lang w:val="en-US" w:eastAsia="zh-CN" w:bidi="ar-SA"/>
        </w:rPr>
        <w:id w:val="147476297"/>
        <w15:color w:val="DBDBDB"/>
        <w:docPartObj>
          <w:docPartGallery w:val="Table of Contents"/>
          <w:docPartUnique/>
        </w:docPartObj>
      </w:sdtPr>
      <w:sdtEndPr>
        <w:rPr>
          <w:rFonts w:hint="default" w:ascii="黑体" w:hAnsi="黑体" w:eastAsia="黑体" w:cs="黑体"/>
          <w:b/>
          <w:bCs/>
          <w:color w:val="auto"/>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val="0"/>
              <w:bCs/>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lang w:val="en-US" w:eastAsia="zh-CN" w:bidi="ar"/>
            </w:rPr>
            <w:fldChar w:fldCharType="separate"/>
          </w: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_Toc31051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一、总体情况</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_Toc31051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_Toc4253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2"/>
              <w:position w:val="0"/>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_Toc4253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_Toc27158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2"/>
              <w:position w:val="0"/>
              <w:sz w:val="32"/>
              <w:szCs w:val="32"/>
              <w:lang w:val="en-US" w:eastAsia="zh-CN" w:bidi="ar"/>
            </w:rPr>
            <w:t>（二）自我审查清理情况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_Toc27158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_Toc8202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 三） 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_Toc8202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_Toc5380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二、评估结果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_Toc5380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_Toc6090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
            </w:rPr>
            <w:t>（一）政策措施评估得分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_Toc6090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_Toc14283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SA"/>
            </w:rPr>
            <w:t>（二）</w:t>
          </w:r>
          <w:r>
            <w:rPr>
              <w:rFonts w:hint="eastAsia" w:ascii="仿宋_GB2312" w:hAnsi="仿宋_GB2312" w:eastAsia="仿宋_GB2312" w:cs="仿宋_GB2312"/>
              <w:spacing w:val="0"/>
              <w:kern w:val="0"/>
              <w:position w:val="0"/>
              <w:sz w:val="32"/>
              <w:szCs w:val="32"/>
              <w:lang w:val="en-US" w:eastAsia="zh-CN" w:bidi="ar"/>
            </w:rPr>
            <w:t>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_Toc14283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_Toc13953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SA"/>
            </w:rPr>
            <w:t>（三）</w:t>
          </w:r>
          <w:r>
            <w:rPr>
              <w:rFonts w:hint="eastAsia" w:ascii="仿宋_GB2312" w:hAnsi="仿宋_GB2312" w:eastAsia="仿宋_GB2312" w:cs="仿宋_GB2312"/>
              <w:spacing w:val="0"/>
              <w:kern w:val="0"/>
              <w:position w:val="0"/>
              <w:sz w:val="32"/>
              <w:szCs w:val="32"/>
              <w:lang w:val="en-US" w:eastAsia="zh-CN" w:bidi="ar"/>
            </w:rPr>
            <w:t>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_Toc13953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_Toc22305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三、好的经验做法</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_Toc22305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_Toc13350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四、意见建议</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_Toc13350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_Toc24793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_Toc24793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_Toc20015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highlight w:val="none"/>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_Toc20015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_Toc12235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highlight w:val="none"/>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_Toc12235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_Toc16969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highlight w:val="none"/>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_Toc16969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val="0"/>
              <w:spacing w:val="0"/>
              <w:kern w:val="2"/>
              <w:position w:val="0"/>
              <w:sz w:val="32"/>
              <w:szCs w:val="32"/>
              <w:lang w:val="en-US" w:eastAsia="zh-CN" w:bidi="ar"/>
            </w:rPr>
            <w:instrText xml:space="preserve"> HYPERLINK \l _Toc2121 </w:instrText>
          </w:r>
          <w:r>
            <w:rPr>
              <w:rFonts w:hint="eastAsia" w:ascii="仿宋_GB2312" w:hAnsi="仿宋_GB2312" w:eastAsia="仿宋_GB2312" w:cs="仿宋_GB2312"/>
              <w:b w:val="0"/>
              <w:bCs w:val="0"/>
              <w:spacing w:val="0"/>
              <w:kern w:val="2"/>
              <w:position w:val="0"/>
              <w:sz w:val="32"/>
              <w:szCs w:val="32"/>
              <w:lang w:val="en-US" w:eastAsia="zh-CN" w:bidi="ar"/>
            </w:rPr>
            <w:fldChar w:fldCharType="separate"/>
          </w:r>
          <w:r>
            <w:rPr>
              <w:rFonts w:hint="eastAsia" w:ascii="仿宋_GB2312" w:hAnsi="仿宋_GB2312" w:eastAsia="仿宋_GB2312" w:cs="仿宋_GB2312"/>
              <w:b w:val="0"/>
              <w:bCs w:val="0"/>
              <w:spacing w:val="0"/>
              <w:position w:val="0"/>
              <w:sz w:val="32"/>
              <w:szCs w:val="32"/>
              <w:lang w:val="en-US" w:eastAsia="zh-CN"/>
            </w:rPr>
            <w:t>附件一：张掖市财政局提供文件目录</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_Toc2121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9</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val="0"/>
              <w:spacing w:val="0"/>
              <w:kern w:val="2"/>
              <w:position w:val="0"/>
              <w:sz w:val="32"/>
              <w:szCs w:val="32"/>
              <w:lang w:val="en-US" w:eastAsia="zh-CN" w:bidi="ar"/>
            </w:rPr>
            <w:instrText xml:space="preserve"> HYPERLINK \l _Toc5004 </w:instrText>
          </w:r>
          <w:r>
            <w:rPr>
              <w:rFonts w:hint="eastAsia" w:ascii="仿宋_GB2312" w:hAnsi="仿宋_GB2312" w:eastAsia="仿宋_GB2312" w:cs="仿宋_GB2312"/>
              <w:b w:val="0"/>
              <w:bCs w:val="0"/>
              <w:spacing w:val="0"/>
              <w:kern w:val="2"/>
              <w:position w:val="0"/>
              <w:sz w:val="32"/>
              <w:szCs w:val="32"/>
              <w:lang w:val="en-US" w:eastAsia="zh-CN" w:bidi="ar"/>
            </w:rPr>
            <w:fldChar w:fldCharType="separate"/>
          </w:r>
          <w:r>
            <w:rPr>
              <w:rFonts w:hint="eastAsia" w:ascii="仿宋_GB2312" w:hAnsi="仿宋_GB2312" w:eastAsia="仿宋_GB2312" w:cs="仿宋_GB2312"/>
              <w:b w:val="0"/>
              <w:bCs w:val="0"/>
              <w:spacing w:val="0"/>
              <w:position w:val="0"/>
              <w:sz w:val="32"/>
              <w:szCs w:val="32"/>
              <w:lang w:val="en-US" w:eastAsia="zh-CN"/>
            </w:rPr>
            <w:t>附件二：张掖市财政局政策措施评估表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_Toc5004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10</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kern w:val="2"/>
              <w:position w:val="0"/>
              <w:sz w:val="32"/>
              <w:szCs w:val="32"/>
              <w:lang w:val="en-US" w:eastAsia="zh-CN" w:bidi="ar"/>
            </w:rPr>
            <w:fldChar w:fldCharType="end"/>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right="0" w:rightChars="0" w:firstLine="643" w:firstLineChars="200"/>
            <w:jc w:val="both"/>
            <w:textAlignment w:val="auto"/>
            <w:outlineLvl w:val="9"/>
            <w:rPr>
              <w:rFonts w:hint="default" w:ascii="黑体" w:hAnsi="黑体" w:eastAsia="黑体" w:cs="黑体"/>
              <w:b w:val="0"/>
              <w:bCs/>
              <w:color w:val="auto"/>
              <w:spacing w:val="0"/>
              <w:kern w:val="2"/>
              <w:position w:val="0"/>
              <w:sz w:val="32"/>
              <w:szCs w:val="32"/>
              <w:lang w:val="en-US" w:eastAsia="zh-CN" w:bidi="ar"/>
            </w:rPr>
          </w:pPr>
          <w:r>
            <w:rPr>
              <w:rFonts w:hint="eastAsia" w:ascii="仿宋_GB2312" w:hAnsi="仿宋_GB2312" w:eastAsia="仿宋_GB2312" w:cs="仿宋_GB2312"/>
              <w:b/>
              <w:bCs/>
              <w:color w:val="auto"/>
              <w:spacing w:val="0"/>
              <w:kern w:val="2"/>
              <w:position w:val="0"/>
              <w:sz w:val="32"/>
              <w:szCs w:val="32"/>
              <w:lang w:val="en-US" w:eastAsia="zh-CN" w:bidi="ar"/>
            </w:rPr>
            <w:fldChar w:fldCharType="end"/>
          </w:r>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bookmarkStart w:id="0" w:name="_Toc31051"/>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sectPr>
          <w:pgSz w:w="11906" w:h="16839"/>
          <w:pgMar w:top="2098" w:right="1474" w:bottom="1984" w:left="1587" w:header="850" w:footer="1417" w:gutter="0"/>
          <w:pgBorders>
            <w:top w:val="none" w:sz="0" w:space="0"/>
            <w:left w:val="none" w:sz="0" w:space="0"/>
            <w:bottom w:val="none" w:sz="0" w:space="0"/>
            <w:right w:val="none" w:sz="0" w:space="0"/>
          </w:pgBorders>
          <w:pgNumType w:fmt="decimal"/>
          <w:cols w:space="0" w:num="1"/>
          <w:rtlGutter w:val="0"/>
          <w:docGrid w:linePitch="0" w:charSpace="0"/>
        </w:sect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r>
        <w:rPr>
          <w:rFonts w:hint="default" w:ascii="黑体" w:hAnsi="黑体" w:eastAsia="黑体" w:cs="黑体"/>
          <w:b w:val="0"/>
          <w:bCs/>
          <w:color w:val="auto"/>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公平竞争是市场经济的基本原则，是市场机制高效运行的重要基础。公平竞争审查制度的建立及实施，有助于规范政府相关行为，防止出台排除限制市场竞争的政策措施。</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当前，随着全面深化改革战略的持续推进，全国统一市场的基本形成，公平竞争环境在逐步提升。但同时也要看到，地方保护、行业壁垒等不符合建设全国统一市场和公平竞争的现象仍然存在。</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lang w:val="en-US" w:eastAsia="zh-CN" w:bidi="ar"/>
        </w:rPr>
      </w:pPr>
      <w:r>
        <w:rPr>
          <w:rFonts w:hint="default" w:ascii="仿宋_GB2312" w:hAnsi="Calibri" w:eastAsia="仿宋_GB2312" w:cs="仿宋_GB2312"/>
          <w:bCs w:val="0"/>
          <w:color w:val="auto"/>
          <w:spacing w:val="0"/>
          <w:kern w:val="2"/>
          <w:position w:val="0"/>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国发〔2016〕34 号</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下文简称《意见》</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，部署建立公平竞争审查制度。</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在我国公平竞争审查制度中，第三方评估被作为一项重要的机制写入基本的制度设计。2021年，国家市场监督管理总局、国家发展改革委、财政部、商务部、司法部会同有关单位修订的《公平竞争审查制度实施细则》</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下文简称《实施细则》</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 xml:space="preserve"> 设立专章</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第三方评估</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对有关第三方评估问题予以明确，该《实施细则》第二十条规定：</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政策制定单位可以根据工作实际，委托具备相应评估能力的高等院校、科研院所、</w:t>
      </w:r>
      <w:r>
        <w:rPr>
          <w:rFonts w:hint="eastAsia" w:ascii="仿宋_GB2312" w:hAnsi="Calibri" w:eastAsia="仿宋_GB2312" w:cs="仿宋_GB2312"/>
          <w:bCs w:val="0"/>
          <w:color w:val="auto"/>
          <w:spacing w:val="0"/>
          <w:kern w:val="2"/>
          <w:position w:val="0"/>
          <w:sz w:val="32"/>
          <w:szCs w:val="32"/>
          <w:lang w:val="en-US" w:eastAsia="zh-CN" w:bidi="ar"/>
        </w:rPr>
        <w:t>专业咨询公司、律师事务所</w:t>
      </w:r>
      <w:r>
        <w:rPr>
          <w:rFonts w:hint="default" w:ascii="仿宋_GB2312" w:hAnsi="Calibri" w:eastAsia="仿宋_GB2312" w:cs="仿宋_GB2312"/>
          <w:bCs w:val="0"/>
          <w:color w:val="auto"/>
          <w:spacing w:val="0"/>
          <w:kern w:val="2"/>
          <w:position w:val="0"/>
          <w:sz w:val="32"/>
          <w:szCs w:val="32"/>
          <w:lang w:val="en-US" w:eastAsia="zh-CN" w:bidi="ar"/>
        </w:rPr>
        <w:t>等第三方机构，对有关政策措施进行公平竞争评估，或者对公平竞争审查有关工作进行评估。各级联席会议办公室可以委托第三方机构，对本地公平竞争审查制度总体实施情况开展评估</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 xml:space="preserve">。 </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2022年3月25日</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中共中央、国务院发布《关于加快建设全国统一大市场的意见》，意见明确指出：</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实行统一的市场准入制度，维护统一的公平竞争制度。破除地方保护和区域壁垒，清理废除妨碍依法平等准入和退出的规定做法，持续清理招标采购领域违反统一市场建设的规定和做法</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w:t>
      </w:r>
      <w:r>
        <w:rPr>
          <w:rFonts w:hint="eastAsia" w:ascii="仿宋_GB2312" w:hAnsi="Calibri" w:eastAsia="仿宋_GB2312" w:cs="仿宋_GB2312"/>
          <w:bCs w:val="0"/>
          <w:color w:val="auto"/>
          <w:spacing w:val="0"/>
          <w:kern w:val="2"/>
          <w:position w:val="0"/>
          <w:sz w:val="32"/>
          <w:szCs w:val="32"/>
          <w:lang w:val="en-US" w:eastAsia="zh-CN" w:bidi="ar"/>
        </w:rPr>
        <w:t>部门</w:t>
      </w:r>
      <w:r>
        <w:rPr>
          <w:rFonts w:hint="default" w:ascii="仿宋_GB2312" w:hAnsi="Calibri" w:eastAsia="仿宋_GB2312" w:cs="仿宋_GB2312"/>
          <w:bCs w:val="0"/>
          <w:color w:val="auto"/>
          <w:spacing w:val="0"/>
          <w:kern w:val="2"/>
          <w:position w:val="0"/>
          <w:sz w:val="32"/>
          <w:szCs w:val="32"/>
          <w:lang w:val="en-US" w:eastAsia="zh-CN" w:bidi="ar"/>
        </w:rPr>
        <w:t>联席会议办公室经过询价</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遴选甘肃金彤律师事务所对张掖市22个</w:t>
      </w:r>
      <w:r>
        <w:rPr>
          <w:rFonts w:hint="eastAsia" w:ascii="仿宋_GB2312" w:hAnsi="Calibri" w:eastAsia="仿宋_GB2312" w:cs="仿宋_GB2312"/>
          <w:bCs w:val="0"/>
          <w:color w:val="auto"/>
          <w:spacing w:val="0"/>
          <w:kern w:val="2"/>
          <w:position w:val="0"/>
          <w:sz w:val="32"/>
          <w:szCs w:val="32"/>
          <w:lang w:val="en-US" w:eastAsia="zh-CN" w:bidi="ar"/>
        </w:rPr>
        <w:t>市直部门</w:t>
      </w:r>
      <w:r>
        <w:rPr>
          <w:rFonts w:hint="default" w:ascii="仿宋_GB2312" w:hAnsi="Calibri" w:eastAsia="仿宋_GB2312" w:cs="仿宋_GB2312"/>
          <w:bCs w:val="0"/>
          <w:color w:val="auto"/>
          <w:spacing w:val="0"/>
          <w:kern w:val="2"/>
          <w:position w:val="0"/>
          <w:sz w:val="32"/>
          <w:szCs w:val="32"/>
          <w:lang w:val="en-US" w:eastAsia="zh-CN" w:bidi="ar"/>
        </w:rPr>
        <w:t>单位、6个县区和张掖市经济技术开发区的公平竞争审查制度实施情况进行综合评估。</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color w:val="auto"/>
          <w:spacing w:val="0"/>
          <w:kern w:val="2"/>
          <w:position w:val="0"/>
          <w:sz w:val="32"/>
          <w:szCs w:val="32"/>
        </w:rPr>
      </w:pPr>
      <w:r>
        <w:rPr>
          <w:rFonts w:hint="default" w:ascii="仿宋_GB2312" w:hAnsi="Calibri" w:eastAsia="仿宋_GB2312" w:cs="仿宋_GB2312"/>
          <w:color w:val="auto"/>
          <w:spacing w:val="0"/>
          <w:kern w:val="2"/>
          <w:position w:val="0"/>
          <w:sz w:val="32"/>
          <w:szCs w:val="32"/>
          <w:lang w:val="en-US" w:eastAsia="zh-CN" w:bidi="ar"/>
        </w:rPr>
        <w:t>评估机构审查</w:t>
      </w:r>
      <w:r>
        <w:rPr>
          <w:rFonts w:hint="eastAsia" w:ascii="仿宋_GB2312" w:hAnsi="Calibri" w:eastAsia="仿宋_GB2312" w:cs="仿宋_GB2312"/>
          <w:color w:val="auto"/>
          <w:spacing w:val="0"/>
          <w:kern w:val="2"/>
          <w:position w:val="0"/>
          <w:sz w:val="32"/>
          <w:szCs w:val="32"/>
          <w:lang w:val="en-US" w:eastAsia="zh-CN" w:bidi="ar"/>
        </w:rPr>
        <w:t>了</w:t>
      </w:r>
      <w:r>
        <w:rPr>
          <w:rFonts w:hint="eastAsia" w:ascii="仿宋_GB2312" w:eastAsia="仿宋_GB2312" w:cs="仿宋_GB2312"/>
          <w:color w:val="auto"/>
          <w:spacing w:val="0"/>
          <w:kern w:val="2"/>
          <w:position w:val="0"/>
          <w:sz w:val="32"/>
          <w:szCs w:val="32"/>
          <w:lang w:val="en-US" w:eastAsia="zh-CN" w:bidi="ar"/>
        </w:rPr>
        <w:t>张掖市财政局</w:t>
      </w:r>
      <w:r>
        <w:rPr>
          <w:rFonts w:hint="default" w:ascii="仿宋_GB2312" w:hAnsi="Calibri" w:eastAsia="仿宋_GB2312" w:cs="仿宋_GB2312"/>
          <w:color w:val="auto"/>
          <w:spacing w:val="0"/>
          <w:kern w:val="2"/>
          <w:position w:val="0"/>
          <w:sz w:val="32"/>
          <w:szCs w:val="32"/>
          <w:lang w:val="en-US" w:eastAsia="zh-CN" w:bidi="ar"/>
        </w:rPr>
        <w:t>提供的政策措施、调查表以及各项材料，系统总结</w:t>
      </w:r>
      <w:r>
        <w:rPr>
          <w:rFonts w:hint="eastAsia" w:ascii="仿宋_GB2312" w:hAnsi="Calibri" w:eastAsia="仿宋_GB2312" w:cs="仿宋_GB2312"/>
          <w:color w:val="auto"/>
          <w:spacing w:val="0"/>
          <w:kern w:val="2"/>
          <w:position w:val="0"/>
          <w:sz w:val="32"/>
          <w:szCs w:val="32"/>
          <w:lang w:val="en-US" w:eastAsia="zh-CN" w:bidi="ar"/>
        </w:rPr>
        <w:t>了</w:t>
      </w:r>
      <w:r>
        <w:rPr>
          <w:rFonts w:hint="eastAsia" w:ascii="仿宋_GB2312" w:eastAsia="仿宋_GB2312" w:cs="仿宋_GB2312"/>
          <w:color w:val="auto"/>
          <w:spacing w:val="0"/>
          <w:kern w:val="2"/>
          <w:position w:val="0"/>
          <w:sz w:val="32"/>
          <w:szCs w:val="32"/>
          <w:lang w:val="en-US" w:eastAsia="zh-CN" w:bidi="ar"/>
        </w:rPr>
        <w:t>张掖市财政局</w:t>
      </w:r>
      <w:r>
        <w:rPr>
          <w:rFonts w:hint="default" w:ascii="仿宋_GB2312" w:hAnsi="Calibri" w:eastAsia="仿宋_GB2312" w:cs="仿宋_GB2312"/>
          <w:color w:val="auto"/>
          <w:spacing w:val="0"/>
          <w:kern w:val="2"/>
          <w:position w:val="0"/>
          <w:sz w:val="32"/>
          <w:szCs w:val="32"/>
          <w:lang w:val="en-US" w:eastAsia="zh-CN" w:bidi="ar"/>
        </w:rPr>
        <w:t>落实公平竞争审查制度、论证公平竞争制度的环境成效，梳理分析可能存在的问题和原因，提出进一步完善的意见建议</w:t>
      </w:r>
      <w:r>
        <w:rPr>
          <w:rFonts w:hint="eastAsia" w:ascii="仿宋_GB2312" w:hAnsi="Calibri" w:eastAsia="仿宋_GB2312" w:cs="仿宋_GB2312"/>
          <w:color w:val="auto"/>
          <w:spacing w:val="0"/>
          <w:kern w:val="2"/>
          <w:position w:val="0"/>
          <w:sz w:val="32"/>
          <w:szCs w:val="32"/>
          <w:lang w:val="en-US" w:eastAsia="zh-CN" w:bidi="ar"/>
        </w:rPr>
        <w:t>。</w:t>
      </w:r>
      <w:r>
        <w:rPr>
          <w:rFonts w:hint="default" w:ascii="仿宋_GB2312" w:hAnsi="Calibri" w:eastAsia="仿宋_GB2312" w:cs="仿宋_GB2312"/>
          <w:color w:val="auto"/>
          <w:spacing w:val="0"/>
          <w:kern w:val="2"/>
          <w:position w:val="0"/>
          <w:sz w:val="32"/>
          <w:szCs w:val="32"/>
          <w:lang w:val="en-US" w:eastAsia="zh-CN" w:bidi="ar"/>
        </w:rPr>
        <w:t>评估总体情况如下：</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1"/>
        <w:rPr>
          <w:rFonts w:hint="default" w:ascii="仿宋_GB2312" w:eastAsia="仿宋_GB2312" w:cs="仿宋_GB2312"/>
          <w:color w:val="auto"/>
          <w:spacing w:val="0"/>
          <w:kern w:val="2"/>
          <w:position w:val="0"/>
          <w:sz w:val="32"/>
          <w:szCs w:val="32"/>
        </w:rPr>
      </w:pPr>
      <w:bookmarkStart w:id="1" w:name="_Toc4253"/>
      <w:r>
        <w:rPr>
          <w:rFonts w:hint="default" w:ascii="仿宋_GB2312" w:hAnsi="Calibri" w:eastAsia="仿宋_GB2312" w:cs="仿宋_GB2312"/>
          <w:color w:val="auto"/>
          <w:spacing w:val="0"/>
          <w:kern w:val="2"/>
          <w:position w:val="0"/>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eastAsia" w:ascii="仿宋_GB2312" w:hAnsi="Calibri" w:eastAsia="仿宋_GB2312" w:cs="仿宋_GB2312"/>
          <w:color w:val="auto"/>
          <w:spacing w:val="0"/>
          <w:kern w:val="2"/>
          <w:position w:val="0"/>
          <w:sz w:val="32"/>
          <w:szCs w:val="32"/>
          <w:lang w:val="en-US" w:eastAsia="zh-CN" w:bidi="ar"/>
        </w:rPr>
      </w:pPr>
      <w:r>
        <w:rPr>
          <w:rFonts w:hint="eastAsia" w:ascii="仿宋_GB2312" w:eastAsia="仿宋_GB2312" w:cs="仿宋_GB2312"/>
          <w:color w:val="auto"/>
          <w:spacing w:val="0"/>
          <w:kern w:val="2"/>
          <w:position w:val="0"/>
          <w:sz w:val="32"/>
          <w:szCs w:val="32"/>
          <w:lang w:val="en-US" w:eastAsia="zh-CN" w:bidi="ar"/>
        </w:rPr>
        <w:t>张掖市财政局共</w:t>
      </w:r>
      <w:r>
        <w:rPr>
          <w:rFonts w:hint="default" w:ascii="仿宋_GB2312" w:hAnsi="Calibri" w:eastAsia="仿宋_GB2312" w:cs="仿宋_GB2312"/>
          <w:color w:val="auto"/>
          <w:spacing w:val="0"/>
          <w:kern w:val="2"/>
          <w:position w:val="0"/>
          <w:sz w:val="32"/>
          <w:szCs w:val="32"/>
          <w:lang w:val="en-US" w:eastAsia="zh-CN" w:bidi="ar"/>
        </w:rPr>
        <w:t>提交2021—2022年度发布的政策措施</w:t>
      </w:r>
      <w:r>
        <w:rPr>
          <w:rFonts w:hint="eastAsia" w:ascii="仿宋_GB2312" w:hAnsi="Calibri" w:eastAsia="仿宋_GB2312" w:cs="仿宋_GB2312"/>
          <w:color w:val="auto"/>
          <w:spacing w:val="0"/>
          <w:kern w:val="2"/>
          <w:position w:val="0"/>
          <w:sz w:val="32"/>
          <w:szCs w:val="32"/>
          <w:lang w:val="en-US" w:eastAsia="zh-CN" w:bidi="ar"/>
        </w:rPr>
        <w:t>4</w:t>
      </w:r>
      <w:r>
        <w:rPr>
          <w:rFonts w:hint="default" w:ascii="仿宋_GB2312" w:hAnsi="Calibri" w:eastAsia="仿宋_GB2312" w:cs="仿宋_GB2312"/>
          <w:color w:val="auto"/>
          <w:spacing w:val="0"/>
          <w:kern w:val="2"/>
          <w:position w:val="0"/>
          <w:sz w:val="32"/>
          <w:szCs w:val="32"/>
          <w:lang w:eastAsia="zh-CN" w:bidi="ar"/>
        </w:rPr>
        <w:t>份</w:t>
      </w:r>
      <w:r>
        <w:rPr>
          <w:rFonts w:hint="default" w:ascii="仿宋_GB2312" w:hAnsi="Calibri" w:eastAsia="仿宋_GB2312" w:cs="仿宋_GB2312"/>
          <w:color w:val="auto"/>
          <w:spacing w:val="0"/>
          <w:kern w:val="2"/>
          <w:position w:val="0"/>
          <w:sz w:val="32"/>
          <w:szCs w:val="32"/>
          <w:lang w:val="en-US" w:eastAsia="zh-CN" w:bidi="ar"/>
        </w:rPr>
        <w:t>，</w:t>
      </w:r>
      <w:r>
        <w:rPr>
          <w:rFonts w:hint="default" w:ascii="仿宋_GB2312" w:hAnsi="Calibri" w:eastAsia="仿宋_GB2312" w:cs="仿宋_GB2312"/>
          <w:color w:val="auto"/>
          <w:spacing w:val="0"/>
          <w:kern w:val="2"/>
          <w:position w:val="0"/>
          <w:sz w:val="32"/>
          <w:szCs w:val="32"/>
          <w:lang w:eastAsia="zh-CN" w:bidi="ar"/>
        </w:rPr>
        <w:t>每份政策措施</w:t>
      </w:r>
      <w:r>
        <w:rPr>
          <w:rFonts w:hint="eastAsia" w:ascii="仿宋_GB2312" w:hAnsi="Calibri" w:eastAsia="仿宋_GB2312" w:cs="仿宋_GB2312"/>
          <w:color w:val="auto"/>
          <w:spacing w:val="0"/>
          <w:kern w:val="2"/>
          <w:position w:val="0"/>
          <w:sz w:val="32"/>
          <w:szCs w:val="32"/>
          <w:highlight w:val="none"/>
          <w:lang w:val="en-US" w:eastAsia="zh-CN" w:bidi="ar"/>
        </w:rPr>
        <w:t>均不</w:t>
      </w:r>
      <w:r>
        <w:rPr>
          <w:rFonts w:hint="default" w:ascii="仿宋_GB2312" w:hAnsi="Calibri" w:eastAsia="仿宋_GB2312" w:cs="仿宋_GB2312"/>
          <w:color w:val="auto"/>
          <w:spacing w:val="0"/>
          <w:kern w:val="2"/>
          <w:position w:val="0"/>
          <w:sz w:val="32"/>
          <w:szCs w:val="32"/>
          <w:highlight w:val="none"/>
          <w:lang w:val="en-US" w:eastAsia="zh-CN" w:bidi="ar"/>
        </w:rPr>
        <w:t>违反公平竞争审查标准</w:t>
      </w:r>
      <w:r>
        <w:rPr>
          <w:rFonts w:hint="eastAsia" w:ascii="仿宋_GB2312" w:hAnsi="Calibri" w:eastAsia="仿宋_GB2312" w:cs="仿宋_GB2312"/>
          <w:color w:val="auto"/>
          <w:spacing w:val="0"/>
          <w:kern w:val="2"/>
          <w:position w:val="0"/>
          <w:sz w:val="32"/>
          <w:szCs w:val="32"/>
          <w:highlight w:val="none"/>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1"/>
        <w:rPr>
          <w:rFonts w:hint="default" w:ascii="仿宋_GB2312" w:eastAsia="仿宋_GB2312" w:cs="仿宋_GB2312"/>
          <w:color w:val="auto"/>
          <w:spacing w:val="0"/>
          <w:kern w:val="2"/>
          <w:position w:val="0"/>
          <w:sz w:val="32"/>
          <w:szCs w:val="32"/>
        </w:rPr>
      </w:pPr>
      <w:bookmarkStart w:id="2" w:name="_Toc27158"/>
      <w:r>
        <w:rPr>
          <w:rFonts w:hint="default" w:ascii="仿宋_GB2312" w:hAnsi="Calibri" w:eastAsia="仿宋_GB2312" w:cs="仿宋_GB2312"/>
          <w:color w:val="auto"/>
          <w:spacing w:val="0"/>
          <w:kern w:val="2"/>
          <w:position w:val="0"/>
          <w:sz w:val="32"/>
          <w:szCs w:val="32"/>
          <w:lang w:val="en-US" w:eastAsia="zh-CN" w:bidi="ar"/>
        </w:rPr>
        <w:t>（二）自我审查清理情况</w:t>
      </w:r>
      <w:bookmarkEnd w:id="2"/>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color w:val="auto"/>
          <w:spacing w:val="0"/>
          <w:kern w:val="2"/>
          <w:position w:val="0"/>
          <w:sz w:val="32"/>
          <w:szCs w:val="32"/>
        </w:rPr>
      </w:pPr>
      <w:r>
        <w:rPr>
          <w:rFonts w:hint="eastAsia" w:ascii="仿宋_GB2312" w:eastAsia="仿宋_GB2312" w:cs="仿宋_GB2312"/>
          <w:color w:val="auto"/>
          <w:spacing w:val="0"/>
          <w:kern w:val="2"/>
          <w:position w:val="0"/>
          <w:sz w:val="32"/>
          <w:szCs w:val="32"/>
          <w:lang w:val="en-US" w:eastAsia="zh-CN" w:bidi="ar"/>
        </w:rPr>
        <w:t>张掖市财政局</w:t>
      </w:r>
      <w:r>
        <w:rPr>
          <w:rFonts w:hint="default" w:ascii="仿宋_GB2312" w:hAnsi="Calibri" w:eastAsia="仿宋_GB2312" w:cs="仿宋_GB2312"/>
          <w:color w:val="auto"/>
          <w:spacing w:val="0"/>
          <w:kern w:val="2"/>
          <w:position w:val="0"/>
          <w:sz w:val="32"/>
          <w:szCs w:val="32"/>
          <w:lang w:val="en-US" w:eastAsia="zh-CN" w:bidi="ar"/>
        </w:rPr>
        <w:t>在开展审查工作过程中，已进行本单位内政策措施的自查并形成自查报告，对2021—2022年度公平竞争审查审查工作情况进行</w:t>
      </w:r>
      <w:r>
        <w:rPr>
          <w:rFonts w:hint="eastAsia" w:ascii="仿宋_GB2312" w:hAnsi="Calibri" w:eastAsia="仿宋_GB2312" w:cs="仿宋_GB2312"/>
          <w:color w:val="auto"/>
          <w:spacing w:val="0"/>
          <w:kern w:val="2"/>
          <w:position w:val="0"/>
          <w:sz w:val="32"/>
          <w:szCs w:val="32"/>
          <w:lang w:val="en-US" w:eastAsia="zh-CN" w:bidi="ar"/>
        </w:rPr>
        <w:t>了</w:t>
      </w:r>
      <w:r>
        <w:rPr>
          <w:rFonts w:hint="default" w:ascii="仿宋_GB2312" w:hAnsi="Calibri" w:eastAsia="仿宋_GB2312" w:cs="仿宋_GB2312"/>
          <w:color w:val="auto"/>
          <w:spacing w:val="0"/>
          <w:kern w:val="2"/>
          <w:position w:val="0"/>
          <w:sz w:val="32"/>
          <w:szCs w:val="32"/>
          <w:lang w:val="en-US" w:eastAsia="zh-CN" w:bidi="ar"/>
        </w:rPr>
        <w:t>书面总结。</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color w:val="auto"/>
          <w:spacing w:val="0"/>
          <w:kern w:val="2"/>
          <w:position w:val="0"/>
          <w:sz w:val="32"/>
          <w:szCs w:val="32"/>
        </w:rPr>
      </w:pPr>
      <w:r>
        <w:rPr>
          <w:rFonts w:hint="default" w:ascii="仿宋_GB2312" w:hAnsi="Calibri" w:eastAsia="仿宋_GB2312" w:cs="仿宋_GB2312"/>
          <w:color w:val="auto"/>
          <w:spacing w:val="0"/>
          <w:kern w:val="2"/>
          <w:position w:val="0"/>
          <w:sz w:val="32"/>
          <w:szCs w:val="32"/>
          <w:lang w:val="en-US" w:eastAsia="zh-CN" w:bidi="ar"/>
        </w:rPr>
        <w:t>对于涉及市场主体经济活动的存量政策措施，</w:t>
      </w:r>
      <w:r>
        <w:rPr>
          <w:rFonts w:hint="eastAsia" w:ascii="仿宋_GB2312" w:eastAsia="仿宋_GB2312" w:cs="仿宋_GB2312"/>
          <w:color w:val="auto"/>
          <w:spacing w:val="0"/>
          <w:kern w:val="2"/>
          <w:position w:val="0"/>
          <w:sz w:val="32"/>
          <w:szCs w:val="32"/>
          <w:lang w:val="en-US" w:eastAsia="zh-CN" w:bidi="ar"/>
        </w:rPr>
        <w:t>张掖市财政局</w:t>
      </w:r>
      <w:r>
        <w:rPr>
          <w:rFonts w:hint="default" w:ascii="仿宋_GB2312" w:hAnsi="Calibri" w:eastAsia="仿宋_GB2312" w:cs="仿宋_GB2312"/>
          <w:color w:val="auto"/>
          <w:spacing w:val="0"/>
          <w:kern w:val="2"/>
          <w:position w:val="0"/>
          <w:sz w:val="32"/>
          <w:szCs w:val="32"/>
          <w:lang w:val="en-US" w:eastAsia="zh-CN" w:bidi="ar"/>
        </w:rPr>
        <w:t>已</w:t>
      </w:r>
      <w:r>
        <w:rPr>
          <w:rFonts w:hint="default" w:ascii="仿宋_GB2312" w:hAnsi="Calibri" w:eastAsia="仿宋_GB2312" w:cs="仿宋_GB2312"/>
          <w:bCs w:val="0"/>
          <w:color w:val="auto"/>
          <w:spacing w:val="0"/>
          <w:kern w:val="2"/>
          <w:position w:val="0"/>
          <w:sz w:val="32"/>
          <w:szCs w:val="32"/>
          <w:lang w:val="en-US" w:eastAsia="zh-CN" w:bidi="ar"/>
        </w:rPr>
        <w:t>进行内部审查和清理，并</w:t>
      </w:r>
      <w:r>
        <w:rPr>
          <w:rFonts w:hint="default" w:ascii="仿宋_GB2312" w:hAnsi="Calibri" w:eastAsia="仿宋_GB2312" w:cs="仿宋_GB2312"/>
          <w:color w:val="auto"/>
          <w:spacing w:val="0"/>
          <w:kern w:val="0"/>
          <w:position w:val="0"/>
          <w:sz w:val="32"/>
          <w:szCs w:val="32"/>
          <w:lang w:val="en-US" w:eastAsia="zh-CN" w:bidi="ar"/>
        </w:rPr>
        <w:t>对本单位公平竞争审查工作进行总结。</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1"/>
        <w:rPr>
          <w:rFonts w:hint="default" w:ascii="仿宋_GB2312" w:eastAsia="仿宋_GB2312" w:cs="仿宋_GB2312"/>
          <w:bCs w:val="0"/>
          <w:color w:val="auto"/>
          <w:spacing w:val="0"/>
          <w:kern w:val="2"/>
          <w:position w:val="0"/>
          <w:sz w:val="32"/>
          <w:szCs w:val="32"/>
        </w:rPr>
      </w:pPr>
      <w:bookmarkStart w:id="3" w:name="_Toc8202"/>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 xml:space="preserve"> 三</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 xml:space="preserve"> 工作部署落实情况</w:t>
      </w:r>
      <w:bookmarkEnd w:id="3"/>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lang w:val="en-US" w:eastAsia="zh-CN" w:bidi="ar"/>
        </w:rPr>
      </w:pPr>
      <w:r>
        <w:rPr>
          <w:rFonts w:hint="default" w:ascii="仿宋_GB2312" w:hAnsi="Calibri" w:eastAsia="仿宋_GB2312" w:cs="仿宋_GB2312"/>
          <w:bCs w:val="0"/>
          <w:color w:val="auto"/>
          <w:spacing w:val="0"/>
          <w:kern w:val="2"/>
          <w:position w:val="0"/>
          <w:sz w:val="32"/>
          <w:szCs w:val="32"/>
          <w:lang w:val="en-US" w:eastAsia="zh-CN" w:bidi="ar"/>
        </w:rPr>
        <w:t>为建立健全公平竞争审查工作机制，推动本单位公平竞争审查工作的贯彻落实，</w:t>
      </w:r>
      <w:r>
        <w:rPr>
          <w:rFonts w:hint="eastAsia" w:ascii="仿宋_GB2312" w:eastAsia="仿宋_GB2312" w:cs="仿宋_GB2312"/>
          <w:bCs w:val="0"/>
          <w:color w:val="auto"/>
          <w:spacing w:val="0"/>
          <w:kern w:val="2"/>
          <w:position w:val="0"/>
          <w:sz w:val="32"/>
          <w:szCs w:val="32"/>
          <w:lang w:val="en-US" w:eastAsia="zh-CN" w:bidi="ar"/>
        </w:rPr>
        <w:t>张掖市财政局</w:t>
      </w:r>
      <w:r>
        <w:rPr>
          <w:rFonts w:hint="default" w:ascii="仿宋_GB2312" w:hAnsi="Calibri" w:eastAsia="仿宋_GB2312" w:cs="仿宋_GB2312"/>
          <w:bCs w:val="0"/>
          <w:color w:val="auto"/>
          <w:spacing w:val="0"/>
          <w:kern w:val="2"/>
          <w:position w:val="0"/>
          <w:sz w:val="32"/>
          <w:szCs w:val="32"/>
          <w:lang w:val="en-US" w:eastAsia="zh-CN" w:bidi="ar"/>
        </w:rPr>
        <w:t>结合工作实际制定</w:t>
      </w:r>
      <w:r>
        <w:rPr>
          <w:rFonts w:hint="eastAsia" w:ascii="仿宋_GB2312" w:hAnsi="Calibri" w:eastAsia="仿宋_GB2312" w:cs="仿宋_GB2312"/>
          <w:bCs w:val="0"/>
          <w:color w:val="auto"/>
          <w:spacing w:val="0"/>
          <w:kern w:val="2"/>
          <w:position w:val="0"/>
          <w:sz w:val="32"/>
          <w:szCs w:val="32"/>
          <w:lang w:val="en-US" w:eastAsia="zh-CN" w:bidi="ar"/>
        </w:rPr>
        <w:t>了《</w:t>
      </w:r>
      <w:r>
        <w:rPr>
          <w:rFonts w:hint="eastAsia" w:ascii="仿宋_GB2312" w:eastAsia="仿宋_GB2312" w:cs="仿宋_GB2312"/>
          <w:bCs w:val="0"/>
          <w:color w:val="auto"/>
          <w:spacing w:val="0"/>
          <w:kern w:val="2"/>
          <w:position w:val="0"/>
          <w:sz w:val="32"/>
          <w:szCs w:val="32"/>
          <w:lang w:val="en-US" w:eastAsia="zh-CN" w:bidi="ar"/>
        </w:rPr>
        <w:t>张掖市财政局</w:t>
      </w:r>
      <w:r>
        <w:rPr>
          <w:rFonts w:hint="default" w:ascii="仿宋_GB2312" w:hAnsi="Calibri" w:eastAsia="仿宋_GB2312" w:cs="仿宋_GB2312"/>
          <w:bCs w:val="0"/>
          <w:color w:val="auto"/>
          <w:spacing w:val="0"/>
          <w:kern w:val="2"/>
          <w:position w:val="0"/>
          <w:sz w:val="32"/>
          <w:szCs w:val="32"/>
          <w:lang w:val="en-US" w:eastAsia="zh-CN" w:bidi="ar"/>
        </w:rPr>
        <w:t>公平竞争审查</w:t>
      </w:r>
      <w:r>
        <w:rPr>
          <w:rFonts w:hint="eastAsia" w:ascii="仿宋_GB2312" w:hAnsi="Calibri" w:eastAsia="仿宋_GB2312" w:cs="仿宋_GB2312"/>
          <w:bCs w:val="0"/>
          <w:color w:val="auto"/>
          <w:spacing w:val="0"/>
          <w:kern w:val="2"/>
          <w:position w:val="0"/>
          <w:sz w:val="32"/>
          <w:szCs w:val="32"/>
          <w:lang w:val="en-US" w:eastAsia="zh-CN" w:bidi="ar"/>
        </w:rPr>
        <w:t>工作规定》，发布《</w:t>
      </w:r>
      <w:r>
        <w:rPr>
          <w:rFonts w:hint="eastAsia" w:ascii="仿宋_GB2312" w:eastAsia="仿宋_GB2312" w:cs="仿宋_GB2312"/>
          <w:bCs w:val="0"/>
          <w:color w:val="auto"/>
          <w:spacing w:val="0"/>
          <w:kern w:val="2"/>
          <w:position w:val="0"/>
          <w:sz w:val="32"/>
          <w:szCs w:val="32"/>
          <w:lang w:val="en-US" w:eastAsia="zh-CN" w:bidi="ar"/>
        </w:rPr>
        <w:t>张掖市财政局关于进一步规范政府采购投诉举报处理工作的通知</w:t>
      </w:r>
      <w:r>
        <w:rPr>
          <w:rFonts w:hint="eastAsia" w:ascii="仿宋_GB2312" w:hAnsi="Calibri" w:eastAsia="仿宋_GB2312" w:cs="仿宋_GB2312"/>
          <w:bCs w:val="0"/>
          <w:color w:val="auto"/>
          <w:spacing w:val="0"/>
          <w:kern w:val="2"/>
          <w:position w:val="0"/>
          <w:sz w:val="32"/>
          <w:szCs w:val="32"/>
          <w:lang w:val="en-US" w:eastAsia="zh-CN" w:bidi="ar"/>
        </w:rPr>
        <w:t>》，并联合张掖市市场监督管理局、张掖市发展和改革委员会、张掖市商务局、张掖市司法局印发了《市公平竞争审查工作部门联席会议2022年工作要点的通知》，制定了科学合理的审查流程，并</w:t>
      </w:r>
      <w:r>
        <w:rPr>
          <w:rFonts w:hint="default" w:ascii="仿宋_GB2312" w:hAnsi="Calibri" w:eastAsia="仿宋_GB2312" w:cs="仿宋_GB2312"/>
          <w:bCs w:val="0"/>
          <w:color w:val="auto"/>
          <w:spacing w:val="0"/>
          <w:kern w:val="2"/>
          <w:position w:val="0"/>
          <w:sz w:val="32"/>
          <w:szCs w:val="32"/>
          <w:lang w:val="en-US" w:eastAsia="zh-CN" w:bidi="ar"/>
        </w:rPr>
        <w:t>以会议形式对本单位人员集中进行公平竞争审查内容的学习与培训。</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eastAsia" w:ascii="仿宋_GB2312" w:hAnsi="Calibri" w:eastAsia="仿宋_GB2312" w:cs="仿宋_GB2312"/>
          <w:bCs w:val="0"/>
          <w:color w:val="auto"/>
          <w:spacing w:val="0"/>
          <w:kern w:val="2"/>
          <w:position w:val="0"/>
          <w:sz w:val="32"/>
          <w:szCs w:val="32"/>
          <w:lang w:val="en-US" w:eastAsia="zh-CN" w:bidi="ar"/>
        </w:rPr>
        <w:t>目前，</w:t>
      </w:r>
      <w:r>
        <w:rPr>
          <w:rFonts w:hint="default" w:ascii="仿宋_GB2312" w:hAnsi="Calibri" w:eastAsia="仿宋_GB2312" w:cs="仿宋_GB2312"/>
          <w:bCs w:val="0"/>
          <w:color w:val="auto"/>
          <w:spacing w:val="0"/>
          <w:kern w:val="2"/>
          <w:position w:val="0"/>
          <w:sz w:val="32"/>
          <w:szCs w:val="32"/>
          <w:lang w:eastAsia="zh-CN" w:bidi="ar"/>
        </w:rPr>
        <w:t>张掖市财政局</w:t>
      </w:r>
      <w:r>
        <w:rPr>
          <w:rFonts w:hint="eastAsia" w:ascii="仿宋_GB2312" w:hAnsi="Calibri" w:eastAsia="仿宋_GB2312" w:cs="仿宋_GB2312"/>
          <w:bCs w:val="0"/>
          <w:color w:val="auto"/>
          <w:spacing w:val="0"/>
          <w:kern w:val="2"/>
          <w:position w:val="0"/>
          <w:sz w:val="32"/>
          <w:szCs w:val="32"/>
          <w:lang w:eastAsia="zh-CN" w:bidi="ar"/>
        </w:rPr>
        <w:t>的</w:t>
      </w:r>
      <w:r>
        <w:rPr>
          <w:rFonts w:hint="default" w:ascii="仿宋_GB2312" w:hAnsi="Calibri" w:eastAsia="仿宋_GB2312" w:cs="仿宋_GB2312"/>
          <w:bCs w:val="0"/>
          <w:color w:val="auto"/>
          <w:spacing w:val="0"/>
          <w:kern w:val="2"/>
          <w:position w:val="0"/>
          <w:sz w:val="32"/>
          <w:szCs w:val="32"/>
          <w:lang w:val="en-US" w:eastAsia="zh-CN" w:bidi="ar"/>
        </w:rPr>
        <w:t>公平竞争审查制度、审查流程均已完善</w:t>
      </w:r>
      <w:r>
        <w:rPr>
          <w:rFonts w:hint="eastAsia" w:ascii="仿宋_GB2312" w:hAnsi="Calibri" w:eastAsia="仿宋_GB2312" w:cs="仿宋_GB2312"/>
          <w:bCs w:val="0"/>
          <w:color w:val="auto"/>
          <w:spacing w:val="0"/>
          <w:kern w:val="2"/>
          <w:position w:val="0"/>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60" w:lineRule="exact"/>
        <w:ind w:left="0" w:leftChars="0" w:right="0" w:rightChars="0" w:firstLine="640" w:firstLineChars="200"/>
        <w:jc w:val="both"/>
        <w:textAlignment w:val="auto"/>
        <w:outlineLvl w:val="0"/>
        <w:rPr>
          <w:rFonts w:hint="default" w:ascii="黑体" w:hAnsi="黑体" w:eastAsia="黑体" w:cs="黑体"/>
          <w:b w:val="0"/>
          <w:bCs/>
          <w:color w:val="auto"/>
          <w:spacing w:val="0"/>
          <w:kern w:val="2"/>
          <w:position w:val="0"/>
          <w:sz w:val="32"/>
          <w:szCs w:val="32"/>
          <w:lang w:val="en-US" w:eastAsia="zh-CN" w:bidi="ar"/>
        </w:rPr>
      </w:pPr>
      <w:bookmarkStart w:id="4" w:name="_Toc5380"/>
      <w:r>
        <w:rPr>
          <w:rFonts w:hint="default" w:ascii="黑体" w:hAnsi="黑体" w:eastAsia="黑体" w:cs="黑体"/>
          <w:b w:val="0"/>
          <w:bCs/>
          <w:color w:val="auto"/>
          <w:spacing w:val="0"/>
          <w:kern w:val="2"/>
          <w:position w:val="0"/>
          <w:sz w:val="32"/>
          <w:szCs w:val="32"/>
          <w:lang w:val="en-US" w:eastAsia="zh-CN" w:bidi="ar"/>
        </w:rPr>
        <w:t>二、评估结果</w:t>
      </w:r>
      <w:bookmarkEnd w:id="4"/>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lang w:val="en-US" w:eastAsia="zh-CN" w:bidi="ar"/>
        </w:rPr>
      </w:pPr>
      <w:r>
        <w:rPr>
          <w:rFonts w:hint="default" w:ascii="仿宋_GB2312" w:hAnsi="Calibri" w:eastAsia="仿宋_GB2312" w:cs="仿宋_GB2312"/>
          <w:bCs w:val="0"/>
          <w:color w:val="auto"/>
          <w:spacing w:val="0"/>
          <w:kern w:val="2"/>
          <w:position w:val="0"/>
          <w:sz w:val="32"/>
          <w:szCs w:val="32"/>
          <w:lang w:val="en-US" w:eastAsia="zh-CN" w:bidi="ar"/>
        </w:rPr>
        <w:t>根据《甘肃省市场监管局等四单位关于进一步推进落实公平竞争审查工作的通知》（甘市监发〔2020〕291号）及《张掖市公平竞争审查工作</w:t>
      </w:r>
      <w:r>
        <w:rPr>
          <w:rFonts w:hint="eastAsia" w:ascii="仿宋_GB2312" w:hAnsi="Calibri" w:eastAsia="仿宋_GB2312" w:cs="仿宋_GB2312"/>
          <w:bCs w:val="0"/>
          <w:color w:val="auto"/>
          <w:spacing w:val="0"/>
          <w:kern w:val="2"/>
          <w:position w:val="0"/>
          <w:sz w:val="32"/>
          <w:szCs w:val="32"/>
          <w:lang w:val="en-US" w:eastAsia="zh-CN" w:bidi="ar"/>
        </w:rPr>
        <w:t>部门</w:t>
      </w:r>
      <w:r>
        <w:rPr>
          <w:rFonts w:hint="default" w:ascii="仿宋_GB2312" w:hAnsi="Calibri" w:eastAsia="仿宋_GB2312" w:cs="仿宋_GB2312"/>
          <w:bCs w:val="0"/>
          <w:color w:val="auto"/>
          <w:spacing w:val="0"/>
          <w:kern w:val="2"/>
          <w:position w:val="0"/>
          <w:sz w:val="32"/>
          <w:szCs w:val="32"/>
          <w:lang w:val="en-US" w:eastAsia="zh-CN" w:bidi="ar"/>
        </w:rPr>
        <w:t>联席会议办公室关于开展公平竞争审查工作第三方评估的通知》（张公竞〔2022〕10号）文件要求，</w:t>
      </w:r>
      <w:r>
        <w:rPr>
          <w:rFonts w:hint="eastAsia" w:ascii="仿宋_GB2312" w:eastAsia="仿宋_GB2312" w:cs="仿宋_GB2312"/>
          <w:bCs w:val="0"/>
          <w:color w:val="auto"/>
          <w:spacing w:val="0"/>
          <w:kern w:val="2"/>
          <w:position w:val="0"/>
          <w:sz w:val="32"/>
          <w:szCs w:val="32"/>
          <w:lang w:val="en-US" w:eastAsia="zh-CN" w:bidi="ar"/>
        </w:rPr>
        <w:t>张掖市财政局</w:t>
      </w:r>
      <w:commentRangeStart w:id="0"/>
      <w:r>
        <w:rPr>
          <w:rFonts w:hint="default" w:ascii="仿宋_GB2312" w:hAnsi="Calibri" w:eastAsia="仿宋_GB2312" w:cs="仿宋_GB2312"/>
          <w:bCs w:val="0"/>
          <w:color w:val="auto"/>
          <w:spacing w:val="0"/>
          <w:kern w:val="2"/>
          <w:position w:val="0"/>
          <w:sz w:val="32"/>
          <w:szCs w:val="32"/>
          <w:lang w:val="en-US" w:eastAsia="zh-CN" w:bidi="ar"/>
        </w:rPr>
        <w:t>在公平竞争审查工作部署落实方面具体得分如表1所示。</w:t>
      </w:r>
      <w:commentRangeEnd w:id="0"/>
      <w:r>
        <w:commentReference w:id="0"/>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commentReference w:id="1"/>
      </w:r>
      <w:r>
        <w:rPr>
          <w:rFonts w:hint="default" w:ascii="黑体" w:hAnsi="黑体" w:eastAsia="黑体" w:cs="黑体"/>
          <w:b w:val="0"/>
          <w:bCs/>
          <w:color w:val="auto"/>
          <w:spacing w:val="0"/>
          <w:kern w:val="2"/>
          <w:position w:val="0"/>
          <w:sz w:val="24"/>
          <w:szCs w:val="30"/>
          <w:lang w:val="en-US" w:eastAsia="zh-CN" w:bidi="ar"/>
        </w:rPr>
        <w:t>表1：  公平竞争审查工作部署落实情况评分表</w:t>
      </w:r>
    </w:p>
    <w:tbl>
      <w:tblPr>
        <w:tblStyle w:val="14"/>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一 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 标</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二 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 标</w:t>
            </w:r>
          </w:p>
        </w:tc>
        <w:tc>
          <w:tcPr>
            <w:tcW w:w="2145"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指标评价内容</w:t>
            </w:r>
          </w:p>
        </w:tc>
        <w:tc>
          <w:tcPr>
            <w:tcW w:w="4488"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w:t>
            </w:r>
            <w:r>
              <w:rPr>
                <w:rFonts w:hint="default" w:ascii="仿宋_GB2312" w:hAnsi="仿宋_GB2312" w:eastAsia="仿宋_GB2312" w:cs="仿宋_GB2312"/>
                <w:b w:val="0"/>
                <w:bCs/>
                <w:color w:val="auto"/>
                <w:spacing w:val="0"/>
                <w:position w:val="0"/>
                <w:sz w:val="24"/>
                <w:szCs w:val="24"/>
                <w:lang w:val="en-US" w:eastAsia="zh-CN"/>
              </w:rPr>
              <w:t>分标准</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工作部署落实情况（45分）</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方案</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印发公平竞争审查方案（5分）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根据是否印发建立公平竞争审查制度的实施通知/实施方案等文件进行判断。</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建立相应审查机制</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建立公平竞争审查机制（10分）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报批文件、通知文件、审批流程文件</w:t>
            </w:r>
            <w:r>
              <w:rPr>
                <w:rFonts w:hint="eastAsia" w:ascii="仿宋_GB2312" w:hAnsi="仿宋_GB2312" w:eastAsia="仿宋_GB2312" w:cs="仿宋_GB2312"/>
                <w:b w:val="0"/>
                <w:bCs/>
                <w:color w:val="auto"/>
                <w:spacing w:val="0"/>
                <w:position w:val="0"/>
                <w:sz w:val="24"/>
                <w:szCs w:val="24"/>
                <w:lang w:val="en-US" w:eastAsia="zh-CN"/>
              </w:rPr>
              <w:t>或已建立的公平竞争审查制度、方案</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建立投诉举报回应机制（5分）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相关文件</w:t>
            </w:r>
            <w:r>
              <w:rPr>
                <w:rFonts w:hint="eastAsia" w:ascii="仿宋_GB2312" w:hAnsi="仿宋_GB2312" w:eastAsia="仿宋_GB2312" w:cs="仿宋_GB2312"/>
                <w:b w:val="0"/>
                <w:bCs/>
                <w:color w:val="auto"/>
                <w:spacing w:val="0"/>
                <w:position w:val="0"/>
                <w:sz w:val="24"/>
                <w:szCs w:val="24"/>
                <w:lang w:val="en-US" w:eastAsia="zh-CN"/>
              </w:rPr>
              <w:t>、资料</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引入第三方审查机制（5分）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第三方评估报告、专家意见等文件。</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部署</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公平竞争审查人员组成及运行状况（5分）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有具体的人员组成和分工。</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公平竞争审查机制运行状况（5分）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如是否形成自查报告等</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宣传培训</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组织面向社会公众、市场主体的公平竞争审查宣传（5分）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color w:val="auto"/>
                <w:spacing w:val="0"/>
                <w:position w:val="0"/>
                <w:sz w:val="24"/>
                <w:szCs w:val="24"/>
                <w:lang w:val="en-US" w:eastAsia="zh-CN"/>
              </w:rPr>
              <w:t>、有组织针对性的宣传（如</w:t>
            </w:r>
            <w:r>
              <w:rPr>
                <w:rFonts w:hint="default" w:ascii="仿宋_GB2312" w:hAnsi="仿宋_GB2312" w:eastAsia="仿宋_GB2312" w:cs="仿宋_GB2312"/>
                <w:b w:val="0"/>
                <w:bCs/>
                <w:color w:val="auto"/>
                <w:spacing w:val="0"/>
                <w:position w:val="0"/>
                <w:sz w:val="24"/>
                <w:szCs w:val="24"/>
                <w:lang w:val="en-US" w:eastAsia="zh-CN"/>
              </w:rPr>
              <w:t>宣传资料、活动照片</w:t>
            </w:r>
            <w:r>
              <w:rPr>
                <w:rFonts w:hint="eastAsia" w:ascii="仿宋_GB2312" w:hAnsi="仿宋_GB2312" w:eastAsia="仿宋_GB2312" w:cs="仿宋_GB2312"/>
                <w:b w:val="0"/>
                <w:bCs/>
                <w:color w:val="auto"/>
                <w:spacing w:val="0"/>
                <w:position w:val="0"/>
                <w:sz w:val="24"/>
                <w:szCs w:val="24"/>
                <w:lang w:val="en-US" w:eastAsia="zh-CN"/>
              </w:rPr>
              <w:t>、公众号等</w:t>
            </w:r>
            <w:r>
              <w:rPr>
                <w:rFonts w:hint="default" w:ascii="仿宋_GB2312" w:hAnsi="仿宋_GB2312" w:eastAsia="仿宋_GB2312" w:cs="仿宋_GB2312"/>
                <w:b w:val="0"/>
                <w:bCs/>
                <w:color w:val="auto"/>
                <w:spacing w:val="0"/>
                <w:position w:val="0"/>
                <w:sz w:val="24"/>
                <w:szCs w:val="24"/>
                <w:lang w:val="en-US" w:eastAsia="zh-CN"/>
              </w:rPr>
              <w:t>判定</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内部举行公平竞争审查的学习培训（5分）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color w:val="auto"/>
                <w:spacing w:val="0"/>
                <w:position w:val="0"/>
                <w:sz w:val="24"/>
                <w:szCs w:val="24"/>
                <w:lang w:val="en-US" w:eastAsia="zh-CN"/>
              </w:rPr>
              <w:t>（如</w:t>
            </w:r>
            <w:r>
              <w:rPr>
                <w:rFonts w:hint="default" w:ascii="仿宋_GB2312" w:hAnsi="仿宋_GB2312" w:eastAsia="仿宋_GB2312" w:cs="仿宋_GB2312"/>
                <w:b w:val="0"/>
                <w:bCs/>
                <w:color w:val="auto"/>
                <w:spacing w:val="0"/>
                <w:position w:val="0"/>
                <w:sz w:val="24"/>
                <w:szCs w:val="24"/>
                <w:lang w:val="en-US" w:eastAsia="zh-CN"/>
              </w:rPr>
              <w:t>培训照片、签到表、会议记录等资料</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政策措施审查清理情况（4</w:t>
            </w:r>
            <w:r>
              <w:rPr>
                <w:rFonts w:hint="eastAsia" w:ascii="仿宋_GB2312" w:hAnsi="仿宋_GB2312" w:eastAsia="仿宋_GB2312" w:cs="仿宋_GB2312"/>
                <w:b w:val="0"/>
                <w:bCs/>
                <w:color w:val="auto"/>
                <w:spacing w:val="0"/>
                <w:position w:val="0"/>
                <w:sz w:val="24"/>
                <w:szCs w:val="24"/>
                <w:lang w:val="en-US" w:eastAsia="zh-CN"/>
              </w:rPr>
              <w:t>0</w:t>
            </w:r>
            <w:r>
              <w:rPr>
                <w:rFonts w:hint="default" w:ascii="仿宋_GB2312" w:hAnsi="仿宋_GB2312" w:eastAsia="仿宋_GB2312" w:cs="仿宋_GB2312"/>
                <w:b w:val="0"/>
                <w:bCs/>
                <w:color w:val="auto"/>
                <w:spacing w:val="0"/>
                <w:position w:val="0"/>
                <w:sz w:val="24"/>
                <w:szCs w:val="24"/>
                <w:lang w:val="en-US" w:eastAsia="zh-CN"/>
              </w:rPr>
              <w:t>分）</w:t>
            </w: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增量措施审查情况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提供政策措施数量（10分）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各县区提供的增量政策措施数量不能少于15份，市直单位不能少于5份。</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w:t>
            </w:r>
            <w:r>
              <w:rPr>
                <w:rFonts w:hint="eastAsia" w:ascii="仿宋_GB2312" w:hAnsi="仿宋_GB2312" w:eastAsia="仿宋_GB2312" w:cs="仿宋_GB2312"/>
                <w:b w:val="0"/>
                <w:bCs/>
                <w:color w:val="auto"/>
                <w:spacing w:val="0"/>
                <w:position w:val="0"/>
                <w:sz w:val="24"/>
                <w:szCs w:val="24"/>
                <w:lang w:val="en-US" w:eastAsia="zh-CN"/>
              </w:rPr>
              <w:t>审查</w:t>
            </w:r>
            <w:r>
              <w:rPr>
                <w:rFonts w:hint="default" w:ascii="仿宋_GB2312" w:hAnsi="仿宋_GB2312" w:eastAsia="仿宋_GB2312" w:cs="仿宋_GB2312"/>
                <w:b w:val="0"/>
                <w:bCs/>
                <w:color w:val="auto"/>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存量措施清理情况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政策措施审查是否全面、规范（5分）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根据是否有公平竞争审查工作归档记录，以及审查表、书面审查结论是否与审查文件数量一致判断</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6"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是否形成书面审查报告（</w:t>
            </w:r>
            <w:r>
              <w:rPr>
                <w:rFonts w:hint="eastAsia" w:ascii="仿宋_GB2312" w:hAnsi="仿宋_GB2312" w:eastAsia="仿宋_GB2312" w:cs="仿宋_GB2312"/>
                <w:b w:val="0"/>
                <w:bCs/>
                <w:color w:val="auto"/>
                <w:spacing w:val="0"/>
                <w:position w:val="0"/>
                <w:sz w:val="24"/>
                <w:szCs w:val="24"/>
                <w:lang w:val="en-US" w:eastAsia="zh-CN"/>
              </w:rPr>
              <w:t>5</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公平竞争审查工作落实成效（15分）</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反馈</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社会公众及市场主体对已审查通过的政策措施无负面反馈（5分）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无负面反馈得满分。</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对妨碍公平竞争的政策措施是否进行整改（5分）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w:t>
            </w:r>
            <w:r>
              <w:rPr>
                <w:rFonts w:hint="eastAsia" w:ascii="仿宋_GB2312" w:hAnsi="仿宋_GB2312" w:eastAsia="仿宋_GB2312" w:cs="仿宋_GB2312"/>
                <w:b w:val="0"/>
                <w:bCs/>
                <w:color w:val="auto"/>
                <w:spacing w:val="0"/>
                <w:position w:val="0"/>
                <w:sz w:val="24"/>
                <w:szCs w:val="24"/>
                <w:lang w:val="en-US" w:eastAsia="zh-CN"/>
              </w:rPr>
              <w:t>已</w:t>
            </w:r>
            <w:r>
              <w:rPr>
                <w:rFonts w:hint="default" w:ascii="仿宋_GB2312" w:hAnsi="仿宋_GB2312" w:eastAsia="仿宋_GB2312" w:cs="仿宋_GB2312"/>
                <w:b w:val="0"/>
                <w:bCs/>
                <w:color w:val="auto"/>
                <w:spacing w:val="0"/>
                <w:position w:val="0"/>
                <w:sz w:val="24"/>
                <w:szCs w:val="24"/>
                <w:lang w:val="en-US" w:eastAsia="zh-CN"/>
              </w:rPr>
              <w:t>全部进行整改、废止的得满分。</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对妨碍公平竞争的政策措施是否及时整改（5分）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以评估开始日期为基准，若审查工作开始时已经完成整改或无需整改得满分。</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776" w:type="dxa"/>
            <w:gridSpan w:val="2"/>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最终得分</w:t>
            </w:r>
          </w:p>
        </w:tc>
        <w:tc>
          <w:tcPr>
            <w:tcW w:w="7172" w:type="dxa"/>
            <w:gridSpan w:val="3"/>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93</w:t>
            </w:r>
          </w:p>
        </w:tc>
      </w:tr>
    </w:tbl>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color w:val="auto"/>
          <w:spacing w:val="0"/>
          <w:kern w:val="2"/>
          <w:position w:val="0"/>
          <w:sz w:val="32"/>
          <w:szCs w:val="32"/>
        </w:rPr>
      </w:pPr>
      <w:bookmarkStart w:id="5" w:name="_Toc6090"/>
      <w:r>
        <w:rPr>
          <w:rFonts w:hint="eastAsia" w:ascii="楷体_GB2312" w:hAnsi="楷体_GB2312" w:eastAsia="楷体_GB2312" w:cs="楷体_GB2312"/>
          <w:color w:val="auto"/>
          <w:spacing w:val="0"/>
          <w:kern w:val="0"/>
          <w:position w:val="0"/>
          <w:sz w:val="32"/>
          <w:szCs w:val="32"/>
          <w:lang w:val="en-US" w:eastAsia="zh-CN" w:bidi="ar"/>
        </w:rPr>
        <w:t>（一）政策措施评估得分</w:t>
      </w:r>
      <w:bookmarkEnd w:id="5"/>
      <w:r>
        <w:rPr>
          <w:rFonts w:hint="eastAsia" w:ascii="楷体_GB2312" w:hAnsi="楷体_GB2312" w:eastAsia="楷体_GB2312" w:cs="楷体_GB2312"/>
          <w:color w:val="auto"/>
          <w:spacing w:val="0"/>
          <w:kern w:val="0"/>
          <w:position w:val="0"/>
          <w:sz w:val="32"/>
          <w:szCs w:val="32"/>
          <w:lang w:val="en-US" w:eastAsia="zh-CN" w:bidi="ar"/>
        </w:rPr>
        <w:t xml:space="preserve"> </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color w:val="auto"/>
          <w:spacing w:val="0"/>
          <w:kern w:val="2"/>
          <w:position w:val="0"/>
          <w:sz w:val="32"/>
          <w:szCs w:val="32"/>
        </w:rPr>
      </w:pPr>
      <w:r>
        <w:rPr>
          <w:rFonts w:hint="default" w:ascii="仿宋_GB2312" w:hAnsi="Calibri" w:eastAsia="仿宋_GB2312" w:cs="仿宋_GB2312"/>
          <w:color w:val="auto"/>
          <w:spacing w:val="0"/>
          <w:kern w:val="0"/>
          <w:position w:val="0"/>
          <w:sz w:val="32"/>
          <w:szCs w:val="32"/>
          <w:lang w:val="en-US" w:eastAsia="zh-CN" w:bidi="ar"/>
        </w:rPr>
        <w:t>按照《张掖市公平竞争审查工作第三方评估执行手册》中评估指标量化打分，</w:t>
      </w:r>
      <w:r>
        <w:rPr>
          <w:rFonts w:hint="eastAsia" w:ascii="仿宋_GB2312" w:eastAsia="仿宋_GB2312" w:cs="仿宋_GB2312"/>
          <w:color w:val="auto"/>
          <w:spacing w:val="0"/>
          <w:kern w:val="0"/>
          <w:position w:val="0"/>
          <w:sz w:val="32"/>
          <w:szCs w:val="32"/>
          <w:lang w:val="en-US" w:eastAsia="zh-CN" w:bidi="ar"/>
        </w:rPr>
        <w:t>张掖市财政局</w:t>
      </w:r>
      <w:r>
        <w:rPr>
          <w:rFonts w:hint="default" w:ascii="仿宋_GB2312" w:hAnsi="Calibri" w:eastAsia="仿宋_GB2312" w:cs="仿宋_GB2312"/>
          <w:color w:val="auto"/>
          <w:spacing w:val="0"/>
          <w:kern w:val="0"/>
          <w:position w:val="0"/>
          <w:sz w:val="32"/>
          <w:szCs w:val="32"/>
          <w:lang w:val="en-US" w:eastAsia="zh-CN" w:bidi="ar"/>
        </w:rPr>
        <w:t>在政策措施评估方面具体得分如表 2 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表2  政策措施评估结果统计表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8"/>
        <w:gridCol w:w="3075"/>
        <w:gridCol w:w="2799"/>
        <w:gridCol w:w="961"/>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13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项目</w:t>
            </w:r>
          </w:p>
        </w:tc>
        <w:tc>
          <w:tcPr>
            <w:tcW w:w="30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需要进行公平竞争审查的政策措施数量（份）</w:t>
            </w:r>
          </w:p>
        </w:tc>
        <w:tc>
          <w:tcPr>
            <w:tcW w:w="2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有违反公平竞争的政策措施数量（份）</w:t>
            </w:r>
          </w:p>
        </w:tc>
        <w:tc>
          <w:tcPr>
            <w:tcW w:w="9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3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w:t>
            </w:r>
          </w:p>
        </w:tc>
        <w:tc>
          <w:tcPr>
            <w:tcW w:w="30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w:t>
            </w:r>
          </w:p>
        </w:tc>
        <w:tc>
          <w:tcPr>
            <w:tcW w:w="2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9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 xml:space="preserve"> 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表3   政策措施评估标准及计算方法</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715"/>
        <w:gridCol w:w="1608"/>
        <w:gridCol w:w="1529"/>
        <w:gridCol w:w="1687"/>
        <w:gridCol w:w="1057"/>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4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评估内容</w:t>
            </w:r>
          </w:p>
        </w:tc>
        <w:tc>
          <w:tcPr>
            <w:tcW w:w="6596"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评估标准</w:t>
            </w:r>
          </w:p>
        </w:tc>
        <w:tc>
          <w:tcPr>
            <w:tcW w:w="8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4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政策措施差错率</w:t>
            </w:r>
          </w:p>
        </w:tc>
        <w:tc>
          <w:tcPr>
            <w:tcW w:w="7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16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%，20%）</w:t>
            </w:r>
          </w:p>
        </w:tc>
        <w:tc>
          <w:tcPr>
            <w:tcW w:w="16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（20%，40%）</w:t>
            </w:r>
          </w:p>
        </w:tc>
        <w:tc>
          <w:tcPr>
            <w:tcW w:w="10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&gt;40%</w:t>
            </w:r>
          </w:p>
        </w:tc>
        <w:tc>
          <w:tcPr>
            <w:tcW w:w="8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4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对应得分</w:t>
            </w:r>
          </w:p>
        </w:tc>
        <w:tc>
          <w:tcPr>
            <w:tcW w:w="7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c>
          <w:tcPr>
            <w:tcW w:w="16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90</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80</w:t>
            </w:r>
          </w:p>
        </w:tc>
        <w:tc>
          <w:tcPr>
            <w:tcW w:w="16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70</w:t>
            </w:r>
          </w:p>
        </w:tc>
        <w:tc>
          <w:tcPr>
            <w:tcW w:w="10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60</w:t>
            </w:r>
          </w:p>
        </w:tc>
        <w:tc>
          <w:tcPr>
            <w:tcW w:w="8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kern w:val="0"/>
          <w:position w:val="0"/>
          <w:sz w:val="32"/>
          <w:szCs w:val="32"/>
        </w:rPr>
      </w:pPr>
      <w:bookmarkStart w:id="6" w:name="_Toc14283"/>
      <w:r>
        <w:rPr>
          <w:rFonts w:hint="eastAsia" w:ascii="楷体_GB2312" w:hAnsi="楷体_GB2312" w:eastAsia="楷体_GB2312" w:cs="楷体_GB2312"/>
          <w:color w:val="auto"/>
          <w:spacing w:val="0"/>
          <w:kern w:val="0"/>
          <w:position w:val="0"/>
          <w:sz w:val="32"/>
          <w:szCs w:val="32"/>
          <w:lang w:val="en-US" w:eastAsia="zh-CN" w:bidi="ar-SA"/>
        </w:rPr>
        <w:t>（二）</w:t>
      </w:r>
      <w:r>
        <w:rPr>
          <w:rFonts w:hint="eastAsia" w:ascii="楷体_GB2312" w:hAnsi="楷体_GB2312" w:eastAsia="楷体_GB2312" w:cs="楷体_GB2312"/>
          <w:color w:val="auto"/>
          <w:spacing w:val="0"/>
          <w:kern w:val="0"/>
          <w:position w:val="0"/>
          <w:sz w:val="32"/>
          <w:szCs w:val="32"/>
          <w:lang w:val="en-US" w:eastAsia="zh-CN" w:bidi="ar"/>
        </w:rPr>
        <w:t>公平竞争审查第三方评估工作配合情况得分</w:t>
      </w:r>
      <w:bookmarkEnd w:id="6"/>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color w:val="auto"/>
          <w:spacing w:val="0"/>
          <w:kern w:val="0"/>
          <w:position w:val="0"/>
          <w:sz w:val="32"/>
          <w:szCs w:val="32"/>
        </w:rPr>
      </w:pPr>
      <w:r>
        <w:rPr>
          <w:rFonts w:hint="eastAsia" w:ascii="仿宋_GB2312" w:eastAsia="仿宋_GB2312" w:cs="仿宋_GB2312"/>
          <w:color w:val="auto"/>
          <w:spacing w:val="0"/>
          <w:kern w:val="0"/>
          <w:position w:val="0"/>
          <w:sz w:val="32"/>
          <w:szCs w:val="32"/>
          <w:lang w:val="en-US" w:eastAsia="zh-CN" w:bidi="ar"/>
        </w:rPr>
        <w:t>张掖市财政局</w:t>
      </w:r>
      <w:r>
        <w:rPr>
          <w:rFonts w:hint="default" w:ascii="仿宋_GB2312" w:hAnsi="Calibri" w:eastAsia="仿宋_GB2312" w:cs="仿宋_GB2312"/>
          <w:color w:val="auto"/>
          <w:spacing w:val="0"/>
          <w:kern w:val="0"/>
          <w:position w:val="0"/>
          <w:sz w:val="32"/>
          <w:szCs w:val="32"/>
          <w:lang w:val="en-US" w:eastAsia="zh-CN" w:bidi="ar"/>
        </w:rPr>
        <w:t>在公平竞争审查工作第三方评估项目中积极配合，及时</w:t>
      </w:r>
      <w:r>
        <w:rPr>
          <w:rFonts w:hint="eastAsia" w:ascii="仿宋_GB2312" w:hAnsi="Calibri" w:eastAsia="仿宋_GB2312" w:cs="仿宋_GB2312"/>
          <w:color w:val="auto"/>
          <w:spacing w:val="0"/>
          <w:kern w:val="0"/>
          <w:position w:val="0"/>
          <w:sz w:val="32"/>
          <w:szCs w:val="32"/>
          <w:lang w:val="en-US" w:eastAsia="zh-CN" w:bidi="ar"/>
        </w:rPr>
        <w:t>提</w:t>
      </w:r>
      <w:r>
        <w:rPr>
          <w:rFonts w:hint="default" w:ascii="仿宋_GB2312" w:hAnsi="Calibri" w:eastAsia="仿宋_GB2312" w:cs="仿宋_GB2312"/>
          <w:color w:val="auto"/>
          <w:spacing w:val="0"/>
          <w:kern w:val="0"/>
          <w:position w:val="0"/>
          <w:sz w:val="32"/>
          <w:szCs w:val="32"/>
          <w:lang w:val="en-US" w:eastAsia="zh-CN" w:bidi="ar"/>
        </w:rPr>
        <w:t>交评估所需文件及佐证材料，沟通顺畅，确保了公平竞争审查第三方评估工作顺利开展，按照《张掖市公平竞争审查工作第三方评估执行手册》中评估指标量化打分，</w:t>
      </w:r>
      <w:r>
        <w:rPr>
          <w:rFonts w:hint="eastAsia" w:ascii="仿宋_GB2312" w:eastAsia="仿宋_GB2312" w:cs="仿宋_GB2312"/>
          <w:color w:val="auto"/>
          <w:spacing w:val="0"/>
          <w:kern w:val="0"/>
          <w:position w:val="0"/>
          <w:sz w:val="32"/>
          <w:szCs w:val="32"/>
          <w:lang w:val="en-US" w:eastAsia="zh-CN" w:bidi="ar"/>
        </w:rPr>
        <w:t>张掖市财政局</w:t>
      </w:r>
      <w:r>
        <w:rPr>
          <w:rFonts w:hint="default" w:ascii="仿宋_GB2312" w:hAnsi="Calibri" w:eastAsia="仿宋_GB2312" w:cs="仿宋_GB2312"/>
          <w:color w:val="auto"/>
          <w:spacing w:val="0"/>
          <w:kern w:val="0"/>
          <w:position w:val="0"/>
          <w:sz w:val="32"/>
          <w:szCs w:val="32"/>
          <w:lang w:val="en-US" w:eastAsia="zh-CN" w:bidi="ar"/>
        </w:rPr>
        <w:t xml:space="preserve">在工作配合情况中得 100 分。 </w:t>
      </w:r>
    </w:p>
    <w:p>
      <w:pPr>
        <w:keepNext w:val="0"/>
        <w:keepLines w:val="0"/>
        <w:pageBreakBefore w:val="0"/>
        <w:widowControl/>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kern w:val="0"/>
          <w:position w:val="0"/>
          <w:sz w:val="32"/>
          <w:szCs w:val="32"/>
        </w:rPr>
      </w:pPr>
      <w:bookmarkStart w:id="7" w:name="_Toc13953"/>
      <w:r>
        <w:rPr>
          <w:rFonts w:hint="eastAsia" w:ascii="楷体_GB2312" w:hAnsi="楷体_GB2312" w:eastAsia="楷体_GB2312" w:cs="楷体_GB2312"/>
          <w:color w:val="auto"/>
          <w:spacing w:val="0"/>
          <w:kern w:val="0"/>
          <w:position w:val="0"/>
          <w:sz w:val="32"/>
          <w:szCs w:val="32"/>
          <w:lang w:val="en-US" w:eastAsia="zh-CN" w:bidi="ar-SA"/>
        </w:rPr>
        <w:t>（三）</w:t>
      </w:r>
      <w:r>
        <w:rPr>
          <w:rFonts w:hint="eastAsia" w:ascii="楷体_GB2312" w:hAnsi="楷体_GB2312" w:eastAsia="楷体_GB2312" w:cs="楷体_GB2312"/>
          <w:color w:val="auto"/>
          <w:spacing w:val="0"/>
          <w:kern w:val="0"/>
          <w:position w:val="0"/>
          <w:sz w:val="32"/>
          <w:szCs w:val="32"/>
          <w:lang w:val="en-US" w:eastAsia="zh-CN" w:bidi="ar"/>
        </w:rPr>
        <w:t>公平竞争审查第三方评估最终得分</w:t>
      </w:r>
      <w:bookmarkEnd w:id="7"/>
      <w:r>
        <w:rPr>
          <w:rFonts w:hint="eastAsia" w:ascii="楷体_GB2312" w:hAnsi="楷体_GB2312" w:eastAsia="楷体_GB2312" w:cs="楷体_GB2312"/>
          <w:color w:val="auto"/>
          <w:spacing w:val="0"/>
          <w:kern w:val="0"/>
          <w:position w:val="0"/>
          <w:sz w:val="32"/>
          <w:szCs w:val="32"/>
          <w:lang w:val="en-US" w:eastAsia="zh-CN" w:bidi="ar"/>
        </w:rPr>
        <w:t xml:space="preserve"> </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color w:val="auto"/>
          <w:spacing w:val="0"/>
          <w:kern w:val="0"/>
          <w:position w:val="0"/>
          <w:sz w:val="32"/>
          <w:szCs w:val="32"/>
        </w:rPr>
      </w:pPr>
      <w:r>
        <w:rPr>
          <w:rFonts w:hint="default" w:ascii="仿宋_GB2312" w:hAnsi="Calibri" w:eastAsia="仿宋_GB2312" w:cs="仿宋_GB2312"/>
          <w:color w:val="auto"/>
          <w:spacing w:val="0"/>
          <w:kern w:val="0"/>
          <w:position w:val="0"/>
          <w:sz w:val="32"/>
          <w:szCs w:val="32"/>
          <w:lang w:val="en-US" w:eastAsia="zh-CN" w:bidi="ar"/>
        </w:rPr>
        <w:t>根据最终得分</w:t>
      </w:r>
      <w:r>
        <w:rPr>
          <w:rFonts w:hint="eastAsia" w:ascii="仿宋" w:hAnsi="仿宋" w:eastAsia="仿宋" w:cs="仿宋"/>
          <w:color w:val="auto"/>
          <w:spacing w:val="0"/>
          <w:kern w:val="0"/>
          <w:position w:val="0"/>
          <w:sz w:val="32"/>
          <w:szCs w:val="32"/>
          <w:lang w:val="en-US" w:eastAsia="zh-CN" w:bidi="ar"/>
        </w:rPr>
        <w:t>=</w:t>
      </w:r>
      <w:r>
        <w:rPr>
          <w:rFonts w:hint="default" w:ascii="仿宋_GB2312" w:hAnsi="Calibri" w:eastAsia="仿宋_GB2312" w:cs="仿宋_GB2312"/>
          <w:color w:val="auto"/>
          <w:spacing w:val="0"/>
          <w:kern w:val="0"/>
          <w:position w:val="0"/>
          <w:sz w:val="32"/>
          <w:szCs w:val="32"/>
          <w:lang w:val="en-US" w:eastAsia="zh-CN" w:bidi="ar"/>
        </w:rPr>
        <w:t xml:space="preserve">工作部署落实情况评估得分×50%＋政策措施评估得分×40%＋工作配合情况得分×10%的计算公式， </w:t>
      </w:r>
      <w:r>
        <w:rPr>
          <w:rFonts w:hint="eastAsia" w:ascii="仿宋_GB2312" w:eastAsia="仿宋_GB2312" w:cs="仿宋_GB2312"/>
          <w:color w:val="auto"/>
          <w:spacing w:val="0"/>
          <w:kern w:val="0"/>
          <w:position w:val="0"/>
          <w:sz w:val="32"/>
          <w:szCs w:val="32"/>
          <w:lang w:val="en-US" w:eastAsia="zh-CN" w:bidi="ar"/>
        </w:rPr>
        <w:t>张掖市财政局</w:t>
      </w:r>
      <w:r>
        <w:rPr>
          <w:rFonts w:hint="default" w:ascii="仿宋_GB2312" w:hAnsi="Calibri" w:eastAsia="仿宋_GB2312" w:cs="仿宋_GB2312"/>
          <w:color w:val="auto"/>
          <w:spacing w:val="0"/>
          <w:kern w:val="0"/>
          <w:position w:val="0"/>
          <w:sz w:val="32"/>
          <w:szCs w:val="32"/>
          <w:lang w:val="en-US" w:eastAsia="zh-CN" w:bidi="ar"/>
        </w:rPr>
        <w:t>最终得分如表 4 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 xml:space="preserve">表4  </w:t>
      </w:r>
      <w:r>
        <w:rPr>
          <w:rFonts w:hint="eastAsia" w:ascii="黑体" w:hAnsi="黑体" w:eastAsia="黑体" w:cs="黑体"/>
          <w:b w:val="0"/>
          <w:bCs/>
          <w:color w:val="auto"/>
          <w:spacing w:val="0"/>
          <w:kern w:val="2"/>
          <w:position w:val="0"/>
          <w:sz w:val="24"/>
          <w:szCs w:val="30"/>
          <w:lang w:val="en-US" w:eastAsia="zh-CN" w:bidi="ar"/>
        </w:rPr>
        <w:t>张掖市财政局</w:t>
      </w:r>
      <w:r>
        <w:rPr>
          <w:rFonts w:hint="default" w:ascii="黑体" w:hAnsi="黑体" w:eastAsia="黑体" w:cs="黑体"/>
          <w:b w:val="0"/>
          <w:bCs/>
          <w:color w:val="auto"/>
          <w:spacing w:val="0"/>
          <w:kern w:val="2"/>
          <w:position w:val="0"/>
          <w:sz w:val="24"/>
          <w:szCs w:val="30"/>
          <w:lang w:val="en-US" w:eastAsia="zh-CN" w:bidi="ar"/>
        </w:rPr>
        <w:t>第三方评估最终得分</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305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被评估单位</w:t>
            </w:r>
          </w:p>
        </w:tc>
        <w:tc>
          <w:tcPr>
            <w:tcW w:w="610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公平竞争审查工作部署落实情况评估得分</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措施评估得分</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93</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总分计算过程</w:t>
            </w:r>
          </w:p>
        </w:tc>
        <w:tc>
          <w:tcPr>
            <w:tcW w:w="610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93</w:t>
            </w:r>
            <w:r>
              <w:rPr>
                <w:rFonts w:hint="default" w:ascii="仿宋_GB2312" w:hAnsi="仿宋_GB2312" w:eastAsia="仿宋_GB2312" w:cs="仿宋_GB2312"/>
                <w:b w:val="0"/>
                <w:bCs/>
                <w:color w:val="auto"/>
                <w:spacing w:val="0"/>
                <w:position w:val="0"/>
                <w:sz w:val="24"/>
                <w:szCs w:val="24"/>
                <w:lang w:val="en-US" w:eastAsia="zh-CN"/>
              </w:rPr>
              <w:t xml:space="preserve">×50%＋100×40%＋100×10% </w:t>
            </w:r>
            <w:r>
              <w:rPr>
                <w:rFonts w:hint="eastAsia" w:ascii="仿宋_GB2312" w:hAnsi="仿宋_GB2312" w:eastAsia="仿宋_GB2312" w:cs="仿宋_GB2312"/>
                <w:b w:val="0"/>
                <w:bCs/>
                <w:color w:val="auto"/>
                <w:spacing w:val="0"/>
                <w:position w:val="0"/>
                <w:sz w:val="24"/>
                <w:szCs w:val="24"/>
                <w:lang w:val="en-US" w:eastAsia="zh-CN"/>
              </w:rPr>
              <w:t>=96.5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总分</w:t>
            </w:r>
          </w:p>
        </w:tc>
        <w:tc>
          <w:tcPr>
            <w:tcW w:w="610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96.5</w:t>
            </w:r>
          </w:p>
        </w:tc>
      </w:tr>
    </w:tbl>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bookmarkStart w:id="8" w:name="_Toc22305"/>
      <w:r>
        <w:rPr>
          <w:rFonts w:hint="eastAsia" w:ascii="黑体" w:hAnsi="黑体" w:eastAsia="黑体" w:cs="黑体"/>
          <w:b w:val="0"/>
          <w:bCs/>
          <w:color w:val="auto"/>
          <w:spacing w:val="0"/>
          <w:kern w:val="2"/>
          <w:position w:val="0"/>
          <w:sz w:val="32"/>
          <w:szCs w:val="32"/>
          <w:lang w:val="en-US" w:eastAsia="zh-CN" w:bidi="ar"/>
        </w:rPr>
        <w:t>三、好的经验做法</w:t>
      </w:r>
      <w:bookmarkEnd w:id="8"/>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lang w:val="en-US" w:eastAsia="zh-CN" w:bidi="ar"/>
        </w:rPr>
      </w:pPr>
      <w:r>
        <w:rPr>
          <w:rFonts w:hint="eastAsia" w:ascii="仿宋_GB2312" w:hAnsi="Calibri" w:eastAsia="仿宋_GB2312" w:cs="仿宋_GB2312"/>
          <w:bCs w:val="0"/>
          <w:color w:val="auto"/>
          <w:spacing w:val="0"/>
          <w:kern w:val="2"/>
          <w:position w:val="0"/>
          <w:sz w:val="32"/>
          <w:szCs w:val="32"/>
          <w:lang w:val="en-US" w:eastAsia="zh-CN" w:bidi="ar"/>
        </w:rPr>
        <w:t>张掖市财政局</w:t>
      </w:r>
      <w:r>
        <w:rPr>
          <w:rFonts w:hint="eastAsia" w:ascii="仿宋_GB2312" w:eastAsia="仿宋_GB2312" w:cs="仿宋_GB2312"/>
          <w:bCs w:val="0"/>
          <w:color w:val="auto"/>
          <w:spacing w:val="0"/>
          <w:kern w:val="2"/>
          <w:position w:val="0"/>
          <w:sz w:val="32"/>
          <w:szCs w:val="32"/>
          <w:lang w:val="en-US" w:eastAsia="zh-CN" w:bidi="ar"/>
        </w:rPr>
        <w:t>在此次公平竞争审查工作中，认真落实市上公平竞争审查工作部门联席会议精神，领导重视，工作人员密切配合，明确工作要求，强化审查机制，创新工作模式，建章立制，优化流程，严格按照“谁制定、谁审查”的审查原则，对</w:t>
      </w:r>
      <w:r>
        <w:rPr>
          <w:rFonts w:hint="eastAsia" w:ascii="仿宋_GB2312" w:hAnsi="Calibri" w:eastAsia="仿宋_GB2312" w:cs="仿宋_GB2312"/>
          <w:bCs w:val="0"/>
          <w:color w:val="auto"/>
          <w:spacing w:val="0"/>
          <w:kern w:val="2"/>
          <w:position w:val="0"/>
          <w:sz w:val="32"/>
          <w:szCs w:val="32"/>
          <w:lang w:val="en-US" w:eastAsia="zh-CN" w:bidi="ar"/>
        </w:rPr>
        <w:t>符合公平竞争审查的政策措施</w:t>
      </w:r>
      <w:r>
        <w:rPr>
          <w:rFonts w:hint="eastAsia" w:ascii="仿宋_GB2312" w:eastAsia="仿宋_GB2312" w:cs="仿宋_GB2312"/>
          <w:bCs w:val="0"/>
          <w:color w:val="auto"/>
          <w:spacing w:val="0"/>
          <w:kern w:val="2"/>
          <w:position w:val="0"/>
          <w:sz w:val="32"/>
          <w:szCs w:val="32"/>
          <w:lang w:val="en-US" w:eastAsia="zh-CN" w:bidi="ar"/>
        </w:rPr>
        <w:t>进行</w:t>
      </w:r>
      <w:r>
        <w:rPr>
          <w:rFonts w:hint="eastAsia" w:ascii="仿宋_GB2312" w:hAnsi="Calibri" w:eastAsia="仿宋_GB2312" w:cs="仿宋_GB2312"/>
          <w:bCs w:val="0"/>
          <w:color w:val="auto"/>
          <w:spacing w:val="0"/>
          <w:kern w:val="2"/>
          <w:position w:val="0"/>
          <w:sz w:val="32"/>
          <w:szCs w:val="32"/>
          <w:lang w:val="en-US" w:eastAsia="zh-CN" w:bidi="ar"/>
        </w:rPr>
        <w:t>有序清理，</w:t>
      </w:r>
      <w:r>
        <w:rPr>
          <w:rFonts w:hint="eastAsia" w:ascii="仿宋_GB2312" w:eastAsia="仿宋_GB2312" w:cs="仿宋_GB2312"/>
          <w:bCs w:val="0"/>
          <w:color w:val="auto"/>
          <w:spacing w:val="0"/>
          <w:kern w:val="2"/>
          <w:position w:val="0"/>
          <w:sz w:val="32"/>
          <w:szCs w:val="32"/>
          <w:lang w:val="en-US" w:eastAsia="zh-CN" w:bidi="ar"/>
        </w:rPr>
        <w:t>有效地推动了公平竞争审查制度的落实，整体工作有序、有力，值得肯定。</w:t>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bookmarkStart w:id="9" w:name="_Toc13350"/>
      <w:r>
        <w:rPr>
          <w:rFonts w:hint="eastAsia" w:ascii="黑体" w:hAnsi="黑体" w:eastAsia="黑体" w:cs="黑体"/>
          <w:b w:val="0"/>
          <w:bCs/>
          <w:color w:val="auto"/>
          <w:spacing w:val="0"/>
          <w:kern w:val="2"/>
          <w:position w:val="0"/>
          <w:sz w:val="32"/>
          <w:szCs w:val="32"/>
          <w:lang w:val="en-US" w:eastAsia="zh-CN" w:bidi="ar"/>
        </w:rPr>
        <w:t>四</w:t>
      </w:r>
      <w:r>
        <w:rPr>
          <w:rFonts w:hint="default" w:ascii="黑体" w:hAnsi="黑体" w:eastAsia="黑体" w:cs="黑体"/>
          <w:b w:val="0"/>
          <w:bCs/>
          <w:color w:val="auto"/>
          <w:spacing w:val="0"/>
          <w:kern w:val="2"/>
          <w:position w:val="0"/>
          <w:sz w:val="32"/>
          <w:szCs w:val="32"/>
          <w:lang w:val="en-US" w:eastAsia="zh-CN" w:bidi="ar"/>
        </w:rPr>
        <w:t>、意见建议</w:t>
      </w:r>
      <w:bookmarkEnd w:id="9"/>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0" w:name="_Toc24793"/>
      <w:r>
        <w:rPr>
          <w:rFonts w:hint="eastAsia" w:ascii="楷体_GB2312" w:hAnsi="楷体_GB2312" w:eastAsia="楷体_GB2312" w:cs="楷体_GB2312"/>
          <w:bCs w:val="0"/>
          <w:color w:val="auto"/>
          <w:spacing w:val="0"/>
          <w:kern w:val="2"/>
          <w:position w:val="0"/>
          <w:sz w:val="32"/>
          <w:szCs w:val="32"/>
          <w:lang w:val="en-US" w:eastAsia="zh-CN" w:bidi="ar"/>
        </w:rPr>
        <w:t>（一）加强审查机制建设，健全审查保障机制</w:t>
      </w:r>
      <w:bookmarkEnd w:id="10"/>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未经过公平竞争审查程序就出台的涉及市场主体经营行为的政策措施一定程度上存在妨碍统一市场建设与公平竞争的风险，因此应当从审查机制建设入手，确保公平竞争审查机制运行顺畅。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highlight w:val="none"/>
        </w:rPr>
      </w:pPr>
      <w:r>
        <w:rPr>
          <w:rFonts w:hint="default" w:ascii="仿宋_GB2312" w:hAnsi="Calibri" w:eastAsia="仿宋_GB2312" w:cs="仿宋_GB2312"/>
          <w:b/>
          <w:bCs/>
          <w:color w:val="auto"/>
          <w:spacing w:val="0"/>
          <w:kern w:val="2"/>
          <w:position w:val="0"/>
          <w:sz w:val="32"/>
          <w:szCs w:val="32"/>
          <w:lang w:val="en-US" w:eastAsia="zh-CN" w:bidi="ar"/>
        </w:rPr>
        <w:t>一是坚持“谁起草、谁审查、谁担责”的原则</w:t>
      </w:r>
      <w:r>
        <w:rPr>
          <w:rFonts w:hint="default" w:ascii="仿宋_GB2312" w:hAnsi="Calibri" w:eastAsia="仿宋_GB2312" w:cs="仿宋_GB2312"/>
          <w:bCs w:val="0"/>
          <w:color w:val="auto"/>
          <w:spacing w:val="0"/>
          <w:kern w:val="2"/>
          <w:position w:val="0"/>
          <w:sz w:val="32"/>
          <w:szCs w:val="32"/>
          <w:lang w:val="en-US" w:eastAsia="zh-CN" w:bidi="ar"/>
        </w:rPr>
        <w:t>，重点落实起草单位的责任,涉及市场主体经营活动的政策措施需经起草单位负责人在进行公平竞争审查后填写《公平竞争审查表》，各科室负责对本单位制定的政策措施进行公平竞争审查</w:t>
      </w:r>
      <w:r>
        <w:rPr>
          <w:rFonts w:hint="default" w:ascii="仿宋_GB2312" w:hAnsi="Calibri" w:eastAsia="仿宋_GB2312" w:cs="仿宋_GB2312"/>
          <w:bCs w:val="0"/>
          <w:color w:val="auto"/>
          <w:spacing w:val="0"/>
          <w:kern w:val="2"/>
          <w:position w:val="0"/>
          <w:sz w:val="32"/>
          <w:szCs w:val="32"/>
          <w:highlight w:val="none"/>
          <w:lang w:val="en-US" w:eastAsia="zh-CN" w:bidi="ar"/>
        </w:rPr>
        <w:t>，并</w:t>
      </w:r>
      <w:r>
        <w:rPr>
          <w:rFonts w:hint="default" w:ascii="仿宋_GB2312" w:hAnsi="Calibri" w:eastAsia="仿宋_GB2312" w:cs="仿宋_GB2312"/>
          <w:bCs w:val="0"/>
          <w:color w:val="auto"/>
          <w:spacing w:val="0"/>
          <w:kern w:val="2"/>
          <w:position w:val="0"/>
          <w:sz w:val="32"/>
          <w:szCs w:val="32"/>
          <w:highlight w:val="none"/>
          <w:lang w:eastAsia="zh-CN" w:bidi="ar"/>
        </w:rPr>
        <w:t>形成</w:t>
      </w:r>
      <w:r>
        <w:rPr>
          <w:rFonts w:hint="default" w:ascii="仿宋_GB2312" w:hAnsi="Calibri" w:eastAsia="仿宋_GB2312" w:cs="仿宋_GB2312"/>
          <w:bCs w:val="0"/>
          <w:color w:val="auto"/>
          <w:spacing w:val="0"/>
          <w:kern w:val="2"/>
          <w:position w:val="0"/>
          <w:sz w:val="32"/>
          <w:szCs w:val="32"/>
          <w:highlight w:val="none"/>
          <w:lang w:val="en-US" w:eastAsia="zh-CN" w:bidi="ar"/>
        </w:rPr>
        <w:t>书面</w:t>
      </w:r>
      <w:r>
        <w:rPr>
          <w:rFonts w:hint="default" w:ascii="仿宋_GB2312" w:hAnsi="Calibri" w:eastAsia="仿宋_GB2312" w:cs="仿宋_GB2312"/>
          <w:bCs w:val="0"/>
          <w:color w:val="auto"/>
          <w:spacing w:val="0"/>
          <w:kern w:val="2"/>
          <w:position w:val="0"/>
          <w:sz w:val="32"/>
          <w:szCs w:val="32"/>
          <w:highlight w:val="none"/>
          <w:lang w:eastAsia="zh-CN" w:bidi="ar"/>
        </w:rPr>
        <w:t>审查结论</w:t>
      </w:r>
      <w:r>
        <w:rPr>
          <w:rFonts w:hint="default" w:ascii="仿宋_GB2312" w:hAnsi="Calibri" w:eastAsia="仿宋_GB2312" w:cs="仿宋_GB2312"/>
          <w:bCs w:val="0"/>
          <w:color w:val="auto"/>
          <w:spacing w:val="0"/>
          <w:kern w:val="2"/>
          <w:position w:val="0"/>
          <w:sz w:val="32"/>
          <w:szCs w:val="32"/>
          <w:highlight w:val="none"/>
          <w:lang w:val="en-US" w:eastAsia="zh-CN" w:bidi="ar"/>
        </w:rPr>
        <w:t>。通过依法审查，强化监督的做法，建立健全公平竞争审查保障机制，把自我审查和外部监督相结合，防止滥用行政权力排除、限制竞争行为。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highlight w:val="none"/>
        </w:rPr>
      </w:pPr>
      <w:r>
        <w:rPr>
          <w:rFonts w:hint="default" w:ascii="仿宋_GB2312" w:hAnsi="Calibri" w:eastAsia="仿宋_GB2312" w:cs="仿宋_GB2312"/>
          <w:b/>
          <w:bCs/>
          <w:color w:val="auto"/>
          <w:spacing w:val="0"/>
          <w:kern w:val="2"/>
          <w:position w:val="0"/>
          <w:sz w:val="32"/>
          <w:szCs w:val="32"/>
          <w:highlight w:val="none"/>
          <w:lang w:val="en-US" w:eastAsia="zh-CN" w:bidi="ar"/>
        </w:rPr>
        <w:t>二是确保应纳入公平竞争审查的政策措施均进行公平竞争审查程序</w:t>
      </w:r>
      <w:r>
        <w:rPr>
          <w:rFonts w:hint="default" w:ascii="仿宋_GB2312" w:hAnsi="Calibri" w:eastAsia="仿宋_GB2312" w:cs="仿宋_GB2312"/>
          <w:bCs w:val="0"/>
          <w:color w:val="auto"/>
          <w:spacing w:val="0"/>
          <w:kern w:val="2"/>
          <w:position w:val="0"/>
          <w:sz w:val="32"/>
          <w:szCs w:val="32"/>
          <w:highlight w:val="none"/>
          <w:lang w:val="en-US" w:eastAsia="zh-CN" w:bidi="ar"/>
        </w:rPr>
        <w:t>，各政策措施制定科室进行公平竞争审查，可以咨询专家学者、法律顾问、专业机构的意见，加强各业务科室同</w:t>
      </w:r>
      <w:r>
        <w:rPr>
          <w:rFonts w:hint="eastAsia" w:ascii="仿宋_GB2312" w:hAnsi="Calibri" w:eastAsia="仿宋_GB2312" w:cs="仿宋_GB2312"/>
          <w:bCs w:val="0"/>
          <w:color w:val="auto"/>
          <w:spacing w:val="0"/>
          <w:kern w:val="2"/>
          <w:position w:val="0"/>
          <w:sz w:val="32"/>
          <w:szCs w:val="32"/>
          <w:highlight w:val="none"/>
          <w:lang w:val="en-US" w:eastAsia="zh-CN" w:bidi="ar"/>
        </w:rPr>
        <w:t>局办公室</w:t>
      </w:r>
      <w:r>
        <w:rPr>
          <w:rFonts w:hint="default" w:ascii="仿宋_GB2312" w:hAnsi="Calibri" w:eastAsia="仿宋_GB2312" w:cs="仿宋_GB2312"/>
          <w:bCs w:val="0"/>
          <w:color w:val="auto"/>
          <w:spacing w:val="0"/>
          <w:kern w:val="2"/>
          <w:position w:val="0"/>
          <w:sz w:val="32"/>
          <w:szCs w:val="32"/>
          <w:highlight w:val="none"/>
          <w:lang w:val="en-US" w:eastAsia="zh-CN" w:bidi="ar"/>
        </w:rPr>
        <w:t>的沟通协调，确保应纳入公平竞争审查的政策措施均按照公平竞争审查工作要求进行彻底审查。</w:t>
      </w:r>
    </w:p>
    <w:p>
      <w:pPr>
        <w:keepNext w:val="0"/>
        <w:keepLines w:val="0"/>
        <w:pageBreakBefore w:val="0"/>
        <w:widowControl/>
        <w:suppressLineNumbers w:val="0"/>
        <w:kinsoku/>
        <w:wordWrap/>
        <w:overflowPunct/>
        <w:topLinePunct/>
        <w:autoSpaceDE/>
        <w:autoSpaceDN/>
        <w:bidi w:val="0"/>
        <w:adjustRightInd/>
        <w:snapToGrid/>
        <w:spacing w:beforeAutospacing="0" w:afterAutospacing="0" w:line="52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highlight w:val="none"/>
        </w:rPr>
      </w:pPr>
      <w:r>
        <w:rPr>
          <w:rFonts w:hint="default" w:ascii="仿宋_GB2312" w:hAnsi="Calibri" w:eastAsia="仿宋_GB2312" w:cs="仿宋_GB2312"/>
          <w:b/>
          <w:bCs/>
          <w:color w:val="auto"/>
          <w:spacing w:val="0"/>
          <w:kern w:val="2"/>
          <w:position w:val="0"/>
          <w:sz w:val="32"/>
          <w:szCs w:val="32"/>
          <w:highlight w:val="none"/>
          <w:lang w:val="en-US" w:eastAsia="zh-CN" w:bidi="ar"/>
        </w:rPr>
        <w:t>三是健全审查保障机制</w:t>
      </w:r>
      <w:r>
        <w:rPr>
          <w:rFonts w:hint="default" w:ascii="仿宋_GB2312" w:hAnsi="Calibri" w:eastAsia="仿宋_GB2312" w:cs="仿宋_GB2312"/>
          <w:bCs w:val="0"/>
          <w:color w:val="auto"/>
          <w:spacing w:val="0"/>
          <w:kern w:val="2"/>
          <w:position w:val="0"/>
          <w:sz w:val="32"/>
          <w:szCs w:val="32"/>
          <w:highlight w:val="none"/>
          <w:lang w:val="en-US" w:eastAsia="zh-CN" w:bidi="ar"/>
        </w:rPr>
        <w:t>，</w:t>
      </w:r>
      <w:r>
        <w:rPr>
          <w:rFonts w:hint="eastAsia" w:ascii="仿宋_GB2312" w:hAnsi="微软雅黑" w:eastAsia="仿宋_GB2312" w:cs="仿宋_GB2312"/>
          <w:color w:val="auto"/>
          <w:spacing w:val="0"/>
          <w:kern w:val="2"/>
          <w:position w:val="0"/>
          <w:sz w:val="32"/>
          <w:szCs w:val="32"/>
          <w:highlight w:val="none"/>
          <w:lang w:val="en-US" w:eastAsia="zh-CN" w:bidi="ar"/>
        </w:rPr>
        <w:t>局办公室</w:t>
      </w:r>
      <w:r>
        <w:rPr>
          <w:rFonts w:hint="default" w:ascii="仿宋_GB2312" w:hAnsi="Calibri" w:eastAsia="仿宋_GB2312" w:cs="仿宋_GB2312"/>
          <w:bCs w:val="0"/>
          <w:color w:val="auto"/>
          <w:spacing w:val="0"/>
          <w:kern w:val="2"/>
          <w:position w:val="0"/>
          <w:sz w:val="32"/>
          <w:szCs w:val="32"/>
          <w:highlight w:val="none"/>
          <w:lang w:val="en-US" w:eastAsia="zh-CN" w:bidi="ar"/>
        </w:rPr>
        <w:t>可定期检查各业务科室报送公平竞争审查文件是否全面，对应纳入公平竞争审查而未进行的，要及时补充审查，如有违反公平竞争审查标准的，应及时修改或予以废止。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highlight w:val="none"/>
        </w:rPr>
      </w:pPr>
      <w:bookmarkStart w:id="11" w:name="_Toc20015"/>
      <w:r>
        <w:rPr>
          <w:rFonts w:hint="eastAsia" w:ascii="楷体_GB2312" w:hAnsi="楷体_GB2312" w:eastAsia="楷体_GB2312" w:cs="楷体_GB2312"/>
          <w:bCs w:val="0"/>
          <w:color w:val="auto"/>
          <w:spacing w:val="0"/>
          <w:kern w:val="2"/>
          <w:position w:val="0"/>
          <w:sz w:val="32"/>
          <w:szCs w:val="32"/>
          <w:highlight w:val="none"/>
          <w:lang w:val="en-US" w:eastAsia="zh-CN" w:bidi="ar"/>
        </w:rPr>
        <w:t>（二）加强内部培训，增强审查意识</w:t>
      </w:r>
      <w:bookmarkEnd w:id="11"/>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highlight w:val="none"/>
        </w:rPr>
      </w:pPr>
      <w:r>
        <w:rPr>
          <w:rFonts w:hint="default" w:ascii="仿宋_GB2312" w:hAnsi="Calibri" w:eastAsia="仿宋_GB2312" w:cs="仿宋_GB2312"/>
          <w:bCs w:val="0"/>
          <w:color w:val="auto"/>
          <w:spacing w:val="0"/>
          <w:kern w:val="2"/>
          <w:position w:val="0"/>
          <w:sz w:val="32"/>
          <w:szCs w:val="32"/>
          <w:highlight w:val="none"/>
          <w:lang w:val="en-US" w:eastAsia="zh-CN" w:bidi="ar"/>
        </w:rPr>
        <w:t>公平竞争审查制度运行不畅、应纳入审查范围</w:t>
      </w:r>
      <w:r>
        <w:rPr>
          <w:rFonts w:hint="default" w:ascii="仿宋_GB2312" w:hAnsi="Calibri" w:eastAsia="仿宋_GB2312" w:cs="仿宋_GB2312"/>
          <w:bCs w:val="0"/>
          <w:color w:val="auto"/>
          <w:spacing w:val="0"/>
          <w:kern w:val="2"/>
          <w:position w:val="0"/>
          <w:sz w:val="32"/>
          <w:szCs w:val="32"/>
          <w:highlight w:val="none"/>
          <w:lang w:eastAsia="zh-CN" w:bidi="ar"/>
        </w:rPr>
        <w:t>政策措施</w:t>
      </w:r>
      <w:r>
        <w:rPr>
          <w:rFonts w:hint="default" w:ascii="仿宋_GB2312" w:hAnsi="Calibri" w:eastAsia="仿宋_GB2312" w:cs="仿宋_GB2312"/>
          <w:bCs w:val="0"/>
          <w:color w:val="auto"/>
          <w:spacing w:val="0"/>
          <w:kern w:val="2"/>
          <w:position w:val="0"/>
          <w:sz w:val="32"/>
          <w:szCs w:val="32"/>
          <w:highlight w:val="none"/>
          <w:lang w:val="en-US" w:eastAsia="zh-CN" w:bidi="ar"/>
        </w:rPr>
        <w:t>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highlight w:val="none"/>
        </w:rPr>
      </w:pPr>
      <w:r>
        <w:rPr>
          <w:rFonts w:hint="default" w:ascii="仿宋_GB2312" w:hAnsi="Calibri" w:eastAsia="仿宋_GB2312" w:cs="仿宋_GB2312"/>
          <w:b/>
          <w:bCs/>
          <w:color w:val="auto"/>
          <w:spacing w:val="0"/>
          <w:kern w:val="2"/>
          <w:position w:val="0"/>
          <w:sz w:val="32"/>
          <w:szCs w:val="32"/>
          <w:highlight w:val="none"/>
          <w:lang w:val="en-US" w:eastAsia="zh-CN" w:bidi="ar"/>
        </w:rPr>
        <w:t>一是加强本单位公平竞争审查机制与具体实施方案内容学习</w:t>
      </w:r>
      <w:r>
        <w:rPr>
          <w:rFonts w:hint="default" w:ascii="仿宋_GB2312" w:hAnsi="Calibri" w:eastAsia="仿宋_GB2312" w:cs="仿宋_GB2312"/>
          <w:bCs w:val="0"/>
          <w:color w:val="auto"/>
          <w:spacing w:val="0"/>
          <w:kern w:val="2"/>
          <w:position w:val="0"/>
          <w:sz w:val="32"/>
          <w:szCs w:val="32"/>
          <w:highlight w:val="none"/>
          <w:lang w:val="en-US" w:eastAsia="zh-CN" w:bidi="ar"/>
        </w:rPr>
        <w:t>，规范公平竞争审查流程，确保政策制定人员对公平竞争审查流程有深刻认识,</w:t>
      </w:r>
      <w:r>
        <w:rPr>
          <w:rFonts w:hint="eastAsia" w:ascii="仿宋_GB2312" w:hAnsi="Calibri" w:eastAsia="仿宋_GB2312" w:cs="仿宋_GB2312"/>
          <w:bCs w:val="0"/>
          <w:color w:val="auto"/>
          <w:spacing w:val="0"/>
          <w:kern w:val="2"/>
          <w:position w:val="0"/>
          <w:sz w:val="32"/>
          <w:szCs w:val="32"/>
          <w:highlight w:val="none"/>
          <w:lang w:val="en-US" w:eastAsia="zh-CN" w:bidi="ar"/>
        </w:rPr>
        <w:t>相关</w:t>
      </w:r>
      <w:r>
        <w:rPr>
          <w:rFonts w:hint="default" w:ascii="仿宋_GB2312" w:hAnsi="Calibri" w:eastAsia="仿宋_GB2312" w:cs="仿宋_GB2312"/>
          <w:bCs w:val="0"/>
          <w:color w:val="auto"/>
          <w:spacing w:val="0"/>
          <w:kern w:val="2"/>
          <w:position w:val="0"/>
          <w:sz w:val="32"/>
          <w:szCs w:val="32"/>
          <w:highlight w:val="none"/>
          <w:lang w:val="en-US" w:eastAsia="zh-CN" w:bidi="ar"/>
        </w:rPr>
        <w:t>培训不仅要覆盖到</w:t>
      </w:r>
      <w:r>
        <w:rPr>
          <w:rFonts w:hint="eastAsia" w:ascii="仿宋_GB2312" w:hAnsi="Calibri" w:eastAsia="仿宋_GB2312" w:cs="仿宋_GB2312"/>
          <w:bCs w:val="0"/>
          <w:color w:val="auto"/>
          <w:spacing w:val="0"/>
          <w:kern w:val="2"/>
          <w:position w:val="0"/>
          <w:sz w:val="32"/>
          <w:szCs w:val="32"/>
          <w:highlight w:val="none"/>
          <w:lang w:val="en-US" w:eastAsia="zh-CN" w:bidi="ar"/>
        </w:rPr>
        <w:t>局办公室</w:t>
      </w:r>
      <w:r>
        <w:rPr>
          <w:rFonts w:hint="default" w:ascii="仿宋_GB2312" w:hAnsi="Calibri" w:eastAsia="仿宋_GB2312" w:cs="仿宋_GB2312"/>
          <w:bCs w:val="0"/>
          <w:color w:val="auto"/>
          <w:spacing w:val="0"/>
          <w:kern w:val="2"/>
          <w:position w:val="0"/>
          <w:sz w:val="32"/>
          <w:szCs w:val="32"/>
          <w:highlight w:val="none"/>
          <w:lang w:val="en-US" w:eastAsia="zh-CN" w:bidi="ar"/>
        </w:rPr>
        <w:t>工作人员，各职能科室也要重点学习，确保本科室文件能够按照公平竞争审查机制进行审查。</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highlight w:val="none"/>
        </w:rPr>
      </w:pPr>
      <w:r>
        <w:rPr>
          <w:rFonts w:hint="default" w:ascii="仿宋_GB2312" w:hAnsi="Calibri" w:eastAsia="仿宋_GB2312" w:cs="仿宋_GB2312"/>
          <w:b/>
          <w:bCs/>
          <w:color w:val="auto"/>
          <w:spacing w:val="0"/>
          <w:kern w:val="2"/>
          <w:position w:val="0"/>
          <w:sz w:val="32"/>
          <w:szCs w:val="32"/>
          <w:highlight w:val="none"/>
          <w:lang w:val="en-US" w:eastAsia="zh-CN" w:bidi="ar"/>
        </w:rPr>
        <w:t>二是通过案例教育加深对公平竞争审查内容的理解</w:t>
      </w:r>
      <w:r>
        <w:rPr>
          <w:rFonts w:hint="default" w:ascii="仿宋_GB2312" w:hAnsi="Calibri" w:eastAsia="仿宋_GB2312" w:cs="仿宋_GB2312"/>
          <w:bCs w:val="0"/>
          <w:color w:val="auto"/>
          <w:spacing w:val="0"/>
          <w:kern w:val="2"/>
          <w:position w:val="0"/>
          <w:sz w:val="32"/>
          <w:szCs w:val="32"/>
          <w:highlight w:val="none"/>
          <w:lang w:val="en-US" w:eastAsia="zh-CN" w:bidi="ar"/>
        </w:rPr>
        <w:t>，学习本单位已发现的违反公平竞争审查标准案例，以及全省</w:t>
      </w:r>
      <w:r>
        <w:rPr>
          <w:rFonts w:hint="eastAsia" w:ascii="仿宋_GB2312" w:hAnsi="Calibri" w:eastAsia="仿宋_GB2312" w:cs="仿宋_GB2312"/>
          <w:bCs w:val="0"/>
          <w:color w:val="auto"/>
          <w:spacing w:val="0"/>
          <w:kern w:val="2"/>
          <w:position w:val="0"/>
          <w:sz w:val="32"/>
          <w:szCs w:val="32"/>
          <w:highlight w:val="none"/>
          <w:lang w:val="en-US" w:eastAsia="zh-CN" w:bidi="ar"/>
        </w:rPr>
        <w:t>、</w:t>
      </w:r>
      <w:r>
        <w:rPr>
          <w:rFonts w:hint="default" w:ascii="仿宋_GB2312" w:hAnsi="Calibri" w:eastAsia="仿宋_GB2312" w:cs="仿宋_GB2312"/>
          <w:bCs w:val="0"/>
          <w:color w:val="auto"/>
          <w:spacing w:val="0"/>
          <w:kern w:val="2"/>
          <w:position w:val="0"/>
          <w:sz w:val="32"/>
          <w:szCs w:val="32"/>
          <w:highlight w:val="none"/>
          <w:lang w:val="en-US" w:eastAsia="zh-CN" w:bidi="ar"/>
        </w:rPr>
        <w:t>全市典型案例，深刻理解公平竞争审查标准，对政策措施制定职能科室要求在政策措施制定过程中，尽可能避免出台违反公平竞争审查标准的政策措施,对于</w:t>
      </w:r>
      <w:r>
        <w:rPr>
          <w:rFonts w:hint="eastAsia" w:ascii="仿宋_GB2312" w:hAnsi="Calibri" w:eastAsia="仿宋_GB2312" w:cs="仿宋_GB2312"/>
          <w:bCs w:val="0"/>
          <w:color w:val="auto"/>
          <w:spacing w:val="0"/>
          <w:kern w:val="2"/>
          <w:position w:val="0"/>
          <w:sz w:val="32"/>
          <w:szCs w:val="32"/>
          <w:highlight w:val="none"/>
          <w:lang w:val="en-US" w:eastAsia="zh-CN" w:bidi="ar"/>
        </w:rPr>
        <w:t>局办公室</w:t>
      </w:r>
      <w:r>
        <w:rPr>
          <w:rFonts w:hint="default" w:ascii="仿宋_GB2312" w:hAnsi="Calibri" w:eastAsia="仿宋_GB2312" w:cs="仿宋_GB2312"/>
          <w:bCs w:val="0"/>
          <w:color w:val="auto"/>
          <w:spacing w:val="0"/>
          <w:kern w:val="2"/>
          <w:position w:val="0"/>
          <w:sz w:val="32"/>
          <w:szCs w:val="32"/>
          <w:highlight w:val="none"/>
          <w:lang w:val="en-US" w:eastAsia="zh-CN" w:bidi="ar"/>
        </w:rPr>
        <w:t>负责公平竞争审查的职能人员要求能够发现各职能科室所制定政策措施违反公平竞争审查标准的内容。</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highlight w:val="none"/>
        </w:rPr>
      </w:pPr>
      <w:bookmarkStart w:id="12" w:name="_Toc12235"/>
      <w:r>
        <w:rPr>
          <w:rFonts w:hint="eastAsia" w:ascii="楷体_GB2312" w:hAnsi="楷体_GB2312" w:eastAsia="楷体_GB2312" w:cs="楷体_GB2312"/>
          <w:bCs w:val="0"/>
          <w:color w:val="auto"/>
          <w:spacing w:val="0"/>
          <w:kern w:val="2"/>
          <w:position w:val="0"/>
          <w:sz w:val="32"/>
          <w:szCs w:val="32"/>
          <w:highlight w:val="none"/>
          <w:lang w:val="en-US" w:eastAsia="zh-CN" w:bidi="ar"/>
        </w:rPr>
        <w:t>（三）聘请第三方进行审查，增强审查专业性</w:t>
      </w:r>
      <w:bookmarkEnd w:id="12"/>
    </w:p>
    <w:p>
      <w:pPr>
        <w:keepNext w:val="0"/>
        <w:keepLines w:val="0"/>
        <w:pageBreakBefore w:val="0"/>
        <w:widowControl/>
        <w:suppressLineNumbers w:val="0"/>
        <w:kinsoku/>
        <w:wordWrap/>
        <w:overflowPunct/>
        <w:topLinePunct/>
        <w:autoSpaceDE/>
        <w:autoSpaceDN/>
        <w:bidi w:val="0"/>
        <w:adjustRightInd/>
        <w:snapToGrid/>
        <w:spacing w:beforeAutospacing="0" w:afterAutospacing="0" w:line="52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highlight w:val="none"/>
        </w:rPr>
      </w:pPr>
      <w:r>
        <w:rPr>
          <w:rFonts w:hint="default" w:ascii="仿宋_GB2312" w:hAnsi="Calibri" w:eastAsia="仿宋_GB2312" w:cs="仿宋_GB2312"/>
          <w:bCs w:val="0"/>
          <w:color w:val="auto"/>
          <w:spacing w:val="0"/>
          <w:kern w:val="2"/>
          <w:position w:val="0"/>
          <w:sz w:val="32"/>
          <w:szCs w:val="32"/>
          <w:highlight w:val="none"/>
          <w:lang w:val="en-US" w:eastAsia="zh-CN" w:bidi="ar"/>
        </w:rPr>
        <w:t>目前，公平竞争审查工作主要采取先由政策措施起草科室自查，再提交复查的形式,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highlight w:val="none"/>
        </w:rPr>
      </w:pPr>
      <w:bookmarkStart w:id="13" w:name="_Toc16969"/>
      <w:r>
        <w:rPr>
          <w:rFonts w:hint="eastAsia" w:ascii="楷体_GB2312" w:hAnsi="楷体_GB2312" w:eastAsia="楷体_GB2312" w:cs="楷体_GB2312"/>
          <w:bCs w:val="0"/>
          <w:color w:val="auto"/>
          <w:spacing w:val="0"/>
          <w:kern w:val="2"/>
          <w:position w:val="0"/>
          <w:sz w:val="32"/>
          <w:szCs w:val="32"/>
          <w:highlight w:val="none"/>
          <w:lang w:val="en-US" w:eastAsia="zh-CN" w:bidi="ar"/>
        </w:rPr>
        <w:t>（四）利用好公平竞争审查投诉举报回应机制</w:t>
      </w:r>
      <w:bookmarkEnd w:id="13"/>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2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highlight w:val="none"/>
          <w:lang w:val="en-US" w:eastAsia="zh-CN" w:bidi="ar"/>
        </w:rPr>
      </w:pPr>
      <w:r>
        <w:rPr>
          <w:rFonts w:hint="default" w:ascii="仿宋_GB2312" w:hAnsi="Calibri" w:eastAsia="仿宋_GB2312" w:cs="仿宋_GB2312"/>
          <w:bCs w:val="0"/>
          <w:color w:val="auto"/>
          <w:spacing w:val="0"/>
          <w:kern w:val="2"/>
          <w:position w:val="0"/>
          <w:sz w:val="32"/>
          <w:szCs w:val="32"/>
          <w:highlight w:val="none"/>
          <w:lang w:val="en-US" w:eastAsia="zh-CN" w:bidi="ar"/>
        </w:rPr>
        <w:t>投诉举报回应机制的建立有助于充分发挥公平竞争审查工作中社会监督的作用,是提高公平竞争审查政策透明度的有效途径，</w:t>
      </w:r>
      <w:r>
        <w:rPr>
          <w:rFonts w:hint="eastAsia" w:ascii="仿宋_GB2312" w:eastAsia="仿宋_GB2312" w:cs="仿宋_GB2312"/>
          <w:bCs w:val="0"/>
          <w:color w:val="auto"/>
          <w:spacing w:val="0"/>
          <w:kern w:val="2"/>
          <w:position w:val="0"/>
          <w:sz w:val="32"/>
          <w:szCs w:val="32"/>
          <w:highlight w:val="none"/>
          <w:lang w:val="en-US" w:eastAsia="zh-CN" w:bidi="ar"/>
        </w:rPr>
        <w:t>张掖市财政局可以</w:t>
      </w:r>
      <w:r>
        <w:rPr>
          <w:rFonts w:hint="default" w:ascii="仿宋_GB2312" w:hAnsi="Calibri" w:eastAsia="仿宋_GB2312" w:cs="仿宋_GB2312"/>
          <w:bCs w:val="0"/>
          <w:color w:val="auto"/>
          <w:spacing w:val="0"/>
          <w:kern w:val="2"/>
          <w:position w:val="0"/>
          <w:sz w:val="32"/>
          <w:szCs w:val="32"/>
          <w:highlight w:val="none"/>
          <w:lang w:val="en-US" w:eastAsia="zh-CN" w:bidi="ar"/>
        </w:rPr>
        <w:t>通过投诉举报“一站式”受理与处理机制，及时回应群众关切，发现和纠正政策措施中出现排除和限制竞争的问题。</w:t>
      </w:r>
    </w:p>
    <w:p>
      <w:pPr>
        <w:rPr>
          <w:rFonts w:hint="default" w:ascii="仿宋_GB2312" w:hAnsi="Calibri" w:eastAsia="仿宋_GB2312" w:cs="仿宋_GB2312"/>
          <w:bCs w:val="0"/>
          <w:color w:val="auto"/>
          <w:spacing w:val="0"/>
          <w:kern w:val="2"/>
          <w:position w:val="0"/>
          <w:sz w:val="32"/>
          <w:szCs w:val="32"/>
          <w:highlight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_GB2312" w:hAnsi="Calibri" w:eastAsia="仿宋_GB2312" w:cs="仿宋_GB2312"/>
          <w:bCs w:val="0"/>
          <w:color w:val="auto"/>
          <w:spacing w:val="0"/>
          <w:kern w:val="2"/>
          <w:position w:val="0"/>
          <w:sz w:val="32"/>
          <w:szCs w:val="32"/>
          <w:highlight w:val="none"/>
          <w:lang w:val="en-US" w:eastAsia="zh-CN" w:bidi="ar"/>
        </w:rPr>
        <w:t xml:space="preserve">                             </w:t>
      </w:r>
      <w:r>
        <w:rPr>
          <w:rFonts w:hint="eastAsia" w:ascii="仿宋_GB2312" w:hAnsi="仿宋_GB2312" w:eastAsia="仿宋_GB2312" w:cs="仿宋_GB2312"/>
          <w:b w:val="0"/>
          <w:bCs/>
          <w:color w:val="auto"/>
          <w:spacing w:val="0"/>
          <w:position w:val="0"/>
          <w:sz w:val="32"/>
          <w:szCs w:val="32"/>
          <w:lang w:val="en-US" w:eastAsia="zh-CN"/>
        </w:rPr>
        <w:t>甘肃金彤律师事务所</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leftChars="0" w:right="0" w:firstLine="5120" w:firstLineChars="16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 w:val="0"/>
          <w:bCs/>
          <w:color w:val="auto"/>
          <w:spacing w:val="0"/>
          <w:position w:val="0"/>
          <w:sz w:val="32"/>
          <w:szCs w:val="32"/>
          <w:lang w:val="en-US" w:eastAsia="zh-CN"/>
        </w:rPr>
        <w:t>二零二三年四月三十日</w:t>
      </w:r>
    </w:p>
    <w:p>
      <w:pPr>
        <w:rPr>
          <w:rFonts w:hint="default"/>
          <w:color w:val="auto"/>
          <w:lang w:val="en-US"/>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lang w:val="en-US" w:eastAsia="zh-CN"/>
        </w:rPr>
      </w:pPr>
      <w:bookmarkStart w:id="14" w:name="_Toc2121"/>
      <w:r>
        <w:rPr>
          <w:rFonts w:hint="eastAsia" w:ascii="黑体" w:hAnsi="黑体" w:eastAsia="黑体" w:cs="黑体"/>
          <w:b w:val="0"/>
          <w:bCs/>
          <w:color w:val="auto"/>
          <w:spacing w:val="0"/>
          <w:position w:val="0"/>
          <w:sz w:val="32"/>
          <w:szCs w:val="32"/>
          <w:lang w:val="en-US" w:eastAsia="zh-CN"/>
        </w:rPr>
        <w:t>附件一：张掖市财政局提供文件目录</w:t>
      </w:r>
      <w:bookmarkEnd w:id="14"/>
      <w:r>
        <w:rPr>
          <w:rFonts w:hint="eastAsia" w:ascii="黑体" w:hAnsi="黑体" w:eastAsia="黑体" w:cs="黑体"/>
          <w:b w:val="0"/>
          <w:bCs/>
          <w:color w:val="auto"/>
          <w:spacing w:val="0"/>
          <w:position w:val="0"/>
          <w:sz w:val="32"/>
          <w:szCs w:val="32"/>
          <w:lang w:val="en-US" w:eastAsia="zh-CN"/>
        </w:rPr>
        <w:t xml:space="preserve"> </w:t>
      </w: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黑体" w:hAnsi="黑体" w:eastAsia="黑体" w:cs="黑体"/>
          <w:b w:val="0"/>
          <w:bCs/>
          <w:color w:val="auto"/>
          <w:spacing w:val="0"/>
          <w:kern w:val="2"/>
          <w:position w:val="0"/>
          <w:sz w:val="28"/>
          <w:szCs w:val="30"/>
          <w:lang w:val="en-US" w:eastAsia="zh-CN" w:bidi="ar"/>
        </w:rPr>
      </w:pPr>
      <w:r>
        <w:rPr>
          <w:rFonts w:hint="eastAsia" w:ascii="黑体" w:hAnsi="黑体" w:eastAsia="黑体" w:cs="黑体"/>
          <w:b w:val="0"/>
          <w:bCs/>
          <w:color w:val="auto"/>
          <w:spacing w:val="0"/>
          <w:kern w:val="2"/>
          <w:position w:val="0"/>
          <w:sz w:val="28"/>
          <w:szCs w:val="30"/>
          <w:lang w:val="en-US" w:eastAsia="zh-CN" w:bidi="ar"/>
        </w:rPr>
        <w:t>张掖市财政局提供文件目录</w:t>
      </w:r>
    </w:p>
    <w:tbl>
      <w:tblPr>
        <w:tblStyle w:val="1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84"/>
        <w:gridCol w:w="1718"/>
        <w:gridCol w:w="3222"/>
        <w:gridCol w:w="1787"/>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序号</w:t>
            </w:r>
          </w:p>
        </w:tc>
        <w:tc>
          <w:tcPr>
            <w:tcW w:w="94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1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9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是否在本次审核时间范围内</w:t>
            </w:r>
          </w:p>
        </w:tc>
        <w:tc>
          <w:tcPr>
            <w:tcW w:w="96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是否涉及市场主体及经济活动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0" w:hRule="atLeast"/>
          <w:jc w:val="center"/>
        </w:trPr>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94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1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张掖市人民政府办公室关于调整加大财税政策支持力度持续优化营商环境的实施意见部分内容的通知</w:t>
            </w:r>
          </w:p>
        </w:tc>
        <w:tc>
          <w:tcPr>
            <w:tcW w:w="9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96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w:t>
            </w:r>
          </w:p>
        </w:tc>
        <w:tc>
          <w:tcPr>
            <w:tcW w:w="94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张政办发（2021）42号</w:t>
            </w:r>
          </w:p>
        </w:tc>
        <w:tc>
          <w:tcPr>
            <w:tcW w:w="1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加大财税政策支持力度持续优化营商环境的实施意见</w:t>
            </w:r>
          </w:p>
        </w:tc>
        <w:tc>
          <w:tcPr>
            <w:tcW w:w="9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96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w:t>
            </w:r>
          </w:p>
        </w:tc>
        <w:tc>
          <w:tcPr>
            <w:tcW w:w="94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张政采改组（2021）1号</w:t>
            </w:r>
          </w:p>
        </w:tc>
        <w:tc>
          <w:tcPr>
            <w:tcW w:w="1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落实政府采购有关政策加快推进政府采购制度改革工作的通知</w:t>
            </w:r>
          </w:p>
        </w:tc>
        <w:tc>
          <w:tcPr>
            <w:tcW w:w="9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96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32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w:t>
            </w:r>
          </w:p>
        </w:tc>
        <w:tc>
          <w:tcPr>
            <w:tcW w:w="94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张财预（2021）38号</w:t>
            </w:r>
          </w:p>
        </w:tc>
        <w:tc>
          <w:tcPr>
            <w:tcW w:w="1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行政事业性收费目录清单</w:t>
            </w:r>
          </w:p>
        </w:tc>
        <w:tc>
          <w:tcPr>
            <w:tcW w:w="9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6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420" w:firstLineChars="200"/>
        <w:jc w:val="both"/>
        <w:textAlignment w:val="auto"/>
        <w:rPr>
          <w:rFonts w:hint="eastAsia" w:ascii="宋体" w:hAnsi="宋体" w:eastAsia="宋体" w:cs="宋体"/>
          <w:color w:val="auto"/>
          <w:spacing w:val="0"/>
          <w:kern w:val="2"/>
          <w:position w:val="0"/>
          <w:sz w:val="21"/>
          <w:szCs w:val="21"/>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00" w:firstLineChars="200"/>
        <w:jc w:val="both"/>
        <w:textAlignment w:val="auto"/>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00" w:firstLineChars="200"/>
        <w:jc w:val="both"/>
        <w:textAlignment w:val="auto"/>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00" w:firstLineChars="200"/>
        <w:jc w:val="both"/>
        <w:textAlignment w:val="auto"/>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00" w:firstLineChars="200"/>
        <w:jc w:val="both"/>
        <w:textAlignment w:val="auto"/>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00" w:firstLineChars="200"/>
        <w:jc w:val="both"/>
        <w:textAlignment w:val="auto"/>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00" w:firstLineChars="200"/>
        <w:jc w:val="both"/>
        <w:textAlignment w:val="auto"/>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pStyle w:val="2"/>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pStyle w:val="2"/>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pStyle w:val="2"/>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pStyle w:val="2"/>
        <w:rPr>
          <w:rFonts w:hint="eastAsia"/>
          <w:color w:val="auto"/>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00" w:firstLineChars="200"/>
        <w:jc w:val="both"/>
        <w:textAlignment w:val="auto"/>
        <w:rPr>
          <w:rFonts w:hint="eastAsia" w:ascii="仿宋" w:hAnsi="仿宋" w:eastAsia="仿宋" w:cs="仿宋"/>
          <w:color w:val="auto"/>
          <w:spacing w:val="0"/>
          <w:position w:val="0"/>
          <w:sz w:val="30"/>
          <w:szCs w:val="30"/>
          <w14:textOutline w14:w="5793" w14:cap="sq" w14:cmpd="sng">
            <w14:solidFill>
              <w14:srgbClr w14:val="000000"/>
            </w14:solidFill>
            <w14:prstDash w14:val="solid"/>
            <w14:bevel/>
          </w14:textOutline>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lang w:val="en-US" w:eastAsia="zh-CN"/>
        </w:rPr>
      </w:pPr>
      <w:bookmarkStart w:id="15" w:name="_Toc5004"/>
      <w:r>
        <w:rPr>
          <w:rFonts w:hint="eastAsia" w:ascii="黑体" w:hAnsi="黑体" w:eastAsia="黑体" w:cs="黑体"/>
          <w:b w:val="0"/>
          <w:bCs/>
          <w:color w:val="auto"/>
          <w:spacing w:val="0"/>
          <w:position w:val="0"/>
          <w:sz w:val="32"/>
          <w:szCs w:val="32"/>
          <w:lang w:val="en-US" w:eastAsia="zh-CN"/>
        </w:rPr>
        <w:t>附件二：张掖市财政局政策措施评估表</w:t>
      </w:r>
      <w:bookmarkEnd w:id="15"/>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color w:val="auto"/>
          <w:sz w:val="28"/>
          <w:szCs w:val="28"/>
          <w:lang w:val="en-US" w:eastAsia="zh-CN"/>
        </w:rPr>
      </w:pPr>
      <w:bookmarkStart w:id="16" w:name="_Toc6379"/>
      <w:r>
        <w:rPr>
          <w:rFonts w:hint="eastAsia" w:ascii="黑体" w:hAnsi="黑体" w:eastAsia="黑体" w:cs="黑体"/>
          <w:b w:val="0"/>
          <w:bCs/>
          <w:color w:val="auto"/>
          <w:spacing w:val="0"/>
          <w:kern w:val="2"/>
          <w:position w:val="0"/>
          <w:sz w:val="28"/>
          <w:szCs w:val="30"/>
          <w:lang w:val="en-US" w:eastAsia="zh-CN" w:bidi="ar"/>
        </w:rPr>
        <w:t>公平竞争第三方审查表</w:t>
      </w:r>
      <w:bookmarkEnd w:id="16"/>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15"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张掖市人民政府办公室</w:t>
            </w:r>
            <w:r>
              <w:rPr>
                <w:rFonts w:hint="default" w:ascii="仿宋_GB2312" w:hAnsi="仿宋_GB2312" w:eastAsia="仿宋_GB2312" w:cs="仿宋_GB2312"/>
                <w:b w:val="0"/>
                <w:bCs/>
                <w:color w:val="auto"/>
                <w:spacing w:val="0"/>
                <w:position w:val="0"/>
                <w:sz w:val="24"/>
                <w:szCs w:val="24"/>
                <w:lang w:val="en-US" w:eastAsia="zh-CN"/>
              </w:rPr>
              <w:t xml:space="preserve"> </w:t>
            </w:r>
            <w:r>
              <w:rPr>
                <w:rFonts w:hint="eastAsia" w:ascii="仿宋_GB2312" w:hAnsi="仿宋_GB2312" w:eastAsia="仿宋_GB2312" w:cs="仿宋_GB2312"/>
                <w:b w:val="0"/>
                <w:bCs/>
                <w:color w:val="auto"/>
                <w:spacing w:val="0"/>
                <w:position w:val="0"/>
                <w:sz w:val="24"/>
                <w:szCs w:val="24"/>
                <w:lang w:val="en-US" w:eastAsia="zh-CN"/>
              </w:rPr>
              <w:t>关于调整加大财税政策支持力度持续优化营商环境的实施意见部分内容的通知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19"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12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内容上不违反公平竞争审查标准，但未按照《实施细则》的要求，履行自我审查的程序。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color w:val="auto"/>
        </w:rPr>
      </w:pPr>
      <w:bookmarkStart w:id="17" w:name="_Toc26904"/>
      <w:bookmarkStart w:id="18" w:name="_Toc5769"/>
      <w:r>
        <w:rPr>
          <w:rFonts w:hint="eastAsia" w:ascii="黑体" w:hAnsi="黑体" w:eastAsia="黑体" w:cs="黑体"/>
          <w:b w:val="0"/>
          <w:bCs/>
          <w:color w:val="auto"/>
          <w:spacing w:val="0"/>
          <w:kern w:val="2"/>
          <w:position w:val="0"/>
          <w:sz w:val="28"/>
          <w:szCs w:val="30"/>
          <w:lang w:val="en-US" w:eastAsia="zh-CN" w:bidi="ar"/>
        </w:rPr>
        <w:t>公平竞争第三方审查表</w:t>
      </w:r>
      <w:bookmarkEnd w:id="17"/>
      <w:bookmarkEnd w:id="18"/>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《落实政府采购有关政策加快推进政府采购制度改革工作的通知》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增张政采改组（2021）1号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4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4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内容上不违反公平竞争审查标准。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19" w:name="_Toc10991"/>
      <w:r>
        <w:rPr>
          <w:rFonts w:hint="eastAsia" w:ascii="黑体" w:hAnsi="黑体" w:eastAsia="黑体" w:cs="黑体"/>
          <w:b w:val="0"/>
          <w:bCs/>
          <w:color w:val="auto"/>
          <w:spacing w:val="0"/>
          <w:kern w:val="2"/>
          <w:position w:val="0"/>
          <w:sz w:val="28"/>
          <w:szCs w:val="30"/>
          <w:lang w:val="en-US" w:eastAsia="zh-CN" w:bidi="ar"/>
        </w:rPr>
        <w:t>公平竞争第三方审查表</w:t>
      </w:r>
      <w:bookmarkEnd w:id="19"/>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24"/>
        <w:gridCol w:w="1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《加大财税政策支持力度持续优化营商环境的实施意见》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张政办发（2021）42号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1、维护国家经济安全、文化安全或者设计国防建设  </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2、实现扶贫开发，救灾救助等社会目的   </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4、法律行政法规规定的其他情况    </w:t>
            </w:r>
          </w:p>
        </w:tc>
        <w:tc>
          <w:tcPr>
            <w:tcW w:w="122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03"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已经对影响公平竞争的内容进行修改。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color w:val="auto"/>
        </w:rPr>
      </w:pPr>
      <w:bookmarkStart w:id="20" w:name="_Toc25261"/>
      <w:r>
        <w:rPr>
          <w:rFonts w:hint="eastAsia" w:ascii="黑体" w:hAnsi="黑体" w:eastAsia="黑体" w:cs="黑体"/>
          <w:b w:val="0"/>
          <w:bCs/>
          <w:color w:val="auto"/>
          <w:spacing w:val="0"/>
          <w:kern w:val="2"/>
          <w:position w:val="0"/>
          <w:sz w:val="28"/>
          <w:szCs w:val="30"/>
          <w:lang w:val="en-US" w:eastAsia="zh-CN" w:bidi="ar"/>
        </w:rPr>
        <w:t>公平竞争第三方审查表</w:t>
      </w:r>
      <w:bookmarkEnd w:id="20"/>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行政事业性收费目录清单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张财预[2021]38号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68"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Calibri" w:hAnsi="Calibri" w:eastAsia="宋体" w:cs="Times New Roman"/>
          <w:color w:val="auto"/>
          <w:spacing w:val="0"/>
          <w:kern w:val="2"/>
          <w:position w:val="0"/>
          <w:sz w:val="21"/>
          <w:szCs w:val="21"/>
          <w:lang w:val="en-US" w:eastAsia="zh-CN"/>
        </w:rPr>
      </w:pPr>
      <w:r>
        <w:rPr>
          <w:rFonts w:hint="default" w:ascii="仿宋_GB2312" w:hAnsi="仿宋_GB2312" w:eastAsia="仿宋_GB2312" w:cs="仿宋_GB2312"/>
          <w:b w:val="0"/>
          <w:bCs/>
          <w:color w:val="auto"/>
          <w:spacing w:val="0"/>
          <w:position w:val="0"/>
          <w:sz w:val="24"/>
          <w:szCs w:val="24"/>
          <w:lang w:val="en-US" w:eastAsia="zh-CN"/>
        </w:rPr>
        <w:t xml:space="preserve"> </w:t>
      </w:r>
    </w:p>
    <w:sectPr>
      <w:footerReference r:id="rId5" w:type="default"/>
      <w:pgSz w:w="11906" w:h="16839"/>
      <w:pgMar w:top="2098" w:right="1474" w:bottom="1984" w:left="1587" w:header="850" w:footer="1417" w:gutter="0"/>
      <w:pgBorders>
        <w:top w:val="none" w:sz="0" w:space="0"/>
        <w:left w:val="none" w:sz="0" w:space="0"/>
        <w:bottom w:val="none" w:sz="0" w:space="0"/>
        <w:right w:val="none" w:sz="0" w:space="0"/>
      </w:pgBorders>
      <w:pgNumType w:fmt="decimal" w:start="1"/>
      <w:cols w:space="0" w:num="1"/>
      <w:rtlGutter w:val="0"/>
      <w:docGrid w:linePitch="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咨询师催眠师--静静地想你" w:date="2023-06-23T23:23:58Z" w:initials="">
    <w:p w14:paraId="28AF24C2">
      <w:pPr>
        <w:pStyle w:val="6"/>
        <w:rPr>
          <w:rFonts w:hint="default" w:eastAsiaTheme="minorEastAsia"/>
          <w:lang w:val="en-US" w:eastAsia="zh-CN"/>
        </w:rPr>
      </w:pPr>
      <w:r>
        <w:rPr>
          <w:rFonts w:hint="eastAsia"/>
          <w:lang w:val="en-US" w:eastAsia="zh-CN"/>
        </w:rPr>
        <w:t>公平竞争审查得分如下：</w:t>
      </w:r>
    </w:p>
  </w:comment>
  <w:comment w:id="1" w:author="咨询师催眠师--静静地想你" w:date="2023-06-23T23:24:56Z" w:initials="">
    <w:p w14:paraId="6870421A">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r>
        <w:rPr>
          <w:rFonts w:hint="eastAsia"/>
          <w:lang w:val="en-US" w:eastAsia="zh-CN"/>
        </w:rPr>
        <w:t xml:space="preserve">表前加 </w:t>
      </w:r>
      <w:bookmarkStart w:id="21" w:name="_Toc19461"/>
      <w:bookmarkStart w:id="22" w:name="_Toc9063"/>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21"/>
      <w:bookmarkEnd w:id="22"/>
    </w:p>
    <w:p w14:paraId="79D73717">
      <w:pPr>
        <w:pStyle w:val="6"/>
        <w:rPr>
          <w:rFonts w:hint="default" w:eastAsiaTheme="minorEastAsia"/>
          <w:lang w:val="en-US" w:eastAsia="zh-CN"/>
        </w:rPr>
      </w:pPr>
      <w:bookmarkStart w:id="23" w:name="_GoBack"/>
      <w:bookmarkEnd w:id="23"/>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8AF24C2" w15:done="0"/>
  <w15:commentEx w15:paraId="79D7371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咨询师催眠师--静静地想你">
    <w15:presenceInfo w15:providerId="WPS Office" w15:userId="32927997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5MWRhY2EyYjlmMzEyNDhmMDc0NDFiMGYxNjM2YjkifQ=="/>
  </w:docVars>
  <w:rsids>
    <w:rsidRoot w:val="00000000"/>
    <w:rsid w:val="00082545"/>
    <w:rsid w:val="0026374D"/>
    <w:rsid w:val="03D85545"/>
    <w:rsid w:val="05891A14"/>
    <w:rsid w:val="0944625E"/>
    <w:rsid w:val="0B8A10F7"/>
    <w:rsid w:val="0C86729B"/>
    <w:rsid w:val="0F3036F4"/>
    <w:rsid w:val="0FDE5814"/>
    <w:rsid w:val="10016F2E"/>
    <w:rsid w:val="1217690A"/>
    <w:rsid w:val="136E6C18"/>
    <w:rsid w:val="137D4E66"/>
    <w:rsid w:val="15E0256A"/>
    <w:rsid w:val="16972756"/>
    <w:rsid w:val="16B52B9D"/>
    <w:rsid w:val="16B761FB"/>
    <w:rsid w:val="188C755B"/>
    <w:rsid w:val="18C86549"/>
    <w:rsid w:val="19A75BFC"/>
    <w:rsid w:val="1A540A4D"/>
    <w:rsid w:val="1AAD645B"/>
    <w:rsid w:val="24054217"/>
    <w:rsid w:val="2B504896"/>
    <w:rsid w:val="2BFA0DD4"/>
    <w:rsid w:val="2F613E4F"/>
    <w:rsid w:val="34D655BF"/>
    <w:rsid w:val="3517385A"/>
    <w:rsid w:val="37A21967"/>
    <w:rsid w:val="38B914ED"/>
    <w:rsid w:val="3A863D93"/>
    <w:rsid w:val="3B1F7869"/>
    <w:rsid w:val="3CB36B12"/>
    <w:rsid w:val="3DF11096"/>
    <w:rsid w:val="3F9F18E3"/>
    <w:rsid w:val="40D62AD3"/>
    <w:rsid w:val="41937253"/>
    <w:rsid w:val="4374374C"/>
    <w:rsid w:val="43B321A2"/>
    <w:rsid w:val="45A95AE7"/>
    <w:rsid w:val="47A5180C"/>
    <w:rsid w:val="48DF45C7"/>
    <w:rsid w:val="4AE2045F"/>
    <w:rsid w:val="4C9E29C9"/>
    <w:rsid w:val="4DDC3FBB"/>
    <w:rsid w:val="4F2C30EB"/>
    <w:rsid w:val="51C55131"/>
    <w:rsid w:val="550A2B46"/>
    <w:rsid w:val="559C4906"/>
    <w:rsid w:val="56AA0660"/>
    <w:rsid w:val="5DF13687"/>
    <w:rsid w:val="5EF7361C"/>
    <w:rsid w:val="63161C90"/>
    <w:rsid w:val="640B731B"/>
    <w:rsid w:val="662C67C6"/>
    <w:rsid w:val="682F24B5"/>
    <w:rsid w:val="6A2A5B3A"/>
    <w:rsid w:val="6B9F2E01"/>
    <w:rsid w:val="6D520BC9"/>
    <w:rsid w:val="6FBD1A6C"/>
    <w:rsid w:val="73B32435"/>
    <w:rsid w:val="75D60531"/>
    <w:rsid w:val="7EB32AF3"/>
    <w:rsid w:val="BFEA636B"/>
    <w:rsid w:val="FFBF1BB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5">
    <w:name w:val="Default Paragraph Font"/>
    <w:semiHidden/>
    <w:qFormat/>
    <w:uiPriority w:val="0"/>
  </w:style>
  <w:style w:type="table" w:default="1" w:styleId="13">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index 6"/>
    <w:basedOn w:val="1"/>
    <w:next w:val="1"/>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黑体"/>
      <w:color w:val="000000"/>
      <w:kern w:val="2"/>
      <w:sz w:val="32"/>
      <w:szCs w:val="32"/>
      <w:lang w:val="en-US" w:eastAsia="zh-CN" w:bidi="ar"/>
    </w:rPr>
  </w:style>
  <w:style w:type="paragraph" w:styleId="5">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Calibri" w:hAnsi="Calibri" w:eastAsia="宋体" w:cs="Times New Roman"/>
      <w:kern w:val="2"/>
      <w:sz w:val="21"/>
      <w:szCs w:val="21"/>
      <w:lang w:val="en-US" w:eastAsia="zh-CN" w:bidi="ar"/>
    </w:rPr>
  </w:style>
  <w:style w:type="paragraph" w:styleId="6">
    <w:name w:val="annotation text"/>
    <w:basedOn w:val="1"/>
    <w:next w:val="7"/>
    <w:qFormat/>
    <w:uiPriority w:val="0"/>
    <w:pPr>
      <w:jc w:val="left"/>
    </w:pPr>
  </w:style>
  <w:style w:type="paragraph" w:styleId="7">
    <w:name w:val="Balloon Text"/>
    <w:basedOn w:val="1"/>
    <w:qFormat/>
    <w:uiPriority w:val="0"/>
    <w:rPr>
      <w:sz w:val="18"/>
    </w:rPr>
  </w:style>
  <w:style w:type="paragraph" w:styleId="8">
    <w:name w:val="Body Text"/>
    <w:basedOn w:val="1"/>
    <w:qFormat/>
    <w:uiPriority w:val="0"/>
    <w:pPr>
      <w:keepNext w:val="0"/>
      <w:keepLines w:val="0"/>
      <w:widowControl w:val="0"/>
      <w:suppressLineNumbers w:val="0"/>
      <w:ind w:left="100"/>
      <w:jc w:val="both"/>
    </w:pPr>
    <w:rPr>
      <w:rFonts w:hint="eastAsia" w:ascii="微软雅黑" w:hAnsi="微软雅黑" w:eastAsia="微软雅黑" w:cs="微软雅黑"/>
      <w:kern w:val="2"/>
      <w:sz w:val="48"/>
      <w:szCs w:val="48"/>
      <w:lang w:val="en-US" w:eastAsia="zh-CN" w:bidi="ar"/>
    </w:rPr>
  </w:style>
  <w:style w:type="paragraph" w:styleId="9">
    <w:name w:val="Body Text Indent 2"/>
    <w:basedOn w:val="1"/>
    <w:qFormat/>
    <w:uiPriority w:val="0"/>
    <w:pPr>
      <w:keepNext w:val="0"/>
      <w:keepLines w:val="0"/>
      <w:widowControl w:val="0"/>
      <w:suppressLineNumbers w:val="0"/>
      <w:spacing w:after="12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4">
    <w:name w:val="Table Grid"/>
    <w:basedOn w:val="13"/>
    <w:qFormat/>
    <w:uiPriority w:val="0"/>
    <w:pPr>
      <w:keepNext w:val="0"/>
      <w:keepLines w:val="0"/>
      <w:widowControl w:val="0"/>
      <w:suppressLineNumbers w:val="0"/>
      <w:spacing w:before="0" w:beforeAutospacing="0" w:after="0" w:afterAutospacing="0"/>
      <w:ind w:left="0" w:right="0"/>
      <w:jc w:val="both"/>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6">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customStyle="1" w:styleId="17">
    <w:name w:val="List Paragraph"/>
    <w:basedOn w:val="1"/>
    <w:qFormat/>
    <w:uiPriority w:val="0"/>
    <w:pPr>
      <w:keepNext w:val="0"/>
      <w:keepLines w:val="0"/>
      <w:widowControl w:val="0"/>
      <w:suppressLineNumbers w:val="0"/>
      <w:spacing w:before="66" w:beforeAutospacing="0"/>
      <w:ind w:left="457" w:hanging="358"/>
      <w:jc w:val="both"/>
    </w:pPr>
    <w:rPr>
      <w:rFonts w:hint="eastAsia" w:ascii="微软雅黑" w:hAnsi="微软雅黑" w:eastAsia="微软雅黑" w:cs="微软雅黑"/>
      <w:kern w:val="2"/>
      <w:sz w:val="21"/>
      <w:szCs w:val="21"/>
      <w:lang w:val="en-US" w:eastAsia="zh-CN" w:bidi="ar"/>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18</Pages>
  <Words>7798</Words>
  <Characters>7937</Characters>
  <Lines>0</Lines>
  <Paragraphs>0</Paragraphs>
  <TotalTime>2</TotalTime>
  <ScaleCrop>false</ScaleCrop>
  <LinksUpToDate>false</LinksUpToDate>
  <CharactersWithSpaces>8261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2023-01-09T12:04:00Z</dcterms:created>
  <dc:creator>笑笑妈</dc:creator>
  <cp:lastModifiedBy>咨询师催眠师--静静地想你</cp:lastModifiedBy>
  <dcterms:modified xsi:type="dcterms:W3CDTF">2023-06-23T15:26:51Z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898CAA7EB71744CBBD6371863D1E0DF8</vt:lpwstr>
  </property>
</Properties>
</file>