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kern w:val="2"/>
          <w:sz w:val="21"/>
          <w:szCs w:val="24"/>
          <w:lang w:val="en-US" w:eastAsia="zh-CN" w:bidi="ar-SA"/>
        </w:rPr>
        <w:id w:val="147481336"/>
        <w15:color w:val="DBDBDB"/>
        <w:docPartObj>
          <w:docPartGallery w:val="Table of Contents"/>
          <w:docPartUnique/>
        </w:docPartObj>
      </w:sdtPr>
      <w:sdtEndPr>
        <w:rPr>
          <w:rFonts w:hint="default" w:ascii="黑体" w:hAnsi="黑体" w:eastAsia="黑体" w:cs="黑体"/>
          <w:b/>
          <w:bCs/>
          <w:color w:val="auto"/>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9"/>
            <w:tabs>
              <w:tab w:val="right" w:leader="dot" w:pos="8845"/>
            </w:tabs>
            <w:rPr>
              <w:rFonts w:hint="eastAsia" w:ascii="仿宋_GB2312" w:hAnsi="仿宋_GB2312" w:eastAsia="仿宋_GB2312" w:cs="仿宋_GB2312"/>
              <w:b/>
              <w:bCs w:val="0"/>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_Toc13707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一、总体情况</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_Toc13707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1</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_Toc29487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_Toc29487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_Toc22189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（二）审查清理情况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_Toc22189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_Toc3747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_Toc3747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9"/>
            <w:tabs>
              <w:tab w:val="right" w:leader="dot" w:pos="8845"/>
            </w:tabs>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_Toc22621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二、评估结果</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_Toc22621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3</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_Toc7052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 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_Toc7052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_Toc20825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（二）政策措施评估得分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_Toc20825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_Toc20633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（三）</w:t>
          </w:r>
          <w:r>
            <w:rPr>
              <w:rFonts w:hint="eastAsia" w:ascii="仿宋_GB2312" w:hAnsi="仿宋_GB2312" w:eastAsia="仿宋_GB2312" w:cs="仿宋_GB2312"/>
              <w:spacing w:val="0"/>
              <w:kern w:val="0"/>
              <w:position w:val="0"/>
              <w:sz w:val="32"/>
              <w:szCs w:val="32"/>
              <w:lang w:val="en-US" w:eastAsia="zh-CN" w:bidi="ar"/>
            </w:rPr>
            <w:t>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_Toc20633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_Toc21711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（三）</w:t>
          </w:r>
          <w:r>
            <w:rPr>
              <w:rFonts w:hint="eastAsia" w:ascii="仿宋_GB2312" w:hAnsi="仿宋_GB2312" w:eastAsia="仿宋_GB2312" w:cs="仿宋_GB2312"/>
              <w:spacing w:val="0"/>
              <w:kern w:val="0"/>
              <w:position w:val="0"/>
              <w:sz w:val="32"/>
              <w:szCs w:val="32"/>
              <w:lang w:val="en-US" w:eastAsia="zh-CN" w:bidi="ar"/>
            </w:rPr>
            <w:t>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_Toc21711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9"/>
            <w:tabs>
              <w:tab w:val="right" w:leader="dot" w:pos="8845"/>
            </w:tabs>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_Toc22137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三、意见建议</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_Toc22137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6</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_Toc10765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_Toc10765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_Toc23371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_Toc23371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_Toc25233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_Toc25233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_Toc24306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_Toc24306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_Toc18853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附件一：肃南县政策措施文件目录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_Toc18853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_Toc16889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附件二：肃南县政策措施评估表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_Toc16889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9"/>
            <w:rPr>
              <w:rFonts w:hint="eastAsia" w:ascii="仿宋_GB2312" w:hAnsi="仿宋_GB2312" w:eastAsia="仿宋_GB2312" w:cs="仿宋_GB2312"/>
              <w:bCs/>
              <w:color w:val="auto"/>
              <w:spacing w:val="0"/>
              <w:kern w:val="2"/>
              <w:position w:val="0"/>
              <w:sz w:val="32"/>
              <w:szCs w:val="32"/>
              <w:lang w:val="en-US" w:eastAsia="zh-CN" w:bidi="ar"/>
            </w:rPr>
          </w:pP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9"/>
            <w:rPr>
              <w:rFonts w:hint="eastAsia" w:ascii="仿宋_GB2312" w:hAnsi="仿宋_GB2312" w:eastAsia="仿宋_GB2312" w:cs="仿宋_GB2312"/>
              <w:bCs/>
              <w:color w:val="auto"/>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422" w:firstLineChars="200"/>
            <w:jc w:val="both"/>
            <w:outlineLvl w:val="9"/>
            <w:rPr>
              <w:rFonts w:hint="default" w:ascii="黑体" w:hAnsi="黑体" w:eastAsia="黑体" w:cs="黑体"/>
              <w:b w:val="0"/>
              <w:bCs/>
              <w:color w:val="auto"/>
              <w:spacing w:val="0"/>
              <w:kern w:val="2"/>
              <w:position w:val="0"/>
              <w:sz w:val="32"/>
              <w:szCs w:val="32"/>
              <w:lang w:val="en-US" w:eastAsia="zh-CN" w:bidi="ar"/>
            </w:rPr>
          </w:pPr>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sectPr>
          <w:pgSz w:w="11906" w:h="16838"/>
          <w:pgMar w:top="2098" w:right="1474" w:bottom="1984" w:left="1587" w:header="851" w:footer="1417" w:gutter="0"/>
          <w:pgBorders>
            <w:top w:val="none" w:sz="0" w:space="0"/>
            <w:left w:val="none" w:sz="0" w:space="0"/>
            <w:bottom w:val="none" w:sz="0" w:space="0"/>
            <w:right w:val="none" w:sz="0" w:space="0"/>
          </w:pgBorders>
          <w:pgNumType w:fmt="decimal"/>
          <w:cols w:space="0" w:num="1"/>
          <w:rtlGutter w:val="0"/>
          <w:docGrid w:type="lines" w:linePitch="312" w:charSpace="0"/>
        </w:sectPr>
      </w:pPr>
      <w:bookmarkStart w:id="0" w:name="_Toc13707"/>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r>
        <w:rPr>
          <w:rFonts w:hint="default"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国发〔2016〕34号</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下文简称《意见》</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，部署建立公平竞争审查制度。</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公平竞争审查制度实施细则》</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下文简称《实施细则》</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设立专章“第三方评估”</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对有关第三方评估问题予以明确，该《实施细则》第二十条规定：“政策制定单位可以根据工作实际，委托具备相应评估能力的高等院校、科研院所、</w:t>
      </w:r>
      <w:r>
        <w:rPr>
          <w:rFonts w:hint="eastAsia" w:ascii="仿宋_GB2312" w:hAnsi="仿宋_GB2312" w:eastAsia="仿宋_GB2312" w:cs="仿宋_GB2312"/>
          <w:b w:val="0"/>
          <w:bCs/>
          <w:color w:val="auto"/>
          <w:spacing w:val="0"/>
          <w:kern w:val="2"/>
          <w:position w:val="0"/>
          <w:sz w:val="32"/>
          <w:szCs w:val="32"/>
          <w:lang w:val="en-US" w:eastAsia="zh-CN" w:bidi="ar"/>
        </w:rPr>
        <w:t>专业咨询公司、律师事务所</w:t>
      </w:r>
      <w:r>
        <w:rPr>
          <w:rFonts w:hint="default" w:ascii="仿宋_GB2312" w:hAnsi="仿宋_GB2312" w:eastAsia="仿宋_GB2312" w:cs="仿宋_GB2312"/>
          <w:b w:val="0"/>
          <w:bCs/>
          <w:color w:val="auto"/>
          <w:spacing w:val="0"/>
          <w:kern w:val="2"/>
          <w:position w:val="0"/>
          <w:sz w:val="32"/>
          <w:szCs w:val="32"/>
          <w:lang w:val="en-US" w:eastAsia="zh-CN" w:bidi="ar"/>
        </w:rPr>
        <w:t>等第三方机构，对有关政策措施进行公平竞争评估，或者对公平竞争审查有关工作进行评估。各级联席会议办公室可以委托第三方机构，对本地公平竞争审查</w:t>
      </w:r>
      <w:r>
        <w:rPr>
          <w:rFonts w:hint="default" w:ascii="仿宋_GB2312" w:hAnsi="仿宋_GB2312" w:eastAsia="仿宋_GB2312" w:cs="仿宋_GB2312"/>
          <w:b w:val="0"/>
          <w:bCs/>
          <w:color w:val="auto"/>
          <w:spacing w:val="-11"/>
          <w:kern w:val="2"/>
          <w:position w:val="0"/>
          <w:sz w:val="32"/>
          <w:szCs w:val="32"/>
          <w:lang w:val="en-US" w:eastAsia="zh-CN" w:bidi="ar"/>
        </w:rPr>
        <w:t>制度总体实施情况开展</w:t>
      </w:r>
      <w:r>
        <w:rPr>
          <w:rFonts w:hint="default" w:ascii="仿宋_GB2312" w:hAnsi="仿宋_GB2312" w:eastAsia="仿宋_GB2312" w:cs="仿宋_GB2312"/>
          <w:b w:val="0"/>
          <w:bCs/>
          <w:color w:val="auto"/>
          <w:spacing w:val="0"/>
          <w:kern w:val="2"/>
          <w:position w:val="0"/>
          <w:sz w:val="32"/>
          <w:szCs w:val="32"/>
          <w:lang w:val="en-US" w:eastAsia="zh-CN" w:bidi="ar"/>
        </w:rPr>
        <w:t>评估</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2022年3月25日</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w:t>
      </w:r>
      <w:r>
        <w:rPr>
          <w:rFonts w:hint="eastAsia" w:ascii="仿宋_GB2312" w:hAnsi="仿宋_GB2312" w:eastAsia="仿宋_GB2312" w:cs="仿宋_GB2312"/>
          <w:b w:val="0"/>
          <w:bCs/>
          <w:color w:val="auto"/>
          <w:spacing w:val="0"/>
          <w:kern w:val="2"/>
          <w:position w:val="0"/>
          <w:sz w:val="32"/>
          <w:szCs w:val="32"/>
          <w:lang w:val="en-US" w:eastAsia="zh-CN" w:bidi="ar"/>
        </w:rPr>
        <w:t>部门</w:t>
      </w:r>
      <w:r>
        <w:rPr>
          <w:rFonts w:hint="default" w:ascii="仿宋_GB2312" w:hAnsi="仿宋_GB2312" w:eastAsia="仿宋_GB2312" w:cs="仿宋_GB2312"/>
          <w:b w:val="0"/>
          <w:bCs/>
          <w:color w:val="auto"/>
          <w:spacing w:val="0"/>
          <w:kern w:val="2"/>
          <w:position w:val="0"/>
          <w:sz w:val="32"/>
          <w:szCs w:val="32"/>
          <w:lang w:val="en-US" w:eastAsia="zh-CN" w:bidi="ar"/>
        </w:rPr>
        <w:t>联席会议办公室经过询价</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遴选甘肃金彤律师事务所对张掖市22个</w:t>
      </w:r>
      <w:r>
        <w:rPr>
          <w:rFonts w:hint="eastAsia" w:ascii="仿宋_GB2312" w:hAnsi="仿宋_GB2312" w:eastAsia="仿宋_GB2312" w:cs="仿宋_GB2312"/>
          <w:b w:val="0"/>
          <w:bCs/>
          <w:color w:val="auto"/>
          <w:spacing w:val="0"/>
          <w:kern w:val="2"/>
          <w:position w:val="0"/>
          <w:sz w:val="32"/>
          <w:szCs w:val="32"/>
          <w:lang w:val="en-US" w:eastAsia="zh-CN" w:bidi="ar"/>
        </w:rPr>
        <w:t>市直部门</w:t>
      </w:r>
      <w:r>
        <w:rPr>
          <w:rFonts w:hint="default" w:ascii="仿宋_GB2312" w:hAnsi="仿宋_GB2312" w:eastAsia="仿宋_GB2312" w:cs="仿宋_GB2312"/>
          <w:b w:val="0"/>
          <w:bCs/>
          <w:color w:val="auto"/>
          <w:spacing w:val="0"/>
          <w:kern w:val="2"/>
          <w:position w:val="0"/>
          <w:sz w:val="32"/>
          <w:szCs w:val="32"/>
          <w:lang w:val="en-US" w:eastAsia="zh-CN" w:bidi="ar"/>
        </w:rPr>
        <w:t>单位、6个县区和张掖市经济技术开发区的公平竞争审查制度实施情况进行综合评估。</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经过</w:t>
      </w:r>
      <w:r>
        <w:rPr>
          <w:rFonts w:hint="default" w:ascii="仿宋_GB2312" w:hAnsi="仿宋_GB2312" w:eastAsia="仿宋_GB2312" w:cs="仿宋_GB2312"/>
          <w:b w:val="0"/>
          <w:bCs/>
          <w:color w:val="auto"/>
          <w:spacing w:val="0"/>
          <w:kern w:val="2"/>
          <w:position w:val="0"/>
          <w:sz w:val="32"/>
          <w:szCs w:val="32"/>
          <w:lang w:val="en-US" w:eastAsia="zh-CN" w:bidi="ar"/>
        </w:rPr>
        <w:t>评估机构审查</w:t>
      </w:r>
      <w:r>
        <w:rPr>
          <w:rFonts w:hint="eastAsia" w:ascii="仿宋_GB2312" w:hAnsi="仿宋_GB2312" w:eastAsia="仿宋_GB2312" w:cs="仿宋_GB2312"/>
          <w:b w:val="0"/>
          <w:bCs/>
          <w:color w:val="auto"/>
          <w:spacing w:val="0"/>
          <w:kern w:val="2"/>
          <w:position w:val="0"/>
          <w:sz w:val="32"/>
          <w:szCs w:val="32"/>
          <w:lang w:val="en-US" w:eastAsia="zh-CN" w:bidi="ar"/>
        </w:rPr>
        <w:t>肃南县</w:t>
      </w:r>
      <w:r>
        <w:rPr>
          <w:rFonts w:hint="default" w:ascii="仿宋_GB2312" w:hAnsi="仿宋_GB2312" w:eastAsia="仿宋_GB2312" w:cs="仿宋_GB2312"/>
          <w:b w:val="0"/>
          <w:bCs/>
          <w:color w:val="auto"/>
          <w:spacing w:val="0"/>
          <w:kern w:val="2"/>
          <w:position w:val="0"/>
          <w:sz w:val="32"/>
          <w:szCs w:val="32"/>
          <w:lang w:val="en-US" w:eastAsia="zh-CN" w:bidi="ar"/>
        </w:rPr>
        <w:t>提供的政策措施、调查表以及各项材料，系统总结</w:t>
      </w:r>
      <w:r>
        <w:rPr>
          <w:rFonts w:hint="eastAsia" w:ascii="仿宋_GB2312" w:hAnsi="仿宋_GB2312" w:eastAsia="仿宋_GB2312" w:cs="仿宋_GB2312"/>
          <w:b w:val="0"/>
          <w:bCs/>
          <w:color w:val="auto"/>
          <w:spacing w:val="0"/>
          <w:kern w:val="2"/>
          <w:position w:val="0"/>
          <w:sz w:val="32"/>
          <w:szCs w:val="32"/>
          <w:lang w:val="en-US" w:eastAsia="zh-CN" w:bidi="ar"/>
        </w:rPr>
        <w:t>肃南县</w:t>
      </w:r>
      <w:r>
        <w:rPr>
          <w:rFonts w:hint="default" w:ascii="仿宋_GB2312" w:hAnsi="仿宋_GB2312" w:eastAsia="仿宋_GB2312" w:cs="仿宋_GB2312"/>
          <w:b w:val="0"/>
          <w:bCs/>
          <w:color w:val="auto"/>
          <w:spacing w:val="0"/>
          <w:kern w:val="2"/>
          <w:position w:val="0"/>
          <w:sz w:val="32"/>
          <w:szCs w:val="32"/>
          <w:lang w:val="en-US" w:eastAsia="zh-CN" w:bidi="ar"/>
        </w:rPr>
        <w:t>落实公平竞争审查制度</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论证公平竞争制度的环境成效，梳理分析可能存在的问题和原因，提出进一步完善的意见建议</w:t>
      </w:r>
      <w:bookmarkStart w:id="27" w:name="_GoBack"/>
      <w:r>
        <w:rPr>
          <w:rFonts w:hint="eastAsia" w:ascii="仿宋_GB2312" w:hAnsi="仿宋_GB2312" w:eastAsia="仿宋_GB2312" w:cs="仿宋_GB2312"/>
          <w:b w:val="0"/>
          <w:bCs/>
          <w:color w:val="auto"/>
          <w:spacing w:val="0"/>
          <w:kern w:val="2"/>
          <w:position w:val="0"/>
          <w:sz w:val="32"/>
          <w:szCs w:val="32"/>
          <w:lang w:val="en-US" w:eastAsia="zh-CN" w:bidi="ar"/>
        </w:rPr>
        <w:t>。</w:t>
      </w:r>
      <w:bookmarkEnd w:id="27"/>
      <w:r>
        <w:rPr>
          <w:rFonts w:hint="default" w:ascii="仿宋_GB2312" w:hAnsi="仿宋_GB2312" w:eastAsia="仿宋_GB2312" w:cs="仿宋_GB2312"/>
          <w:b w:val="0"/>
          <w:bCs/>
          <w:color w:val="auto"/>
          <w:spacing w:val="0"/>
          <w:kern w:val="2"/>
          <w:position w:val="0"/>
          <w:sz w:val="32"/>
          <w:szCs w:val="32"/>
          <w:lang w:val="en-US" w:eastAsia="zh-CN" w:bidi="ar"/>
        </w:rPr>
        <w:t>评估总体情况如下：</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1" w:name="_Toc29487"/>
      <w:r>
        <w:rPr>
          <w:rFonts w:hint="eastAsia" w:ascii="楷体_GB2312" w:hAnsi="楷体_GB2312" w:eastAsia="楷体_GB2312" w:cs="楷体_GB2312"/>
          <w:b w:val="0"/>
          <w:bCs/>
          <w:color w:val="auto"/>
          <w:spacing w:val="0"/>
          <w:kern w:val="2"/>
          <w:position w:val="0"/>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肃南县共</w:t>
      </w:r>
      <w:r>
        <w:rPr>
          <w:rFonts w:hint="default" w:ascii="仿宋_GB2312" w:hAnsi="仿宋_GB2312" w:eastAsia="仿宋_GB2312" w:cs="仿宋_GB2312"/>
          <w:b w:val="0"/>
          <w:bCs/>
          <w:color w:val="auto"/>
          <w:spacing w:val="0"/>
          <w:kern w:val="2"/>
          <w:position w:val="0"/>
          <w:sz w:val="32"/>
          <w:szCs w:val="32"/>
          <w:lang w:val="en-US" w:eastAsia="zh-CN" w:bidi="ar"/>
        </w:rPr>
        <w:t>提交2021—2022年度发布的政策措施8</w:t>
      </w:r>
      <w:r>
        <w:rPr>
          <w:rFonts w:hint="eastAsia" w:ascii="仿宋_GB2312" w:hAnsi="仿宋_GB2312" w:eastAsia="仿宋_GB2312" w:cs="仿宋_GB2312"/>
          <w:b w:val="0"/>
          <w:bCs/>
          <w:color w:val="auto"/>
          <w:spacing w:val="0"/>
          <w:kern w:val="2"/>
          <w:position w:val="0"/>
          <w:sz w:val="32"/>
          <w:szCs w:val="32"/>
          <w:lang w:val="en-US" w:eastAsia="zh-CN" w:bidi="ar"/>
        </w:rPr>
        <w:t>份</w:t>
      </w:r>
      <w:r>
        <w:rPr>
          <w:rFonts w:hint="default" w:ascii="仿宋_GB2312" w:hAnsi="仿宋_GB2312" w:eastAsia="仿宋_GB2312" w:cs="仿宋_GB2312"/>
          <w:b w:val="0"/>
          <w:bCs/>
          <w:color w:val="auto"/>
          <w:spacing w:val="0"/>
          <w:kern w:val="2"/>
          <w:position w:val="0"/>
          <w:sz w:val="32"/>
          <w:szCs w:val="32"/>
          <w:lang w:val="en-US" w:eastAsia="zh-CN" w:bidi="ar"/>
        </w:rPr>
        <w:t>，</w:t>
      </w:r>
      <w:r>
        <w:rPr>
          <w:rFonts w:hint="eastAsia" w:ascii="仿宋_GB2312" w:hAnsi="仿宋_GB2312" w:eastAsia="仿宋_GB2312" w:cs="仿宋_GB2312"/>
          <w:b w:val="0"/>
          <w:bCs/>
          <w:color w:val="auto"/>
          <w:spacing w:val="0"/>
          <w:kern w:val="2"/>
          <w:position w:val="0"/>
          <w:sz w:val="32"/>
          <w:szCs w:val="32"/>
          <w:lang w:val="en-US" w:eastAsia="zh-CN" w:bidi="ar"/>
        </w:rPr>
        <w:t>其中3份</w:t>
      </w:r>
      <w:r>
        <w:rPr>
          <w:rFonts w:hint="default" w:ascii="仿宋_GB2312" w:hAnsi="仿宋_GB2312" w:eastAsia="仿宋_GB2312" w:cs="仿宋_GB2312"/>
          <w:b w:val="0"/>
          <w:bCs/>
          <w:color w:val="auto"/>
          <w:spacing w:val="0"/>
          <w:kern w:val="2"/>
          <w:position w:val="0"/>
          <w:sz w:val="32"/>
          <w:szCs w:val="32"/>
          <w:lang w:val="en-US" w:eastAsia="zh-CN" w:bidi="ar"/>
        </w:rPr>
        <w:t>政策措施</w:t>
      </w:r>
      <w:r>
        <w:rPr>
          <w:rFonts w:hint="eastAsia" w:ascii="仿宋_GB2312" w:hAnsi="仿宋_GB2312" w:eastAsia="仿宋_GB2312" w:cs="仿宋_GB2312"/>
          <w:b w:val="0"/>
          <w:bCs/>
          <w:color w:val="auto"/>
          <w:spacing w:val="0"/>
          <w:kern w:val="2"/>
          <w:position w:val="0"/>
          <w:sz w:val="32"/>
          <w:szCs w:val="32"/>
          <w:lang w:val="en-US" w:eastAsia="zh-CN" w:bidi="ar"/>
        </w:rPr>
        <w:t>不属于本次评估范围，4份</w:t>
      </w:r>
      <w:r>
        <w:rPr>
          <w:rFonts w:hint="default" w:ascii="仿宋_GB2312" w:hAnsi="仿宋_GB2312" w:eastAsia="仿宋_GB2312" w:cs="仿宋_GB2312"/>
          <w:b w:val="0"/>
          <w:bCs/>
          <w:color w:val="auto"/>
          <w:spacing w:val="0"/>
          <w:kern w:val="2"/>
          <w:position w:val="0"/>
          <w:sz w:val="32"/>
          <w:szCs w:val="32"/>
          <w:lang w:val="en-US" w:eastAsia="zh-CN" w:bidi="ar"/>
        </w:rPr>
        <w:t>政策措施</w:t>
      </w:r>
      <w:r>
        <w:rPr>
          <w:rFonts w:hint="eastAsia" w:ascii="仿宋_GB2312" w:hAnsi="仿宋_GB2312" w:eastAsia="仿宋_GB2312" w:cs="仿宋_GB2312"/>
          <w:b w:val="0"/>
          <w:bCs/>
          <w:color w:val="auto"/>
          <w:spacing w:val="0"/>
          <w:kern w:val="2"/>
          <w:position w:val="0"/>
          <w:sz w:val="32"/>
          <w:szCs w:val="32"/>
          <w:lang w:val="en-US" w:eastAsia="zh-CN" w:bidi="ar"/>
        </w:rPr>
        <w:t>不涉及市场主体经济活动</w:t>
      </w:r>
      <w:r>
        <w:rPr>
          <w:rFonts w:hint="default" w:ascii="仿宋_GB2312" w:hAnsi="仿宋_GB2312" w:eastAsia="仿宋_GB2312" w:cs="仿宋_GB2312"/>
          <w:b w:val="0"/>
          <w:bCs/>
          <w:color w:val="auto"/>
          <w:spacing w:val="0"/>
          <w:kern w:val="2"/>
          <w:position w:val="0"/>
          <w:sz w:val="32"/>
          <w:szCs w:val="32"/>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2" w:name="_Toc22189"/>
      <w:r>
        <w:rPr>
          <w:rFonts w:hint="eastAsia" w:ascii="楷体_GB2312" w:hAnsi="楷体_GB2312" w:eastAsia="楷体_GB2312" w:cs="楷体_GB2312"/>
          <w:b w:val="0"/>
          <w:bCs/>
          <w:color w:val="auto"/>
          <w:spacing w:val="0"/>
          <w:kern w:val="2"/>
          <w:position w:val="0"/>
          <w:sz w:val="32"/>
          <w:szCs w:val="32"/>
          <w:lang w:val="en-US" w:eastAsia="zh-CN" w:bidi="ar"/>
        </w:rPr>
        <w:t>（二）审查清理情况</w:t>
      </w:r>
      <w:bookmarkEnd w:id="2"/>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肃南县</w:t>
      </w:r>
      <w:r>
        <w:rPr>
          <w:rFonts w:hint="default" w:ascii="仿宋_GB2312" w:hAnsi="仿宋_GB2312" w:eastAsia="仿宋_GB2312" w:cs="仿宋_GB2312"/>
          <w:b w:val="0"/>
          <w:bCs/>
          <w:color w:val="auto"/>
          <w:spacing w:val="0"/>
          <w:kern w:val="2"/>
          <w:position w:val="0"/>
          <w:sz w:val="32"/>
          <w:szCs w:val="32"/>
          <w:lang w:val="en-US" w:eastAsia="zh-CN" w:bidi="ar"/>
        </w:rPr>
        <w:t>在开展审查工作过程中，已进行存量政策措施的自查并形成自查报告，并对2021—2022年度公平竞争审查审查工作情况进行书面总结。</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对于涉及市场主体经济活动的存量政策措施，</w:t>
      </w:r>
      <w:r>
        <w:rPr>
          <w:rFonts w:hint="eastAsia" w:ascii="仿宋_GB2312" w:hAnsi="仿宋_GB2312" w:eastAsia="仿宋_GB2312" w:cs="仿宋_GB2312"/>
          <w:b w:val="0"/>
          <w:bCs/>
          <w:color w:val="auto"/>
          <w:spacing w:val="0"/>
          <w:kern w:val="2"/>
          <w:position w:val="0"/>
          <w:sz w:val="32"/>
          <w:szCs w:val="32"/>
          <w:lang w:val="en-US" w:eastAsia="zh-CN" w:bidi="ar"/>
        </w:rPr>
        <w:t>肃南县</w:t>
      </w:r>
      <w:r>
        <w:rPr>
          <w:rFonts w:hint="default" w:ascii="仿宋_GB2312" w:hAnsi="仿宋_GB2312" w:eastAsia="仿宋_GB2312" w:cs="仿宋_GB2312"/>
          <w:b w:val="0"/>
          <w:bCs/>
          <w:color w:val="auto"/>
          <w:spacing w:val="0"/>
          <w:kern w:val="2"/>
          <w:position w:val="0"/>
          <w:sz w:val="32"/>
          <w:szCs w:val="32"/>
          <w:lang w:val="en-US" w:eastAsia="zh-CN" w:bidi="ar"/>
        </w:rPr>
        <w:t>已进行内部审查和清理。</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3" w:name="_Toc3747"/>
      <w:r>
        <w:rPr>
          <w:rFonts w:hint="eastAsia" w:ascii="楷体_GB2312" w:hAnsi="楷体_GB2312" w:eastAsia="楷体_GB2312" w:cs="楷体_GB2312"/>
          <w:b w:val="0"/>
          <w:bCs/>
          <w:color w:val="auto"/>
          <w:spacing w:val="0"/>
          <w:kern w:val="2"/>
          <w:position w:val="0"/>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为建立健全公平竞争审查工作机制，推动肃南县公平竞争审查工作的贯彻落实，</w:t>
      </w:r>
      <w:r>
        <w:rPr>
          <w:rFonts w:hint="eastAsia" w:ascii="仿宋_GB2312" w:hAnsi="仿宋_GB2312" w:eastAsia="仿宋_GB2312" w:cs="仿宋_GB2312"/>
          <w:b w:val="0"/>
          <w:bCs/>
          <w:color w:val="auto"/>
          <w:spacing w:val="0"/>
          <w:kern w:val="2"/>
          <w:position w:val="0"/>
          <w:sz w:val="32"/>
          <w:szCs w:val="32"/>
          <w:lang w:val="en-US" w:eastAsia="zh-CN" w:bidi="ar"/>
        </w:rPr>
        <w:t>肃南县</w:t>
      </w:r>
      <w:r>
        <w:rPr>
          <w:rFonts w:hint="default" w:ascii="仿宋_GB2312" w:hAnsi="仿宋_GB2312" w:eastAsia="仿宋_GB2312" w:cs="仿宋_GB2312"/>
          <w:b w:val="0"/>
          <w:bCs/>
          <w:color w:val="auto"/>
          <w:spacing w:val="0"/>
          <w:kern w:val="2"/>
          <w:position w:val="0"/>
          <w:sz w:val="32"/>
          <w:szCs w:val="32"/>
          <w:lang w:val="en-US" w:eastAsia="zh-CN" w:bidi="ar"/>
        </w:rPr>
        <w:t>结合工作实际制定</w:t>
      </w:r>
      <w:r>
        <w:rPr>
          <w:rFonts w:hint="eastAsia" w:ascii="仿宋_GB2312" w:hAnsi="仿宋_GB2312" w:eastAsia="仿宋_GB2312" w:cs="仿宋_GB2312"/>
          <w:b w:val="0"/>
          <w:bCs/>
          <w:color w:val="auto"/>
          <w:spacing w:val="0"/>
          <w:kern w:val="2"/>
          <w:position w:val="0"/>
          <w:sz w:val="32"/>
          <w:szCs w:val="32"/>
          <w:lang w:val="en-US" w:eastAsia="zh-CN" w:bidi="ar"/>
        </w:rPr>
        <w:t>了</w:t>
      </w:r>
      <w:r>
        <w:rPr>
          <w:rFonts w:hint="default" w:ascii="仿宋_GB2312" w:hAnsi="仿宋_GB2312" w:eastAsia="仿宋_GB2312" w:cs="仿宋_GB2312"/>
          <w:b w:val="0"/>
          <w:bCs/>
          <w:color w:val="auto"/>
          <w:spacing w:val="0"/>
          <w:kern w:val="2"/>
          <w:position w:val="0"/>
          <w:sz w:val="32"/>
          <w:szCs w:val="32"/>
          <w:lang w:val="en-US" w:eastAsia="zh-CN" w:bidi="ar"/>
        </w:rPr>
        <w:t>《肃南县公平竞争审查工作政策措施抽查制度</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试行</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《肃南县重大政策措施公平竞争审查会审制度</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试行</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》、《肃南县公平竞争审查投诉举报和处理回应制度</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试行</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》三项制度，为全面落实公平竞争审查制度，通过</w:t>
      </w:r>
      <w:r>
        <w:rPr>
          <w:rFonts w:hint="eastAsia" w:ascii="仿宋_GB2312" w:hAnsi="仿宋_GB2312" w:eastAsia="仿宋_GB2312" w:cs="仿宋_GB2312"/>
          <w:b w:val="0"/>
          <w:bCs/>
          <w:color w:val="auto"/>
          <w:spacing w:val="0"/>
          <w:kern w:val="2"/>
          <w:position w:val="0"/>
          <w:sz w:val="32"/>
          <w:szCs w:val="32"/>
          <w:lang w:val="en-US" w:eastAsia="zh-CN" w:bidi="ar"/>
        </w:rPr>
        <w:t>县</w:t>
      </w:r>
      <w:r>
        <w:rPr>
          <w:rFonts w:hint="default" w:ascii="仿宋_GB2312" w:hAnsi="仿宋_GB2312" w:eastAsia="仿宋_GB2312" w:cs="仿宋_GB2312"/>
          <w:b w:val="0"/>
          <w:bCs/>
          <w:color w:val="auto"/>
          <w:spacing w:val="0"/>
          <w:kern w:val="2"/>
          <w:position w:val="0"/>
          <w:sz w:val="32"/>
          <w:szCs w:val="32"/>
          <w:lang w:val="en-US" w:eastAsia="zh-CN" w:bidi="ar"/>
        </w:rPr>
        <w:t>政府网站公布投诉回应受理渠道和举报电话，</w:t>
      </w:r>
      <w:r>
        <w:rPr>
          <w:rFonts w:hint="eastAsia" w:ascii="仿宋_GB2312" w:hAnsi="仿宋_GB2312" w:eastAsia="仿宋_GB2312" w:cs="仿宋_GB2312"/>
          <w:b w:val="0"/>
          <w:bCs/>
          <w:color w:val="auto"/>
          <w:spacing w:val="0"/>
          <w:kern w:val="2"/>
          <w:position w:val="0"/>
          <w:sz w:val="32"/>
          <w:szCs w:val="32"/>
          <w:lang w:val="en-US" w:eastAsia="zh-CN" w:bidi="ar"/>
        </w:rPr>
        <w:t>在全县范围内组织开展专题宣传周活动，</w:t>
      </w:r>
      <w:r>
        <w:rPr>
          <w:rFonts w:hint="default" w:ascii="仿宋_GB2312" w:hAnsi="仿宋_GB2312" w:eastAsia="仿宋_GB2312" w:cs="仿宋_GB2312"/>
          <w:b w:val="0"/>
          <w:bCs/>
          <w:color w:val="auto"/>
          <w:spacing w:val="0"/>
          <w:kern w:val="2"/>
          <w:position w:val="0"/>
          <w:sz w:val="32"/>
          <w:szCs w:val="32"/>
          <w:lang w:val="en-US" w:eastAsia="zh-CN" w:bidi="ar"/>
        </w:rPr>
        <w:t>对社会公众进行公平竞争审查内容的宣传与普及，</w:t>
      </w:r>
      <w:r>
        <w:rPr>
          <w:rFonts w:hint="eastAsia" w:ascii="仿宋_GB2312" w:hAnsi="仿宋_GB2312" w:eastAsia="仿宋_GB2312" w:cs="仿宋_GB2312"/>
          <w:b w:val="0"/>
          <w:bCs/>
          <w:color w:val="auto"/>
          <w:spacing w:val="0"/>
          <w:kern w:val="2"/>
          <w:position w:val="0"/>
          <w:sz w:val="32"/>
          <w:szCs w:val="32"/>
          <w:lang w:val="en-US" w:eastAsia="zh-CN" w:bidi="ar"/>
        </w:rPr>
        <w:t>组织人员集中学习反垄断法等法律法规，</w:t>
      </w:r>
      <w:r>
        <w:rPr>
          <w:rFonts w:hint="default" w:ascii="仿宋_GB2312" w:hAnsi="仿宋_GB2312" w:eastAsia="仿宋_GB2312" w:cs="仿宋_GB2312"/>
          <w:b w:val="0"/>
          <w:bCs/>
          <w:color w:val="auto"/>
          <w:spacing w:val="0"/>
          <w:kern w:val="2"/>
          <w:position w:val="0"/>
          <w:sz w:val="32"/>
          <w:szCs w:val="32"/>
          <w:lang w:val="en-US" w:eastAsia="zh-CN" w:bidi="ar"/>
        </w:rPr>
        <w:t>进行公平竞争审查内容的学习与培训。</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6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目前，</w:t>
      </w:r>
      <w:r>
        <w:rPr>
          <w:rFonts w:hint="eastAsia" w:ascii="仿宋_GB2312" w:hAnsi="仿宋_GB2312" w:eastAsia="仿宋_GB2312" w:cs="仿宋_GB2312"/>
          <w:b w:val="0"/>
          <w:bCs/>
          <w:color w:val="auto"/>
          <w:spacing w:val="0"/>
          <w:kern w:val="2"/>
          <w:position w:val="0"/>
          <w:sz w:val="32"/>
          <w:szCs w:val="32"/>
          <w:lang w:val="en-US" w:eastAsia="zh-CN" w:bidi="ar"/>
        </w:rPr>
        <w:t>肃南县</w:t>
      </w:r>
      <w:r>
        <w:rPr>
          <w:rFonts w:hint="default" w:ascii="仿宋_GB2312" w:hAnsi="仿宋_GB2312" w:eastAsia="仿宋_GB2312" w:cs="仿宋_GB2312"/>
          <w:b w:val="0"/>
          <w:bCs/>
          <w:color w:val="auto"/>
          <w:spacing w:val="0"/>
          <w:kern w:val="2"/>
          <w:position w:val="0"/>
          <w:sz w:val="32"/>
          <w:szCs w:val="32"/>
          <w:lang w:val="en-US" w:eastAsia="zh-CN" w:bidi="ar"/>
        </w:rPr>
        <w:t>的公平竞争审查制度、审查流程和审查人员配置均已完善。</w:t>
      </w:r>
    </w:p>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60" w:lineRule="exact"/>
        <w:ind w:left="0" w:leftChars="0" w:right="0" w:rightChars="0" w:firstLine="640" w:firstLineChars="200"/>
        <w:jc w:val="both"/>
        <w:textAlignment w:val="auto"/>
        <w:outlineLvl w:val="0"/>
        <w:rPr>
          <w:rFonts w:hint="default" w:ascii="黑体" w:hAnsi="黑体" w:eastAsia="黑体" w:cs="黑体"/>
          <w:b w:val="0"/>
          <w:bCs/>
          <w:color w:val="auto"/>
          <w:spacing w:val="0"/>
          <w:kern w:val="2"/>
          <w:position w:val="0"/>
          <w:sz w:val="32"/>
          <w:szCs w:val="32"/>
          <w:lang w:val="en-US" w:eastAsia="zh-CN" w:bidi="ar"/>
        </w:rPr>
      </w:pPr>
      <w:bookmarkStart w:id="4" w:name="_Toc22621"/>
      <w:r>
        <w:rPr>
          <w:rFonts w:hint="default" w:ascii="黑体" w:hAnsi="黑体" w:eastAsia="黑体" w:cs="黑体"/>
          <w:b w:val="0"/>
          <w:bCs/>
          <w:color w:val="auto"/>
          <w:spacing w:val="0"/>
          <w:kern w:val="2"/>
          <w:position w:val="0"/>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default" w:ascii="仿宋_GB2312" w:hAnsi="Calibri" w:eastAsia="仿宋_GB2312" w:cs="仿宋_GB2312"/>
          <w:bCs w:val="0"/>
          <w:color w:val="auto"/>
          <w:spacing w:val="0"/>
          <w:kern w:val="2"/>
          <w:position w:val="0"/>
          <w:sz w:val="32"/>
          <w:szCs w:val="32"/>
          <w:lang w:val="en-US" w:eastAsia="zh-CN" w:bidi="ar"/>
        </w:rPr>
        <w:t>根据《甘肃省市场监管局等四单位关于进一步推进落实公平竞争审查工作的通知》（甘市监发〔2020〕291号）及《张掖市公平竞争审查工作</w:t>
      </w:r>
      <w:r>
        <w:rPr>
          <w:rFonts w:hint="eastAsia" w:ascii="仿宋_GB2312" w:hAnsi="Calibri" w:eastAsia="仿宋_GB2312" w:cs="仿宋_GB2312"/>
          <w:bCs w:val="0"/>
          <w:color w:val="auto"/>
          <w:spacing w:val="0"/>
          <w:kern w:val="2"/>
          <w:position w:val="0"/>
          <w:sz w:val="32"/>
          <w:szCs w:val="32"/>
          <w:lang w:val="en-US" w:eastAsia="zh-CN" w:bidi="ar"/>
        </w:rPr>
        <w:t>部门</w:t>
      </w:r>
      <w:r>
        <w:rPr>
          <w:rFonts w:hint="default" w:ascii="仿宋_GB2312" w:hAnsi="Calibri" w:eastAsia="仿宋_GB2312" w:cs="仿宋_GB2312"/>
          <w:bCs w:val="0"/>
          <w:color w:val="auto"/>
          <w:spacing w:val="0"/>
          <w:kern w:val="2"/>
          <w:position w:val="0"/>
          <w:sz w:val="32"/>
          <w:szCs w:val="32"/>
          <w:lang w:val="en-US" w:eastAsia="zh-CN" w:bidi="ar"/>
        </w:rPr>
        <w:t>联席会议办公室关于开展公平竞争审查工作第三方评估的通知》（张公竞〔2022〕10号）文件要求，</w:t>
      </w:r>
      <w:r>
        <w:rPr>
          <w:rFonts w:hint="eastAsia" w:ascii="仿宋_GB2312" w:hAnsi="Calibri" w:eastAsia="仿宋_GB2312" w:cs="仿宋_GB2312"/>
          <w:bCs w:val="0"/>
          <w:color w:val="auto"/>
          <w:spacing w:val="0"/>
          <w:kern w:val="2"/>
          <w:position w:val="0"/>
          <w:sz w:val="32"/>
          <w:szCs w:val="32"/>
          <w:lang w:val="en-US" w:eastAsia="zh-CN" w:bidi="ar"/>
        </w:rPr>
        <w:t>肃南县</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7052"/>
      <w:bookmarkStart w:id="6" w:name="_Toc9063"/>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表1：公平竞争审查工作部署落实情况评分表</w:t>
      </w:r>
    </w:p>
    <w:tbl>
      <w:tblPr>
        <w:tblStyle w:val="13"/>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2145"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指标评价内容</w:t>
            </w:r>
          </w:p>
        </w:tc>
        <w:tc>
          <w:tcPr>
            <w:tcW w:w="4488"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w:t>
            </w:r>
            <w:r>
              <w:rPr>
                <w:rFonts w:hint="default" w:ascii="仿宋_GB2312" w:hAnsi="仿宋_GB2312" w:eastAsia="仿宋_GB2312" w:cs="仿宋_GB2312"/>
                <w:b w:val="0"/>
                <w:bCs/>
                <w:color w:val="auto"/>
                <w:spacing w:val="0"/>
                <w:position w:val="0"/>
                <w:sz w:val="24"/>
                <w:szCs w:val="24"/>
                <w:lang w:val="en-US" w:eastAsia="zh-CN"/>
              </w:rPr>
              <w:t>分标准</w:t>
            </w:r>
          </w:p>
        </w:tc>
        <w:tc>
          <w:tcPr>
            <w:tcW w:w="539"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工作部署落实情况（45分）</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方案</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印发公平竞争审查方案（5分）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建立相应审查机制</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建立公平竞争审查机制（10分）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报批文件、通知文件、审批流程文件</w:t>
            </w:r>
            <w:r>
              <w:rPr>
                <w:rFonts w:hint="eastAsia" w:ascii="仿宋_GB2312" w:hAnsi="仿宋_GB2312" w:eastAsia="仿宋_GB2312" w:cs="仿宋_GB2312"/>
                <w:b w:val="0"/>
                <w:bCs/>
                <w:color w:val="auto"/>
                <w:spacing w:val="0"/>
                <w:position w:val="0"/>
                <w:sz w:val="24"/>
                <w:szCs w:val="24"/>
                <w:lang w:val="en-US" w:eastAsia="zh-CN"/>
              </w:rPr>
              <w:t>或已建立的公平竞争审查制度、方案</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建立投诉举报回应机制（5分）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相关文件</w:t>
            </w:r>
            <w:r>
              <w:rPr>
                <w:rFonts w:hint="eastAsia" w:ascii="仿宋_GB2312" w:hAnsi="仿宋_GB2312" w:eastAsia="仿宋_GB2312" w:cs="仿宋_GB2312"/>
                <w:b w:val="0"/>
                <w:bCs/>
                <w:color w:val="auto"/>
                <w:spacing w:val="0"/>
                <w:position w:val="0"/>
                <w:sz w:val="24"/>
                <w:szCs w:val="24"/>
                <w:lang w:val="en-US" w:eastAsia="zh-CN"/>
              </w:rPr>
              <w:t>、资料</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引入第三方审查机制（5分）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第三方评估报告、专家意见等文件。</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部署</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有具体的人员组成和分工。</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公平竞争审查机制运行状况（5分）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如是否形成自查报告等</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宣传培训</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color w:val="auto"/>
                <w:spacing w:val="0"/>
                <w:position w:val="0"/>
                <w:sz w:val="24"/>
                <w:szCs w:val="24"/>
                <w:lang w:val="en-US" w:eastAsia="zh-CN"/>
              </w:rPr>
              <w:t>、有组织针对性的宣传（如</w:t>
            </w:r>
            <w:r>
              <w:rPr>
                <w:rFonts w:hint="default" w:ascii="仿宋_GB2312" w:hAnsi="仿宋_GB2312" w:eastAsia="仿宋_GB2312" w:cs="仿宋_GB2312"/>
                <w:b w:val="0"/>
                <w:bCs/>
                <w:color w:val="auto"/>
                <w:spacing w:val="0"/>
                <w:position w:val="0"/>
                <w:sz w:val="24"/>
                <w:szCs w:val="24"/>
                <w:lang w:val="en-US" w:eastAsia="zh-CN"/>
              </w:rPr>
              <w:t>宣传资料、活动照片</w:t>
            </w:r>
            <w:r>
              <w:rPr>
                <w:rFonts w:hint="eastAsia" w:ascii="仿宋_GB2312" w:hAnsi="仿宋_GB2312" w:eastAsia="仿宋_GB2312" w:cs="仿宋_GB2312"/>
                <w:b w:val="0"/>
                <w:bCs/>
                <w:color w:val="auto"/>
                <w:spacing w:val="0"/>
                <w:position w:val="0"/>
                <w:sz w:val="24"/>
                <w:szCs w:val="24"/>
                <w:lang w:val="en-US" w:eastAsia="zh-CN"/>
              </w:rPr>
              <w:t>、公众号等</w:t>
            </w:r>
            <w:r>
              <w:rPr>
                <w:rFonts w:hint="default" w:ascii="仿宋_GB2312" w:hAnsi="仿宋_GB2312" w:eastAsia="仿宋_GB2312" w:cs="仿宋_GB2312"/>
                <w:b w:val="0"/>
                <w:bCs/>
                <w:color w:val="auto"/>
                <w:spacing w:val="0"/>
                <w:position w:val="0"/>
                <w:sz w:val="24"/>
                <w:szCs w:val="24"/>
                <w:lang w:val="en-US" w:eastAsia="zh-CN"/>
              </w:rPr>
              <w:t>判定</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4"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color w:val="auto"/>
                <w:spacing w:val="0"/>
                <w:position w:val="0"/>
                <w:sz w:val="24"/>
                <w:szCs w:val="24"/>
                <w:lang w:val="en-US" w:eastAsia="zh-CN"/>
              </w:rPr>
              <w:t>（如</w:t>
            </w:r>
            <w:r>
              <w:rPr>
                <w:rFonts w:hint="default" w:ascii="仿宋_GB2312" w:hAnsi="仿宋_GB2312" w:eastAsia="仿宋_GB2312" w:cs="仿宋_GB2312"/>
                <w:b w:val="0"/>
                <w:bCs/>
                <w:color w:val="auto"/>
                <w:spacing w:val="0"/>
                <w:position w:val="0"/>
                <w:sz w:val="24"/>
                <w:szCs w:val="24"/>
                <w:lang w:val="en-US" w:eastAsia="zh-CN"/>
              </w:rPr>
              <w:t>培训照片、签到表、会议记录等资料</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8"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政策措施审查清理情况（4</w:t>
            </w:r>
            <w:r>
              <w:rPr>
                <w:rFonts w:hint="eastAsia" w:ascii="仿宋_GB2312" w:hAnsi="仿宋_GB2312" w:eastAsia="仿宋_GB2312" w:cs="仿宋_GB2312"/>
                <w:b w:val="0"/>
                <w:bCs/>
                <w:color w:val="auto"/>
                <w:spacing w:val="0"/>
                <w:position w:val="0"/>
                <w:sz w:val="24"/>
                <w:szCs w:val="24"/>
                <w:lang w:val="en-US" w:eastAsia="zh-CN"/>
              </w:rPr>
              <w:t>0</w:t>
            </w:r>
            <w:r>
              <w:rPr>
                <w:rFonts w:hint="default" w:ascii="仿宋_GB2312" w:hAnsi="仿宋_GB2312" w:eastAsia="仿宋_GB2312" w:cs="仿宋_GB2312"/>
                <w:b w:val="0"/>
                <w:bCs/>
                <w:color w:val="auto"/>
                <w:spacing w:val="0"/>
                <w:position w:val="0"/>
                <w:sz w:val="24"/>
                <w:szCs w:val="24"/>
                <w:lang w:val="en-US" w:eastAsia="zh-CN"/>
              </w:rPr>
              <w:t>分）</w:t>
            </w: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增量措施审查情况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6"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w:t>
            </w:r>
            <w:r>
              <w:rPr>
                <w:rFonts w:hint="eastAsia" w:ascii="仿宋_GB2312" w:hAnsi="仿宋_GB2312" w:eastAsia="仿宋_GB2312" w:cs="仿宋_GB2312"/>
                <w:b w:val="0"/>
                <w:bCs/>
                <w:color w:val="auto"/>
                <w:spacing w:val="0"/>
                <w:position w:val="0"/>
                <w:sz w:val="24"/>
                <w:szCs w:val="24"/>
                <w:lang w:val="en-US" w:eastAsia="zh-CN"/>
              </w:rPr>
              <w:t>审查</w:t>
            </w:r>
            <w:r>
              <w:rPr>
                <w:rFonts w:hint="default" w:ascii="仿宋_GB2312" w:hAnsi="仿宋_GB2312" w:eastAsia="仿宋_GB2312" w:cs="仿宋_GB2312"/>
                <w:b w:val="0"/>
                <w:bCs/>
                <w:color w:val="auto"/>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16"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存量措施清理情况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政策措施审查是否全面、规范（5分）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是否形成书面审查报告（</w:t>
            </w:r>
            <w:r>
              <w:rPr>
                <w:rFonts w:hint="eastAsia" w:ascii="仿宋_GB2312" w:hAnsi="仿宋_GB2312" w:eastAsia="仿宋_GB2312" w:cs="仿宋_GB2312"/>
                <w:b w:val="0"/>
                <w:bCs/>
                <w:color w:val="auto"/>
                <w:spacing w:val="0"/>
                <w:position w:val="0"/>
                <w:sz w:val="24"/>
                <w:szCs w:val="24"/>
                <w:lang w:val="en-US" w:eastAsia="zh-CN"/>
              </w:rPr>
              <w:t>5</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公平竞争审查工作落实成效（15分）</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反馈</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无负面反馈得满分。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w:t>
            </w:r>
            <w:r>
              <w:rPr>
                <w:rFonts w:hint="eastAsia" w:ascii="仿宋_GB2312" w:hAnsi="仿宋_GB2312" w:eastAsia="仿宋_GB2312" w:cs="仿宋_GB2312"/>
                <w:b w:val="0"/>
                <w:bCs/>
                <w:color w:val="auto"/>
                <w:spacing w:val="0"/>
                <w:position w:val="0"/>
                <w:sz w:val="24"/>
                <w:szCs w:val="24"/>
                <w:lang w:val="en-US" w:eastAsia="zh-CN"/>
              </w:rPr>
              <w:t>已</w:t>
            </w:r>
            <w:r>
              <w:rPr>
                <w:rFonts w:hint="default" w:ascii="仿宋_GB2312" w:hAnsi="仿宋_GB2312" w:eastAsia="仿宋_GB2312" w:cs="仿宋_GB2312"/>
                <w:b w:val="0"/>
                <w:bCs/>
                <w:color w:val="auto"/>
                <w:spacing w:val="0"/>
                <w:position w:val="0"/>
                <w:sz w:val="24"/>
                <w:szCs w:val="24"/>
                <w:lang w:val="en-US" w:eastAsia="zh-CN"/>
              </w:rPr>
              <w:t>全部进行整改、废止的得满分。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776" w:type="dxa"/>
            <w:gridSpan w:val="2"/>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最终得分</w:t>
            </w:r>
          </w:p>
        </w:tc>
        <w:tc>
          <w:tcPr>
            <w:tcW w:w="7172" w:type="dxa"/>
            <w:gridSpan w:val="3"/>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r>
    </w:tbl>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7" w:name="_Toc20825"/>
      <w:r>
        <w:rPr>
          <w:rFonts w:hint="eastAsia" w:ascii="楷体_GB2312" w:hAnsi="楷体_GB2312" w:eastAsia="楷体_GB2312" w:cs="楷体_GB2312"/>
          <w:b w:val="0"/>
          <w:bCs/>
          <w:color w:val="auto"/>
          <w:spacing w:val="0"/>
          <w:kern w:val="2"/>
          <w:position w:val="0"/>
          <w:sz w:val="32"/>
          <w:szCs w:val="32"/>
          <w:lang w:val="en-US" w:eastAsia="zh-CN" w:bidi="ar"/>
        </w:rPr>
        <w:t>（二）政策措施评估得分</w:t>
      </w:r>
      <w:bookmarkEnd w:id="7"/>
    </w:p>
    <w:p>
      <w:pPr>
        <w:keepNext w:val="0"/>
        <w:keepLines w:val="0"/>
        <w:pageBreakBefore w:val="0"/>
        <w:widowControl w:val="0"/>
        <w:suppressLineNumbers w:val="0"/>
        <w:wordWrap/>
        <w:overflowPunct/>
        <w:topLinePunct w:val="0"/>
        <w:autoSpaceDE w:val="0"/>
        <w:autoSpaceDN/>
        <w:bidi w:val="0"/>
        <w:snapToGrid/>
        <w:spacing w:beforeAutospacing="0" w:afterAutospacing="0" w:line="540" w:lineRule="exact"/>
        <w:ind w:left="0" w:leftChars="0" w:right="0" w:firstLine="640" w:firstLineChars="200"/>
        <w:jc w:val="both"/>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按照《张掖市公平竞争审查工作第三方评估执行手册》中评估指标量化打分，</w:t>
      </w:r>
      <w:r>
        <w:rPr>
          <w:rFonts w:hint="eastAsia" w:ascii="仿宋_GB2312" w:hAnsi="仿宋_GB2312" w:eastAsia="仿宋_GB2312" w:cs="仿宋_GB2312"/>
          <w:b w:val="0"/>
          <w:bCs/>
          <w:color w:val="auto"/>
          <w:spacing w:val="0"/>
          <w:kern w:val="2"/>
          <w:position w:val="0"/>
          <w:sz w:val="32"/>
          <w:szCs w:val="32"/>
          <w:lang w:val="en-US" w:eastAsia="zh-CN" w:bidi="ar"/>
        </w:rPr>
        <w:t>肃南县</w:t>
      </w:r>
      <w:r>
        <w:rPr>
          <w:rFonts w:hint="default" w:ascii="仿宋_GB2312" w:hAnsi="仿宋_GB2312" w:eastAsia="仿宋_GB2312" w:cs="仿宋_GB2312"/>
          <w:b w:val="0"/>
          <w:bCs/>
          <w:color w:val="auto"/>
          <w:spacing w:val="0"/>
          <w:kern w:val="2"/>
          <w:position w:val="0"/>
          <w:sz w:val="32"/>
          <w:szCs w:val="32"/>
          <w:lang w:val="en-US" w:eastAsia="zh-CN" w:bidi="ar"/>
        </w:rPr>
        <w:t>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表2政策措施评估结果统计表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项目</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有违反公平竞争的政策措施数量（份）</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措施</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bl>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表3政策措施评估标准及计算方法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30"/>
        <w:gridCol w:w="695"/>
        <w:gridCol w:w="1562"/>
        <w:gridCol w:w="1485"/>
        <w:gridCol w:w="1639"/>
        <w:gridCol w:w="102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6" w:hRule="atLeast"/>
        </w:trPr>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评估内容</w:t>
            </w:r>
          </w:p>
        </w:tc>
        <w:tc>
          <w:tcPr>
            <w:tcW w:w="640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6" w:hRule="atLeast"/>
        </w:trPr>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政策措施差错率</w:t>
            </w:r>
          </w:p>
        </w:tc>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%，20%）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（20%，40%）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&gt;40%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3" w:hRule="atLeast"/>
        </w:trPr>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对应得分</w:t>
            </w:r>
          </w:p>
        </w:tc>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90</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80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70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60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val="0"/>
        <w:autoSpaceDE w:val="0"/>
        <w:autoSpaceDN/>
        <w:bidi w:val="0"/>
        <w:spacing w:beforeAutospacing="0" w:afterAutospacing="0" w:line="540" w:lineRule="exact"/>
        <w:ind w:left="0" w:leftChars="0" w:right="0" w:rightChars="0" w:firstLine="640" w:firstLineChars="200"/>
        <w:jc w:val="both"/>
        <w:textAlignment w:val="auto"/>
        <w:rPr>
          <w:rFonts w:hint="eastAsia" w:ascii="楷体_GB2312" w:hAnsi="楷体_GB2312" w:eastAsia="楷体_GB2312" w:cs="楷体_GB2312"/>
          <w:color w:val="auto"/>
          <w:spacing w:val="0"/>
          <w:kern w:val="0"/>
          <w:position w:val="0"/>
          <w:sz w:val="32"/>
          <w:szCs w:val="32"/>
          <w:lang w:val="en-US" w:eastAsia="zh-CN" w:bidi="ar-SA"/>
        </w:rPr>
      </w:pPr>
    </w:p>
    <w:p>
      <w:pPr>
        <w:keepNext w:val="0"/>
        <w:keepLines w:val="0"/>
        <w:pageBreakBefore w:val="0"/>
        <w:widowControl/>
        <w:numPr>
          <w:ilvl w:val="0"/>
          <w:numId w:val="0"/>
        </w:numPr>
        <w:suppressLineNumbers w:val="0"/>
        <w:kinsoku/>
        <w:wordWrap/>
        <w:overflowPunct/>
        <w:topLinePunct w:val="0"/>
        <w:autoSpaceDE w:val="0"/>
        <w:autoSpaceDN/>
        <w:bidi w:val="0"/>
        <w:spacing w:beforeAutospacing="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kern w:val="0"/>
          <w:position w:val="0"/>
          <w:sz w:val="32"/>
          <w:szCs w:val="32"/>
        </w:rPr>
      </w:pPr>
      <w:bookmarkStart w:id="8" w:name="_Toc20633"/>
      <w:r>
        <w:rPr>
          <w:rFonts w:hint="eastAsia" w:ascii="楷体_GB2312" w:hAnsi="楷体_GB2312" w:eastAsia="楷体_GB2312" w:cs="楷体_GB2312"/>
          <w:color w:val="auto"/>
          <w:spacing w:val="0"/>
          <w:kern w:val="0"/>
          <w:position w:val="0"/>
          <w:sz w:val="32"/>
          <w:szCs w:val="32"/>
          <w:lang w:val="en-US" w:eastAsia="zh-CN" w:bidi="ar-SA"/>
        </w:rPr>
        <w:t>（三）</w:t>
      </w:r>
      <w:r>
        <w:rPr>
          <w:rFonts w:hint="eastAsia" w:ascii="楷体_GB2312" w:hAnsi="楷体_GB2312" w:eastAsia="楷体_GB2312" w:cs="楷体_GB2312"/>
          <w:color w:val="auto"/>
          <w:spacing w:val="0"/>
          <w:kern w:val="0"/>
          <w:position w:val="0"/>
          <w:sz w:val="32"/>
          <w:szCs w:val="32"/>
          <w:lang w:val="en-US" w:eastAsia="zh-CN" w:bidi="ar"/>
        </w:rPr>
        <w:t>公平竞争审查第三方评估工作配合情况得分</w:t>
      </w:r>
      <w:bookmarkEnd w:id="8"/>
    </w:p>
    <w:p>
      <w:pPr>
        <w:keepNext w:val="0"/>
        <w:keepLines w:val="0"/>
        <w:pageBreakBefore w:val="0"/>
        <w:widowControl/>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color w:val="auto"/>
          <w:spacing w:val="0"/>
          <w:kern w:val="0"/>
          <w:position w:val="0"/>
          <w:sz w:val="32"/>
          <w:szCs w:val="32"/>
        </w:rPr>
      </w:pPr>
      <w:r>
        <w:rPr>
          <w:rFonts w:hint="eastAsia" w:ascii="仿宋_GB2312" w:hAnsi="Calibri" w:eastAsia="仿宋_GB2312" w:cs="仿宋_GB2312"/>
          <w:color w:val="auto"/>
          <w:spacing w:val="0"/>
          <w:kern w:val="0"/>
          <w:position w:val="0"/>
          <w:sz w:val="32"/>
          <w:szCs w:val="32"/>
          <w:lang w:val="en-US" w:eastAsia="zh-CN" w:bidi="ar"/>
        </w:rPr>
        <w:t>肃南县</w:t>
      </w:r>
      <w:r>
        <w:rPr>
          <w:rFonts w:hint="default" w:ascii="仿宋_GB2312" w:hAnsi="Calibri" w:eastAsia="仿宋_GB2312" w:cs="仿宋_GB2312"/>
          <w:color w:val="auto"/>
          <w:spacing w:val="0"/>
          <w:kern w:val="0"/>
          <w:position w:val="0"/>
          <w:sz w:val="32"/>
          <w:szCs w:val="32"/>
          <w:lang w:val="en-US" w:eastAsia="zh-CN" w:bidi="ar"/>
        </w:rPr>
        <w:t>在公平竞争审查工作第三方评估项目中积极配合，及时</w:t>
      </w:r>
      <w:r>
        <w:rPr>
          <w:rFonts w:hint="eastAsia" w:ascii="仿宋_GB2312" w:hAnsi="Calibri" w:eastAsia="仿宋_GB2312" w:cs="仿宋_GB2312"/>
          <w:color w:val="auto"/>
          <w:spacing w:val="0"/>
          <w:kern w:val="0"/>
          <w:position w:val="0"/>
          <w:sz w:val="32"/>
          <w:szCs w:val="32"/>
          <w:lang w:val="en-US" w:eastAsia="zh-CN" w:bidi="ar"/>
        </w:rPr>
        <w:t>提</w:t>
      </w:r>
      <w:r>
        <w:rPr>
          <w:rFonts w:hint="default" w:ascii="仿宋_GB2312" w:hAnsi="Calibri" w:eastAsia="仿宋_GB2312" w:cs="仿宋_GB2312"/>
          <w:color w:val="auto"/>
          <w:spacing w:val="0"/>
          <w:kern w:val="0"/>
          <w:position w:val="0"/>
          <w:sz w:val="32"/>
          <w:szCs w:val="32"/>
          <w:lang w:val="en-US" w:eastAsia="zh-CN" w:bidi="ar"/>
        </w:rPr>
        <w:t>交评估所需文件及佐证材料，沟通顺畅，确保了公平竞争审查第三方评估工作顺利开展</w:t>
      </w:r>
      <w:r>
        <w:rPr>
          <w:rFonts w:hint="eastAsia" w:ascii="仿宋_GB2312" w:hAnsi="Calibri" w:eastAsia="仿宋_GB2312" w:cs="仿宋_GB2312"/>
          <w:b/>
          <w:bCs/>
          <w:color w:val="auto"/>
          <w:spacing w:val="0"/>
          <w:kern w:val="0"/>
          <w:position w:val="0"/>
          <w:sz w:val="32"/>
          <w:szCs w:val="32"/>
          <w:lang w:val="en-US" w:eastAsia="zh-CN" w:bidi="ar"/>
        </w:rPr>
        <w:t>。</w:t>
      </w:r>
      <w:r>
        <w:rPr>
          <w:rFonts w:hint="default" w:ascii="仿宋_GB2312" w:hAnsi="Calibri" w:eastAsia="仿宋_GB2312" w:cs="仿宋_GB2312"/>
          <w:color w:val="auto"/>
          <w:spacing w:val="0"/>
          <w:kern w:val="0"/>
          <w:position w:val="0"/>
          <w:sz w:val="32"/>
          <w:szCs w:val="32"/>
          <w:lang w:val="en-US" w:eastAsia="zh-CN" w:bidi="ar"/>
        </w:rPr>
        <w:t>按照《张掖市公平竞争审查工作第三方评估执行手册》中评估指标量化打分，</w:t>
      </w:r>
      <w:r>
        <w:rPr>
          <w:rFonts w:hint="eastAsia" w:ascii="仿宋_GB2312" w:hAnsi="Calibri" w:eastAsia="仿宋_GB2312" w:cs="仿宋_GB2312"/>
          <w:color w:val="auto"/>
          <w:spacing w:val="0"/>
          <w:kern w:val="0"/>
          <w:position w:val="0"/>
          <w:sz w:val="32"/>
          <w:szCs w:val="32"/>
          <w:lang w:val="en-US" w:eastAsia="zh-CN" w:bidi="ar"/>
        </w:rPr>
        <w:t>肃南县</w:t>
      </w:r>
      <w:r>
        <w:rPr>
          <w:rFonts w:hint="default" w:ascii="仿宋_GB2312" w:hAnsi="Calibri" w:eastAsia="仿宋_GB2312" w:cs="仿宋_GB2312"/>
          <w:color w:val="auto"/>
          <w:spacing w:val="0"/>
          <w:kern w:val="0"/>
          <w:position w:val="0"/>
          <w:sz w:val="32"/>
          <w:szCs w:val="32"/>
          <w:lang w:val="en-US" w:eastAsia="zh-CN" w:bidi="ar"/>
        </w:rPr>
        <w:t>在工作配合情况中得100分。</w:t>
      </w:r>
    </w:p>
    <w:p>
      <w:pPr>
        <w:keepNext w:val="0"/>
        <w:keepLines w:val="0"/>
        <w:pageBreakBefore w:val="0"/>
        <w:widowControl/>
        <w:numPr>
          <w:ilvl w:val="0"/>
          <w:numId w:val="0"/>
        </w:numPr>
        <w:suppressLineNumbers w:val="0"/>
        <w:kinsoku/>
        <w:wordWrap/>
        <w:overflowPunct/>
        <w:topLinePunct w:val="0"/>
        <w:autoSpaceDE w:val="0"/>
        <w:autoSpaceDN/>
        <w:bidi w:val="0"/>
        <w:spacing w:beforeAutospacing="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kern w:val="0"/>
          <w:position w:val="0"/>
          <w:sz w:val="32"/>
          <w:szCs w:val="32"/>
        </w:rPr>
      </w:pPr>
      <w:bookmarkStart w:id="9" w:name="_Toc21711"/>
      <w:r>
        <w:rPr>
          <w:rFonts w:hint="eastAsia" w:ascii="楷体_GB2312" w:hAnsi="楷体_GB2312" w:eastAsia="楷体_GB2312" w:cs="楷体_GB2312"/>
          <w:color w:val="auto"/>
          <w:spacing w:val="0"/>
          <w:kern w:val="0"/>
          <w:position w:val="0"/>
          <w:sz w:val="32"/>
          <w:szCs w:val="32"/>
          <w:lang w:val="en-US" w:eastAsia="zh-CN" w:bidi="ar-SA"/>
        </w:rPr>
        <w:t>（三）</w:t>
      </w:r>
      <w:r>
        <w:rPr>
          <w:rFonts w:hint="default" w:ascii="仿宋_GB2312" w:hAnsi="Calibri" w:eastAsia="仿宋_GB2312" w:cs="仿宋_GB2312"/>
          <w:color w:val="auto"/>
          <w:spacing w:val="0"/>
          <w:kern w:val="0"/>
          <w:position w:val="0"/>
          <w:sz w:val="32"/>
          <w:szCs w:val="32"/>
          <w:lang w:val="en-US" w:eastAsia="zh-CN" w:bidi="ar"/>
        </w:rPr>
        <w:t>公</w:t>
      </w:r>
      <w:r>
        <w:rPr>
          <w:rFonts w:hint="eastAsia" w:ascii="楷体_GB2312" w:hAnsi="楷体_GB2312" w:eastAsia="楷体_GB2312" w:cs="楷体_GB2312"/>
          <w:color w:val="auto"/>
          <w:spacing w:val="0"/>
          <w:kern w:val="0"/>
          <w:position w:val="0"/>
          <w:sz w:val="32"/>
          <w:szCs w:val="32"/>
          <w:lang w:val="en-US" w:eastAsia="zh-CN" w:bidi="ar"/>
        </w:rPr>
        <w:t>平竞争审查第三方评估最终得分</w:t>
      </w:r>
      <w:bookmarkEnd w:id="9"/>
    </w:p>
    <w:p>
      <w:pPr>
        <w:keepNext w:val="0"/>
        <w:keepLines w:val="0"/>
        <w:pageBreakBefore w:val="0"/>
        <w:widowControl/>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color w:val="auto"/>
          <w:spacing w:val="0"/>
          <w:kern w:val="0"/>
          <w:position w:val="0"/>
          <w:sz w:val="32"/>
          <w:szCs w:val="32"/>
        </w:rPr>
      </w:pPr>
      <w:r>
        <w:rPr>
          <w:rFonts w:hint="default" w:ascii="仿宋_GB2312" w:hAnsi="Calibri" w:eastAsia="仿宋_GB2312" w:cs="仿宋_GB2312"/>
          <w:color w:val="auto"/>
          <w:spacing w:val="0"/>
          <w:kern w:val="0"/>
          <w:position w:val="0"/>
          <w:sz w:val="32"/>
          <w:szCs w:val="32"/>
          <w:lang w:val="en-US" w:eastAsia="zh-CN" w:bidi="ar"/>
        </w:rPr>
        <w:t>根据最终得分</w:t>
      </w:r>
      <w:r>
        <w:rPr>
          <w:rFonts w:hint="eastAsia" w:ascii="仿宋" w:hAnsi="仿宋" w:eastAsia="仿宋" w:cs="仿宋"/>
          <w:color w:val="auto"/>
          <w:spacing w:val="0"/>
          <w:kern w:val="0"/>
          <w:position w:val="0"/>
          <w:sz w:val="32"/>
          <w:szCs w:val="32"/>
          <w:lang w:val="en-US" w:eastAsia="zh-CN" w:bidi="ar"/>
        </w:rPr>
        <w:t>=</w:t>
      </w:r>
      <w:r>
        <w:rPr>
          <w:rFonts w:hint="default" w:ascii="仿宋_GB2312" w:hAnsi="Calibri" w:eastAsia="仿宋_GB2312" w:cs="仿宋_GB2312"/>
          <w:color w:val="auto"/>
          <w:spacing w:val="0"/>
          <w:kern w:val="0"/>
          <w:position w:val="0"/>
          <w:sz w:val="32"/>
          <w:szCs w:val="32"/>
          <w:lang w:val="en-US" w:eastAsia="zh-CN" w:bidi="ar"/>
        </w:rPr>
        <w:t>工作部署落实情况评估得分×50%＋政策措施评估得分×40%＋工作配合情况得分×10%的计算公式，</w:t>
      </w:r>
      <w:r>
        <w:rPr>
          <w:rFonts w:hint="eastAsia" w:ascii="仿宋_GB2312" w:hAnsi="Calibri" w:eastAsia="仿宋_GB2312" w:cs="仿宋_GB2312"/>
          <w:color w:val="auto"/>
          <w:spacing w:val="0"/>
          <w:kern w:val="0"/>
          <w:position w:val="0"/>
          <w:sz w:val="32"/>
          <w:szCs w:val="32"/>
          <w:lang w:val="en-US" w:eastAsia="zh-CN" w:bidi="ar"/>
        </w:rPr>
        <w:t>肃南县</w:t>
      </w:r>
      <w:r>
        <w:rPr>
          <w:rFonts w:hint="default" w:ascii="仿宋_GB2312" w:hAnsi="Calibri" w:eastAsia="仿宋_GB2312" w:cs="仿宋_GB2312"/>
          <w:color w:val="auto"/>
          <w:spacing w:val="0"/>
          <w:kern w:val="0"/>
          <w:position w:val="0"/>
          <w:sz w:val="32"/>
          <w:szCs w:val="32"/>
          <w:lang w:val="en-US" w:eastAsia="zh-CN" w:bidi="ar"/>
        </w:rPr>
        <w:t>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表4</w:t>
      </w:r>
      <w:r>
        <w:rPr>
          <w:rFonts w:hint="eastAsia" w:ascii="黑体" w:hAnsi="黑体" w:eastAsia="黑体" w:cs="黑体"/>
          <w:b w:val="0"/>
          <w:bCs/>
          <w:color w:val="auto"/>
          <w:spacing w:val="0"/>
          <w:kern w:val="2"/>
          <w:position w:val="0"/>
          <w:sz w:val="24"/>
          <w:szCs w:val="30"/>
          <w:lang w:val="en-US" w:eastAsia="zh-CN" w:bidi="ar"/>
        </w:rPr>
        <w:t>肃南县</w:t>
      </w:r>
      <w:r>
        <w:rPr>
          <w:rFonts w:hint="default" w:ascii="黑体" w:hAnsi="黑体" w:eastAsia="黑体" w:cs="黑体"/>
          <w:b w:val="0"/>
          <w:bCs/>
          <w:color w:val="auto"/>
          <w:spacing w:val="0"/>
          <w:kern w:val="2"/>
          <w:position w:val="0"/>
          <w:sz w:val="24"/>
          <w:szCs w:val="30"/>
          <w:lang w:val="en-US" w:eastAsia="zh-CN" w:bidi="ar"/>
        </w:rPr>
        <w:t>第三方评估最终得分</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838"/>
        <w:gridCol w:w="3050"/>
        <w:gridCol w:w="3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6"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被评估单位</w:t>
            </w:r>
          </w:p>
        </w:tc>
        <w:tc>
          <w:tcPr>
            <w:tcW w:w="6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39"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公平竞争审查工作部署落实情况评估得分</w:t>
            </w:r>
          </w:p>
        </w:tc>
        <w:tc>
          <w:tcPr>
            <w:tcW w:w="30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措施评估得分</w:t>
            </w:r>
          </w:p>
        </w:tc>
        <w:tc>
          <w:tcPr>
            <w:tcW w:w="30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6"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c>
          <w:tcPr>
            <w:tcW w:w="30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30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总分计算过程</w:t>
            </w:r>
          </w:p>
        </w:tc>
        <w:tc>
          <w:tcPr>
            <w:tcW w:w="6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r>
              <w:rPr>
                <w:rFonts w:hint="default" w:ascii="仿宋_GB2312" w:hAnsi="仿宋_GB2312" w:eastAsia="仿宋_GB2312" w:cs="仿宋_GB2312"/>
                <w:b w:val="0"/>
                <w:bCs/>
                <w:color w:val="auto"/>
                <w:spacing w:val="0"/>
                <w:position w:val="0"/>
                <w:sz w:val="24"/>
                <w:szCs w:val="24"/>
                <w:lang w:val="en-US" w:eastAsia="zh-CN"/>
              </w:rPr>
              <w:t>×50%＋100×40%＋100×10%</w:t>
            </w:r>
            <w:r>
              <w:rPr>
                <w:rFonts w:hint="eastAsia" w:ascii="仿宋_GB2312" w:hAnsi="仿宋_GB2312" w:eastAsia="仿宋_GB2312" w:cs="仿宋_GB2312"/>
                <w:b w:val="0"/>
                <w:bCs/>
                <w:color w:val="auto"/>
                <w:spacing w:val="0"/>
                <w:position w:val="0"/>
                <w:sz w:val="24"/>
                <w:szCs w:val="24"/>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1"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w:t>
            </w:r>
          </w:p>
        </w:tc>
        <w:tc>
          <w:tcPr>
            <w:tcW w:w="6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90</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bookmarkStart w:id="10" w:name="_Toc22137"/>
      <w:r>
        <w:rPr>
          <w:rFonts w:hint="default" w:ascii="黑体" w:hAnsi="黑体" w:eastAsia="黑体" w:cs="黑体"/>
          <w:b w:val="0"/>
          <w:bCs/>
          <w:color w:val="auto"/>
          <w:spacing w:val="0"/>
          <w:kern w:val="2"/>
          <w:position w:val="0"/>
          <w:sz w:val="32"/>
          <w:szCs w:val="32"/>
          <w:lang w:val="en-US" w:eastAsia="zh-CN" w:bidi="ar"/>
        </w:rPr>
        <w:t>三、意见建议</w:t>
      </w:r>
      <w:bookmarkEnd w:id="10"/>
    </w:p>
    <w:p>
      <w:pPr>
        <w:keepNext w:val="0"/>
        <w:keepLines w:val="0"/>
        <w:pageBreakBefore w:val="0"/>
        <w:widowControl w:val="0"/>
        <w:numPr>
          <w:ilvl w:val="0"/>
          <w:numId w:val="0"/>
        </w:numPr>
        <w:suppressLineNumbers w:val="0"/>
        <w:kinsoku/>
        <w:wordWrap/>
        <w:overflowPunct/>
        <w:topLinePunct w:val="0"/>
        <w:autoSpaceDE w:val="0"/>
        <w:autoSpaceDN/>
        <w:bidi w:val="0"/>
        <w:spacing w:beforeAutospacing="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lang w:val="en-US" w:eastAsia="zh-CN" w:bidi="ar"/>
        </w:rPr>
      </w:pPr>
      <w:bookmarkStart w:id="11" w:name="_Toc10765"/>
      <w:r>
        <w:rPr>
          <w:rFonts w:hint="eastAsia" w:ascii="楷体_GB2312" w:hAnsi="楷体_GB2312" w:eastAsia="楷体_GB2312" w:cs="楷体_GB2312"/>
          <w:bCs w:val="0"/>
          <w:color w:val="auto"/>
          <w:spacing w:val="0"/>
          <w:kern w:val="2"/>
          <w:position w:val="0"/>
          <w:sz w:val="32"/>
          <w:szCs w:val="32"/>
          <w:lang w:val="en-US" w:eastAsia="zh-CN" w:bidi="ar"/>
        </w:rPr>
        <w:t>（一）加强审查机制建设，健全审查保障机制</w:t>
      </w:r>
      <w:bookmarkEnd w:id="11"/>
    </w:p>
    <w:p>
      <w:pPr>
        <w:keepNext w:val="0"/>
        <w:keepLines w:val="0"/>
        <w:pageBreakBefore w:val="0"/>
        <w:widowControl w:val="0"/>
        <w:numPr>
          <w:ilvl w:val="0"/>
          <w:numId w:val="0"/>
        </w:numPr>
        <w:suppressLineNumbers w:val="0"/>
        <w:kinsoku/>
        <w:wordWrap/>
        <w:overflowPunct/>
        <w:topLinePunct w:val="0"/>
        <w:autoSpaceDE w:val="0"/>
        <w:autoSpaceDN/>
        <w:bidi w:val="0"/>
        <w:spacing w:beforeAutospacing="0" w:afterAutospacing="0" w:line="540" w:lineRule="exact"/>
        <w:ind w:left="0" w:leftChars="0" w:right="0" w:rightChars="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涉及市场主体经营行为的政策措施文件</w:t>
      </w:r>
      <w:r>
        <w:rPr>
          <w:rFonts w:hint="default" w:ascii="仿宋_GB2312" w:hAnsi="Calibri" w:eastAsia="仿宋_GB2312" w:cs="仿宋_GB2312"/>
          <w:bCs w:val="0"/>
          <w:color w:val="auto"/>
          <w:spacing w:val="0"/>
          <w:kern w:val="2"/>
          <w:position w:val="0"/>
          <w:sz w:val="32"/>
          <w:szCs w:val="32"/>
          <w:lang w:eastAsia="zh-CN" w:bidi="ar"/>
        </w:rPr>
        <w:t>如未</w:t>
      </w:r>
      <w:r>
        <w:rPr>
          <w:rFonts w:hint="default" w:ascii="仿宋_GB2312" w:hAnsi="Calibri" w:eastAsia="仿宋_GB2312" w:cs="仿宋_GB2312"/>
          <w:bCs w:val="0"/>
          <w:color w:val="auto"/>
          <w:spacing w:val="0"/>
          <w:kern w:val="2"/>
          <w:position w:val="0"/>
          <w:sz w:val="32"/>
          <w:szCs w:val="32"/>
          <w:lang w:val="en-US" w:eastAsia="zh-CN" w:bidi="ar"/>
        </w:rPr>
        <w:t>经过公平竞争审查程序出台</w:t>
      </w:r>
      <w:r>
        <w:rPr>
          <w:rFonts w:hint="default" w:ascii="仿宋_GB2312" w:hAnsi="Calibri" w:eastAsia="仿宋_GB2312" w:cs="仿宋_GB2312"/>
          <w:bCs w:val="0"/>
          <w:color w:val="auto"/>
          <w:spacing w:val="0"/>
          <w:kern w:val="2"/>
          <w:position w:val="0"/>
          <w:sz w:val="32"/>
          <w:szCs w:val="32"/>
          <w:lang w:eastAsia="zh-CN" w:bidi="ar"/>
        </w:rPr>
        <w:t>，在</w:t>
      </w:r>
      <w:r>
        <w:rPr>
          <w:rFonts w:hint="default" w:ascii="仿宋_GB2312" w:hAnsi="Calibri" w:eastAsia="仿宋_GB2312" w:cs="仿宋_GB2312"/>
          <w:bCs w:val="0"/>
          <w:color w:val="auto"/>
          <w:spacing w:val="0"/>
          <w:kern w:val="2"/>
          <w:position w:val="0"/>
          <w:sz w:val="32"/>
          <w:szCs w:val="32"/>
          <w:lang w:val="en-US" w:eastAsia="zh-CN" w:bidi="ar"/>
        </w:rPr>
        <w:t>一定程度上存在妨碍统一市场建设与公平竞争的风险，因此应当从审查机制建设入手，确保公平竞争审查机制运行顺畅。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rightChars="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一是坚持“谁起草、谁审查、谁担责”的原则，</w:t>
      </w:r>
      <w:r>
        <w:rPr>
          <w:rFonts w:hint="default" w:ascii="仿宋_GB2312" w:hAnsi="Calibri" w:eastAsia="仿宋_GB2312" w:cs="仿宋_GB2312"/>
          <w:bCs w:val="0"/>
          <w:color w:val="auto"/>
          <w:spacing w:val="0"/>
          <w:kern w:val="2"/>
          <w:position w:val="0"/>
          <w:sz w:val="32"/>
          <w:szCs w:val="32"/>
          <w:lang w:val="en-US" w:eastAsia="zh-CN" w:bidi="ar"/>
        </w:rPr>
        <w:t>重点落实</w:t>
      </w:r>
      <w:r>
        <w:rPr>
          <w:rFonts w:hint="default" w:ascii="仿宋_GB2312" w:hAnsi="Calibri" w:eastAsia="仿宋_GB2312" w:cs="仿宋_GB2312"/>
          <w:color w:val="auto"/>
          <w:spacing w:val="0"/>
          <w:kern w:val="2"/>
          <w:position w:val="0"/>
          <w:sz w:val="32"/>
          <w:szCs w:val="32"/>
          <w:lang w:val="en-US" w:eastAsia="zh-CN" w:bidi="ar"/>
        </w:rPr>
        <w:t>政策措施制定机关</w:t>
      </w:r>
      <w:r>
        <w:rPr>
          <w:rFonts w:hint="default" w:ascii="仿宋_GB2312" w:hAnsi="Calibri" w:eastAsia="仿宋_GB2312" w:cs="仿宋_GB2312"/>
          <w:bCs w:val="0"/>
          <w:color w:val="auto"/>
          <w:spacing w:val="0"/>
          <w:kern w:val="2"/>
          <w:position w:val="0"/>
          <w:sz w:val="32"/>
          <w:szCs w:val="32"/>
          <w:lang w:val="en-US" w:eastAsia="zh-CN" w:bidi="ar"/>
        </w:rPr>
        <w:t>部门的责任,涉及市场主体经营活动的政策措施需经各</w:t>
      </w:r>
      <w:r>
        <w:rPr>
          <w:rFonts w:hint="default" w:ascii="仿宋_GB2312" w:hAnsi="Calibri" w:eastAsia="仿宋_GB2312" w:cs="仿宋_GB2312"/>
          <w:color w:val="auto"/>
          <w:spacing w:val="0"/>
          <w:kern w:val="2"/>
          <w:position w:val="0"/>
          <w:sz w:val="32"/>
          <w:szCs w:val="32"/>
          <w:lang w:val="en-US" w:eastAsia="zh-CN" w:bidi="ar"/>
        </w:rPr>
        <w:t>政策措施制定机关</w:t>
      </w:r>
      <w:r>
        <w:rPr>
          <w:rFonts w:hint="default" w:ascii="仿宋_GB2312" w:hAnsi="Calibri" w:eastAsia="仿宋_GB2312" w:cs="仿宋_GB2312"/>
          <w:bCs w:val="0"/>
          <w:color w:val="auto"/>
          <w:spacing w:val="0"/>
          <w:kern w:val="2"/>
          <w:position w:val="0"/>
          <w:sz w:val="32"/>
          <w:szCs w:val="32"/>
          <w:lang w:val="en-US" w:eastAsia="zh-CN" w:bidi="ar"/>
        </w:rPr>
        <w:t>负责对制定的政策措施进行公平竞争审查，</w:t>
      </w:r>
      <w:r>
        <w:rPr>
          <w:rFonts w:hint="default" w:ascii="仿宋_GB2312" w:hAnsi="Calibri" w:eastAsia="仿宋_GB2312" w:cs="仿宋_GB2312"/>
          <w:color w:val="auto"/>
          <w:spacing w:val="0"/>
          <w:kern w:val="2"/>
          <w:position w:val="0"/>
          <w:sz w:val="32"/>
          <w:szCs w:val="32"/>
          <w:lang w:val="en-US" w:eastAsia="zh-CN" w:bidi="ar"/>
        </w:rPr>
        <w:t>政策措施制定机关负责人</w:t>
      </w:r>
      <w:r>
        <w:rPr>
          <w:rFonts w:hint="default" w:ascii="仿宋_GB2312" w:hAnsi="Calibri" w:eastAsia="仿宋_GB2312" w:cs="仿宋_GB2312"/>
          <w:bCs w:val="0"/>
          <w:color w:val="auto"/>
          <w:spacing w:val="0"/>
          <w:kern w:val="2"/>
          <w:position w:val="0"/>
          <w:sz w:val="32"/>
          <w:szCs w:val="32"/>
          <w:lang w:val="en-US" w:eastAsia="zh-CN" w:bidi="ar"/>
        </w:rPr>
        <w:t>在《公平竞争审查表》上签字后，政策措施制定机关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rightChars="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二是确保应纳入公平竞争审查的政策措施均进行公平竞争审查程序，</w:t>
      </w:r>
      <w:r>
        <w:rPr>
          <w:rFonts w:hint="default" w:ascii="仿宋_GB2312" w:hAnsi="Calibri" w:eastAsia="仿宋_GB2312" w:cs="仿宋_GB2312"/>
          <w:color w:val="auto"/>
          <w:spacing w:val="0"/>
          <w:kern w:val="2"/>
          <w:position w:val="0"/>
          <w:sz w:val="32"/>
          <w:szCs w:val="32"/>
          <w:lang w:val="en-US" w:eastAsia="zh-CN" w:bidi="ar"/>
        </w:rPr>
        <w:t>在严格落实“谁制定、谁审查”原则的基础上，对涉及重大公共利益、且在制定过程中被多个单位或者个人反映或者举报涉嫌排除、限制竞争的政策措施</w:t>
      </w:r>
      <w:r>
        <w:rPr>
          <w:rFonts w:hint="eastAsia" w:ascii="仿宋_GB2312" w:hAnsi="Calibri" w:eastAsia="仿宋_GB2312" w:cs="仿宋_GB2312"/>
          <w:color w:val="auto"/>
          <w:spacing w:val="0"/>
          <w:kern w:val="2"/>
          <w:position w:val="0"/>
          <w:sz w:val="32"/>
          <w:szCs w:val="32"/>
          <w:lang w:val="en-US" w:eastAsia="zh-CN" w:bidi="ar"/>
        </w:rPr>
        <w:t>，</w:t>
      </w:r>
      <w:r>
        <w:rPr>
          <w:rFonts w:hint="default" w:ascii="仿宋_GB2312" w:hAnsi="Calibri" w:eastAsia="仿宋_GB2312" w:cs="仿宋_GB2312"/>
          <w:color w:val="auto"/>
          <w:spacing w:val="0"/>
          <w:kern w:val="2"/>
          <w:position w:val="0"/>
          <w:sz w:val="32"/>
          <w:szCs w:val="32"/>
          <w:lang w:val="en-US" w:eastAsia="zh-CN" w:bidi="ar"/>
        </w:rPr>
        <w:t>或多个部门联合制定</w:t>
      </w:r>
      <w:r>
        <w:rPr>
          <w:rFonts w:hint="eastAsia" w:ascii="仿宋_GB2312" w:hAnsi="Calibri" w:eastAsia="仿宋_GB2312" w:cs="仿宋_GB2312"/>
          <w:color w:val="auto"/>
          <w:spacing w:val="0"/>
          <w:kern w:val="2"/>
          <w:position w:val="0"/>
          <w:sz w:val="32"/>
          <w:szCs w:val="32"/>
          <w:lang w:val="en-US" w:eastAsia="zh-CN" w:bidi="ar"/>
        </w:rPr>
        <w:t>，</w:t>
      </w:r>
      <w:r>
        <w:rPr>
          <w:rFonts w:hint="default" w:ascii="仿宋_GB2312" w:hAnsi="Calibri" w:eastAsia="仿宋_GB2312" w:cs="仿宋_GB2312"/>
          <w:color w:val="auto"/>
          <w:spacing w:val="0"/>
          <w:kern w:val="2"/>
          <w:position w:val="0"/>
          <w:sz w:val="32"/>
          <w:szCs w:val="32"/>
          <w:lang w:val="en-US" w:eastAsia="zh-CN" w:bidi="ar"/>
        </w:rPr>
        <w:t>且涉及多个部门职责的政策措施，在公平竞争审查中出现较大争议或者意见难以协调一致时，政策制定机关应提请</w:t>
      </w:r>
      <w:r>
        <w:rPr>
          <w:rFonts w:hint="default" w:ascii="仿宋_GB2312" w:hAnsi="Calibri" w:eastAsia="仿宋_GB2312" w:cs="仿宋_GB2312"/>
          <w:bCs w:val="0"/>
          <w:color w:val="auto"/>
          <w:spacing w:val="0"/>
          <w:kern w:val="2"/>
          <w:position w:val="0"/>
          <w:sz w:val="32"/>
          <w:szCs w:val="32"/>
          <w:lang w:val="en-US" w:eastAsia="zh-CN" w:bidi="ar"/>
        </w:rPr>
        <w:t>县</w:t>
      </w:r>
      <w:r>
        <w:rPr>
          <w:rFonts w:hint="default" w:ascii="仿宋_GB2312" w:hAnsi="Calibri" w:eastAsia="仿宋_GB2312" w:cs="仿宋_GB2312"/>
          <w:color w:val="auto"/>
          <w:spacing w:val="0"/>
          <w:kern w:val="2"/>
          <w:position w:val="0"/>
          <w:sz w:val="32"/>
          <w:szCs w:val="32"/>
          <w:lang w:val="en-US" w:eastAsia="zh-CN" w:bidi="ar"/>
        </w:rPr>
        <w:t>公平竞争联席会议协调</w:t>
      </w:r>
      <w:r>
        <w:rPr>
          <w:rFonts w:hint="default" w:ascii="仿宋_GB2312" w:hAnsi="Calibri" w:eastAsia="仿宋_GB2312" w:cs="仿宋_GB2312"/>
          <w:bCs w:val="0"/>
          <w:color w:val="auto"/>
          <w:spacing w:val="0"/>
          <w:kern w:val="2"/>
          <w:position w:val="0"/>
          <w:sz w:val="32"/>
          <w:szCs w:val="32"/>
          <w:lang w:val="en-US" w:eastAsia="zh-CN" w:bidi="ar"/>
        </w:rPr>
        <w:t>，确保应纳入公平竞争审查的政策措施均按照公平竞争审查工作要求进行彻底审查。</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三是健全审查保障机制，</w:t>
      </w:r>
      <w:r>
        <w:rPr>
          <w:rFonts w:hint="default" w:ascii="仿宋_GB2312" w:hAnsi="Calibri" w:eastAsia="仿宋_GB2312" w:cs="仿宋_GB2312"/>
          <w:bCs w:val="0"/>
          <w:color w:val="auto"/>
          <w:spacing w:val="0"/>
          <w:kern w:val="2"/>
          <w:position w:val="0"/>
          <w:sz w:val="32"/>
          <w:szCs w:val="32"/>
          <w:lang w:val="en-US" w:eastAsia="zh-CN" w:bidi="ar"/>
        </w:rPr>
        <w:t>县</w:t>
      </w:r>
      <w:r>
        <w:rPr>
          <w:rFonts w:hint="default" w:ascii="仿宋_GB2312" w:hAnsi="Calibri" w:eastAsia="仿宋_GB2312" w:cs="仿宋_GB2312"/>
          <w:color w:val="auto"/>
          <w:spacing w:val="0"/>
          <w:kern w:val="2"/>
          <w:position w:val="0"/>
          <w:sz w:val="32"/>
          <w:szCs w:val="32"/>
          <w:lang w:val="en-US" w:eastAsia="zh-CN" w:bidi="ar"/>
        </w:rPr>
        <w:t>公平竞争审查工作部门联席会议办公室</w:t>
      </w:r>
      <w:r>
        <w:rPr>
          <w:rFonts w:hint="default" w:ascii="仿宋_GB2312" w:hAnsi="Calibri" w:eastAsia="仿宋_GB2312" w:cs="仿宋_GB2312"/>
          <w:bCs w:val="0"/>
          <w:color w:val="auto"/>
          <w:spacing w:val="0"/>
          <w:kern w:val="2"/>
          <w:position w:val="0"/>
          <w:sz w:val="32"/>
          <w:szCs w:val="32"/>
          <w:lang w:val="en-US" w:eastAsia="zh-CN" w:bidi="ar"/>
        </w:rPr>
        <w:t>可定期检查各</w:t>
      </w:r>
      <w:r>
        <w:rPr>
          <w:rFonts w:hint="default" w:ascii="仿宋_GB2312" w:hAnsi="Calibri" w:eastAsia="仿宋_GB2312" w:cs="仿宋_GB2312"/>
          <w:color w:val="auto"/>
          <w:spacing w:val="0"/>
          <w:kern w:val="2"/>
          <w:position w:val="0"/>
          <w:sz w:val="32"/>
          <w:szCs w:val="32"/>
          <w:lang w:val="en-US" w:eastAsia="zh-CN" w:bidi="ar"/>
        </w:rPr>
        <w:t>政策措施制定机关</w:t>
      </w:r>
      <w:r>
        <w:rPr>
          <w:rFonts w:hint="default" w:ascii="仿宋_GB2312" w:hAnsi="Calibri" w:eastAsia="仿宋_GB2312" w:cs="仿宋_GB2312"/>
          <w:bCs w:val="0"/>
          <w:color w:val="auto"/>
          <w:spacing w:val="0"/>
          <w:kern w:val="2"/>
          <w:position w:val="0"/>
          <w:sz w:val="32"/>
          <w:szCs w:val="32"/>
          <w:lang w:val="en-US" w:eastAsia="zh-CN" w:bidi="ar"/>
        </w:rPr>
        <w:t>报送公平竞争审查文件是否全面，对应纳入公平竞争审查而未进行的，要及时督促</w:t>
      </w:r>
      <w:r>
        <w:rPr>
          <w:rFonts w:hint="default" w:ascii="仿宋_GB2312" w:hAnsi="Calibri" w:eastAsia="仿宋_GB2312" w:cs="仿宋_GB2312"/>
          <w:color w:val="auto"/>
          <w:spacing w:val="0"/>
          <w:kern w:val="2"/>
          <w:position w:val="0"/>
          <w:sz w:val="32"/>
          <w:szCs w:val="32"/>
          <w:lang w:val="en-US" w:eastAsia="zh-CN" w:bidi="ar"/>
        </w:rPr>
        <w:t>政策措施制定机关</w:t>
      </w:r>
      <w:r>
        <w:rPr>
          <w:rFonts w:hint="default" w:ascii="仿宋_GB2312" w:hAnsi="Calibri" w:eastAsia="仿宋_GB2312" w:cs="仿宋_GB2312"/>
          <w:bCs w:val="0"/>
          <w:color w:val="auto"/>
          <w:spacing w:val="0"/>
          <w:kern w:val="2"/>
          <w:position w:val="0"/>
          <w:sz w:val="32"/>
          <w:szCs w:val="32"/>
          <w:lang w:val="en-US" w:eastAsia="zh-CN" w:bidi="ar"/>
        </w:rPr>
        <w:t>补充审查，如有违反公平竞争审查标准的，应及时建议修改或予以废止。</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2" w:name="_Toc23371"/>
      <w:r>
        <w:rPr>
          <w:rFonts w:hint="eastAsia" w:ascii="楷体_GB2312" w:hAnsi="楷体_GB2312" w:eastAsia="楷体_GB2312" w:cs="楷体_GB2312"/>
          <w:bCs w:val="0"/>
          <w:color w:val="auto"/>
          <w:spacing w:val="0"/>
          <w:kern w:val="2"/>
          <w:position w:val="0"/>
          <w:sz w:val="32"/>
          <w:szCs w:val="32"/>
          <w:lang w:val="en-US" w:eastAsia="zh-CN" w:bidi="ar"/>
        </w:rPr>
        <w:t>（二）加强内部培训，增强审查意识</w:t>
      </w:r>
      <w:bookmarkEnd w:id="12"/>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公平竞争审查制度运行不畅、应纳入审查范围文件未进行审查等问题，很大程度上是各</w:t>
      </w:r>
      <w:r>
        <w:rPr>
          <w:rFonts w:hint="default" w:ascii="仿宋_GB2312" w:hAnsi="Calibri" w:eastAsia="仿宋_GB2312" w:cs="仿宋_GB2312"/>
          <w:color w:val="auto"/>
          <w:spacing w:val="0"/>
          <w:kern w:val="2"/>
          <w:position w:val="0"/>
          <w:sz w:val="32"/>
          <w:szCs w:val="32"/>
          <w:lang w:val="en-US" w:eastAsia="zh-CN" w:bidi="ar"/>
        </w:rPr>
        <w:t>政策措施制定机关</w:t>
      </w:r>
      <w:r>
        <w:rPr>
          <w:rFonts w:hint="default" w:ascii="仿宋_GB2312" w:hAnsi="Calibri" w:eastAsia="仿宋_GB2312" w:cs="仿宋_GB2312"/>
          <w:bCs w:val="0"/>
          <w:color w:val="auto"/>
          <w:spacing w:val="0"/>
          <w:kern w:val="2"/>
          <w:position w:val="0"/>
          <w:sz w:val="32"/>
          <w:szCs w:val="32"/>
          <w:lang w:val="en-US" w:eastAsia="zh-CN" w:bidi="ar"/>
        </w:rPr>
        <w:t>公平竞争审查意识不强、对公平竞争审查范围理解不到位引起的。因此应当从宣传培训入手，增强各</w:t>
      </w:r>
      <w:r>
        <w:rPr>
          <w:rFonts w:hint="default" w:ascii="仿宋_GB2312" w:hAnsi="Calibri" w:eastAsia="仿宋_GB2312" w:cs="仿宋_GB2312"/>
          <w:color w:val="auto"/>
          <w:spacing w:val="0"/>
          <w:kern w:val="2"/>
          <w:position w:val="0"/>
          <w:sz w:val="32"/>
          <w:szCs w:val="32"/>
          <w:lang w:val="en-US" w:eastAsia="zh-CN" w:bidi="ar"/>
        </w:rPr>
        <w:t>政策措施制定机关</w:t>
      </w:r>
      <w:r>
        <w:rPr>
          <w:rFonts w:hint="default" w:ascii="仿宋_GB2312" w:hAnsi="Calibri" w:eastAsia="仿宋_GB2312" w:cs="仿宋_GB2312"/>
          <w:bCs w:val="0"/>
          <w:color w:val="auto"/>
          <w:spacing w:val="0"/>
          <w:kern w:val="2"/>
          <w:position w:val="0"/>
          <w:sz w:val="32"/>
          <w:szCs w:val="32"/>
          <w:lang w:val="en-US" w:eastAsia="zh-CN" w:bidi="ar"/>
        </w:rPr>
        <w:t>政策制定相关人员公平竞争审查意识。</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一是加强各政策措施制定机关公平竞争审查机制与具体实施方案内容学习，</w:t>
      </w:r>
      <w:r>
        <w:rPr>
          <w:rFonts w:hint="default" w:ascii="仿宋_GB2312" w:hAnsi="Calibri" w:eastAsia="仿宋_GB2312" w:cs="仿宋_GB2312"/>
          <w:bCs w:val="0"/>
          <w:color w:val="auto"/>
          <w:spacing w:val="0"/>
          <w:kern w:val="2"/>
          <w:position w:val="0"/>
          <w:sz w:val="32"/>
          <w:szCs w:val="32"/>
          <w:lang w:val="en-US" w:eastAsia="zh-CN" w:bidi="ar"/>
        </w:rPr>
        <w:t>规范公平竞争审查流程，确保政策制定人员对公平竞争审查流程有深入地了解,</w:t>
      </w:r>
      <w:r>
        <w:rPr>
          <w:rFonts w:hint="eastAsia" w:ascii="仿宋_GB2312" w:hAnsi="Calibri" w:eastAsia="仿宋_GB2312" w:cs="仿宋_GB2312"/>
          <w:bCs w:val="0"/>
          <w:color w:val="auto"/>
          <w:spacing w:val="0"/>
          <w:kern w:val="2"/>
          <w:position w:val="0"/>
          <w:sz w:val="32"/>
          <w:szCs w:val="32"/>
          <w:lang w:val="en-US" w:eastAsia="zh-CN" w:bidi="ar"/>
        </w:rPr>
        <w:t>相关</w:t>
      </w:r>
      <w:r>
        <w:rPr>
          <w:rFonts w:hint="default" w:ascii="仿宋_GB2312" w:hAnsi="Calibri" w:eastAsia="仿宋_GB2312" w:cs="仿宋_GB2312"/>
          <w:bCs w:val="0"/>
          <w:color w:val="auto"/>
          <w:spacing w:val="0"/>
          <w:kern w:val="2"/>
          <w:position w:val="0"/>
          <w:sz w:val="32"/>
          <w:szCs w:val="32"/>
          <w:lang w:val="en-US" w:eastAsia="zh-CN" w:bidi="ar"/>
        </w:rPr>
        <w:t>培训不仅要覆盖到各</w:t>
      </w:r>
      <w:r>
        <w:rPr>
          <w:rFonts w:hint="default" w:ascii="仿宋_GB2312" w:hAnsi="Calibri" w:eastAsia="仿宋_GB2312" w:cs="仿宋_GB2312"/>
          <w:color w:val="auto"/>
          <w:spacing w:val="0"/>
          <w:kern w:val="2"/>
          <w:position w:val="0"/>
          <w:sz w:val="32"/>
          <w:szCs w:val="32"/>
          <w:lang w:val="en-US" w:eastAsia="zh-CN" w:bidi="ar"/>
        </w:rPr>
        <w:t>政策措施制定机关联络</w:t>
      </w:r>
      <w:r>
        <w:rPr>
          <w:rFonts w:hint="default" w:ascii="仿宋_GB2312" w:hAnsi="Calibri" w:eastAsia="仿宋_GB2312" w:cs="仿宋_GB2312"/>
          <w:bCs w:val="0"/>
          <w:color w:val="auto"/>
          <w:spacing w:val="0"/>
          <w:kern w:val="2"/>
          <w:position w:val="0"/>
          <w:sz w:val="32"/>
          <w:szCs w:val="32"/>
          <w:lang w:val="en-US" w:eastAsia="zh-CN" w:bidi="ar"/>
        </w:rPr>
        <w:t>员，各</w:t>
      </w:r>
      <w:r>
        <w:rPr>
          <w:rFonts w:hint="default" w:ascii="仿宋_GB2312" w:hAnsi="Calibri" w:eastAsia="仿宋_GB2312" w:cs="仿宋_GB2312"/>
          <w:color w:val="auto"/>
          <w:spacing w:val="0"/>
          <w:kern w:val="2"/>
          <w:position w:val="0"/>
          <w:sz w:val="32"/>
          <w:szCs w:val="32"/>
          <w:lang w:val="en-US" w:eastAsia="zh-CN" w:bidi="ar"/>
        </w:rPr>
        <w:t>政策措施制定机关的</w:t>
      </w:r>
      <w:r>
        <w:rPr>
          <w:rFonts w:hint="default" w:ascii="仿宋_GB2312" w:hAnsi="Calibri" w:eastAsia="仿宋_GB2312" w:cs="仿宋_GB2312"/>
          <w:bCs w:val="0"/>
          <w:color w:val="auto"/>
          <w:spacing w:val="0"/>
          <w:kern w:val="2"/>
          <w:position w:val="0"/>
          <w:sz w:val="32"/>
          <w:szCs w:val="32"/>
          <w:lang w:val="en-US" w:eastAsia="zh-CN" w:bidi="ar"/>
        </w:rPr>
        <w:t>职能科室也要重点学习，确保各</w:t>
      </w:r>
      <w:r>
        <w:rPr>
          <w:rFonts w:hint="default" w:ascii="仿宋_GB2312" w:hAnsi="Calibri" w:eastAsia="仿宋_GB2312" w:cs="仿宋_GB2312"/>
          <w:color w:val="auto"/>
          <w:spacing w:val="0"/>
          <w:kern w:val="2"/>
          <w:position w:val="0"/>
          <w:sz w:val="32"/>
          <w:szCs w:val="32"/>
          <w:lang w:val="en-US" w:eastAsia="zh-CN" w:bidi="ar"/>
        </w:rPr>
        <w:t>政策措施制定机关</w:t>
      </w:r>
      <w:r>
        <w:rPr>
          <w:rFonts w:hint="default" w:ascii="仿宋_GB2312" w:hAnsi="Calibri" w:eastAsia="仿宋_GB2312" w:cs="仿宋_GB2312"/>
          <w:bCs w:val="0"/>
          <w:color w:val="auto"/>
          <w:spacing w:val="0"/>
          <w:kern w:val="2"/>
          <w:position w:val="0"/>
          <w:sz w:val="32"/>
          <w:szCs w:val="32"/>
          <w:lang w:val="en-US" w:eastAsia="zh-CN" w:bidi="ar"/>
        </w:rPr>
        <w:t>文件能够按照公平竞争审查机制进行审查。</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二是通过案例教育加深对公平竞争审查内容的理解，</w:t>
      </w:r>
      <w:r>
        <w:rPr>
          <w:rFonts w:hint="default" w:ascii="仿宋_GB2312" w:hAnsi="Calibri" w:eastAsia="仿宋_GB2312" w:cs="仿宋_GB2312"/>
          <w:bCs w:val="0"/>
          <w:color w:val="auto"/>
          <w:spacing w:val="0"/>
          <w:kern w:val="2"/>
          <w:position w:val="0"/>
          <w:sz w:val="32"/>
          <w:szCs w:val="32"/>
          <w:lang w:val="en-US" w:eastAsia="zh-CN" w:bidi="ar"/>
        </w:rPr>
        <w:t>学习本县已发现的违反公平竞争审查标准的案例，以及全省</w:t>
      </w:r>
      <w:r>
        <w:rPr>
          <w:rFonts w:hint="eastAsia" w:ascii="仿宋_GB2312" w:hAnsi="Calibri" w:eastAsia="仿宋_GB2312" w:cs="仿宋_GB2312"/>
          <w:bCs w:val="0"/>
          <w:color w:val="auto"/>
          <w:spacing w:val="0"/>
          <w:kern w:val="2"/>
          <w:position w:val="0"/>
          <w:sz w:val="32"/>
          <w:szCs w:val="32"/>
          <w:lang w:val="en-US" w:eastAsia="zh-CN" w:bidi="ar"/>
        </w:rPr>
        <w:t>全市</w:t>
      </w:r>
      <w:r>
        <w:rPr>
          <w:rFonts w:hint="default" w:ascii="仿宋_GB2312" w:hAnsi="Calibri" w:eastAsia="仿宋_GB2312" w:cs="仿宋_GB2312"/>
          <w:bCs w:val="0"/>
          <w:color w:val="auto"/>
          <w:spacing w:val="0"/>
          <w:kern w:val="2"/>
          <w:position w:val="0"/>
          <w:sz w:val="32"/>
          <w:szCs w:val="32"/>
          <w:lang w:val="en-US" w:eastAsia="zh-CN" w:bidi="ar"/>
        </w:rPr>
        <w:t>、其他</w:t>
      </w:r>
      <w:r>
        <w:rPr>
          <w:rFonts w:hint="eastAsia" w:ascii="仿宋_GB2312" w:hAnsi="Calibri" w:eastAsia="仿宋_GB2312" w:cs="仿宋_GB2312"/>
          <w:bCs w:val="0"/>
          <w:color w:val="auto"/>
          <w:spacing w:val="0"/>
          <w:kern w:val="2"/>
          <w:position w:val="0"/>
          <w:sz w:val="32"/>
          <w:szCs w:val="32"/>
          <w:lang w:val="en-US" w:eastAsia="zh-CN" w:bidi="ar"/>
        </w:rPr>
        <w:t>地方</w:t>
      </w:r>
      <w:r>
        <w:rPr>
          <w:rFonts w:hint="default" w:ascii="仿宋_GB2312" w:hAnsi="Calibri" w:eastAsia="仿宋_GB2312" w:cs="仿宋_GB2312"/>
          <w:bCs w:val="0"/>
          <w:color w:val="auto"/>
          <w:spacing w:val="0"/>
          <w:kern w:val="2"/>
          <w:position w:val="0"/>
          <w:sz w:val="32"/>
          <w:szCs w:val="32"/>
          <w:lang w:val="en-US" w:eastAsia="zh-CN" w:bidi="ar"/>
        </w:rPr>
        <w:t>单位典型案例，深刻理解公平竞争审查标准，</w:t>
      </w:r>
      <w:r>
        <w:rPr>
          <w:rFonts w:hint="eastAsia" w:ascii="仿宋_GB2312" w:hAnsi="Calibri" w:eastAsia="仿宋_GB2312" w:cs="仿宋_GB2312"/>
          <w:bCs w:val="0"/>
          <w:color w:val="auto"/>
          <w:spacing w:val="0"/>
          <w:kern w:val="2"/>
          <w:position w:val="0"/>
          <w:sz w:val="32"/>
          <w:szCs w:val="32"/>
          <w:lang w:val="en-US" w:eastAsia="zh-CN" w:bidi="ar"/>
        </w:rPr>
        <w:t>此类</w:t>
      </w:r>
      <w:r>
        <w:rPr>
          <w:rFonts w:hint="default" w:ascii="仿宋_GB2312" w:hAnsi="Calibri" w:eastAsia="仿宋_GB2312" w:cs="仿宋_GB2312"/>
          <w:bCs w:val="0"/>
          <w:color w:val="auto"/>
          <w:spacing w:val="0"/>
          <w:kern w:val="2"/>
          <w:position w:val="0"/>
          <w:sz w:val="32"/>
          <w:szCs w:val="32"/>
          <w:lang w:val="en-US" w:eastAsia="zh-CN" w:bidi="ar"/>
        </w:rPr>
        <w:t>培训既可以避免各</w:t>
      </w:r>
      <w:r>
        <w:rPr>
          <w:rFonts w:hint="default" w:ascii="仿宋_GB2312" w:hAnsi="Calibri" w:eastAsia="仿宋_GB2312" w:cs="仿宋_GB2312"/>
          <w:color w:val="auto"/>
          <w:spacing w:val="0"/>
          <w:kern w:val="2"/>
          <w:position w:val="0"/>
          <w:sz w:val="32"/>
          <w:szCs w:val="32"/>
          <w:lang w:val="en-US" w:eastAsia="zh-CN" w:bidi="ar"/>
        </w:rPr>
        <w:t>政策措施制定机关</w:t>
      </w:r>
      <w:r>
        <w:rPr>
          <w:rFonts w:hint="default" w:ascii="仿宋_GB2312" w:hAnsi="Calibri" w:eastAsia="仿宋_GB2312" w:cs="仿宋_GB2312"/>
          <w:bCs w:val="0"/>
          <w:color w:val="auto"/>
          <w:spacing w:val="0"/>
          <w:kern w:val="2"/>
          <w:position w:val="0"/>
          <w:sz w:val="32"/>
          <w:szCs w:val="32"/>
          <w:lang w:val="en-US" w:eastAsia="zh-CN" w:bidi="ar"/>
        </w:rPr>
        <w:t>出台违反公平竞争审查标准的文件,也利于各</w:t>
      </w:r>
      <w:r>
        <w:rPr>
          <w:rFonts w:hint="default" w:ascii="仿宋_GB2312" w:hAnsi="Calibri" w:eastAsia="仿宋_GB2312" w:cs="仿宋_GB2312"/>
          <w:color w:val="auto"/>
          <w:spacing w:val="0"/>
          <w:kern w:val="2"/>
          <w:position w:val="0"/>
          <w:sz w:val="32"/>
          <w:szCs w:val="32"/>
          <w:lang w:val="en-US" w:eastAsia="zh-CN" w:bidi="ar"/>
        </w:rPr>
        <w:t>政策措施制定机关</w:t>
      </w:r>
      <w:r>
        <w:rPr>
          <w:rFonts w:hint="default" w:ascii="仿宋_GB2312" w:hAnsi="Calibri" w:eastAsia="仿宋_GB2312" w:cs="仿宋_GB2312"/>
          <w:bCs w:val="0"/>
          <w:color w:val="auto"/>
          <w:spacing w:val="0"/>
          <w:kern w:val="2"/>
          <w:position w:val="0"/>
          <w:sz w:val="32"/>
          <w:szCs w:val="32"/>
          <w:lang w:val="en-US" w:eastAsia="zh-CN" w:bidi="ar"/>
        </w:rPr>
        <w:t>负责公平竞争审查的职能人员发现所制定文件是否存在违反公平竞争审查标准的文件条款。</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3" w:name="_Toc25233"/>
      <w:r>
        <w:rPr>
          <w:rFonts w:hint="eastAsia" w:ascii="楷体_GB2312" w:hAnsi="楷体_GB2312" w:eastAsia="楷体_GB2312" w:cs="楷体_GB2312"/>
          <w:bCs w:val="0"/>
          <w:color w:val="auto"/>
          <w:spacing w:val="0"/>
          <w:kern w:val="2"/>
          <w:position w:val="0"/>
          <w:sz w:val="32"/>
          <w:szCs w:val="32"/>
          <w:lang w:val="en-US" w:eastAsia="zh-CN" w:bidi="ar"/>
        </w:rPr>
        <w:t>（三）聘请第三方进行审查，增强审查专业性</w:t>
      </w:r>
      <w:bookmarkEnd w:id="13"/>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公平竞争审查工作涉及专业性和政策性较强</w:t>
      </w:r>
      <w:r>
        <w:rPr>
          <w:rFonts w:hint="default" w:ascii="仿宋_GB2312" w:hAnsi="Calibri" w:eastAsia="仿宋_GB2312" w:cs="仿宋_GB2312"/>
          <w:bCs w:val="0"/>
          <w:color w:val="auto"/>
          <w:spacing w:val="0"/>
          <w:kern w:val="2"/>
          <w:position w:val="0"/>
          <w:sz w:val="32"/>
          <w:szCs w:val="32"/>
          <w:lang w:eastAsia="zh-CN" w:bidi="ar"/>
        </w:rPr>
        <w:t>，目前</w:t>
      </w:r>
      <w:r>
        <w:rPr>
          <w:rFonts w:hint="default" w:ascii="仿宋_GB2312" w:hAnsi="Calibri" w:eastAsia="仿宋_GB2312" w:cs="仿宋_GB2312"/>
          <w:bCs w:val="0"/>
          <w:color w:val="auto"/>
          <w:spacing w:val="0"/>
          <w:kern w:val="2"/>
          <w:position w:val="0"/>
          <w:sz w:val="32"/>
          <w:szCs w:val="32"/>
          <w:lang w:val="en-US" w:eastAsia="zh-CN" w:bidi="ar"/>
        </w:rPr>
        <w:t>公平竞争审查工作主要采取各</w:t>
      </w:r>
      <w:r>
        <w:rPr>
          <w:rFonts w:hint="default" w:ascii="仿宋_GB2312" w:hAnsi="Calibri" w:eastAsia="仿宋_GB2312" w:cs="仿宋_GB2312"/>
          <w:color w:val="auto"/>
          <w:spacing w:val="0"/>
          <w:kern w:val="2"/>
          <w:position w:val="0"/>
          <w:sz w:val="32"/>
          <w:szCs w:val="32"/>
          <w:lang w:val="en-US" w:eastAsia="zh-CN" w:bidi="ar"/>
        </w:rPr>
        <w:t>政策措施制定机关相关部门</w:t>
      </w:r>
      <w:r>
        <w:rPr>
          <w:rFonts w:hint="default" w:ascii="仿宋_GB2312" w:hAnsi="Calibri" w:eastAsia="仿宋_GB2312" w:cs="仿宋_GB2312"/>
          <w:bCs w:val="0"/>
          <w:color w:val="auto"/>
          <w:spacing w:val="0"/>
          <w:kern w:val="2"/>
          <w:position w:val="0"/>
          <w:sz w:val="32"/>
          <w:szCs w:val="32"/>
          <w:lang w:val="en-US" w:eastAsia="zh-CN" w:bidi="ar"/>
        </w:rPr>
        <w:t>起草后，再提交本单位法规科或办公室复查的形式,审查人员工作量大，审查质量难以保证</w:t>
      </w:r>
      <w:r>
        <w:rPr>
          <w:rFonts w:hint="eastAsia" w:ascii="仿宋_GB2312" w:hAnsi="Calibri" w:eastAsia="仿宋_GB2312" w:cs="仿宋_GB2312"/>
          <w:bCs w:val="0"/>
          <w:color w:val="auto"/>
          <w:spacing w:val="0"/>
          <w:kern w:val="2"/>
          <w:position w:val="0"/>
          <w:sz w:val="32"/>
          <w:szCs w:val="32"/>
          <w:lang w:val="en-US" w:eastAsia="zh-CN" w:bidi="ar"/>
        </w:rPr>
        <w:t>。</w:t>
      </w:r>
      <w:r>
        <w:rPr>
          <w:rFonts w:hint="default" w:ascii="仿宋_GB2312" w:hAnsi="Calibri" w:eastAsia="仿宋_GB2312" w:cs="仿宋_GB2312"/>
          <w:bCs w:val="0"/>
          <w:color w:val="auto"/>
          <w:spacing w:val="0"/>
          <w:kern w:val="2"/>
          <w:position w:val="0"/>
          <w:sz w:val="32"/>
          <w:szCs w:val="32"/>
          <w:lang w:val="en-US" w:eastAsia="zh-CN" w:bidi="ar"/>
        </w:rPr>
        <w:t>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4" w:name="_Toc24306"/>
      <w:r>
        <w:rPr>
          <w:rFonts w:hint="eastAsia" w:ascii="楷体_GB2312" w:hAnsi="楷体_GB2312" w:eastAsia="楷体_GB2312" w:cs="楷体_GB2312"/>
          <w:bCs w:val="0"/>
          <w:color w:val="auto"/>
          <w:spacing w:val="0"/>
          <w:kern w:val="2"/>
          <w:position w:val="0"/>
          <w:sz w:val="32"/>
          <w:szCs w:val="32"/>
          <w:lang w:val="en-US" w:eastAsia="zh-CN" w:bidi="ar"/>
        </w:rPr>
        <w:t>（四）利用好公平竞争审查投诉举报回应机制</w:t>
      </w:r>
      <w:bookmarkEnd w:id="14"/>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r>
        <w:rPr>
          <w:rFonts w:hint="default" w:ascii="仿宋_GB2312" w:hAnsi="Calibri" w:eastAsia="仿宋_GB2312" w:cs="仿宋_GB2312"/>
          <w:bCs w:val="0"/>
          <w:color w:val="auto"/>
          <w:spacing w:val="0"/>
          <w:kern w:val="2"/>
          <w:position w:val="0"/>
          <w:sz w:val="32"/>
          <w:szCs w:val="32"/>
          <w:lang w:val="en-US" w:eastAsia="zh-CN" w:bidi="ar"/>
        </w:rPr>
        <w:t>投诉举报回应机制的建立有助于充分发挥公平竞争审查工作中社会监督的作用,是提高公平竞争审查政策透明度的有效途径，</w:t>
      </w:r>
      <w:r>
        <w:rPr>
          <w:rFonts w:hint="default" w:ascii="仿宋_GB2312" w:hAnsi="Calibri" w:eastAsia="仿宋_GB2312" w:cs="仿宋_GB2312"/>
          <w:bCs w:val="0"/>
          <w:color w:val="auto"/>
          <w:spacing w:val="0"/>
          <w:kern w:val="2"/>
          <w:position w:val="0"/>
          <w:sz w:val="32"/>
          <w:szCs w:val="32"/>
          <w:lang w:eastAsia="zh-CN" w:bidi="ar"/>
        </w:rPr>
        <w:t>肃南</w:t>
      </w:r>
      <w:r>
        <w:rPr>
          <w:rFonts w:hint="default" w:ascii="仿宋_GB2312" w:hAnsi="Calibri" w:eastAsia="仿宋_GB2312" w:cs="仿宋_GB2312"/>
          <w:bCs w:val="0"/>
          <w:color w:val="auto"/>
          <w:spacing w:val="0"/>
          <w:kern w:val="2"/>
          <w:position w:val="0"/>
          <w:sz w:val="32"/>
          <w:szCs w:val="32"/>
          <w:lang w:val="en-US" w:eastAsia="zh-CN" w:bidi="ar"/>
        </w:rPr>
        <w:t>县可以通过公平竞争审查投诉举报“一站式”受理与处理机制，及时回应群众关切，发现和纠正政策措施中出现排除和限制竞争的问题。</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rPr>
          <w:rFonts w:hint="eastAsia" w:ascii="仿宋_GB2312" w:hAnsi="Calibri" w:eastAsia="仿宋_GB2312" w:cs="仿宋_GB2312"/>
          <w:bCs w:val="0"/>
          <w:color w:val="auto"/>
          <w:spacing w:val="0"/>
          <w:kern w:val="2"/>
          <w:position w:val="0"/>
          <w:sz w:val="32"/>
          <w:szCs w:val="32"/>
          <w:lang w:val="en-US" w:eastAsia="zh-CN" w:bidi="ar"/>
        </w:rPr>
      </w:pPr>
      <w:r>
        <w:rPr>
          <w:rFonts w:hint="eastAsia" w:ascii="仿宋_GB2312" w:hAnsi="Calibri" w:eastAsia="仿宋_GB2312" w:cs="仿宋_GB2312"/>
          <w:bCs w:val="0"/>
          <w:color w:val="auto"/>
          <w:spacing w:val="0"/>
          <w:kern w:val="2"/>
          <w:position w:val="0"/>
          <w:sz w:val="32"/>
          <w:szCs w:val="32"/>
          <w:lang w:val="en-US" w:eastAsia="zh-CN" w:bidi="ar"/>
        </w:rPr>
        <w:t xml:space="preserve">                             甘肃金彤律师事务所</w:t>
      </w:r>
    </w:p>
    <w:p>
      <w:pPr>
        <w:keepNext w:val="0"/>
        <w:keepLines w:val="0"/>
        <w:pageBreakBefore w:val="0"/>
        <w:widowControl w:val="0"/>
        <w:suppressLineNumbers w:val="0"/>
        <w:kinsoku/>
        <w:wordWrap/>
        <w:overflowPunct/>
        <w:topLinePunct w:val="0"/>
        <w:autoSpaceDE w:val="0"/>
        <w:autoSpaceDN/>
        <w:bidi w:val="0"/>
        <w:spacing w:beforeAutospacing="0" w:afterAutospacing="0" w:line="540" w:lineRule="exact"/>
        <w:ind w:left="0" w:leftChars="0" w:right="0" w:firstLine="640" w:firstLineChars="200"/>
        <w:jc w:val="both"/>
        <w:textAlignment w:val="auto"/>
        <w:rPr>
          <w:rFonts w:hint="eastAsia" w:ascii="仿宋_GB2312" w:hAnsi="Calibri" w:eastAsia="仿宋_GB2312" w:cs="仿宋_GB2312"/>
          <w:bCs w:val="0"/>
          <w:color w:val="auto"/>
          <w:spacing w:val="0"/>
          <w:kern w:val="2"/>
          <w:position w:val="0"/>
          <w:sz w:val="32"/>
          <w:szCs w:val="32"/>
          <w:lang w:val="en-US" w:eastAsia="zh-CN" w:bidi="ar"/>
        </w:rPr>
      </w:pPr>
      <w:r>
        <w:rPr>
          <w:rFonts w:hint="eastAsia" w:ascii="仿宋_GB2312" w:hAnsi="Calibri" w:eastAsia="仿宋_GB2312" w:cs="仿宋_GB2312"/>
          <w:bCs w:val="0"/>
          <w:color w:val="auto"/>
          <w:spacing w:val="0"/>
          <w:kern w:val="2"/>
          <w:position w:val="0"/>
          <w:sz w:val="32"/>
          <w:szCs w:val="32"/>
          <w:lang w:val="en-US" w:eastAsia="zh-CN" w:bidi="ar"/>
        </w:rPr>
        <w:t xml:space="preserve">                            二零二三年四月三十日</w:t>
      </w:r>
    </w:p>
    <w:p>
      <w:pPr>
        <w:pStyle w:val="2"/>
        <w:rPr>
          <w:rFonts w:hint="eastAsia" w:ascii="仿宋_GB2312" w:hAnsi="Calibri" w:eastAsia="仿宋_GB2312" w:cs="仿宋_GB2312"/>
          <w:bCs w:val="0"/>
          <w:color w:val="auto"/>
          <w:spacing w:val="0"/>
          <w:kern w:val="2"/>
          <w:position w:val="0"/>
          <w:sz w:val="32"/>
          <w:szCs w:val="32"/>
          <w:lang w:val="en-US" w:eastAsia="zh-CN" w:bidi="ar"/>
        </w:rPr>
      </w:pPr>
    </w:p>
    <w:p>
      <w:pPr>
        <w:rPr>
          <w:rFonts w:hint="eastAsia" w:ascii="仿宋_GB2312" w:hAnsi="Calibri" w:eastAsia="仿宋_GB2312" w:cs="仿宋_GB2312"/>
          <w:bCs w:val="0"/>
          <w:color w:val="auto"/>
          <w:spacing w:val="0"/>
          <w:kern w:val="2"/>
          <w:position w:val="0"/>
          <w:sz w:val="32"/>
          <w:szCs w:val="32"/>
          <w:lang w:val="en-US" w:eastAsia="zh-CN" w:bidi="ar"/>
        </w:rPr>
      </w:pPr>
    </w:p>
    <w:p>
      <w:pPr>
        <w:pStyle w:val="2"/>
        <w:rPr>
          <w:rFonts w:hint="eastAsia" w:ascii="仿宋_GB2312" w:hAnsi="Calibri" w:eastAsia="仿宋_GB2312" w:cs="仿宋_GB2312"/>
          <w:bCs w:val="0"/>
          <w:color w:val="auto"/>
          <w:spacing w:val="0"/>
          <w:kern w:val="2"/>
          <w:position w:val="0"/>
          <w:sz w:val="32"/>
          <w:szCs w:val="32"/>
          <w:lang w:val="en-US" w:eastAsia="zh-CN" w:bidi="ar"/>
        </w:rPr>
      </w:pPr>
    </w:p>
    <w:p>
      <w:pPr>
        <w:rPr>
          <w:rFonts w:hint="eastAsia" w:ascii="仿宋_GB2312" w:hAnsi="Calibri" w:eastAsia="仿宋_GB2312" w:cs="仿宋_GB2312"/>
          <w:bCs w:val="0"/>
          <w:color w:val="auto"/>
          <w:spacing w:val="0"/>
          <w:kern w:val="2"/>
          <w:position w:val="0"/>
          <w:sz w:val="32"/>
          <w:szCs w:val="32"/>
          <w:lang w:val="en-US" w:eastAsia="zh-CN" w:bidi="ar"/>
        </w:rPr>
      </w:pPr>
    </w:p>
    <w:p>
      <w:pPr>
        <w:pStyle w:val="2"/>
        <w:rPr>
          <w:rFonts w:hint="eastAsia" w:ascii="仿宋_GB2312" w:hAnsi="Calibri" w:eastAsia="仿宋_GB2312" w:cs="仿宋_GB2312"/>
          <w:bCs w:val="0"/>
          <w:color w:val="auto"/>
          <w:spacing w:val="0"/>
          <w:kern w:val="2"/>
          <w:position w:val="0"/>
          <w:sz w:val="32"/>
          <w:szCs w:val="32"/>
          <w:lang w:val="en-US" w:eastAsia="zh-CN" w:bidi="ar"/>
        </w:rPr>
      </w:pPr>
    </w:p>
    <w:p>
      <w:pPr>
        <w:rPr>
          <w:rFonts w:hint="eastAsia" w:ascii="仿宋_GB2312" w:hAnsi="Calibri" w:eastAsia="仿宋_GB2312" w:cs="仿宋_GB2312"/>
          <w:bCs w:val="0"/>
          <w:color w:val="auto"/>
          <w:spacing w:val="0"/>
          <w:kern w:val="2"/>
          <w:position w:val="0"/>
          <w:sz w:val="32"/>
          <w:szCs w:val="32"/>
          <w:lang w:val="en-US" w:eastAsia="zh-CN" w:bidi="ar"/>
        </w:rPr>
      </w:pPr>
    </w:p>
    <w:p>
      <w:pPr>
        <w:pStyle w:val="2"/>
        <w:rPr>
          <w:rFonts w:hint="eastAsia" w:ascii="仿宋_GB2312" w:hAnsi="Calibri" w:eastAsia="仿宋_GB2312" w:cs="仿宋_GB2312"/>
          <w:bCs w:val="0"/>
          <w:color w:val="auto"/>
          <w:spacing w:val="0"/>
          <w:kern w:val="2"/>
          <w:position w:val="0"/>
          <w:sz w:val="32"/>
          <w:szCs w:val="32"/>
          <w:lang w:val="en-US" w:eastAsia="zh-CN" w:bidi="ar"/>
        </w:rPr>
      </w:pPr>
    </w:p>
    <w:p>
      <w:pPr>
        <w:rPr>
          <w:rFonts w:hint="eastAsia" w:ascii="仿宋_GB2312" w:hAnsi="Calibri" w:eastAsia="仿宋_GB2312" w:cs="仿宋_GB2312"/>
          <w:bCs w:val="0"/>
          <w:color w:val="auto"/>
          <w:spacing w:val="0"/>
          <w:kern w:val="2"/>
          <w:position w:val="0"/>
          <w:sz w:val="32"/>
          <w:szCs w:val="32"/>
          <w:lang w:val="en-US" w:eastAsia="zh-CN" w:bidi="ar"/>
        </w:rPr>
      </w:pPr>
    </w:p>
    <w:p>
      <w:pPr>
        <w:pStyle w:val="2"/>
        <w:rPr>
          <w:rFonts w:hint="eastAsia" w:ascii="仿宋_GB2312" w:hAnsi="Calibri" w:eastAsia="仿宋_GB2312" w:cs="仿宋_GB2312"/>
          <w:bCs w:val="0"/>
          <w:color w:val="auto"/>
          <w:spacing w:val="0"/>
          <w:kern w:val="2"/>
          <w:position w:val="0"/>
          <w:sz w:val="32"/>
          <w:szCs w:val="32"/>
          <w:lang w:val="en-US" w:eastAsia="zh-CN" w:bidi="ar"/>
        </w:rPr>
      </w:pPr>
    </w:p>
    <w:p>
      <w:pPr>
        <w:rPr>
          <w:rFonts w:hint="eastAsia" w:ascii="仿宋_GB2312" w:hAnsi="Calibri" w:eastAsia="仿宋_GB2312" w:cs="仿宋_GB2312"/>
          <w:bCs w:val="0"/>
          <w:color w:val="auto"/>
          <w:spacing w:val="0"/>
          <w:kern w:val="2"/>
          <w:position w:val="0"/>
          <w:sz w:val="32"/>
          <w:szCs w:val="32"/>
          <w:lang w:val="en-US" w:eastAsia="zh-CN" w:bidi="ar"/>
        </w:rPr>
      </w:pPr>
    </w:p>
    <w:p>
      <w:pPr>
        <w:pStyle w:val="2"/>
        <w:rPr>
          <w:rFonts w:hint="eastAsia" w:ascii="仿宋_GB2312" w:hAnsi="Calibri" w:eastAsia="仿宋_GB2312" w:cs="仿宋_GB2312"/>
          <w:bCs w:val="0"/>
          <w:color w:val="auto"/>
          <w:spacing w:val="0"/>
          <w:kern w:val="2"/>
          <w:position w:val="0"/>
          <w:sz w:val="32"/>
          <w:szCs w:val="32"/>
          <w:lang w:val="en-US" w:eastAsia="zh-CN" w:bidi="ar"/>
        </w:rPr>
      </w:pPr>
    </w:p>
    <w:p>
      <w:pPr>
        <w:rPr>
          <w:rFonts w:hint="eastAsia" w:ascii="仿宋_GB2312" w:hAnsi="Calibri" w:eastAsia="仿宋_GB2312" w:cs="仿宋_GB2312"/>
          <w:bCs w:val="0"/>
          <w:color w:val="auto"/>
          <w:spacing w:val="0"/>
          <w:kern w:val="2"/>
          <w:position w:val="0"/>
          <w:sz w:val="32"/>
          <w:szCs w:val="32"/>
          <w:lang w:val="en-US" w:eastAsia="zh-CN" w:bidi="ar"/>
        </w:rPr>
      </w:pPr>
    </w:p>
    <w:p>
      <w:pPr>
        <w:pStyle w:val="2"/>
        <w:rPr>
          <w:rFonts w:hint="eastAsia" w:ascii="仿宋_GB2312" w:hAnsi="Calibri" w:eastAsia="仿宋_GB2312" w:cs="仿宋_GB2312"/>
          <w:bCs w:val="0"/>
          <w:color w:val="auto"/>
          <w:spacing w:val="0"/>
          <w:kern w:val="2"/>
          <w:position w:val="0"/>
          <w:sz w:val="32"/>
          <w:szCs w:val="32"/>
          <w:lang w:val="en-US" w:eastAsia="zh-CN" w:bidi="ar"/>
        </w:rPr>
      </w:pPr>
    </w:p>
    <w:p>
      <w:pPr>
        <w:rPr>
          <w:rFonts w:hint="default"/>
          <w:lang w:val="en-US" w:eastAsia="zh-CN"/>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right="0" w:rightChars="0"/>
        <w:jc w:val="both"/>
        <w:outlineLvl w:val="0"/>
        <w:rPr>
          <w:rFonts w:hint="eastAsia" w:ascii="黑体" w:hAnsi="黑体" w:eastAsia="黑体" w:cs="黑体"/>
          <w:b w:val="0"/>
          <w:bCs/>
          <w:color w:val="auto"/>
          <w:spacing w:val="0"/>
          <w:kern w:val="2"/>
          <w:position w:val="0"/>
          <w:sz w:val="32"/>
          <w:szCs w:val="32"/>
          <w:lang w:val="en-US" w:eastAsia="zh-CN" w:bidi="ar"/>
        </w:rPr>
      </w:pPr>
      <w:bookmarkStart w:id="15" w:name="_Toc18853"/>
      <w:r>
        <w:rPr>
          <w:rFonts w:hint="default" w:ascii="黑体" w:hAnsi="黑体" w:eastAsia="黑体" w:cs="黑体"/>
          <w:b w:val="0"/>
          <w:bCs/>
          <w:color w:val="auto"/>
          <w:spacing w:val="0"/>
          <w:kern w:val="2"/>
          <w:position w:val="0"/>
          <w:sz w:val="32"/>
          <w:szCs w:val="32"/>
          <w:lang w:val="en-US" w:eastAsia="zh-CN" w:bidi="ar"/>
        </w:rPr>
        <w:t>附件一：</w:t>
      </w:r>
      <w:r>
        <w:rPr>
          <w:rFonts w:hint="eastAsia" w:ascii="黑体" w:hAnsi="黑体" w:eastAsia="黑体" w:cs="黑体"/>
          <w:b w:val="0"/>
          <w:bCs/>
          <w:color w:val="auto"/>
          <w:spacing w:val="0"/>
          <w:kern w:val="2"/>
          <w:position w:val="0"/>
          <w:sz w:val="32"/>
          <w:szCs w:val="32"/>
          <w:lang w:val="en-US" w:eastAsia="zh-CN" w:bidi="ar"/>
        </w:rPr>
        <w:t>肃南县</w:t>
      </w:r>
      <w:r>
        <w:rPr>
          <w:rFonts w:hint="default" w:ascii="黑体" w:hAnsi="黑体" w:eastAsia="黑体" w:cs="黑体"/>
          <w:b w:val="0"/>
          <w:bCs/>
          <w:color w:val="auto"/>
          <w:spacing w:val="0"/>
          <w:kern w:val="2"/>
          <w:position w:val="0"/>
          <w:sz w:val="32"/>
          <w:szCs w:val="32"/>
          <w:lang w:val="en-US" w:eastAsia="zh-CN" w:bidi="ar"/>
        </w:rPr>
        <w:t>政策措施文件目录</w:t>
      </w:r>
      <w:bookmarkEnd w:id="15"/>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 w:hAnsi="仿宋" w:eastAsia="仿宋" w:cs="仿宋"/>
          <w:color w:val="auto"/>
          <w:spacing w:val="0"/>
          <w:kern w:val="2"/>
          <w:position w:val="0"/>
          <w:sz w:val="24"/>
          <w:szCs w:val="24"/>
          <w:lang w:val="en-US" w:eastAsia="zh-CN" w:bidi="ar"/>
        </w:rPr>
      </w:pPr>
      <w:bookmarkStart w:id="16" w:name="_Toc26293"/>
      <w:r>
        <w:rPr>
          <w:rFonts w:hint="eastAsia" w:ascii="黑体" w:hAnsi="黑体" w:eastAsia="黑体" w:cs="黑体"/>
          <w:b w:val="0"/>
          <w:bCs/>
          <w:color w:val="auto"/>
          <w:spacing w:val="0"/>
          <w:kern w:val="2"/>
          <w:position w:val="0"/>
          <w:sz w:val="28"/>
          <w:szCs w:val="30"/>
          <w:lang w:val="en-US" w:eastAsia="zh-CN" w:bidi="ar"/>
        </w:rPr>
        <w:t>肃南县政策措施文件目录</w:t>
      </w:r>
      <w:bookmarkEnd w:id="16"/>
    </w:p>
    <w:tbl>
      <w:tblPr>
        <w:tblStyle w:val="13"/>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48"/>
        <w:gridCol w:w="1989"/>
        <w:gridCol w:w="3354"/>
        <w:gridCol w:w="1274"/>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序号</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33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是否在本次审核时间范围内</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是否涉及市场主体及经济活动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肃政办发（2019）129号</w:t>
            </w:r>
          </w:p>
        </w:tc>
        <w:tc>
          <w:tcPr>
            <w:tcW w:w="33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肃南县经济适用房上市交易管理办法</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肃政办发（2020）24号</w:t>
            </w:r>
          </w:p>
        </w:tc>
        <w:tc>
          <w:tcPr>
            <w:tcW w:w="33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肃南县城镇低收入居民采暖补助办法</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肃政办发（2020）44号</w:t>
            </w:r>
          </w:p>
        </w:tc>
        <w:tc>
          <w:tcPr>
            <w:tcW w:w="33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肃南县非物质文化遗产代表性传承人认定与管理办法</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肃政办发（2021）54号</w:t>
            </w:r>
          </w:p>
        </w:tc>
        <w:tc>
          <w:tcPr>
            <w:tcW w:w="33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肃政办发（2021）54号肃南县县属国有企业经营业绩绩效考核办法</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Arial" w:hAnsi="Arial" w:eastAsia="仿宋_GB2312" w:cs="Arial"/>
                <w:b w:val="0"/>
                <w:bCs/>
                <w:color w:val="auto"/>
                <w:spacing w:val="0"/>
                <w:position w:val="0"/>
                <w:sz w:val="24"/>
                <w:szCs w:val="24"/>
                <w:lang w:val="en-US" w:eastAsia="zh-CN"/>
              </w:rPr>
              <w:t>√</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肃政办发（2022）18号</w:t>
            </w:r>
          </w:p>
        </w:tc>
        <w:tc>
          <w:tcPr>
            <w:tcW w:w="33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肃南县县属国有企业国有资产监督管理办法</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Arial" w:hAnsi="Arial" w:eastAsia="仿宋_GB2312" w:cs="Arial"/>
                <w:b w:val="0"/>
                <w:bCs/>
                <w:color w:val="auto"/>
                <w:spacing w:val="0"/>
                <w:position w:val="0"/>
                <w:sz w:val="24"/>
                <w:szCs w:val="24"/>
                <w:lang w:val="en-US" w:eastAsia="zh-CN"/>
              </w:rPr>
              <w:t>√</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肃政办发（2022）49号</w:t>
            </w:r>
          </w:p>
        </w:tc>
        <w:tc>
          <w:tcPr>
            <w:tcW w:w="33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肃南县临时救助实施细则</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Arial" w:hAnsi="Arial" w:eastAsia="仿宋_GB2312" w:cs="Arial"/>
                <w:b w:val="0"/>
                <w:bCs/>
                <w:color w:val="auto"/>
                <w:spacing w:val="0"/>
                <w:position w:val="0"/>
                <w:sz w:val="24"/>
                <w:szCs w:val="24"/>
                <w:lang w:val="en-US" w:eastAsia="zh-CN"/>
              </w:rPr>
              <w:t>√</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Arial" w:hAnsi="Arial" w:eastAsia="仿宋_GB2312" w:cs="Arial"/>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肃政办发（2022）79号</w:t>
            </w:r>
          </w:p>
        </w:tc>
        <w:tc>
          <w:tcPr>
            <w:tcW w:w="33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肃南县县属国有企业领导人员年薪制考核办法（试行）</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Arial" w:hAnsi="Arial" w:eastAsia="仿宋_GB2312" w:cs="Arial"/>
                <w:b w:val="0"/>
                <w:bCs/>
                <w:color w:val="auto"/>
                <w:spacing w:val="0"/>
                <w:position w:val="0"/>
                <w:sz w:val="24"/>
                <w:szCs w:val="24"/>
                <w:lang w:val="en-US" w:eastAsia="zh-CN"/>
              </w:rPr>
              <w:t>√</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肃政办发（2022）80号</w:t>
            </w:r>
          </w:p>
        </w:tc>
        <w:tc>
          <w:tcPr>
            <w:tcW w:w="33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肃南县县属国有企业领导人员薪酬管理办法</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Arial" w:hAnsi="Arial" w:eastAsia="仿宋_GB2312" w:cs="Arial"/>
                <w:b w:val="0"/>
                <w:bCs/>
                <w:color w:val="auto"/>
                <w:spacing w:val="0"/>
                <w:position w:val="0"/>
                <w:sz w:val="24"/>
                <w:szCs w:val="24"/>
                <w:lang w:val="en-US" w:eastAsia="zh-CN"/>
              </w:rPr>
              <w:t>√</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p>
      <w:pPr>
        <w:pStyle w:val="2"/>
        <w:rPr>
          <w:rFonts w:hint="default" w:ascii="仿宋_GB2312" w:hAnsi="仿宋_GB2312" w:eastAsia="仿宋_GB2312" w:cs="仿宋_GB2312"/>
          <w:b w:val="0"/>
          <w:bCs/>
          <w:color w:val="auto"/>
          <w:spacing w:val="0"/>
          <w:position w:val="0"/>
          <w:sz w:val="24"/>
          <w:szCs w:val="24"/>
          <w:lang w:val="en-US" w:eastAsia="zh-CN"/>
        </w:rPr>
      </w:pPr>
    </w:p>
    <w:p>
      <w:pPr>
        <w:rPr>
          <w:rFonts w:hint="default" w:ascii="仿宋_GB2312" w:hAnsi="仿宋_GB2312" w:eastAsia="仿宋_GB2312" w:cs="仿宋_GB2312"/>
          <w:b w:val="0"/>
          <w:bCs/>
          <w:color w:val="auto"/>
          <w:spacing w:val="0"/>
          <w:position w:val="0"/>
          <w:sz w:val="24"/>
          <w:szCs w:val="24"/>
          <w:lang w:val="en-US" w:eastAsia="zh-CN"/>
        </w:rPr>
      </w:pPr>
    </w:p>
    <w:p>
      <w:pPr>
        <w:pStyle w:val="2"/>
        <w:rPr>
          <w:rFonts w:hint="default" w:ascii="仿宋_GB2312" w:hAnsi="仿宋_GB2312" w:eastAsia="仿宋_GB2312" w:cs="仿宋_GB2312"/>
          <w:b w:val="0"/>
          <w:bCs/>
          <w:color w:val="auto"/>
          <w:spacing w:val="0"/>
          <w:position w:val="0"/>
          <w:sz w:val="24"/>
          <w:szCs w:val="24"/>
          <w:lang w:val="en-US" w:eastAsia="zh-CN"/>
        </w:rPr>
      </w:pPr>
    </w:p>
    <w:p>
      <w:pPr>
        <w:rPr>
          <w:rFonts w:hint="default" w:ascii="仿宋_GB2312" w:hAnsi="仿宋_GB2312" w:eastAsia="仿宋_GB2312" w:cs="仿宋_GB2312"/>
          <w:b w:val="0"/>
          <w:bCs/>
          <w:color w:val="auto"/>
          <w:spacing w:val="0"/>
          <w:position w:val="0"/>
          <w:sz w:val="24"/>
          <w:szCs w:val="24"/>
          <w:lang w:val="en-US" w:eastAsia="zh-CN"/>
        </w:rPr>
      </w:pPr>
    </w:p>
    <w:p>
      <w:pPr>
        <w:pStyle w:val="2"/>
        <w:rPr>
          <w:rFonts w:hint="default" w:ascii="仿宋_GB2312" w:hAnsi="仿宋_GB2312" w:eastAsia="仿宋_GB2312" w:cs="仿宋_GB2312"/>
          <w:b w:val="0"/>
          <w:bCs/>
          <w:color w:val="auto"/>
          <w:spacing w:val="0"/>
          <w:position w:val="0"/>
          <w:sz w:val="24"/>
          <w:szCs w:val="24"/>
          <w:lang w:val="en-US" w:eastAsia="zh-CN"/>
        </w:rPr>
      </w:pPr>
    </w:p>
    <w:p>
      <w:pPr>
        <w:rPr>
          <w:rFonts w:hint="default" w:ascii="仿宋_GB2312" w:hAnsi="仿宋_GB2312" w:eastAsia="仿宋_GB2312" w:cs="仿宋_GB2312"/>
          <w:b w:val="0"/>
          <w:bCs/>
          <w:color w:val="auto"/>
          <w:spacing w:val="0"/>
          <w:position w:val="0"/>
          <w:sz w:val="24"/>
          <w:szCs w:val="24"/>
          <w:lang w:val="en-US" w:eastAsia="zh-CN"/>
        </w:rPr>
      </w:pPr>
    </w:p>
    <w:p>
      <w:pPr>
        <w:pStyle w:val="2"/>
        <w:rPr>
          <w:rFonts w:hint="default" w:ascii="仿宋_GB2312" w:hAnsi="仿宋_GB2312" w:eastAsia="仿宋_GB2312" w:cs="仿宋_GB2312"/>
          <w:b w:val="0"/>
          <w:bCs/>
          <w:color w:val="auto"/>
          <w:spacing w:val="0"/>
          <w:position w:val="0"/>
          <w:sz w:val="24"/>
          <w:szCs w:val="24"/>
          <w:lang w:val="en-US" w:eastAsia="zh-CN"/>
        </w:rPr>
      </w:pPr>
    </w:p>
    <w:p>
      <w:pPr>
        <w:rPr>
          <w:rFonts w:hint="default" w:ascii="仿宋_GB2312" w:hAnsi="仿宋_GB2312" w:eastAsia="仿宋_GB2312" w:cs="仿宋_GB2312"/>
          <w:b w:val="0"/>
          <w:bCs/>
          <w:color w:val="auto"/>
          <w:spacing w:val="0"/>
          <w:position w:val="0"/>
          <w:sz w:val="24"/>
          <w:szCs w:val="24"/>
          <w:lang w:val="en-US" w:eastAsia="zh-CN"/>
        </w:rPr>
      </w:pPr>
    </w:p>
    <w:p>
      <w:pPr>
        <w:pStyle w:val="2"/>
        <w:rPr>
          <w:rFonts w:hint="default" w:ascii="仿宋_GB2312" w:hAnsi="仿宋_GB2312" w:eastAsia="仿宋_GB2312" w:cs="仿宋_GB2312"/>
          <w:b w:val="0"/>
          <w:bCs/>
          <w:color w:val="auto"/>
          <w:spacing w:val="0"/>
          <w:position w:val="0"/>
          <w:sz w:val="24"/>
          <w:szCs w:val="24"/>
          <w:lang w:val="en-US" w:eastAsia="zh-CN"/>
        </w:rPr>
      </w:pPr>
    </w:p>
    <w:p>
      <w:pPr>
        <w:rPr>
          <w:rFonts w:hint="default" w:ascii="仿宋_GB2312" w:hAnsi="仿宋_GB2312" w:eastAsia="仿宋_GB2312" w:cs="仿宋_GB2312"/>
          <w:b w:val="0"/>
          <w:bCs/>
          <w:color w:val="auto"/>
          <w:spacing w:val="0"/>
          <w:position w:val="0"/>
          <w:sz w:val="24"/>
          <w:szCs w:val="24"/>
          <w:lang w:val="en-US" w:eastAsia="zh-CN"/>
        </w:rPr>
      </w:pPr>
    </w:p>
    <w:p>
      <w:pPr>
        <w:pStyle w:val="2"/>
        <w:rPr>
          <w:rFonts w:hint="default"/>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right="0" w:rightChars="0"/>
        <w:jc w:val="both"/>
        <w:outlineLvl w:val="0"/>
        <w:rPr>
          <w:rFonts w:hint="eastAsia" w:ascii="黑体" w:hAnsi="黑体" w:eastAsia="黑体" w:cs="黑体"/>
          <w:b w:val="0"/>
          <w:bCs/>
          <w:color w:val="auto"/>
          <w:spacing w:val="0"/>
          <w:kern w:val="2"/>
          <w:position w:val="0"/>
          <w:sz w:val="32"/>
          <w:szCs w:val="32"/>
          <w:lang w:val="en-US" w:eastAsia="zh-CN" w:bidi="ar"/>
        </w:rPr>
      </w:pPr>
      <w:bookmarkStart w:id="17" w:name="_Toc16889"/>
      <w:r>
        <w:rPr>
          <w:rFonts w:hint="eastAsia" w:ascii="黑体" w:hAnsi="黑体" w:eastAsia="黑体" w:cs="黑体"/>
          <w:b w:val="0"/>
          <w:bCs/>
          <w:color w:val="auto"/>
          <w:spacing w:val="0"/>
          <w:kern w:val="2"/>
          <w:position w:val="0"/>
          <w:sz w:val="32"/>
          <w:szCs w:val="32"/>
          <w:lang w:val="en-US" w:eastAsia="zh-CN" w:bidi="ar"/>
        </w:rPr>
        <w:t>附件二：</w:t>
      </w:r>
      <w:bookmarkEnd w:id="17"/>
      <w:r>
        <w:rPr>
          <w:rFonts w:hint="eastAsia" w:ascii="黑体" w:hAnsi="黑体" w:eastAsia="黑体" w:cs="黑体"/>
          <w:b w:val="0"/>
          <w:bCs/>
          <w:color w:val="auto"/>
          <w:spacing w:val="0"/>
          <w:kern w:val="2"/>
          <w:position w:val="0"/>
          <w:sz w:val="32"/>
          <w:szCs w:val="32"/>
          <w:lang w:val="en-US" w:eastAsia="zh-CN" w:bidi="ar"/>
        </w:rPr>
        <w:t>肃南县政策措施评估表</w:t>
      </w: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lang w:val="en-US" w:eastAsia="zh-CN"/>
        </w:rPr>
      </w:pPr>
      <w:bookmarkStart w:id="18" w:name="_Toc26904"/>
      <w:bookmarkStart w:id="19" w:name="_Toc31492"/>
      <w:r>
        <w:rPr>
          <w:rFonts w:hint="eastAsia" w:ascii="黑体" w:hAnsi="黑体" w:eastAsia="黑体" w:cs="黑体"/>
          <w:b w:val="0"/>
          <w:bCs/>
          <w:color w:val="auto"/>
          <w:spacing w:val="0"/>
          <w:kern w:val="2"/>
          <w:position w:val="0"/>
          <w:sz w:val="28"/>
          <w:szCs w:val="30"/>
          <w:lang w:val="en-US" w:eastAsia="zh-CN" w:bidi="ar"/>
        </w:rPr>
        <w:t>公平竞争第三方审查表</w:t>
      </w:r>
      <w:bookmarkEnd w:id="18"/>
      <w:bookmarkEnd w:id="19"/>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肃南县县属国有企业领导人员薪酬管理办法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政办发（2022）80号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3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7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本文件属于内部人员考核管理办法，不涉及市场主体及经济活动。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pPr>
      <w:bookmarkStart w:id="20" w:name="_Toc2252"/>
      <w:r>
        <w:rPr>
          <w:rFonts w:hint="eastAsia" w:ascii="黑体" w:hAnsi="黑体" w:eastAsia="黑体" w:cs="黑体"/>
          <w:b w:val="0"/>
          <w:bCs/>
          <w:color w:val="auto"/>
          <w:spacing w:val="0"/>
          <w:kern w:val="2"/>
          <w:position w:val="0"/>
          <w:sz w:val="28"/>
          <w:szCs w:val="30"/>
          <w:lang w:val="en-US" w:eastAsia="zh-CN" w:bidi="ar"/>
        </w:rPr>
        <w:t>公平竞争第三方审查表</w:t>
      </w:r>
      <w:bookmarkEnd w:id="20"/>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肃南县县属国有企业领导人员年薪制考核办法（试行）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政办发（2022）79号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15"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7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本文件属于内部人员考核管理办法，不涉及市场主体及经济活动。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color w:val="auto"/>
        </w:rPr>
      </w:pPr>
      <w:bookmarkStart w:id="21" w:name="_Toc10344"/>
      <w:r>
        <w:rPr>
          <w:rFonts w:hint="eastAsia" w:ascii="黑体" w:hAnsi="黑体" w:eastAsia="黑体" w:cs="黑体"/>
          <w:b w:val="0"/>
          <w:bCs/>
          <w:color w:val="auto"/>
          <w:spacing w:val="0"/>
          <w:kern w:val="2"/>
          <w:position w:val="0"/>
          <w:sz w:val="28"/>
          <w:szCs w:val="30"/>
          <w:lang w:val="en-US" w:eastAsia="zh-CN" w:bidi="ar"/>
        </w:rPr>
        <w:t>公平竞争第三方审查表</w:t>
      </w:r>
      <w:bookmarkEnd w:id="21"/>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782"/>
        <w:gridCol w:w="13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肃南县临时救助实施细则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政办发（2022）49号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3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无违反公平竞争审查标准的内容。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pPr>
      <w:bookmarkStart w:id="22" w:name="_Toc21416"/>
      <w:r>
        <w:rPr>
          <w:rFonts w:hint="eastAsia" w:ascii="黑体" w:hAnsi="黑体" w:eastAsia="黑体" w:cs="黑体"/>
          <w:b w:val="0"/>
          <w:bCs/>
          <w:color w:val="auto"/>
          <w:spacing w:val="0"/>
          <w:kern w:val="2"/>
          <w:position w:val="0"/>
          <w:sz w:val="28"/>
          <w:szCs w:val="30"/>
          <w:lang w:val="en-US" w:eastAsia="zh-CN" w:bidi="ar"/>
        </w:rPr>
        <w:t>公平竞争第三方审查表</w:t>
      </w:r>
      <w:bookmarkEnd w:id="22"/>
    </w:p>
    <w:p>
      <w:pPr>
        <w:rPr>
          <w:color w:val="auto"/>
        </w:rPr>
      </w:pPr>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5074"/>
        <w:gridCol w:w="10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肃南县县属国有企业国有资产监督管理办法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政办发（2022）18号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0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4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不涉及市场主体经济活动。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color w:val="auto"/>
        </w:rPr>
      </w:pPr>
      <w:bookmarkStart w:id="23" w:name="_Toc17632"/>
      <w:r>
        <w:rPr>
          <w:rFonts w:hint="eastAsia" w:ascii="黑体" w:hAnsi="黑体" w:eastAsia="黑体" w:cs="黑体"/>
          <w:b w:val="0"/>
          <w:bCs/>
          <w:color w:val="auto"/>
          <w:spacing w:val="0"/>
          <w:kern w:val="2"/>
          <w:position w:val="0"/>
          <w:sz w:val="28"/>
          <w:szCs w:val="30"/>
          <w:lang w:val="en-US" w:eastAsia="zh-CN" w:bidi="ar"/>
        </w:rPr>
        <w:t>公平竞争第三方审查表</w:t>
      </w:r>
      <w:bookmarkEnd w:id="23"/>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肃南县经济适用房上市交易管理办法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政办发（2019）129号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45"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6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该文件发布时间</w:t>
            </w:r>
            <w:r>
              <w:rPr>
                <w:rFonts w:hint="eastAsia" w:ascii="仿宋_GB2312" w:hAnsi="仿宋_GB2312" w:eastAsia="仿宋_GB2312" w:cs="仿宋_GB2312"/>
                <w:b w:val="0"/>
                <w:bCs/>
                <w:color w:val="auto"/>
                <w:spacing w:val="0"/>
                <w:position w:val="0"/>
                <w:sz w:val="24"/>
                <w:szCs w:val="24"/>
                <w:lang w:val="en-US" w:eastAsia="zh-CN"/>
              </w:rPr>
              <w:t>属于</w:t>
            </w:r>
            <w:r>
              <w:rPr>
                <w:rFonts w:hint="default" w:ascii="仿宋_GB2312" w:hAnsi="仿宋_GB2312" w:eastAsia="仿宋_GB2312" w:cs="仿宋_GB2312"/>
                <w:b w:val="0"/>
                <w:bCs/>
                <w:color w:val="auto"/>
                <w:spacing w:val="0"/>
                <w:position w:val="0"/>
                <w:sz w:val="24"/>
                <w:szCs w:val="24"/>
                <w:lang w:val="en-US" w:eastAsia="zh-CN"/>
              </w:rPr>
              <w:t>本单位自查</w:t>
            </w:r>
            <w:r>
              <w:rPr>
                <w:rFonts w:hint="eastAsia" w:ascii="仿宋_GB2312" w:hAnsi="仿宋_GB2312" w:eastAsia="仿宋_GB2312" w:cs="仿宋_GB2312"/>
                <w:b w:val="0"/>
                <w:bCs/>
                <w:color w:val="auto"/>
                <w:spacing w:val="0"/>
                <w:position w:val="0"/>
                <w:sz w:val="24"/>
                <w:szCs w:val="24"/>
                <w:lang w:val="en-US" w:eastAsia="zh-CN"/>
              </w:rPr>
              <w:t>范围</w:t>
            </w:r>
            <w:r>
              <w:rPr>
                <w:rFonts w:hint="default" w:ascii="仿宋_GB2312" w:hAnsi="仿宋_GB2312" w:eastAsia="仿宋_GB2312" w:cs="仿宋_GB2312"/>
                <w:b w:val="0"/>
                <w:bCs/>
                <w:color w:val="auto"/>
                <w:spacing w:val="0"/>
                <w:position w:val="0"/>
                <w:sz w:val="24"/>
                <w:szCs w:val="24"/>
                <w:lang w:val="en-US" w:eastAsia="zh-CN"/>
              </w:rPr>
              <w:t>，以自查报告为准。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color w:val="auto"/>
        </w:rPr>
      </w:pPr>
      <w:bookmarkStart w:id="24" w:name="_Toc9408"/>
      <w:r>
        <w:rPr>
          <w:rFonts w:hint="eastAsia" w:ascii="黑体" w:hAnsi="黑体" w:eastAsia="黑体" w:cs="黑体"/>
          <w:b w:val="0"/>
          <w:bCs/>
          <w:color w:val="auto"/>
          <w:spacing w:val="0"/>
          <w:kern w:val="2"/>
          <w:position w:val="0"/>
          <w:sz w:val="28"/>
          <w:szCs w:val="30"/>
          <w:lang w:val="en-US" w:eastAsia="zh-CN" w:bidi="ar"/>
        </w:rPr>
        <w:t>公平竞争第三方审查表</w:t>
      </w:r>
      <w:bookmarkEnd w:id="24"/>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肃南县城镇低收入居民采暖补助办法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政办发（2020）24号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5"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该文件发布时间</w:t>
            </w:r>
            <w:r>
              <w:rPr>
                <w:rFonts w:hint="eastAsia" w:ascii="仿宋_GB2312" w:hAnsi="仿宋_GB2312" w:eastAsia="仿宋_GB2312" w:cs="仿宋_GB2312"/>
                <w:b w:val="0"/>
                <w:bCs/>
                <w:color w:val="auto"/>
                <w:spacing w:val="0"/>
                <w:position w:val="0"/>
                <w:sz w:val="24"/>
                <w:szCs w:val="24"/>
                <w:lang w:val="en-US" w:eastAsia="zh-CN"/>
              </w:rPr>
              <w:t>属于</w:t>
            </w:r>
            <w:r>
              <w:rPr>
                <w:rFonts w:hint="default" w:ascii="仿宋_GB2312" w:hAnsi="仿宋_GB2312" w:eastAsia="仿宋_GB2312" w:cs="仿宋_GB2312"/>
                <w:b w:val="0"/>
                <w:bCs/>
                <w:color w:val="auto"/>
                <w:spacing w:val="0"/>
                <w:position w:val="0"/>
                <w:sz w:val="24"/>
                <w:szCs w:val="24"/>
                <w:lang w:val="en-US" w:eastAsia="zh-CN"/>
              </w:rPr>
              <w:t>本单位自查</w:t>
            </w:r>
            <w:r>
              <w:rPr>
                <w:rFonts w:hint="eastAsia" w:ascii="仿宋_GB2312" w:hAnsi="仿宋_GB2312" w:eastAsia="仿宋_GB2312" w:cs="仿宋_GB2312"/>
                <w:b w:val="0"/>
                <w:bCs/>
                <w:color w:val="auto"/>
                <w:spacing w:val="0"/>
                <w:position w:val="0"/>
                <w:sz w:val="24"/>
                <w:szCs w:val="24"/>
                <w:lang w:val="en-US" w:eastAsia="zh-CN"/>
              </w:rPr>
              <w:t>范围</w:t>
            </w:r>
            <w:r>
              <w:rPr>
                <w:rFonts w:hint="default" w:ascii="仿宋_GB2312" w:hAnsi="仿宋_GB2312" w:eastAsia="仿宋_GB2312" w:cs="仿宋_GB2312"/>
                <w:b w:val="0"/>
                <w:bCs/>
                <w:color w:val="auto"/>
                <w:spacing w:val="0"/>
                <w:position w:val="0"/>
                <w:sz w:val="24"/>
                <w:szCs w:val="24"/>
                <w:lang w:val="en-US" w:eastAsia="zh-CN"/>
              </w:rPr>
              <w:t>，以自查报告为准。</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color w:val="auto"/>
        </w:rPr>
      </w:pPr>
      <w:bookmarkStart w:id="25" w:name="_Toc1338"/>
      <w:r>
        <w:rPr>
          <w:rFonts w:hint="eastAsia" w:ascii="黑体" w:hAnsi="黑体" w:eastAsia="黑体" w:cs="黑体"/>
          <w:b w:val="0"/>
          <w:bCs/>
          <w:color w:val="auto"/>
          <w:spacing w:val="0"/>
          <w:kern w:val="2"/>
          <w:position w:val="0"/>
          <w:sz w:val="28"/>
          <w:szCs w:val="30"/>
          <w:lang w:val="en-US" w:eastAsia="zh-CN" w:bidi="ar"/>
        </w:rPr>
        <w:t>公平竞争第三方审查表</w:t>
      </w:r>
      <w:bookmarkEnd w:id="25"/>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5032"/>
        <w:gridCol w:w="11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肃南县非物质文化遗产代表性传承人认定与管理办法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政办发（2020）44号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78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该文件发布时间</w:t>
            </w:r>
            <w:r>
              <w:rPr>
                <w:rFonts w:hint="eastAsia" w:ascii="仿宋_GB2312" w:hAnsi="仿宋_GB2312" w:eastAsia="仿宋_GB2312" w:cs="仿宋_GB2312"/>
                <w:b w:val="0"/>
                <w:bCs/>
                <w:color w:val="auto"/>
                <w:spacing w:val="0"/>
                <w:position w:val="0"/>
                <w:sz w:val="24"/>
                <w:szCs w:val="24"/>
                <w:lang w:val="en-US" w:eastAsia="zh-CN"/>
              </w:rPr>
              <w:t>属于</w:t>
            </w:r>
            <w:r>
              <w:rPr>
                <w:rFonts w:hint="default" w:ascii="仿宋_GB2312" w:hAnsi="仿宋_GB2312" w:eastAsia="仿宋_GB2312" w:cs="仿宋_GB2312"/>
                <w:b w:val="0"/>
                <w:bCs/>
                <w:color w:val="auto"/>
                <w:spacing w:val="0"/>
                <w:position w:val="0"/>
                <w:sz w:val="24"/>
                <w:szCs w:val="24"/>
                <w:lang w:val="en-US" w:eastAsia="zh-CN"/>
              </w:rPr>
              <w:t>本单位自查</w:t>
            </w:r>
            <w:r>
              <w:rPr>
                <w:rFonts w:hint="eastAsia" w:ascii="仿宋_GB2312" w:hAnsi="仿宋_GB2312" w:eastAsia="仿宋_GB2312" w:cs="仿宋_GB2312"/>
                <w:b w:val="0"/>
                <w:bCs/>
                <w:color w:val="auto"/>
                <w:spacing w:val="0"/>
                <w:position w:val="0"/>
                <w:sz w:val="24"/>
                <w:szCs w:val="24"/>
                <w:lang w:val="en-US" w:eastAsia="zh-CN"/>
              </w:rPr>
              <w:t>范围</w:t>
            </w:r>
            <w:r>
              <w:rPr>
                <w:rFonts w:hint="default" w:ascii="仿宋_GB2312" w:hAnsi="仿宋_GB2312" w:eastAsia="仿宋_GB2312" w:cs="仿宋_GB2312"/>
                <w:b w:val="0"/>
                <w:bCs/>
                <w:color w:val="auto"/>
                <w:spacing w:val="0"/>
                <w:position w:val="0"/>
                <w:sz w:val="24"/>
                <w:szCs w:val="24"/>
                <w:lang w:val="en-US" w:eastAsia="zh-CN"/>
              </w:rPr>
              <w:t>，以自查报告为准。</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color w:val="auto"/>
        </w:rPr>
      </w:pPr>
      <w:bookmarkStart w:id="26" w:name="_Toc21355"/>
      <w:r>
        <w:rPr>
          <w:rFonts w:hint="eastAsia" w:ascii="黑体" w:hAnsi="黑体" w:eastAsia="黑体" w:cs="黑体"/>
          <w:b w:val="0"/>
          <w:bCs/>
          <w:color w:val="auto"/>
          <w:spacing w:val="0"/>
          <w:kern w:val="2"/>
          <w:position w:val="0"/>
          <w:sz w:val="28"/>
          <w:szCs w:val="30"/>
          <w:lang w:val="en-US" w:eastAsia="zh-CN" w:bidi="ar"/>
        </w:rPr>
        <w:t>公平竞争第三方审查表</w:t>
      </w:r>
      <w:bookmarkEnd w:id="26"/>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肃南县县属国有企业经营业绩绩效考核办法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肃政办发（2021）54号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肃南县人民政府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5"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8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该文件发布时间</w:t>
            </w:r>
            <w:r>
              <w:rPr>
                <w:rFonts w:hint="eastAsia" w:ascii="仿宋_GB2312" w:hAnsi="仿宋_GB2312" w:eastAsia="仿宋_GB2312" w:cs="仿宋_GB2312"/>
                <w:b w:val="0"/>
                <w:bCs/>
                <w:color w:val="auto"/>
                <w:spacing w:val="0"/>
                <w:position w:val="0"/>
                <w:sz w:val="24"/>
                <w:szCs w:val="24"/>
                <w:lang w:val="en-US" w:eastAsia="zh-CN"/>
              </w:rPr>
              <w:t>属于</w:t>
            </w:r>
            <w:r>
              <w:rPr>
                <w:rFonts w:hint="default" w:ascii="仿宋_GB2312" w:hAnsi="仿宋_GB2312" w:eastAsia="仿宋_GB2312" w:cs="仿宋_GB2312"/>
                <w:b w:val="0"/>
                <w:bCs/>
                <w:color w:val="auto"/>
                <w:spacing w:val="0"/>
                <w:position w:val="0"/>
                <w:sz w:val="24"/>
                <w:szCs w:val="24"/>
                <w:lang w:val="en-US" w:eastAsia="zh-CN"/>
              </w:rPr>
              <w:t>本单位自查</w:t>
            </w:r>
            <w:r>
              <w:rPr>
                <w:rFonts w:hint="eastAsia" w:ascii="仿宋_GB2312" w:hAnsi="仿宋_GB2312" w:eastAsia="仿宋_GB2312" w:cs="仿宋_GB2312"/>
                <w:b w:val="0"/>
                <w:bCs/>
                <w:color w:val="auto"/>
                <w:spacing w:val="0"/>
                <w:position w:val="0"/>
                <w:sz w:val="24"/>
                <w:szCs w:val="24"/>
                <w:lang w:val="en-US" w:eastAsia="zh-CN"/>
              </w:rPr>
              <w:t>范围</w:t>
            </w:r>
            <w:r>
              <w:rPr>
                <w:rFonts w:hint="default" w:ascii="仿宋_GB2312" w:hAnsi="仿宋_GB2312" w:eastAsia="仿宋_GB2312" w:cs="仿宋_GB2312"/>
                <w:b w:val="0"/>
                <w:bCs/>
                <w:color w:val="auto"/>
                <w:spacing w:val="0"/>
                <w:position w:val="0"/>
                <w:sz w:val="24"/>
                <w:szCs w:val="24"/>
                <w:lang w:val="en-US" w:eastAsia="zh-CN"/>
              </w:rPr>
              <w:t>，以自查报告为准。</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kinsoku/>
        <w:wordWrap/>
        <w:overflowPunct/>
        <w:topLinePunct w:val="0"/>
        <w:bidi w:val="0"/>
        <w:spacing w:beforeAutospacing="0" w:line="540" w:lineRule="exact"/>
        <w:ind w:left="0" w:leftChars="0" w:right="0" w:firstLine="420" w:firstLineChars="200"/>
        <w:jc w:val="both"/>
        <w:textAlignment w:val="auto"/>
        <w:rPr>
          <w:color w:val="auto"/>
          <w:spacing w:val="0"/>
          <w:position w:val="0"/>
        </w:rPr>
      </w:pPr>
    </w:p>
    <w:p>
      <w:pPr>
        <w:keepNext w:val="0"/>
        <w:keepLines w:val="0"/>
        <w:pageBreakBefore w:val="0"/>
        <w:kinsoku/>
        <w:wordWrap/>
        <w:overflowPunct/>
        <w:topLinePunct w:val="0"/>
        <w:bidi w:val="0"/>
        <w:spacing w:beforeAutospacing="0" w:line="540" w:lineRule="exact"/>
        <w:ind w:left="0" w:leftChars="0" w:right="0" w:firstLine="420" w:firstLineChars="200"/>
        <w:jc w:val="both"/>
        <w:textAlignment w:val="auto"/>
        <w:rPr>
          <w:color w:val="auto"/>
          <w:spacing w:val="0"/>
          <w:position w:val="0"/>
        </w:rPr>
      </w:pPr>
    </w:p>
    <w:sectPr>
      <w:footerReference r:id="rId3" w:type="default"/>
      <w:pgSz w:w="11906" w:h="16838"/>
      <w:pgMar w:top="2098" w:right="1474" w:bottom="1984" w:left="1587" w:header="851" w:footer="1417"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5MWRhY2EyYjlmMzEyNDhmMDc0NDFiMGYxNjM2YjkifQ=="/>
  </w:docVars>
  <w:rsids>
    <w:rsidRoot w:val="00000000"/>
    <w:rsid w:val="0DEE0AD8"/>
    <w:rsid w:val="159860B7"/>
    <w:rsid w:val="163B636A"/>
    <w:rsid w:val="1A5F7931"/>
    <w:rsid w:val="238452AF"/>
    <w:rsid w:val="24F609FE"/>
    <w:rsid w:val="268A595D"/>
    <w:rsid w:val="28F61F68"/>
    <w:rsid w:val="29A33DE7"/>
    <w:rsid w:val="2D3D6866"/>
    <w:rsid w:val="33DD51C6"/>
    <w:rsid w:val="38A82C47"/>
    <w:rsid w:val="38C11CF6"/>
    <w:rsid w:val="3A724054"/>
    <w:rsid w:val="3E455BB2"/>
    <w:rsid w:val="3FF1D284"/>
    <w:rsid w:val="440046EA"/>
    <w:rsid w:val="49B22A32"/>
    <w:rsid w:val="49C146C6"/>
    <w:rsid w:val="4A98753E"/>
    <w:rsid w:val="4DDB297A"/>
    <w:rsid w:val="51B21AF1"/>
    <w:rsid w:val="524D115D"/>
    <w:rsid w:val="5AE108DA"/>
    <w:rsid w:val="5E3F6A2D"/>
    <w:rsid w:val="6338B9A5"/>
    <w:rsid w:val="675F4D4B"/>
    <w:rsid w:val="686B5B61"/>
    <w:rsid w:val="6C1D4D15"/>
    <w:rsid w:val="6D47DBC1"/>
    <w:rsid w:val="6EB03022"/>
    <w:rsid w:val="735509E3"/>
    <w:rsid w:val="77559A1F"/>
    <w:rsid w:val="77FF7D7A"/>
    <w:rsid w:val="7A8D63E3"/>
    <w:rsid w:val="7CC43EF5"/>
    <w:rsid w:val="7E415271"/>
    <w:rsid w:val="7F4B559E"/>
    <w:rsid w:val="A7FEA45F"/>
    <w:rsid w:val="BE7102A2"/>
    <w:rsid w:val="D7FE223C"/>
    <w:rsid w:val="DFE3AA11"/>
    <w:rsid w:val="E5EB3F62"/>
    <w:rsid w:val="F7E26AF3"/>
    <w:rsid w:val="FBAF87F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4">
    <w:name w:val="Normal Indent"/>
    <w:basedOn w:val="1"/>
    <w:qFormat/>
    <w:uiPriority w:val="99"/>
    <w:pPr>
      <w:ind w:firstLine="420"/>
    </w:pPr>
  </w:style>
  <w:style w:type="paragraph" w:styleId="5">
    <w:name w:val="annotation text"/>
    <w:basedOn w:val="1"/>
    <w:next w:val="6"/>
    <w:qFormat/>
    <w:uiPriority w:val="0"/>
    <w:pPr>
      <w:jc w:val="left"/>
    </w:pPr>
  </w:style>
  <w:style w:type="paragraph" w:styleId="6">
    <w:name w:val="Balloon Text"/>
    <w:basedOn w:val="1"/>
    <w:qFormat/>
    <w:uiPriority w:val="0"/>
    <w:rPr>
      <w:sz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iPriority w:val="0"/>
  </w:style>
  <w:style w:type="paragraph" w:styleId="10">
    <w:name w:val="toc 2"/>
    <w:basedOn w:val="1"/>
    <w:next w:val="1"/>
    <w:uiPriority w:val="0"/>
    <w:pPr>
      <w:ind w:left="420" w:leftChars="200"/>
    </w:pPr>
  </w:style>
  <w:style w:type="paragraph" w:styleId="11">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15">
    <w:name w:val="10"/>
    <w:basedOn w:val="14"/>
    <w:qFormat/>
    <w:uiPriority w:val="0"/>
    <w:rPr>
      <w:rFonts w:hint="default" w:ascii="Calibri" w:hAnsi="Calibri" w:cs="Calibri"/>
    </w:rPr>
  </w:style>
  <w:style w:type="character" w:customStyle="1" w:styleId="16">
    <w:name w:val="15"/>
    <w:basedOn w:val="14"/>
    <w:qFormat/>
    <w:uiPriority w:val="0"/>
    <w:rPr>
      <w:rFonts w:hint="default" w:ascii="Calibri" w:hAnsi="Calibri" w:cs="Times New Roman"/>
    </w:rPr>
  </w:style>
  <w:style w:type="paragraph" w:customStyle="1" w:styleId="17">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Words>10870</Words>
  <Characters>11044</Characters>
  <Lines>1</Lines>
  <Paragraphs>1</Paragraphs>
  <TotalTime>5</TotalTime>
  <ScaleCrop>false</ScaleCrop>
  <LinksUpToDate>false</LinksUpToDate>
  <CharactersWithSpaces>11153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2023-03-24T04:25:00Z</dcterms:created>
  <dc:creator>笑笑妈</dc:creator>
  <cp:lastModifiedBy>咨询师催眠师--静静地想你</cp:lastModifiedBy>
  <dcterms:modified xsi:type="dcterms:W3CDTF">2023-06-23T15:14:11Z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B47011B4FCDB452F82BDE4A2996FF927</vt:lpwstr>
  </property>
</Properties>
</file>