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sdt>
      <w:sdtPr>
        <w:rPr>
          <w:rFonts w:hint="eastAsia" w:ascii="方正小标宋简体" w:hAnsi="方正小标宋简体" w:eastAsia="方正小标宋简体" w:cs="方正小标宋简体"/>
          <w:kern w:val="2"/>
          <w:sz w:val="36"/>
          <w:szCs w:val="36"/>
          <w:lang w:val="en-US" w:eastAsia="zh-CN" w:bidi="ar-SA"/>
        </w:rPr>
        <w:id w:val="147483031"/>
        <w15:color w:val="DBDBDB"/>
        <w:docPartObj>
          <w:docPartGallery w:val="Table of Contents"/>
          <w:docPartUnique/>
        </w:docPartObj>
      </w:sdtPr>
      <w:sdtEndPr>
        <w:rPr>
          <w:rFonts w:hint="eastAsia" w:ascii="黑体" w:hAnsi="黑体" w:eastAsia="黑体" w:cs="黑体"/>
          <w:b/>
          <w:bCs/>
          <w:color w:val="auto"/>
          <w:spacing w:val="0"/>
          <w:kern w:val="2"/>
          <w:position w:val="0"/>
          <w:sz w:val="21"/>
          <w:szCs w:val="32"/>
          <w:lang w:val="en-US" w:eastAsia="zh-CN" w:bidi="ar"/>
        </w:rPr>
      </w:sdtEndPr>
      <w:sdtContent>
        <w:p>
          <w:pPr>
            <w:spacing w:before="0" w:beforeLines="0" w:after="0" w:afterLines="0" w:line="240" w:lineRule="auto"/>
            <w:ind w:left="0" w:leftChars="0" w:right="0" w:rightChars="0" w:firstLine="0" w:firstLineChars="0"/>
            <w:jc w:val="cente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目</w:t>
          </w:r>
          <w:r>
            <w:rPr>
              <w:rFonts w:hint="eastAsia" w:ascii="方正小标宋简体" w:hAnsi="方正小标宋简体" w:eastAsia="方正小标宋简体" w:cs="方正小标宋简体"/>
              <w:sz w:val="36"/>
              <w:szCs w:val="36"/>
              <w:lang w:val="en-US" w:eastAsia="zh-CN"/>
            </w:rPr>
            <w:t xml:space="preserve">  </w:t>
          </w:r>
          <w:r>
            <w:rPr>
              <w:rFonts w:hint="eastAsia" w:ascii="方正小标宋简体" w:hAnsi="方正小标宋简体" w:eastAsia="方正小标宋简体" w:cs="方正小标宋简体"/>
              <w:sz w:val="36"/>
              <w:szCs w:val="36"/>
            </w:rPr>
            <w:t>录</w:t>
          </w:r>
        </w:p>
        <w:p>
          <w:pPr>
            <w:pStyle w:val="19"/>
            <w:tabs>
              <w:tab w:val="right" w:leader="dot" w:pos="8845"/>
            </w:tabs>
            <w:rPr>
              <w:rFonts w:hint="eastAsia" w:ascii="仿宋_GB2312" w:hAnsi="仿宋_GB2312" w:eastAsia="仿宋_GB2312" w:cs="仿宋_GB2312"/>
              <w:b/>
              <w:sz w:val="32"/>
              <w:szCs w:val="32"/>
            </w:rPr>
          </w:pPr>
          <w:r>
            <w:rPr>
              <w:rFonts w:hint="eastAsia" w:ascii="仿宋_GB2312" w:hAnsi="仿宋_GB2312" w:eastAsia="仿宋_GB2312" w:cs="仿宋_GB2312"/>
              <w:b w:val="0"/>
              <w:bCs/>
              <w:color w:val="auto"/>
              <w:spacing w:val="0"/>
              <w:kern w:val="2"/>
              <w:position w:val="0"/>
              <w:sz w:val="32"/>
              <w:szCs w:val="32"/>
              <w:lang w:val="en-US" w:eastAsia="zh-CN" w:bidi="ar"/>
            </w:rPr>
            <w:fldChar w:fldCharType="begin"/>
          </w:r>
          <w:r>
            <w:rPr>
              <w:rFonts w:hint="eastAsia" w:ascii="仿宋_GB2312" w:hAnsi="仿宋_GB2312" w:eastAsia="仿宋_GB2312" w:cs="仿宋_GB2312"/>
              <w:b w:val="0"/>
              <w:bCs/>
              <w:color w:val="auto"/>
              <w:spacing w:val="0"/>
              <w:kern w:val="2"/>
              <w:position w:val="0"/>
              <w:sz w:val="32"/>
              <w:szCs w:val="32"/>
              <w:lang w:val="en-US" w:eastAsia="zh-CN" w:bidi="ar"/>
            </w:rPr>
            <w:instrText xml:space="preserve">TOC \o "1-2" \h \u </w:instrText>
          </w:r>
          <w:r>
            <w:rPr>
              <w:rFonts w:hint="eastAsia" w:ascii="仿宋_GB2312" w:hAnsi="仿宋_GB2312" w:eastAsia="仿宋_GB2312" w:cs="仿宋_GB2312"/>
              <w:b w:val="0"/>
              <w:bCs/>
              <w:color w:val="auto"/>
              <w:spacing w:val="0"/>
              <w:kern w:val="2"/>
              <w:position w:val="0"/>
              <w:sz w:val="32"/>
              <w:szCs w:val="32"/>
              <w:lang w:val="en-US" w:eastAsia="zh-CN" w:bidi="ar"/>
            </w:rPr>
            <w:fldChar w:fldCharType="separate"/>
          </w:r>
          <w:r>
            <w:rPr>
              <w:rFonts w:hint="eastAsia" w:ascii="仿宋_GB2312" w:hAnsi="仿宋_GB2312" w:eastAsia="仿宋_GB2312" w:cs="仿宋_GB2312"/>
              <w:b/>
              <w:bCs/>
              <w:color w:val="auto"/>
              <w:spacing w:val="0"/>
              <w:kern w:val="2"/>
              <w:position w:val="0"/>
              <w:sz w:val="32"/>
              <w:szCs w:val="32"/>
              <w:lang w:val="en-US" w:eastAsia="zh-CN" w:bidi="ar"/>
            </w:rPr>
            <w:fldChar w:fldCharType="begin"/>
          </w:r>
          <w:r>
            <w:rPr>
              <w:rFonts w:hint="eastAsia" w:ascii="仿宋_GB2312" w:hAnsi="仿宋_GB2312" w:eastAsia="仿宋_GB2312" w:cs="仿宋_GB2312"/>
              <w:b/>
              <w:bCs/>
              <w:spacing w:val="0"/>
              <w:kern w:val="2"/>
              <w:position w:val="0"/>
              <w:sz w:val="32"/>
              <w:szCs w:val="32"/>
              <w:lang w:val="en-US" w:eastAsia="zh-CN" w:bidi="ar"/>
            </w:rPr>
            <w:instrText xml:space="preserve"> HYPERLINK \l _Toc14722 </w:instrText>
          </w:r>
          <w:r>
            <w:rPr>
              <w:rFonts w:hint="eastAsia" w:ascii="仿宋_GB2312" w:hAnsi="仿宋_GB2312" w:eastAsia="仿宋_GB2312" w:cs="仿宋_GB2312"/>
              <w:b/>
              <w:bCs/>
              <w:spacing w:val="0"/>
              <w:kern w:val="2"/>
              <w:position w:val="0"/>
              <w:sz w:val="32"/>
              <w:szCs w:val="32"/>
              <w:lang w:val="en-US" w:eastAsia="zh-CN" w:bidi="ar"/>
            </w:rPr>
            <w:fldChar w:fldCharType="separate"/>
          </w:r>
          <w:r>
            <w:rPr>
              <w:rFonts w:hint="eastAsia" w:ascii="仿宋_GB2312" w:hAnsi="仿宋_GB2312" w:eastAsia="仿宋_GB2312" w:cs="仿宋_GB2312"/>
              <w:b/>
              <w:bCs/>
              <w:spacing w:val="0"/>
              <w:kern w:val="2"/>
              <w:position w:val="0"/>
              <w:sz w:val="32"/>
              <w:szCs w:val="32"/>
              <w:lang w:val="en-US" w:eastAsia="zh-CN" w:bidi="ar"/>
            </w:rPr>
            <w:t>一、总体情况</w:t>
          </w:r>
          <w:r>
            <w:rPr>
              <w:rFonts w:hint="eastAsia" w:ascii="仿宋_GB2312" w:hAnsi="仿宋_GB2312" w:eastAsia="仿宋_GB2312" w:cs="仿宋_GB2312"/>
              <w:b/>
              <w:sz w:val="32"/>
              <w:szCs w:val="32"/>
            </w:rPr>
            <w:tab/>
          </w: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PAGEREF _Toc14722 \h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rPr>
            <w:t>1</w:t>
          </w:r>
          <w:r>
            <w:rPr>
              <w:rFonts w:hint="eastAsia" w:ascii="仿宋_GB2312" w:hAnsi="仿宋_GB2312" w:eastAsia="仿宋_GB2312" w:cs="仿宋_GB2312"/>
              <w:b/>
              <w:sz w:val="32"/>
              <w:szCs w:val="32"/>
            </w:rPr>
            <w:fldChar w:fldCharType="end"/>
          </w:r>
          <w:r>
            <w:rPr>
              <w:rFonts w:hint="eastAsia" w:ascii="仿宋_GB2312" w:hAnsi="仿宋_GB2312" w:eastAsia="仿宋_GB2312" w:cs="仿宋_GB2312"/>
              <w:b/>
              <w:bCs/>
              <w:color w:val="auto"/>
              <w:spacing w:val="0"/>
              <w:kern w:val="2"/>
              <w:position w:val="0"/>
              <w:sz w:val="32"/>
              <w:szCs w:val="32"/>
              <w:lang w:val="en-US" w:eastAsia="zh-CN" w:bidi="ar"/>
            </w:rPr>
            <w:fldChar w:fldCharType="end"/>
          </w:r>
        </w:p>
        <w:p>
          <w:pPr>
            <w:pStyle w:val="20"/>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_Toc28983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spacing w:val="0"/>
              <w:kern w:val="2"/>
              <w:sz w:val="32"/>
              <w:szCs w:val="32"/>
              <w:lang w:val="en-US" w:eastAsia="zh-CN" w:bidi="ar"/>
            </w:rPr>
            <w:t>（一）政策措施评估情况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_Toc28983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20"/>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_Toc25736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spacing w:val="0"/>
              <w:kern w:val="2"/>
              <w:sz w:val="32"/>
              <w:szCs w:val="32"/>
              <w:lang w:val="en-US" w:eastAsia="zh-CN" w:bidi="ar"/>
            </w:rPr>
            <w:t>（二）审查清理情况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_Toc25736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20"/>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_Toc23540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bCs w:val="0"/>
              <w:spacing w:val="0"/>
              <w:kern w:val="2"/>
              <w:sz w:val="32"/>
              <w:szCs w:val="32"/>
              <w:lang w:val="en-US" w:eastAsia="zh-CN" w:bidi="ar"/>
            </w:rPr>
            <w:t>（三）工作部署落实情况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_Toc23540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19"/>
            <w:tabs>
              <w:tab w:val="right" w:leader="dot" w:pos="8845"/>
            </w:tabs>
            <w:rPr>
              <w:rFonts w:hint="eastAsia" w:ascii="仿宋_GB2312" w:hAnsi="仿宋_GB2312" w:eastAsia="仿宋_GB2312" w:cs="仿宋_GB2312"/>
              <w:b/>
              <w:sz w:val="32"/>
              <w:szCs w:val="32"/>
            </w:rPr>
          </w:pPr>
          <w:r>
            <w:rPr>
              <w:rFonts w:hint="eastAsia" w:ascii="仿宋_GB2312" w:hAnsi="仿宋_GB2312" w:eastAsia="仿宋_GB2312" w:cs="仿宋_GB2312"/>
              <w:b/>
              <w:bCs/>
              <w:color w:val="auto"/>
              <w:spacing w:val="0"/>
              <w:kern w:val="2"/>
              <w:position w:val="0"/>
              <w:sz w:val="32"/>
              <w:szCs w:val="32"/>
              <w:lang w:val="en-US" w:eastAsia="zh-CN" w:bidi="ar"/>
            </w:rPr>
            <w:fldChar w:fldCharType="begin"/>
          </w:r>
          <w:r>
            <w:rPr>
              <w:rFonts w:hint="eastAsia" w:ascii="仿宋_GB2312" w:hAnsi="仿宋_GB2312" w:eastAsia="仿宋_GB2312" w:cs="仿宋_GB2312"/>
              <w:b/>
              <w:bCs/>
              <w:spacing w:val="0"/>
              <w:kern w:val="2"/>
              <w:position w:val="0"/>
              <w:sz w:val="32"/>
              <w:szCs w:val="32"/>
              <w:lang w:val="en-US" w:eastAsia="zh-CN" w:bidi="ar"/>
            </w:rPr>
            <w:instrText xml:space="preserve"> HYPERLINK \l _Toc24452 </w:instrText>
          </w:r>
          <w:r>
            <w:rPr>
              <w:rFonts w:hint="eastAsia" w:ascii="仿宋_GB2312" w:hAnsi="仿宋_GB2312" w:eastAsia="仿宋_GB2312" w:cs="仿宋_GB2312"/>
              <w:b/>
              <w:bCs/>
              <w:spacing w:val="0"/>
              <w:kern w:val="2"/>
              <w:position w:val="0"/>
              <w:sz w:val="32"/>
              <w:szCs w:val="32"/>
              <w:lang w:val="en-US" w:eastAsia="zh-CN" w:bidi="ar"/>
            </w:rPr>
            <w:fldChar w:fldCharType="separate"/>
          </w:r>
          <w:r>
            <w:rPr>
              <w:rFonts w:hint="eastAsia" w:ascii="仿宋_GB2312" w:hAnsi="仿宋_GB2312" w:eastAsia="仿宋_GB2312" w:cs="仿宋_GB2312"/>
              <w:b/>
              <w:bCs/>
              <w:spacing w:val="0"/>
              <w:kern w:val="2"/>
              <w:position w:val="0"/>
              <w:sz w:val="32"/>
              <w:szCs w:val="32"/>
              <w:lang w:val="en-US" w:eastAsia="zh-CN" w:bidi="ar"/>
            </w:rPr>
            <w:t>二、评估发现的问题</w:t>
          </w:r>
          <w:r>
            <w:rPr>
              <w:rFonts w:hint="eastAsia" w:ascii="仿宋_GB2312" w:hAnsi="仿宋_GB2312" w:eastAsia="仿宋_GB2312" w:cs="仿宋_GB2312"/>
              <w:b/>
              <w:sz w:val="32"/>
              <w:szCs w:val="32"/>
            </w:rPr>
            <w:tab/>
          </w: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PAGEREF _Toc24452 \h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rPr>
            <w:t>3</w:t>
          </w:r>
          <w:r>
            <w:rPr>
              <w:rFonts w:hint="eastAsia" w:ascii="仿宋_GB2312" w:hAnsi="仿宋_GB2312" w:eastAsia="仿宋_GB2312" w:cs="仿宋_GB2312"/>
              <w:b/>
              <w:sz w:val="32"/>
              <w:szCs w:val="32"/>
            </w:rPr>
            <w:fldChar w:fldCharType="end"/>
          </w:r>
          <w:r>
            <w:rPr>
              <w:rFonts w:hint="eastAsia" w:ascii="仿宋_GB2312" w:hAnsi="仿宋_GB2312" w:eastAsia="仿宋_GB2312" w:cs="仿宋_GB2312"/>
              <w:b/>
              <w:bCs/>
              <w:color w:val="auto"/>
              <w:spacing w:val="0"/>
              <w:kern w:val="2"/>
              <w:position w:val="0"/>
              <w:sz w:val="32"/>
              <w:szCs w:val="32"/>
              <w:lang w:val="en-US" w:eastAsia="zh-CN" w:bidi="ar"/>
            </w:rPr>
            <w:fldChar w:fldCharType="end"/>
          </w:r>
        </w:p>
        <w:p>
          <w:pPr>
            <w:pStyle w:val="19"/>
            <w:tabs>
              <w:tab w:val="right" w:leader="dot" w:pos="8845"/>
            </w:tabs>
            <w:rPr>
              <w:rFonts w:hint="eastAsia" w:ascii="仿宋_GB2312" w:hAnsi="仿宋_GB2312" w:eastAsia="仿宋_GB2312" w:cs="仿宋_GB2312"/>
              <w:b/>
              <w:sz w:val="32"/>
              <w:szCs w:val="32"/>
            </w:rPr>
          </w:pPr>
          <w:r>
            <w:rPr>
              <w:rFonts w:hint="eastAsia" w:ascii="仿宋_GB2312" w:hAnsi="仿宋_GB2312" w:eastAsia="仿宋_GB2312" w:cs="仿宋_GB2312"/>
              <w:b/>
              <w:bCs/>
              <w:color w:val="auto"/>
              <w:spacing w:val="0"/>
              <w:kern w:val="2"/>
              <w:position w:val="0"/>
              <w:sz w:val="32"/>
              <w:szCs w:val="32"/>
              <w:lang w:val="en-US" w:eastAsia="zh-CN" w:bidi="ar"/>
            </w:rPr>
            <w:fldChar w:fldCharType="begin"/>
          </w:r>
          <w:r>
            <w:rPr>
              <w:rFonts w:hint="eastAsia" w:ascii="仿宋_GB2312" w:hAnsi="仿宋_GB2312" w:eastAsia="仿宋_GB2312" w:cs="仿宋_GB2312"/>
              <w:b/>
              <w:bCs/>
              <w:spacing w:val="0"/>
              <w:kern w:val="2"/>
              <w:position w:val="0"/>
              <w:sz w:val="32"/>
              <w:szCs w:val="32"/>
              <w:lang w:val="en-US" w:eastAsia="zh-CN" w:bidi="ar"/>
            </w:rPr>
            <w:instrText xml:space="preserve"> HYPERLINK \l _Toc15753 </w:instrText>
          </w:r>
          <w:r>
            <w:rPr>
              <w:rFonts w:hint="eastAsia" w:ascii="仿宋_GB2312" w:hAnsi="仿宋_GB2312" w:eastAsia="仿宋_GB2312" w:cs="仿宋_GB2312"/>
              <w:b/>
              <w:bCs/>
              <w:spacing w:val="0"/>
              <w:kern w:val="2"/>
              <w:position w:val="0"/>
              <w:sz w:val="32"/>
              <w:szCs w:val="32"/>
              <w:lang w:val="en-US" w:eastAsia="zh-CN" w:bidi="ar"/>
            </w:rPr>
            <w:fldChar w:fldCharType="separate"/>
          </w:r>
          <w:r>
            <w:rPr>
              <w:rFonts w:hint="eastAsia" w:ascii="仿宋_GB2312" w:hAnsi="仿宋_GB2312" w:eastAsia="仿宋_GB2312" w:cs="仿宋_GB2312"/>
              <w:b/>
              <w:bCs/>
              <w:spacing w:val="0"/>
              <w:kern w:val="2"/>
              <w:position w:val="0"/>
              <w:sz w:val="32"/>
              <w:szCs w:val="32"/>
              <w:lang w:val="en-US" w:eastAsia="zh-CN" w:bidi="ar"/>
            </w:rPr>
            <w:t>三、评估结果</w:t>
          </w:r>
          <w:r>
            <w:rPr>
              <w:rFonts w:hint="eastAsia" w:ascii="仿宋_GB2312" w:hAnsi="仿宋_GB2312" w:eastAsia="仿宋_GB2312" w:cs="仿宋_GB2312"/>
              <w:b/>
              <w:sz w:val="32"/>
              <w:szCs w:val="32"/>
            </w:rPr>
            <w:tab/>
          </w: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PAGEREF _Toc15753 \h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rPr>
            <w:t>8</w:t>
          </w:r>
          <w:r>
            <w:rPr>
              <w:rFonts w:hint="eastAsia" w:ascii="仿宋_GB2312" w:hAnsi="仿宋_GB2312" w:eastAsia="仿宋_GB2312" w:cs="仿宋_GB2312"/>
              <w:b/>
              <w:sz w:val="32"/>
              <w:szCs w:val="32"/>
            </w:rPr>
            <w:fldChar w:fldCharType="end"/>
          </w:r>
          <w:r>
            <w:rPr>
              <w:rFonts w:hint="eastAsia" w:ascii="仿宋_GB2312" w:hAnsi="仿宋_GB2312" w:eastAsia="仿宋_GB2312" w:cs="仿宋_GB2312"/>
              <w:b/>
              <w:bCs/>
              <w:color w:val="auto"/>
              <w:spacing w:val="0"/>
              <w:kern w:val="2"/>
              <w:position w:val="0"/>
              <w:sz w:val="32"/>
              <w:szCs w:val="32"/>
              <w:lang w:val="en-US" w:eastAsia="zh-CN" w:bidi="ar"/>
            </w:rPr>
            <w:fldChar w:fldCharType="end"/>
          </w:r>
        </w:p>
        <w:p>
          <w:pPr>
            <w:pStyle w:val="20"/>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_Toc14029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bCs/>
              <w:spacing w:val="0"/>
              <w:kern w:val="2"/>
              <w:position w:val="0"/>
              <w:sz w:val="32"/>
              <w:szCs w:val="32"/>
              <w:lang w:val="en-US" w:eastAsia="zh-CN" w:bidi="ar"/>
            </w:rPr>
            <w:t>（一） 工作部署落实情况得分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_Toc14029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8</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20"/>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_Toc26809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bCs/>
              <w:spacing w:val="0"/>
              <w:kern w:val="0"/>
              <w:sz w:val="32"/>
              <w:szCs w:val="32"/>
              <w:lang w:val="en-US" w:eastAsia="zh-CN" w:bidi="ar"/>
            </w:rPr>
            <w:t>（二）政策措施评估得分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_Toc26809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9</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20"/>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_Toc12987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bCs/>
              <w:spacing w:val="0"/>
              <w:kern w:val="0"/>
              <w:sz w:val="32"/>
              <w:szCs w:val="32"/>
              <w:lang w:val="en-US" w:eastAsia="zh-CN" w:bidi="ar"/>
            </w:rPr>
            <w:t>（三）公平竞争审查第三方评估工作配合情况得分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_Toc12987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20"/>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_Toc19098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bCs/>
              <w:spacing w:val="0"/>
              <w:kern w:val="0"/>
              <w:sz w:val="32"/>
              <w:szCs w:val="32"/>
              <w:lang w:val="en-US" w:eastAsia="zh-CN" w:bidi="ar"/>
            </w:rPr>
            <w:t>（四）公平竞</w:t>
          </w:r>
          <w:r>
            <w:rPr>
              <w:rFonts w:hint="eastAsia" w:ascii="仿宋_GB2312" w:hAnsi="仿宋_GB2312" w:eastAsia="仿宋_GB2312" w:cs="仿宋_GB2312"/>
              <w:spacing w:val="0"/>
              <w:kern w:val="0"/>
              <w:sz w:val="32"/>
              <w:szCs w:val="32"/>
              <w:lang w:val="en-US" w:eastAsia="zh-CN" w:bidi="ar"/>
            </w:rPr>
            <w:t>争审查第三方评估最终得分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_Toc19098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19"/>
            <w:tabs>
              <w:tab w:val="right" w:leader="dot" w:pos="8845"/>
            </w:tabs>
            <w:rPr>
              <w:rFonts w:hint="eastAsia" w:ascii="仿宋_GB2312" w:hAnsi="仿宋_GB2312" w:eastAsia="仿宋_GB2312" w:cs="仿宋_GB2312"/>
              <w:b/>
              <w:sz w:val="32"/>
              <w:szCs w:val="32"/>
            </w:rPr>
          </w:pPr>
          <w:r>
            <w:rPr>
              <w:rFonts w:hint="eastAsia" w:ascii="仿宋_GB2312" w:hAnsi="仿宋_GB2312" w:eastAsia="仿宋_GB2312" w:cs="仿宋_GB2312"/>
              <w:b/>
              <w:bCs/>
              <w:color w:val="auto"/>
              <w:spacing w:val="0"/>
              <w:kern w:val="2"/>
              <w:position w:val="0"/>
              <w:sz w:val="32"/>
              <w:szCs w:val="32"/>
              <w:lang w:val="en-US" w:eastAsia="zh-CN" w:bidi="ar"/>
            </w:rPr>
            <w:fldChar w:fldCharType="begin"/>
          </w:r>
          <w:r>
            <w:rPr>
              <w:rFonts w:hint="eastAsia" w:ascii="仿宋_GB2312" w:hAnsi="仿宋_GB2312" w:eastAsia="仿宋_GB2312" w:cs="仿宋_GB2312"/>
              <w:b/>
              <w:bCs/>
              <w:spacing w:val="0"/>
              <w:kern w:val="2"/>
              <w:position w:val="0"/>
              <w:sz w:val="32"/>
              <w:szCs w:val="32"/>
              <w:lang w:val="en-US" w:eastAsia="zh-CN" w:bidi="ar"/>
            </w:rPr>
            <w:instrText xml:space="preserve"> HYPERLINK \l _Toc8637 </w:instrText>
          </w:r>
          <w:r>
            <w:rPr>
              <w:rFonts w:hint="eastAsia" w:ascii="仿宋_GB2312" w:hAnsi="仿宋_GB2312" w:eastAsia="仿宋_GB2312" w:cs="仿宋_GB2312"/>
              <w:b/>
              <w:bCs/>
              <w:spacing w:val="0"/>
              <w:kern w:val="2"/>
              <w:position w:val="0"/>
              <w:sz w:val="32"/>
              <w:szCs w:val="32"/>
              <w:lang w:val="en-US" w:eastAsia="zh-CN" w:bidi="ar"/>
            </w:rPr>
            <w:fldChar w:fldCharType="separate"/>
          </w:r>
          <w:r>
            <w:rPr>
              <w:rFonts w:hint="eastAsia" w:ascii="仿宋_GB2312" w:hAnsi="仿宋_GB2312" w:eastAsia="仿宋_GB2312" w:cs="仿宋_GB2312"/>
              <w:b/>
              <w:bCs/>
              <w:spacing w:val="0"/>
              <w:kern w:val="2"/>
              <w:position w:val="0"/>
              <w:sz w:val="32"/>
              <w:szCs w:val="32"/>
              <w:lang w:val="en-US" w:eastAsia="zh-CN" w:bidi="ar"/>
            </w:rPr>
            <w:t>四、意见建议</w:t>
          </w:r>
          <w:r>
            <w:rPr>
              <w:rFonts w:hint="eastAsia" w:ascii="仿宋_GB2312" w:hAnsi="仿宋_GB2312" w:eastAsia="仿宋_GB2312" w:cs="仿宋_GB2312"/>
              <w:b/>
              <w:sz w:val="32"/>
              <w:szCs w:val="32"/>
            </w:rPr>
            <w:tab/>
          </w:r>
          <w:r>
            <w:rPr>
              <w:rFonts w:hint="eastAsia" w:ascii="仿宋_GB2312" w:hAnsi="仿宋_GB2312" w:eastAsia="仿宋_GB2312" w:cs="仿宋_GB2312"/>
              <w:b/>
              <w:sz w:val="32"/>
              <w:szCs w:val="32"/>
            </w:rPr>
            <w:fldChar w:fldCharType="begin"/>
          </w:r>
          <w:r>
            <w:rPr>
              <w:rFonts w:hint="eastAsia" w:ascii="仿宋_GB2312" w:hAnsi="仿宋_GB2312" w:eastAsia="仿宋_GB2312" w:cs="仿宋_GB2312"/>
              <w:b/>
              <w:sz w:val="32"/>
              <w:szCs w:val="32"/>
            </w:rPr>
            <w:instrText xml:space="preserve"> PAGEREF _Toc8637 \h </w:instrText>
          </w:r>
          <w:r>
            <w:rPr>
              <w:rFonts w:hint="eastAsia" w:ascii="仿宋_GB2312" w:hAnsi="仿宋_GB2312" w:eastAsia="仿宋_GB2312" w:cs="仿宋_GB2312"/>
              <w:b/>
              <w:sz w:val="32"/>
              <w:szCs w:val="32"/>
            </w:rPr>
            <w:fldChar w:fldCharType="separate"/>
          </w:r>
          <w:r>
            <w:rPr>
              <w:rFonts w:hint="eastAsia" w:ascii="仿宋_GB2312" w:hAnsi="仿宋_GB2312" w:eastAsia="仿宋_GB2312" w:cs="仿宋_GB2312"/>
              <w:b/>
              <w:sz w:val="32"/>
              <w:szCs w:val="32"/>
            </w:rPr>
            <w:t>11</w:t>
          </w:r>
          <w:r>
            <w:rPr>
              <w:rFonts w:hint="eastAsia" w:ascii="仿宋_GB2312" w:hAnsi="仿宋_GB2312" w:eastAsia="仿宋_GB2312" w:cs="仿宋_GB2312"/>
              <w:b/>
              <w:sz w:val="32"/>
              <w:szCs w:val="32"/>
            </w:rPr>
            <w:fldChar w:fldCharType="end"/>
          </w:r>
          <w:r>
            <w:rPr>
              <w:rFonts w:hint="eastAsia" w:ascii="仿宋_GB2312" w:hAnsi="仿宋_GB2312" w:eastAsia="仿宋_GB2312" w:cs="仿宋_GB2312"/>
              <w:b/>
              <w:bCs/>
              <w:color w:val="auto"/>
              <w:spacing w:val="0"/>
              <w:kern w:val="2"/>
              <w:position w:val="0"/>
              <w:sz w:val="32"/>
              <w:szCs w:val="32"/>
              <w:lang w:val="en-US" w:eastAsia="zh-CN" w:bidi="ar"/>
            </w:rPr>
            <w:fldChar w:fldCharType="end"/>
          </w:r>
        </w:p>
        <w:p>
          <w:pPr>
            <w:pStyle w:val="20"/>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_Toc32452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bCs w:val="0"/>
              <w:spacing w:val="0"/>
              <w:kern w:val="2"/>
              <w:sz w:val="32"/>
              <w:szCs w:val="32"/>
              <w:lang w:val="en-US" w:eastAsia="zh-CN" w:bidi="ar"/>
            </w:rPr>
            <w:t>（一）加强审查机制建设，健全审查保障机制</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_Toc32452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20"/>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_Toc17486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bCs w:val="0"/>
              <w:spacing w:val="0"/>
              <w:kern w:val="2"/>
              <w:sz w:val="32"/>
              <w:szCs w:val="32"/>
              <w:lang w:val="en-US" w:eastAsia="zh-CN" w:bidi="ar"/>
            </w:rPr>
            <w:t>（二）加强内部培训，增强审查意识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_Toc17486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20"/>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_Toc4610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bCs w:val="0"/>
              <w:spacing w:val="0"/>
              <w:kern w:val="2"/>
              <w:sz w:val="32"/>
              <w:szCs w:val="32"/>
              <w:lang w:val="en-US" w:eastAsia="zh-CN" w:bidi="ar"/>
            </w:rPr>
            <w:t>（三）聘请第三方进行审查，增强审查专业性</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_Toc4610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20"/>
            <w:tabs>
              <w:tab w:val="right" w:leader="dot" w:pos="8845"/>
            </w:tabs>
            <w:rPr>
              <w:rFonts w:hint="eastAsia" w:ascii="仿宋_GB2312" w:hAnsi="仿宋_GB2312" w:eastAsia="仿宋_GB2312" w:cs="仿宋_GB2312"/>
              <w:sz w:val="32"/>
              <w:szCs w:val="32"/>
            </w:rPr>
          </w:pPr>
          <w:r>
            <w:rPr>
              <w:rFonts w:hint="eastAsia" w:ascii="仿宋_GB2312" w:hAnsi="仿宋_GB2312" w:eastAsia="仿宋_GB2312" w:cs="仿宋_GB2312"/>
              <w:bCs/>
              <w:color w:val="auto"/>
              <w:spacing w:val="0"/>
              <w:kern w:val="2"/>
              <w:position w:val="0"/>
              <w:sz w:val="32"/>
              <w:szCs w:val="32"/>
              <w:lang w:val="en-US" w:eastAsia="zh-CN" w:bidi="ar"/>
            </w:rPr>
            <w:fldChar w:fldCharType="begin"/>
          </w:r>
          <w:r>
            <w:rPr>
              <w:rFonts w:hint="eastAsia" w:ascii="仿宋_GB2312" w:hAnsi="仿宋_GB2312" w:eastAsia="仿宋_GB2312" w:cs="仿宋_GB2312"/>
              <w:bCs/>
              <w:spacing w:val="0"/>
              <w:kern w:val="2"/>
              <w:position w:val="0"/>
              <w:sz w:val="32"/>
              <w:szCs w:val="32"/>
              <w:lang w:val="en-US" w:eastAsia="zh-CN" w:bidi="ar"/>
            </w:rPr>
            <w:instrText xml:space="preserve"> HYPERLINK \l _Toc29022 </w:instrText>
          </w:r>
          <w:r>
            <w:rPr>
              <w:rFonts w:hint="eastAsia" w:ascii="仿宋_GB2312" w:hAnsi="仿宋_GB2312" w:eastAsia="仿宋_GB2312" w:cs="仿宋_GB2312"/>
              <w:bCs/>
              <w:spacing w:val="0"/>
              <w:kern w:val="2"/>
              <w:position w:val="0"/>
              <w:sz w:val="32"/>
              <w:szCs w:val="32"/>
              <w:lang w:val="en-US" w:eastAsia="zh-CN" w:bidi="ar"/>
            </w:rPr>
            <w:fldChar w:fldCharType="separate"/>
          </w:r>
          <w:r>
            <w:rPr>
              <w:rFonts w:hint="eastAsia" w:ascii="仿宋_GB2312" w:hAnsi="仿宋_GB2312" w:eastAsia="仿宋_GB2312" w:cs="仿宋_GB2312"/>
              <w:bCs w:val="0"/>
              <w:spacing w:val="0"/>
              <w:kern w:val="2"/>
              <w:sz w:val="32"/>
              <w:szCs w:val="32"/>
              <w:lang w:val="en-US" w:eastAsia="zh-CN" w:bidi="ar"/>
            </w:rPr>
            <w:t>（四）利用好公平竞争审查投诉举报回应机制</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_Toc29022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bCs/>
              <w:color w:val="auto"/>
              <w:spacing w:val="0"/>
              <w:kern w:val="2"/>
              <w:position w:val="0"/>
              <w:sz w:val="32"/>
              <w:szCs w:val="32"/>
              <w:lang w:val="en-US" w:eastAsia="zh-CN" w:bidi="ar"/>
            </w:rPr>
            <w:fldChar w:fldCharType="end"/>
          </w:r>
        </w:p>
        <w:p>
          <w:pPr>
            <w:pStyle w:val="19"/>
            <w:tabs>
              <w:tab w:val="right" w:leader="dot" w:pos="8845"/>
            </w:tabs>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color w:val="auto"/>
              <w:spacing w:val="0"/>
              <w:kern w:val="2"/>
              <w:position w:val="0"/>
              <w:sz w:val="32"/>
              <w:szCs w:val="32"/>
              <w:lang w:val="en-US" w:eastAsia="zh-CN" w:bidi="ar"/>
            </w:rPr>
            <w:fldChar w:fldCharType="begin"/>
          </w:r>
          <w:r>
            <w:rPr>
              <w:rFonts w:hint="eastAsia" w:ascii="仿宋_GB2312" w:hAnsi="仿宋_GB2312" w:eastAsia="仿宋_GB2312" w:cs="仿宋_GB2312"/>
              <w:b w:val="0"/>
              <w:bCs w:val="0"/>
              <w:spacing w:val="0"/>
              <w:kern w:val="2"/>
              <w:position w:val="0"/>
              <w:sz w:val="32"/>
              <w:szCs w:val="32"/>
              <w:lang w:val="en-US" w:eastAsia="zh-CN" w:bidi="ar"/>
            </w:rPr>
            <w:instrText xml:space="preserve"> HYPERLINK \l _Toc20366 </w:instrText>
          </w:r>
          <w:r>
            <w:rPr>
              <w:rFonts w:hint="eastAsia" w:ascii="仿宋_GB2312" w:hAnsi="仿宋_GB2312" w:eastAsia="仿宋_GB2312" w:cs="仿宋_GB2312"/>
              <w:b w:val="0"/>
              <w:bCs w:val="0"/>
              <w:spacing w:val="0"/>
              <w:kern w:val="2"/>
              <w:position w:val="0"/>
              <w:sz w:val="32"/>
              <w:szCs w:val="32"/>
              <w:lang w:val="en-US" w:eastAsia="zh-CN" w:bidi="ar"/>
            </w:rPr>
            <w:fldChar w:fldCharType="separate"/>
          </w:r>
          <w:r>
            <w:rPr>
              <w:rFonts w:hint="eastAsia" w:ascii="仿宋_GB2312" w:hAnsi="仿宋_GB2312" w:eastAsia="仿宋_GB2312" w:cs="仿宋_GB2312"/>
              <w:b w:val="0"/>
              <w:bCs w:val="0"/>
              <w:spacing w:val="0"/>
              <w:position w:val="0"/>
              <w:sz w:val="32"/>
              <w:szCs w:val="32"/>
              <w:lang w:val="en-US" w:eastAsia="zh-CN"/>
            </w:rPr>
            <w:t>附件一：民乐县政策措施文件目录</w:t>
          </w:r>
          <w:r>
            <w:rPr>
              <w:rFonts w:hint="eastAsia" w:ascii="仿宋_GB2312" w:hAnsi="仿宋_GB2312" w:eastAsia="仿宋_GB2312" w:cs="仿宋_GB2312"/>
              <w:b w:val="0"/>
              <w:bCs w:val="0"/>
              <w:sz w:val="32"/>
              <w:szCs w:val="32"/>
            </w:rPr>
            <w:tab/>
          </w:r>
          <w:r>
            <w:rPr>
              <w:rFonts w:hint="eastAsia" w:ascii="仿宋_GB2312" w:hAnsi="仿宋_GB2312" w:eastAsia="仿宋_GB2312" w:cs="仿宋_GB2312"/>
              <w:b w:val="0"/>
              <w:bCs w:val="0"/>
              <w:sz w:val="32"/>
              <w:szCs w:val="32"/>
            </w:rPr>
            <w:fldChar w:fldCharType="begin"/>
          </w:r>
          <w:r>
            <w:rPr>
              <w:rFonts w:hint="eastAsia" w:ascii="仿宋_GB2312" w:hAnsi="仿宋_GB2312" w:eastAsia="仿宋_GB2312" w:cs="仿宋_GB2312"/>
              <w:b w:val="0"/>
              <w:bCs w:val="0"/>
              <w:sz w:val="32"/>
              <w:szCs w:val="32"/>
            </w:rPr>
            <w:instrText xml:space="preserve"> PAGEREF _Toc20366 \h </w:instrText>
          </w:r>
          <w:r>
            <w:rPr>
              <w:rFonts w:hint="eastAsia" w:ascii="仿宋_GB2312" w:hAnsi="仿宋_GB2312" w:eastAsia="仿宋_GB2312" w:cs="仿宋_GB2312"/>
              <w:b w:val="0"/>
              <w:bCs w:val="0"/>
              <w:sz w:val="32"/>
              <w:szCs w:val="32"/>
            </w:rPr>
            <w:fldChar w:fldCharType="separate"/>
          </w:r>
          <w:r>
            <w:rPr>
              <w:rFonts w:hint="eastAsia" w:ascii="仿宋_GB2312" w:hAnsi="仿宋_GB2312" w:eastAsia="仿宋_GB2312" w:cs="仿宋_GB2312"/>
              <w:b w:val="0"/>
              <w:bCs w:val="0"/>
              <w:sz w:val="32"/>
              <w:szCs w:val="32"/>
            </w:rPr>
            <w:t>14</w:t>
          </w:r>
          <w:r>
            <w:rPr>
              <w:rFonts w:hint="eastAsia" w:ascii="仿宋_GB2312" w:hAnsi="仿宋_GB2312" w:eastAsia="仿宋_GB2312" w:cs="仿宋_GB2312"/>
              <w:b w:val="0"/>
              <w:bCs w:val="0"/>
              <w:sz w:val="32"/>
              <w:szCs w:val="32"/>
            </w:rPr>
            <w:fldChar w:fldCharType="end"/>
          </w:r>
          <w:r>
            <w:rPr>
              <w:rFonts w:hint="eastAsia" w:ascii="仿宋_GB2312" w:hAnsi="仿宋_GB2312" w:eastAsia="仿宋_GB2312" w:cs="仿宋_GB2312"/>
              <w:b w:val="0"/>
              <w:bCs w:val="0"/>
              <w:color w:val="auto"/>
              <w:spacing w:val="0"/>
              <w:kern w:val="2"/>
              <w:position w:val="0"/>
              <w:sz w:val="32"/>
              <w:szCs w:val="32"/>
              <w:lang w:val="en-US" w:eastAsia="zh-CN" w:bidi="ar"/>
            </w:rPr>
            <w:fldChar w:fldCharType="end"/>
          </w:r>
        </w:p>
        <w:p>
          <w:pPr>
            <w:pStyle w:val="19"/>
            <w:tabs>
              <w:tab w:val="right" w:leader="dot" w:pos="8845"/>
            </w:tabs>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color w:val="auto"/>
              <w:spacing w:val="0"/>
              <w:kern w:val="2"/>
              <w:position w:val="0"/>
              <w:sz w:val="32"/>
              <w:szCs w:val="32"/>
              <w:lang w:val="en-US" w:eastAsia="zh-CN" w:bidi="ar"/>
            </w:rPr>
            <w:fldChar w:fldCharType="begin"/>
          </w:r>
          <w:r>
            <w:rPr>
              <w:rFonts w:hint="eastAsia" w:ascii="仿宋_GB2312" w:hAnsi="仿宋_GB2312" w:eastAsia="仿宋_GB2312" w:cs="仿宋_GB2312"/>
              <w:b w:val="0"/>
              <w:bCs w:val="0"/>
              <w:spacing w:val="0"/>
              <w:kern w:val="2"/>
              <w:position w:val="0"/>
              <w:sz w:val="32"/>
              <w:szCs w:val="32"/>
              <w:lang w:val="en-US" w:eastAsia="zh-CN" w:bidi="ar"/>
            </w:rPr>
            <w:instrText xml:space="preserve"> HYPERLINK \l _Toc5399 </w:instrText>
          </w:r>
          <w:r>
            <w:rPr>
              <w:rFonts w:hint="eastAsia" w:ascii="仿宋_GB2312" w:hAnsi="仿宋_GB2312" w:eastAsia="仿宋_GB2312" w:cs="仿宋_GB2312"/>
              <w:b w:val="0"/>
              <w:bCs w:val="0"/>
              <w:spacing w:val="0"/>
              <w:kern w:val="2"/>
              <w:position w:val="0"/>
              <w:sz w:val="32"/>
              <w:szCs w:val="32"/>
              <w:lang w:val="en-US" w:eastAsia="zh-CN" w:bidi="ar"/>
            </w:rPr>
            <w:fldChar w:fldCharType="separate"/>
          </w:r>
          <w:r>
            <w:rPr>
              <w:rFonts w:hint="eastAsia" w:ascii="仿宋_GB2312" w:hAnsi="仿宋_GB2312" w:eastAsia="仿宋_GB2312" w:cs="仿宋_GB2312"/>
              <w:b w:val="0"/>
              <w:bCs w:val="0"/>
              <w:spacing w:val="0"/>
              <w:position w:val="0"/>
              <w:sz w:val="32"/>
              <w:szCs w:val="32"/>
              <w:lang w:val="en-US" w:eastAsia="zh-CN"/>
            </w:rPr>
            <w:t>附件二：民乐县政策措施评估表</w:t>
          </w:r>
          <w:r>
            <w:rPr>
              <w:rFonts w:hint="eastAsia" w:ascii="仿宋_GB2312" w:hAnsi="仿宋_GB2312" w:eastAsia="仿宋_GB2312" w:cs="仿宋_GB2312"/>
              <w:b w:val="0"/>
              <w:bCs w:val="0"/>
              <w:sz w:val="32"/>
              <w:szCs w:val="32"/>
            </w:rPr>
            <w:tab/>
          </w:r>
          <w:r>
            <w:rPr>
              <w:rFonts w:hint="eastAsia" w:ascii="仿宋_GB2312" w:hAnsi="仿宋_GB2312" w:eastAsia="仿宋_GB2312" w:cs="仿宋_GB2312"/>
              <w:b w:val="0"/>
              <w:bCs w:val="0"/>
              <w:sz w:val="32"/>
              <w:szCs w:val="32"/>
            </w:rPr>
            <w:fldChar w:fldCharType="begin"/>
          </w:r>
          <w:r>
            <w:rPr>
              <w:rFonts w:hint="eastAsia" w:ascii="仿宋_GB2312" w:hAnsi="仿宋_GB2312" w:eastAsia="仿宋_GB2312" w:cs="仿宋_GB2312"/>
              <w:b w:val="0"/>
              <w:bCs w:val="0"/>
              <w:sz w:val="32"/>
              <w:szCs w:val="32"/>
            </w:rPr>
            <w:instrText xml:space="preserve"> PAGEREF _Toc5399 \h </w:instrText>
          </w:r>
          <w:r>
            <w:rPr>
              <w:rFonts w:hint="eastAsia" w:ascii="仿宋_GB2312" w:hAnsi="仿宋_GB2312" w:eastAsia="仿宋_GB2312" w:cs="仿宋_GB2312"/>
              <w:b w:val="0"/>
              <w:bCs w:val="0"/>
              <w:sz w:val="32"/>
              <w:szCs w:val="32"/>
            </w:rPr>
            <w:fldChar w:fldCharType="separate"/>
          </w:r>
          <w:r>
            <w:rPr>
              <w:rFonts w:hint="eastAsia" w:ascii="仿宋_GB2312" w:hAnsi="仿宋_GB2312" w:eastAsia="仿宋_GB2312" w:cs="仿宋_GB2312"/>
              <w:b w:val="0"/>
              <w:bCs w:val="0"/>
              <w:sz w:val="32"/>
              <w:szCs w:val="32"/>
            </w:rPr>
            <w:t>15</w:t>
          </w:r>
          <w:r>
            <w:rPr>
              <w:rFonts w:hint="eastAsia" w:ascii="仿宋_GB2312" w:hAnsi="仿宋_GB2312" w:eastAsia="仿宋_GB2312" w:cs="仿宋_GB2312"/>
              <w:b w:val="0"/>
              <w:bCs w:val="0"/>
              <w:sz w:val="32"/>
              <w:szCs w:val="32"/>
            </w:rPr>
            <w:fldChar w:fldCharType="end"/>
          </w:r>
          <w:r>
            <w:rPr>
              <w:rFonts w:hint="eastAsia" w:ascii="仿宋_GB2312" w:hAnsi="仿宋_GB2312" w:eastAsia="仿宋_GB2312" w:cs="仿宋_GB2312"/>
              <w:b w:val="0"/>
              <w:bCs w:val="0"/>
              <w:color w:val="auto"/>
              <w:spacing w:val="0"/>
              <w:kern w:val="2"/>
              <w:position w:val="0"/>
              <w:sz w:val="32"/>
              <w:szCs w:val="32"/>
              <w:lang w:val="en-US" w:eastAsia="zh-CN" w:bidi="ar"/>
            </w:rPr>
            <w:fldChar w:fldCharType="end"/>
          </w:r>
        </w:p>
        <w:p>
          <w:pPr>
            <w:keepNext w:val="0"/>
            <w:keepLines w:val="0"/>
            <w:pageBreakBefore w:val="0"/>
            <w:widowControl w:val="0"/>
            <w:suppressLineNumbers w:val="0"/>
            <w:kinsoku/>
            <w:wordWrap/>
            <w:overflowPunct/>
            <w:topLinePunct/>
            <w:autoSpaceDE/>
            <w:autoSpaceDN/>
            <w:bidi w:val="0"/>
            <w:adjustRightInd/>
            <w:snapToGrid/>
            <w:spacing w:before="157" w:beforeLines="50" w:beforeAutospacing="0" w:after="157" w:afterLines="50" w:afterAutospacing="0" w:line="540" w:lineRule="exact"/>
            <w:ind w:right="0" w:rightChars="0"/>
            <w:jc w:val="both"/>
            <w:textAlignment w:val="auto"/>
            <w:outlineLvl w:val="9"/>
            <w:rPr>
              <w:rFonts w:hint="eastAsia" w:ascii="黑体" w:hAnsi="黑体" w:eastAsia="黑体" w:cs="黑体"/>
              <w:b w:val="0"/>
              <w:bCs/>
              <w:color w:val="auto"/>
              <w:spacing w:val="0"/>
              <w:kern w:val="2"/>
              <w:position w:val="0"/>
              <w:sz w:val="32"/>
              <w:szCs w:val="32"/>
              <w:lang w:val="en-US" w:eastAsia="zh-CN" w:bidi="ar"/>
            </w:rPr>
          </w:pPr>
          <w:r>
            <w:rPr>
              <w:rFonts w:hint="eastAsia" w:ascii="仿宋_GB2312" w:hAnsi="仿宋_GB2312" w:eastAsia="仿宋_GB2312" w:cs="仿宋_GB2312"/>
              <w:b/>
              <w:bCs/>
              <w:color w:val="auto"/>
              <w:spacing w:val="0"/>
              <w:kern w:val="2"/>
              <w:position w:val="0"/>
              <w:sz w:val="32"/>
              <w:szCs w:val="32"/>
              <w:lang w:val="en-US" w:eastAsia="zh-CN" w:bidi="ar"/>
            </w:rPr>
            <w:fldChar w:fldCharType="end"/>
          </w:r>
        </w:p>
      </w:sdtContent>
    </w:sdt>
    <w:p>
      <w:pPr>
        <w:pStyle w:val="2"/>
        <w:rPr>
          <w:rFonts w:hint="eastAsia" w:ascii="黑体" w:hAnsi="黑体" w:eastAsia="黑体" w:cs="黑体"/>
          <w:b w:val="0"/>
          <w:bCs/>
          <w:color w:val="auto"/>
          <w:spacing w:val="0"/>
          <w:kern w:val="2"/>
          <w:position w:val="0"/>
          <w:sz w:val="32"/>
          <w:szCs w:val="32"/>
          <w:lang w:val="en-US" w:eastAsia="zh-CN" w:bidi="ar"/>
        </w:rPr>
      </w:pPr>
    </w:p>
    <w:p>
      <w:pPr>
        <w:keepNext w:val="0"/>
        <w:keepLines w:val="0"/>
        <w:pageBreakBefore w:val="0"/>
        <w:widowControl w:val="0"/>
        <w:suppressLineNumbers w:val="0"/>
        <w:kinsoku/>
        <w:wordWrap/>
        <w:overflowPunct/>
        <w:topLinePunct/>
        <w:autoSpaceDE/>
        <w:autoSpaceDN/>
        <w:bidi w:val="0"/>
        <w:adjustRightInd/>
        <w:snapToGrid/>
        <w:spacing w:before="157" w:beforeLines="50" w:beforeAutospacing="0" w:after="157" w:afterLines="50" w:afterAutospacing="0" w:line="540" w:lineRule="exact"/>
        <w:ind w:left="0" w:leftChars="0" w:right="0" w:rightChars="0" w:firstLine="640" w:firstLineChars="200"/>
        <w:jc w:val="both"/>
        <w:textAlignment w:val="auto"/>
        <w:outlineLvl w:val="0"/>
        <w:rPr>
          <w:rFonts w:hint="eastAsia" w:ascii="黑体" w:hAnsi="黑体" w:eastAsia="黑体" w:cs="黑体"/>
          <w:b w:val="0"/>
          <w:bCs/>
          <w:color w:val="auto"/>
          <w:spacing w:val="0"/>
          <w:kern w:val="2"/>
          <w:position w:val="0"/>
          <w:sz w:val="32"/>
          <w:szCs w:val="32"/>
          <w:lang w:val="en-US" w:eastAsia="zh-CN" w:bidi="ar"/>
        </w:rPr>
        <w:sectPr>
          <w:pgSz w:w="11906" w:h="16838"/>
          <w:pgMar w:top="2098" w:right="1474" w:bottom="1984" w:left="1587" w:header="851" w:footer="1134" w:gutter="0"/>
          <w:pgBorders>
            <w:top w:val="none" w:sz="0" w:space="0"/>
            <w:left w:val="none" w:sz="0" w:space="0"/>
            <w:bottom w:val="none" w:sz="0" w:space="0"/>
            <w:right w:val="none" w:sz="0" w:space="0"/>
          </w:pgBorders>
          <w:pgNumType w:fmt="decimal"/>
          <w:cols w:space="0" w:num="1"/>
          <w:rtlGutter w:val="0"/>
          <w:docGrid w:type="lines" w:linePitch="312" w:charSpace="0"/>
        </w:sectPr>
      </w:pPr>
      <w:bookmarkStart w:id="0" w:name="_Toc14722"/>
    </w:p>
    <w:p>
      <w:pPr>
        <w:keepNext w:val="0"/>
        <w:keepLines w:val="0"/>
        <w:pageBreakBefore w:val="0"/>
        <w:widowControl w:val="0"/>
        <w:suppressLineNumbers w:val="0"/>
        <w:kinsoku/>
        <w:wordWrap/>
        <w:overflowPunct/>
        <w:topLinePunct/>
        <w:autoSpaceDE/>
        <w:autoSpaceDN/>
        <w:bidi w:val="0"/>
        <w:adjustRightInd/>
        <w:snapToGrid/>
        <w:spacing w:before="157" w:beforeLines="50" w:beforeAutospacing="0" w:after="157" w:afterLines="50" w:afterAutospacing="0" w:line="540" w:lineRule="exact"/>
        <w:ind w:left="0" w:leftChars="0" w:right="0" w:rightChars="0" w:firstLine="640" w:firstLineChars="200"/>
        <w:jc w:val="both"/>
        <w:textAlignment w:val="auto"/>
        <w:outlineLvl w:val="0"/>
        <w:rPr>
          <w:rFonts w:hint="eastAsia" w:ascii="黑体" w:hAnsi="黑体" w:eastAsia="黑体" w:cs="黑体"/>
          <w:b w:val="0"/>
          <w:bCs/>
          <w:color w:val="auto"/>
          <w:spacing w:val="0"/>
          <w:kern w:val="2"/>
          <w:position w:val="0"/>
          <w:sz w:val="32"/>
          <w:szCs w:val="32"/>
          <w:lang w:val="en-US" w:eastAsia="zh-CN" w:bidi="ar"/>
        </w:rPr>
      </w:pPr>
      <w:r>
        <w:rPr>
          <w:rFonts w:hint="eastAsia" w:ascii="黑体" w:hAnsi="黑体" w:eastAsia="黑体" w:cs="黑体"/>
          <w:b w:val="0"/>
          <w:bCs/>
          <w:color w:val="auto"/>
          <w:spacing w:val="0"/>
          <w:kern w:val="2"/>
          <w:position w:val="0"/>
          <w:sz w:val="32"/>
          <w:szCs w:val="32"/>
          <w:lang w:val="en-US" w:eastAsia="zh-CN" w:bidi="ar"/>
        </w:rPr>
        <w:t>一、总体情况</w:t>
      </w:r>
      <w:bookmarkEnd w:id="0"/>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leftChars="0" w:right="0" w:firstLine="640" w:firstLineChars="200"/>
        <w:jc w:val="both"/>
        <w:rPr>
          <w:rFonts w:hint="eastAsia" w:ascii="仿宋_GB2312" w:hAnsi="仿宋_GB2312" w:eastAsia="仿宋_GB2312" w:cs="仿宋_GB2312"/>
          <w:bCs w:val="0"/>
          <w:color w:val="auto"/>
          <w:spacing w:val="0"/>
          <w:kern w:val="2"/>
          <w:sz w:val="32"/>
          <w:szCs w:val="32"/>
        </w:rPr>
      </w:pPr>
      <w:r>
        <w:rPr>
          <w:rFonts w:hint="eastAsia" w:ascii="仿宋_GB2312" w:hAnsi="仿宋_GB2312" w:eastAsia="仿宋_GB2312" w:cs="仿宋_GB2312"/>
          <w:bCs w:val="0"/>
          <w:color w:val="auto"/>
          <w:spacing w:val="0"/>
          <w:kern w:val="2"/>
          <w:sz w:val="32"/>
          <w:szCs w:val="32"/>
          <w:lang w:val="en-US" w:eastAsia="zh-CN" w:bidi="ar"/>
        </w:rPr>
        <w:t>公平竞争是市场经济的基本原则，是市场机制高效运行的重要基础。公平竞争审查制度的建立及实施，有助于规范政府相关行为，防止出台排除限制市场竞争的政策措施。</w:t>
      </w:r>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leftChars="0" w:right="0" w:firstLine="640" w:firstLineChars="200"/>
        <w:jc w:val="both"/>
        <w:rPr>
          <w:rFonts w:hint="eastAsia" w:ascii="仿宋_GB2312" w:hAnsi="仿宋_GB2312" w:eastAsia="仿宋_GB2312" w:cs="仿宋_GB2312"/>
          <w:bCs w:val="0"/>
          <w:color w:val="auto"/>
          <w:spacing w:val="0"/>
          <w:kern w:val="2"/>
          <w:sz w:val="32"/>
          <w:szCs w:val="32"/>
        </w:rPr>
      </w:pPr>
      <w:r>
        <w:rPr>
          <w:rFonts w:hint="eastAsia" w:ascii="仿宋_GB2312" w:hAnsi="仿宋_GB2312" w:eastAsia="仿宋_GB2312" w:cs="仿宋_GB2312"/>
          <w:bCs w:val="0"/>
          <w:color w:val="auto"/>
          <w:spacing w:val="0"/>
          <w:kern w:val="2"/>
          <w:sz w:val="32"/>
          <w:szCs w:val="32"/>
          <w:lang w:val="en-US" w:eastAsia="zh-CN" w:bidi="ar"/>
        </w:rPr>
        <w:t>当前，随着全面深化改革战略的持续推进，全国统一市场的基本形成，公平竞争环境在逐步提升。但同时也要看到，地方保护、行业壁垒等不符合建设全国统一市场和公平竞争的现象仍然存在。</w:t>
      </w:r>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leftChars="0" w:right="0" w:firstLine="640" w:firstLineChars="200"/>
        <w:jc w:val="both"/>
        <w:rPr>
          <w:rFonts w:hint="eastAsia" w:ascii="仿宋_GB2312" w:hAnsi="仿宋_GB2312" w:eastAsia="仿宋_GB2312" w:cs="仿宋_GB2312"/>
          <w:bCs w:val="0"/>
          <w:color w:val="auto"/>
          <w:spacing w:val="0"/>
          <w:kern w:val="2"/>
          <w:sz w:val="32"/>
          <w:szCs w:val="32"/>
          <w:lang w:val="en-US" w:eastAsia="zh-CN" w:bidi="ar"/>
        </w:rPr>
      </w:pPr>
      <w:r>
        <w:rPr>
          <w:rFonts w:hint="eastAsia" w:ascii="仿宋_GB2312" w:hAnsi="仿宋_GB2312" w:eastAsia="仿宋_GB2312" w:cs="仿宋_GB2312"/>
          <w:bCs w:val="0"/>
          <w:color w:val="auto"/>
          <w:spacing w:val="0"/>
          <w:kern w:val="2"/>
          <w:sz w:val="32"/>
          <w:szCs w:val="32"/>
          <w:lang w:val="en-US" w:eastAsia="zh-CN" w:bidi="ar"/>
        </w:rPr>
        <w:t>为规范政府有关行为，防止出台排除、限制竞争的政策措施，逐步清理废除妨碍全国统一市场和公平竞争的规定和做法，国务院印发了《关于在市场体系建设中建立公平竞争审查制度的意见》（国发〔2016〕34号）（下文简称《意见》），部署建立公平竞争审查制度。</w:t>
      </w:r>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leftChars="0" w:right="0" w:firstLine="640" w:firstLineChars="200"/>
        <w:jc w:val="both"/>
        <w:rPr>
          <w:rFonts w:hint="eastAsia" w:ascii="仿宋_GB2312" w:hAnsi="仿宋_GB2312" w:eastAsia="仿宋_GB2312" w:cs="仿宋_GB2312"/>
          <w:bCs w:val="0"/>
          <w:color w:val="auto"/>
          <w:spacing w:val="0"/>
          <w:kern w:val="2"/>
          <w:sz w:val="32"/>
          <w:szCs w:val="32"/>
        </w:rPr>
      </w:pPr>
      <w:r>
        <w:rPr>
          <w:rFonts w:hint="eastAsia" w:ascii="仿宋_GB2312" w:hAnsi="仿宋_GB2312" w:eastAsia="仿宋_GB2312" w:cs="仿宋_GB2312"/>
          <w:bCs w:val="0"/>
          <w:color w:val="auto"/>
          <w:spacing w:val="0"/>
          <w:kern w:val="2"/>
          <w:sz w:val="32"/>
          <w:szCs w:val="32"/>
          <w:lang w:val="en-US" w:eastAsia="zh-CN" w:bidi="ar"/>
        </w:rPr>
        <w:t>在我国公平竞争审查制度中，第三方评估被作为一项重要的机制写入基本的制度设计。2021年，国家市场监督管理总局、国家发展改革委、财政部、商务部、司法部会同有关单位修订的《公平竞争审查制度实施细则》（下文简称《实施细则》）设立专章“第三方评估”对有关第三方评估问题予以明确，该《实施细则》第二十条规定：“政策制定单位可以根据工作实际，委托具备相应评估能力的高等院校、科研院所、专业咨询公司、律师事务所等第三方机构，对有关政策措施进行公平竞争评估，或者对公平竞争审查有关工作进行评估。各级联席会议办公室可以委托第三方机构，对本地公平竞争审查制度总体实施情况开展评估”。</w:t>
      </w:r>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leftChars="0" w:right="0" w:firstLine="640" w:firstLineChars="200"/>
        <w:jc w:val="both"/>
        <w:rPr>
          <w:rFonts w:hint="eastAsia" w:ascii="仿宋_GB2312" w:hAnsi="仿宋_GB2312" w:eastAsia="仿宋_GB2312" w:cs="仿宋_GB2312"/>
          <w:bCs w:val="0"/>
          <w:color w:val="auto"/>
          <w:spacing w:val="0"/>
          <w:kern w:val="2"/>
          <w:sz w:val="32"/>
          <w:szCs w:val="32"/>
        </w:rPr>
      </w:pPr>
      <w:r>
        <w:rPr>
          <w:rFonts w:hint="eastAsia" w:ascii="仿宋_GB2312" w:hAnsi="仿宋_GB2312" w:eastAsia="仿宋_GB2312" w:cs="仿宋_GB2312"/>
          <w:bCs w:val="0"/>
          <w:color w:val="auto"/>
          <w:spacing w:val="0"/>
          <w:kern w:val="2"/>
          <w:sz w:val="32"/>
          <w:szCs w:val="32"/>
          <w:lang w:val="en-US" w:eastAsia="zh-CN" w:bidi="ar"/>
        </w:rPr>
        <w:t>2022年3月25日</w:t>
      </w:r>
      <w:r>
        <w:rPr>
          <w:rFonts w:hint="eastAsia" w:ascii="仿宋_GB2312" w:hAnsi="仿宋_GB2312" w:eastAsia="仿宋_GB2312" w:cs="仿宋_GB2312"/>
          <w:b/>
          <w:bCs/>
          <w:color w:val="auto"/>
          <w:spacing w:val="0"/>
          <w:kern w:val="2"/>
          <w:sz w:val="32"/>
          <w:szCs w:val="32"/>
          <w:lang w:val="en-US" w:eastAsia="zh-CN" w:bidi="ar"/>
        </w:rPr>
        <w:t>，</w:t>
      </w:r>
      <w:r>
        <w:rPr>
          <w:rFonts w:hint="eastAsia" w:ascii="仿宋_GB2312" w:hAnsi="仿宋_GB2312" w:eastAsia="仿宋_GB2312" w:cs="仿宋_GB2312"/>
          <w:bCs w:val="0"/>
          <w:color w:val="auto"/>
          <w:spacing w:val="0"/>
          <w:kern w:val="2"/>
          <w:sz w:val="32"/>
          <w:szCs w:val="32"/>
          <w:lang w:val="en-US" w:eastAsia="zh-CN" w:bidi="ar"/>
        </w:rPr>
        <w:t>中共中央、国务院发布《关于加快建设全国统一大市场的意见》，意见明确指出：“实行统一的市场准入制度，维护统一的公平竞争制度。破除地方保护和区域壁垒，清理废除妨碍依法平等准入和退出的规定做法，持续清理招标采购领域违反统一市场建设的规定和做法”。</w:t>
      </w:r>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right="0" w:firstLine="640" w:firstLineChars="200"/>
        <w:jc w:val="both"/>
        <w:rPr>
          <w:rFonts w:hint="eastAsia" w:ascii="仿宋_GB2312" w:hAnsi="仿宋_GB2312" w:eastAsia="仿宋_GB2312" w:cs="仿宋_GB2312"/>
          <w:bCs w:val="0"/>
          <w:color w:val="auto"/>
          <w:spacing w:val="0"/>
          <w:kern w:val="2"/>
          <w:sz w:val="32"/>
          <w:szCs w:val="32"/>
        </w:rPr>
      </w:pPr>
      <w:r>
        <w:rPr>
          <w:rFonts w:hint="eastAsia" w:ascii="仿宋_GB2312" w:hAnsi="仿宋_GB2312" w:eastAsia="仿宋_GB2312" w:cs="仿宋_GB2312"/>
          <w:bCs w:val="0"/>
          <w:color w:val="auto"/>
          <w:spacing w:val="0"/>
          <w:kern w:val="2"/>
          <w:sz w:val="32"/>
          <w:szCs w:val="32"/>
          <w:lang w:val="en-US" w:eastAsia="zh-CN" w:bidi="ar"/>
        </w:rPr>
        <w:t>为进一步提高张掖市公平竞争审查质量，确保审查效果，推动审查制度深入实施，防止出台排除、限制市场公平竞争的政策措施，张掖市公平竞争审查工作部门联席会议办公室经过询价，遴选甘肃金彤律师事务所对张掖市22个市直部门单位、6个县区和张掖市经济技术开发区的公平竞争审查制度实施情况进行综合评估。</w:t>
      </w:r>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right="0" w:firstLine="640" w:firstLineChars="200"/>
        <w:jc w:val="both"/>
        <w:rPr>
          <w:rFonts w:hint="eastAsia" w:ascii="仿宋_GB2312" w:hAnsi="仿宋_GB2312" w:eastAsia="仿宋_GB2312" w:cs="仿宋_GB2312"/>
          <w:color w:val="auto"/>
          <w:spacing w:val="0"/>
          <w:kern w:val="2"/>
          <w:sz w:val="32"/>
          <w:szCs w:val="32"/>
        </w:rPr>
      </w:pPr>
      <w:r>
        <w:rPr>
          <w:rFonts w:hint="eastAsia" w:ascii="仿宋_GB2312" w:hAnsi="仿宋_GB2312" w:eastAsia="仿宋_GB2312" w:cs="仿宋_GB2312"/>
          <w:color w:val="auto"/>
          <w:spacing w:val="0"/>
          <w:kern w:val="2"/>
          <w:sz w:val="32"/>
          <w:szCs w:val="32"/>
          <w:lang w:val="en-US" w:eastAsia="zh-CN" w:bidi="ar"/>
        </w:rPr>
        <w:t>经过评估机构审查民乐县提供的政策措施、调查表以及各项材料，系统总结民乐县落实公平竞争审查制度、论证公平竞争制度的环境成效，梳理分析可能存在的问题和原因，提出进一步完善的意见建议。评估总体情况如下：</w:t>
      </w:r>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right="0" w:firstLine="640" w:firstLineChars="200"/>
        <w:jc w:val="both"/>
        <w:outlineLvl w:val="1"/>
        <w:rPr>
          <w:rFonts w:hint="eastAsia" w:ascii="楷体_GB2312" w:hAnsi="楷体_GB2312" w:eastAsia="楷体_GB2312" w:cs="楷体_GB2312"/>
          <w:color w:val="auto"/>
          <w:spacing w:val="0"/>
          <w:kern w:val="2"/>
          <w:sz w:val="32"/>
          <w:szCs w:val="32"/>
        </w:rPr>
      </w:pPr>
      <w:bookmarkStart w:id="1" w:name="_Toc28983"/>
      <w:r>
        <w:rPr>
          <w:rFonts w:hint="eastAsia" w:ascii="楷体_GB2312" w:hAnsi="楷体_GB2312" w:eastAsia="楷体_GB2312" w:cs="楷体_GB2312"/>
          <w:color w:val="auto"/>
          <w:spacing w:val="0"/>
          <w:kern w:val="2"/>
          <w:sz w:val="32"/>
          <w:szCs w:val="32"/>
          <w:lang w:val="en-US" w:eastAsia="zh-CN" w:bidi="ar"/>
        </w:rPr>
        <w:t>（一）政策措施评估情况</w:t>
      </w:r>
      <w:bookmarkEnd w:id="1"/>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right="0" w:firstLine="640" w:firstLineChars="200"/>
        <w:jc w:val="both"/>
        <w:rPr>
          <w:rFonts w:hint="eastAsia" w:ascii="仿宋_GB2312" w:hAnsi="仿宋_GB2312" w:eastAsia="仿宋_GB2312" w:cs="仿宋_GB2312"/>
          <w:color w:val="auto"/>
          <w:spacing w:val="0"/>
          <w:kern w:val="2"/>
          <w:sz w:val="32"/>
          <w:szCs w:val="32"/>
          <w:highlight w:val="none"/>
        </w:rPr>
      </w:pPr>
      <w:r>
        <w:rPr>
          <w:rFonts w:hint="eastAsia" w:ascii="仿宋_GB2312" w:hAnsi="仿宋_GB2312" w:eastAsia="仿宋_GB2312" w:cs="仿宋_GB2312"/>
          <w:color w:val="auto"/>
          <w:spacing w:val="0"/>
          <w:kern w:val="2"/>
          <w:sz w:val="32"/>
          <w:szCs w:val="32"/>
          <w:highlight w:val="none"/>
          <w:lang w:val="en-US" w:eastAsia="zh-CN" w:bidi="ar"/>
        </w:rPr>
        <w:t>民乐县共提交2021—2022年度发布的政策措施13份</w:t>
      </w:r>
      <w:r>
        <w:rPr>
          <w:rFonts w:hint="eastAsia" w:ascii="仿宋_GB2312" w:hAnsi="仿宋_GB2312" w:eastAsia="仿宋_GB2312" w:cs="仿宋_GB2312"/>
          <w:color w:val="auto"/>
          <w:spacing w:val="0"/>
          <w:kern w:val="2"/>
          <w:sz w:val="32"/>
          <w:szCs w:val="32"/>
          <w:highlight w:val="none"/>
          <w:lang w:eastAsia="zh-CN" w:bidi="ar"/>
        </w:rPr>
        <w:t>，其中</w:t>
      </w:r>
      <w:r>
        <w:rPr>
          <w:rFonts w:hint="eastAsia" w:ascii="仿宋_GB2312" w:hAnsi="仿宋_GB2312" w:eastAsia="仿宋_GB2312" w:cs="仿宋_GB2312"/>
          <w:color w:val="auto"/>
          <w:spacing w:val="0"/>
          <w:kern w:val="2"/>
          <w:sz w:val="32"/>
          <w:szCs w:val="32"/>
          <w:highlight w:val="none"/>
          <w:lang w:val="en-US" w:eastAsia="zh-CN" w:bidi="ar"/>
        </w:rPr>
        <w:t>5份政策措施违反公平竞争审查标准。</w:t>
      </w:r>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right="0" w:firstLine="640" w:firstLineChars="200"/>
        <w:jc w:val="both"/>
        <w:outlineLvl w:val="1"/>
        <w:rPr>
          <w:rFonts w:hint="eastAsia" w:ascii="楷体_GB2312" w:hAnsi="楷体_GB2312" w:eastAsia="楷体_GB2312" w:cs="楷体_GB2312"/>
          <w:color w:val="auto"/>
          <w:spacing w:val="0"/>
          <w:kern w:val="2"/>
          <w:sz w:val="32"/>
          <w:szCs w:val="32"/>
        </w:rPr>
      </w:pPr>
      <w:bookmarkStart w:id="2" w:name="_Toc25736"/>
      <w:r>
        <w:rPr>
          <w:rFonts w:hint="eastAsia" w:ascii="楷体_GB2312" w:hAnsi="楷体_GB2312" w:eastAsia="楷体_GB2312" w:cs="楷体_GB2312"/>
          <w:color w:val="auto"/>
          <w:spacing w:val="0"/>
          <w:kern w:val="2"/>
          <w:sz w:val="32"/>
          <w:szCs w:val="32"/>
          <w:lang w:val="en-US" w:eastAsia="zh-CN" w:bidi="ar"/>
        </w:rPr>
        <w:t>（二）审查清理情况</w:t>
      </w:r>
      <w:bookmarkEnd w:id="2"/>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right="0" w:firstLine="640" w:firstLineChars="200"/>
        <w:jc w:val="both"/>
        <w:rPr>
          <w:rFonts w:hint="eastAsia" w:ascii="仿宋_GB2312" w:hAnsi="仿宋_GB2312" w:eastAsia="仿宋_GB2312" w:cs="仿宋_GB2312"/>
          <w:color w:val="auto"/>
          <w:spacing w:val="0"/>
          <w:kern w:val="2"/>
          <w:sz w:val="32"/>
          <w:szCs w:val="32"/>
        </w:rPr>
      </w:pPr>
      <w:r>
        <w:rPr>
          <w:rFonts w:hint="eastAsia" w:ascii="仿宋_GB2312" w:hAnsi="仿宋_GB2312" w:eastAsia="仿宋_GB2312" w:cs="仿宋_GB2312"/>
          <w:color w:val="auto"/>
          <w:spacing w:val="0"/>
          <w:kern w:val="2"/>
          <w:sz w:val="32"/>
          <w:szCs w:val="32"/>
          <w:lang w:val="en-US" w:eastAsia="zh-CN" w:bidi="ar"/>
        </w:rPr>
        <w:t>对于涉及市场主体经济活动的存量政策措施，为营造公平竞争的制度环境和市场化、法治化、国际化的营商环境，促进统一开发、竞争有序的市场体系建设，民乐县及时转发《甘肃省市场监督管理局等四部门关于印发甘肃省开展妨碍统一市场和公平竞争的政策措施清理工作方案》通知，督促各单位</w:t>
      </w:r>
      <w:r>
        <w:rPr>
          <w:rFonts w:hint="eastAsia" w:ascii="仿宋_GB2312" w:hAnsi="仿宋_GB2312" w:eastAsia="仿宋_GB2312" w:cs="仿宋_GB2312"/>
          <w:bCs w:val="0"/>
          <w:color w:val="auto"/>
          <w:spacing w:val="0"/>
          <w:kern w:val="2"/>
          <w:sz w:val="32"/>
          <w:szCs w:val="32"/>
          <w:lang w:val="en-US" w:eastAsia="zh-CN" w:bidi="ar"/>
        </w:rPr>
        <w:t>进行存量政策措施的内部审查和清理工作，已完成自查</w:t>
      </w:r>
      <w:r>
        <w:rPr>
          <w:rFonts w:hint="eastAsia" w:ascii="仿宋_GB2312" w:hAnsi="仿宋_GB2312" w:eastAsia="仿宋_GB2312" w:cs="仿宋_GB2312"/>
          <w:color w:val="auto"/>
          <w:spacing w:val="0"/>
          <w:kern w:val="2"/>
          <w:sz w:val="32"/>
          <w:szCs w:val="32"/>
          <w:lang w:val="en-US" w:eastAsia="zh-CN" w:bidi="ar"/>
        </w:rPr>
        <w:t>，</w:t>
      </w:r>
      <w:r>
        <w:rPr>
          <w:rFonts w:hint="eastAsia" w:ascii="仿宋_GB2312" w:hAnsi="仿宋_GB2312" w:eastAsia="仿宋_GB2312" w:cs="仿宋_GB2312"/>
          <w:color w:val="auto"/>
          <w:spacing w:val="0"/>
          <w:kern w:val="2"/>
          <w:sz w:val="32"/>
          <w:szCs w:val="32"/>
          <w:lang w:eastAsia="zh-CN" w:bidi="ar"/>
        </w:rPr>
        <w:t>并</w:t>
      </w:r>
      <w:r>
        <w:rPr>
          <w:rFonts w:hint="eastAsia" w:ascii="仿宋_GB2312" w:hAnsi="仿宋_GB2312" w:eastAsia="仿宋_GB2312" w:cs="仿宋_GB2312"/>
          <w:color w:val="auto"/>
          <w:spacing w:val="0"/>
          <w:kern w:val="2"/>
          <w:sz w:val="32"/>
          <w:szCs w:val="32"/>
          <w:lang w:val="en-US" w:eastAsia="zh-CN" w:bidi="ar"/>
        </w:rPr>
        <w:t>对2021—2022年度公平竞争审查审查工作情况进行书面总结。</w:t>
      </w:r>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leftChars="0" w:right="0" w:firstLine="640" w:firstLineChars="200"/>
        <w:jc w:val="both"/>
        <w:outlineLvl w:val="1"/>
        <w:rPr>
          <w:rFonts w:hint="eastAsia" w:ascii="楷体_GB2312" w:hAnsi="楷体_GB2312" w:eastAsia="楷体_GB2312" w:cs="楷体_GB2312"/>
          <w:bCs w:val="0"/>
          <w:color w:val="auto"/>
          <w:spacing w:val="0"/>
          <w:kern w:val="2"/>
          <w:sz w:val="32"/>
          <w:szCs w:val="32"/>
        </w:rPr>
      </w:pPr>
      <w:bookmarkStart w:id="3" w:name="_Toc23540"/>
      <w:r>
        <w:rPr>
          <w:rFonts w:hint="eastAsia" w:ascii="楷体_GB2312" w:hAnsi="楷体_GB2312" w:eastAsia="楷体_GB2312" w:cs="楷体_GB2312"/>
          <w:bCs w:val="0"/>
          <w:color w:val="auto"/>
          <w:spacing w:val="0"/>
          <w:kern w:val="2"/>
          <w:sz w:val="32"/>
          <w:szCs w:val="32"/>
          <w:lang w:val="en-US" w:eastAsia="zh-CN" w:bidi="ar"/>
        </w:rPr>
        <w:t>（三）工作部署落实情况</w:t>
      </w:r>
      <w:bookmarkEnd w:id="3"/>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right="0" w:firstLine="640" w:firstLineChars="200"/>
        <w:jc w:val="both"/>
        <w:rPr>
          <w:rFonts w:hint="eastAsia" w:ascii="仿宋_GB2312" w:hAnsi="仿宋_GB2312" w:eastAsia="仿宋_GB2312" w:cs="仿宋_GB2312"/>
          <w:bCs w:val="0"/>
          <w:color w:val="auto"/>
          <w:spacing w:val="0"/>
          <w:kern w:val="2"/>
          <w:sz w:val="32"/>
          <w:szCs w:val="32"/>
          <w:lang w:val="en-US" w:eastAsia="zh-CN" w:bidi="ar"/>
        </w:rPr>
      </w:pPr>
      <w:r>
        <w:rPr>
          <w:rFonts w:hint="eastAsia" w:ascii="仿宋_GB2312" w:hAnsi="仿宋_GB2312" w:eastAsia="仿宋_GB2312" w:cs="仿宋_GB2312"/>
          <w:bCs w:val="0"/>
          <w:color w:val="auto"/>
          <w:spacing w:val="0"/>
          <w:kern w:val="2"/>
          <w:sz w:val="32"/>
          <w:szCs w:val="32"/>
          <w:lang w:val="en-US" w:eastAsia="zh-CN" w:bidi="ar"/>
        </w:rPr>
        <w:t>为建立健全公平竞争审查工作机制，推动</w:t>
      </w:r>
      <w:r>
        <w:rPr>
          <w:rFonts w:hint="eastAsia" w:ascii="仿宋_GB2312" w:hAnsi="仿宋_GB2312" w:eastAsia="仿宋_GB2312" w:cs="仿宋_GB2312"/>
          <w:bCs w:val="0"/>
          <w:color w:val="auto"/>
          <w:spacing w:val="0"/>
          <w:kern w:val="2"/>
          <w:sz w:val="32"/>
          <w:szCs w:val="32"/>
          <w:lang w:eastAsia="zh-CN" w:bidi="ar"/>
        </w:rPr>
        <w:t>民乐县</w:t>
      </w:r>
      <w:r>
        <w:rPr>
          <w:rFonts w:hint="eastAsia" w:ascii="仿宋_GB2312" w:hAnsi="仿宋_GB2312" w:eastAsia="仿宋_GB2312" w:cs="仿宋_GB2312"/>
          <w:bCs w:val="0"/>
          <w:color w:val="auto"/>
          <w:spacing w:val="0"/>
          <w:kern w:val="2"/>
          <w:sz w:val="32"/>
          <w:szCs w:val="32"/>
          <w:lang w:val="en-US" w:eastAsia="zh-CN" w:bidi="ar"/>
        </w:rPr>
        <w:t>公平竞争审查工作的贯彻落实，民乐县结合工作实际制定了</w:t>
      </w:r>
      <w:r>
        <w:rPr>
          <w:rFonts w:hint="eastAsia" w:ascii="仿宋_GB2312" w:hAnsi="仿宋_GB2312" w:eastAsia="仿宋_GB2312" w:cs="仿宋_GB2312"/>
          <w:color w:val="auto"/>
          <w:spacing w:val="0"/>
          <w:kern w:val="2"/>
          <w:sz w:val="32"/>
          <w:szCs w:val="32"/>
          <w:lang w:val="en-US" w:eastAsia="zh-CN" w:bidi="ar"/>
        </w:rPr>
        <w:t>《民乐县公平竞争审查工作政策措施抽查制度（试行）》、《民乐县重大政策措施公平竞争审查会审制度（试行）》、《民乐县公平竞争审查投诉举报和处理回应制度（试行）》三项制度</w:t>
      </w:r>
      <w:r>
        <w:rPr>
          <w:rFonts w:hint="eastAsia" w:ascii="仿宋_GB2312" w:hAnsi="仿宋_GB2312" w:eastAsia="仿宋_GB2312" w:cs="仿宋_GB2312"/>
          <w:bCs w:val="0"/>
          <w:color w:val="auto"/>
          <w:spacing w:val="0"/>
          <w:kern w:val="2"/>
          <w:sz w:val="32"/>
          <w:szCs w:val="32"/>
          <w:lang w:val="en-US" w:eastAsia="zh-CN" w:bidi="ar"/>
        </w:rPr>
        <w:t>，为全面落实公平竞争审查制度，通过县政府网站公布投诉回应受理渠道和举报电话，通过在全县范围内组织开展专题宣传周活动，对社会公众进行公平竞争审查内容的宣传与普及，组织人员集中学习反垄断法等法律法规，进行公平竞争审查内容的学习与培训。</w:t>
      </w:r>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right="0" w:firstLine="640" w:firstLineChars="200"/>
        <w:jc w:val="both"/>
        <w:rPr>
          <w:rFonts w:hint="eastAsia" w:ascii="仿宋_GB2312" w:hAnsi="仿宋_GB2312" w:eastAsia="仿宋_GB2312" w:cs="仿宋_GB2312"/>
          <w:bCs w:val="0"/>
          <w:color w:val="auto"/>
          <w:spacing w:val="0"/>
          <w:kern w:val="2"/>
          <w:sz w:val="32"/>
          <w:szCs w:val="32"/>
          <w:lang w:val="en-US" w:eastAsia="zh-CN" w:bidi="ar"/>
        </w:rPr>
      </w:pPr>
      <w:r>
        <w:rPr>
          <w:rFonts w:hint="eastAsia" w:ascii="仿宋_GB2312" w:hAnsi="仿宋_GB2312" w:eastAsia="仿宋_GB2312" w:cs="仿宋_GB2312"/>
          <w:bCs w:val="0"/>
          <w:color w:val="auto"/>
          <w:spacing w:val="0"/>
          <w:kern w:val="2"/>
          <w:sz w:val="32"/>
          <w:szCs w:val="32"/>
          <w:lang w:val="en-US" w:eastAsia="zh-CN" w:bidi="ar"/>
        </w:rPr>
        <w:t>目前，民乐县的公平竞争审查制度、审查流程和审查人员配置均已完善。</w:t>
      </w:r>
    </w:p>
    <w:p>
      <w:pPr>
        <w:keepNext w:val="0"/>
        <w:keepLines w:val="0"/>
        <w:pageBreakBefore w:val="0"/>
        <w:widowControl w:val="0"/>
        <w:suppressLineNumbers w:val="0"/>
        <w:kinsoku/>
        <w:wordWrap/>
        <w:overflowPunct/>
        <w:topLinePunct/>
        <w:autoSpaceDE/>
        <w:autoSpaceDN/>
        <w:bidi w:val="0"/>
        <w:adjustRightInd/>
        <w:snapToGrid/>
        <w:spacing w:before="157" w:beforeLines="50" w:beforeAutospacing="0" w:after="157" w:afterLines="50" w:afterAutospacing="0" w:line="540" w:lineRule="exact"/>
        <w:ind w:left="0" w:leftChars="0" w:right="0" w:rightChars="0" w:firstLine="640" w:firstLineChars="200"/>
        <w:jc w:val="both"/>
        <w:textAlignment w:val="auto"/>
        <w:outlineLvl w:val="0"/>
        <w:rPr>
          <w:rFonts w:hint="eastAsia" w:ascii="黑体" w:hAnsi="黑体" w:eastAsia="黑体" w:cs="黑体"/>
          <w:b w:val="0"/>
          <w:bCs/>
          <w:color w:val="auto"/>
          <w:spacing w:val="0"/>
          <w:kern w:val="2"/>
          <w:position w:val="0"/>
          <w:sz w:val="32"/>
          <w:szCs w:val="32"/>
          <w:lang w:val="en-US" w:eastAsia="zh-CN" w:bidi="ar"/>
        </w:rPr>
      </w:pPr>
      <w:bookmarkStart w:id="4" w:name="_Toc24452"/>
      <w:r>
        <w:rPr>
          <w:rFonts w:hint="eastAsia" w:ascii="黑体" w:hAnsi="黑体" w:eastAsia="黑体" w:cs="黑体"/>
          <w:b w:val="0"/>
          <w:bCs/>
          <w:color w:val="auto"/>
          <w:spacing w:val="0"/>
          <w:kern w:val="2"/>
          <w:position w:val="0"/>
          <w:sz w:val="32"/>
          <w:szCs w:val="32"/>
          <w:lang w:val="en-US" w:eastAsia="zh-CN" w:bidi="ar"/>
        </w:rPr>
        <w:t>二、评估发现的问题</w:t>
      </w:r>
      <w:bookmarkEnd w:id="4"/>
    </w:p>
    <w:p>
      <w:pPr>
        <w:keepNext w:val="0"/>
        <w:keepLines w:val="0"/>
        <w:pageBreakBefore w:val="0"/>
        <w:widowControl w:val="0"/>
        <w:kinsoku/>
        <w:wordWrap/>
        <w:overflowPunct/>
        <w:topLinePunct/>
        <w:autoSpaceDE/>
        <w:autoSpaceDN/>
        <w:bidi w:val="0"/>
        <w:adjustRightInd/>
        <w:snapToGrid/>
        <w:spacing w:beforeAutospacing="0" w:afterAutospacing="0" w:line="540" w:lineRule="exact"/>
        <w:ind w:left="0" w:leftChars="0" w:right="0" w:firstLine="640" w:firstLineChars="200"/>
        <w:jc w:val="both"/>
        <w:textAlignment w:val="auto"/>
        <w:outlineLvl w:val="9"/>
        <w:rPr>
          <w:rFonts w:hint="eastAsia" w:ascii="仿宋_GB2312" w:hAnsi="仿宋_GB2312" w:eastAsia="仿宋_GB2312" w:cs="仿宋_GB2312"/>
          <w:b w:val="0"/>
          <w:bCs w:val="0"/>
          <w:color w:val="auto"/>
          <w:spacing w:val="0"/>
          <w:sz w:val="32"/>
          <w:szCs w:val="32"/>
          <w:lang w:eastAsia="zh-CN"/>
        </w:rPr>
      </w:pPr>
      <w:r>
        <w:rPr>
          <w:rFonts w:hint="eastAsia" w:ascii="仿宋_GB2312" w:hAnsi="仿宋_GB2312" w:eastAsia="仿宋_GB2312" w:cs="仿宋_GB2312"/>
          <w:b w:val="0"/>
          <w:bCs w:val="0"/>
          <w:color w:val="auto"/>
          <w:spacing w:val="0"/>
          <w:sz w:val="32"/>
          <w:szCs w:val="32"/>
        </w:rPr>
        <w:t>公平竞争审查涉及法学、经济学和其他专业学科的交叉，对工作人员的素质和能力要求较高，再加上经济活动的复杂性以及新经济、新业态的快速发展，要求在行政资源和专业人才方面给予切实保障。目前</w:t>
      </w:r>
      <w:r>
        <w:rPr>
          <w:rFonts w:hint="eastAsia" w:ascii="仿宋_GB2312" w:hAnsi="仿宋_GB2312" w:eastAsia="仿宋_GB2312" w:cs="仿宋_GB2312"/>
          <w:b w:val="0"/>
          <w:bCs w:val="0"/>
          <w:color w:val="auto"/>
          <w:spacing w:val="0"/>
          <w:sz w:val="32"/>
          <w:szCs w:val="32"/>
          <w:lang w:val="en-US" w:eastAsia="zh-CN"/>
        </w:rPr>
        <w:t>张掖市</w:t>
      </w:r>
      <w:r>
        <w:rPr>
          <w:rFonts w:hint="eastAsia" w:ascii="仿宋_GB2312" w:hAnsi="仿宋_GB2312" w:eastAsia="仿宋_GB2312" w:cs="仿宋_GB2312"/>
          <w:b w:val="0"/>
          <w:bCs w:val="0"/>
          <w:color w:val="auto"/>
          <w:spacing w:val="0"/>
          <w:sz w:val="32"/>
          <w:szCs w:val="32"/>
        </w:rPr>
        <w:t>开展公平竞争审查工作机制虽已建立，但由于该项工作处于起步阶段，各成员单位还处在学习探索阶段。公平竞争工作的内部自我</w:t>
      </w:r>
      <w:r>
        <w:rPr>
          <w:rFonts w:hint="eastAsia" w:ascii="仿宋_GB2312" w:hAnsi="仿宋_GB2312" w:eastAsia="仿宋_GB2312" w:cs="仿宋_GB2312"/>
          <w:b w:val="0"/>
          <w:bCs w:val="0"/>
          <w:color w:val="auto"/>
          <w:spacing w:val="0"/>
          <w:sz w:val="32"/>
          <w:szCs w:val="32"/>
          <w:lang w:val="en-US" w:eastAsia="zh-CN"/>
        </w:rPr>
        <w:t>审</w:t>
      </w:r>
      <w:r>
        <w:rPr>
          <w:rFonts w:hint="eastAsia" w:ascii="仿宋_GB2312" w:hAnsi="仿宋_GB2312" w:eastAsia="仿宋_GB2312" w:cs="仿宋_GB2312"/>
          <w:b w:val="0"/>
          <w:bCs w:val="0"/>
          <w:color w:val="auto"/>
          <w:spacing w:val="0"/>
          <w:sz w:val="32"/>
          <w:szCs w:val="32"/>
        </w:rPr>
        <w:t>查对各单位的法制工作者的业务素质、学习能力、法律素养提出了更高的要求，加上法制队伍人手</w:t>
      </w:r>
      <w:r>
        <w:rPr>
          <w:rFonts w:hint="eastAsia" w:ascii="仿宋_GB2312" w:hAnsi="仿宋_GB2312" w:eastAsia="仿宋_GB2312" w:cs="仿宋_GB2312"/>
          <w:b w:val="0"/>
          <w:bCs w:val="0"/>
          <w:color w:val="auto"/>
          <w:spacing w:val="0"/>
          <w:sz w:val="32"/>
          <w:szCs w:val="32"/>
          <w:lang w:val="en-US" w:eastAsia="zh-CN"/>
        </w:rPr>
        <w:t>相对短缺，</w:t>
      </w:r>
      <w:r>
        <w:rPr>
          <w:rFonts w:hint="eastAsia" w:ascii="仿宋_GB2312" w:hAnsi="仿宋_GB2312" w:eastAsia="仿宋_GB2312" w:cs="仿宋_GB2312"/>
          <w:b w:val="0"/>
          <w:bCs w:val="0"/>
          <w:color w:val="auto"/>
          <w:spacing w:val="0"/>
          <w:sz w:val="32"/>
          <w:szCs w:val="32"/>
        </w:rPr>
        <w:t>导致</w:t>
      </w:r>
      <w:r>
        <w:rPr>
          <w:rFonts w:hint="eastAsia" w:ascii="仿宋_GB2312" w:hAnsi="仿宋_GB2312" w:eastAsia="仿宋_GB2312" w:cs="仿宋_GB2312"/>
          <w:b w:val="0"/>
          <w:bCs w:val="0"/>
          <w:color w:val="auto"/>
          <w:spacing w:val="0"/>
          <w:sz w:val="32"/>
          <w:szCs w:val="32"/>
          <w:lang w:eastAsia="zh-CN"/>
        </w:rPr>
        <w:t>民乐县</w:t>
      </w:r>
      <w:r>
        <w:rPr>
          <w:rFonts w:hint="eastAsia" w:ascii="仿宋_GB2312" w:hAnsi="仿宋_GB2312" w:eastAsia="仿宋_GB2312" w:cs="仿宋_GB2312"/>
          <w:b w:val="0"/>
          <w:bCs w:val="0"/>
          <w:color w:val="auto"/>
          <w:spacing w:val="0"/>
          <w:sz w:val="32"/>
          <w:szCs w:val="32"/>
        </w:rPr>
        <w:t>公平竞争审查工作仍存在一定程度不足</w:t>
      </w:r>
      <w:r>
        <w:rPr>
          <w:rFonts w:hint="eastAsia" w:ascii="仿宋_GB2312" w:hAnsi="仿宋_GB2312" w:eastAsia="仿宋_GB2312" w:cs="仿宋_GB2312"/>
          <w:b/>
          <w:bCs/>
          <w:color w:val="auto"/>
          <w:spacing w:val="0"/>
          <w:sz w:val="32"/>
          <w:szCs w:val="32"/>
          <w:lang w:eastAsia="zh-CN"/>
        </w:rPr>
        <w:t>，</w:t>
      </w:r>
      <w:r>
        <w:rPr>
          <w:rFonts w:hint="eastAsia" w:ascii="仿宋_GB2312" w:hAnsi="仿宋_GB2312" w:eastAsia="仿宋_GB2312" w:cs="仿宋_GB2312"/>
          <w:b w:val="0"/>
          <w:bCs w:val="0"/>
          <w:color w:val="auto"/>
          <w:spacing w:val="0"/>
          <w:sz w:val="32"/>
          <w:szCs w:val="32"/>
        </w:rPr>
        <w:t>部分政策措施违反公平竞争审查标准</w:t>
      </w:r>
      <w:r>
        <w:rPr>
          <w:rFonts w:hint="eastAsia" w:ascii="仿宋_GB2312" w:hAnsi="仿宋_GB2312" w:eastAsia="仿宋_GB2312" w:cs="仿宋_GB2312"/>
          <w:b w:val="0"/>
          <w:bCs w:val="0"/>
          <w:color w:val="auto"/>
          <w:spacing w:val="0"/>
          <w:sz w:val="32"/>
          <w:szCs w:val="32"/>
          <w:lang w:eastAsia="zh-CN"/>
        </w:rPr>
        <w:t>，</w:t>
      </w:r>
      <w:r>
        <w:rPr>
          <w:rFonts w:hint="eastAsia" w:ascii="仿宋_GB2312" w:hAnsi="仿宋_GB2312" w:eastAsia="仿宋_GB2312" w:cs="仿宋_GB2312"/>
          <w:b w:val="0"/>
          <w:bCs w:val="0"/>
          <w:color w:val="auto"/>
          <w:spacing w:val="0"/>
          <w:sz w:val="32"/>
          <w:szCs w:val="32"/>
          <w:lang w:val="en-US" w:eastAsia="zh-CN"/>
        </w:rPr>
        <w:t>具体如下：</w:t>
      </w:r>
    </w:p>
    <w:p>
      <w:pPr>
        <w:pStyle w:val="7"/>
        <w:keepNext w:val="0"/>
        <w:keepLines w:val="0"/>
        <w:pageBreakBefore w:val="0"/>
        <w:widowControl w:val="0"/>
        <w:numPr>
          <w:ilvl w:val="0"/>
          <w:numId w:val="1"/>
        </w:numPr>
        <w:kinsoku/>
        <w:wordWrap/>
        <w:overflowPunct/>
        <w:topLinePunct/>
        <w:autoSpaceDE/>
        <w:autoSpaceDN/>
        <w:bidi w:val="0"/>
        <w:spacing w:beforeAutospacing="0" w:after="0" w:afterAutospacing="0" w:line="540" w:lineRule="exact"/>
        <w:ind w:left="0" w:right="0" w:firstLine="640" w:firstLineChars="200"/>
        <w:jc w:val="both"/>
        <w:rPr>
          <w:rFonts w:hint="eastAsia" w:ascii="楷体_GB2312" w:hAnsi="楷体_GB2312" w:eastAsia="楷体_GB2312" w:cs="楷体_GB2312"/>
          <w:b w:val="0"/>
          <w:bCs w:val="0"/>
          <w:color w:val="auto"/>
          <w:spacing w:val="0"/>
          <w:sz w:val="32"/>
          <w:szCs w:val="32"/>
          <w:highlight w:val="none"/>
          <w:lang w:eastAsia="zh-CN"/>
        </w:rPr>
      </w:pPr>
      <w:r>
        <w:rPr>
          <w:rFonts w:hint="eastAsia" w:ascii="楷体_GB2312" w:hAnsi="楷体_GB2312" w:eastAsia="楷体_GB2312" w:cs="楷体_GB2312"/>
          <w:b w:val="0"/>
          <w:bCs w:val="0"/>
          <w:color w:val="auto"/>
          <w:spacing w:val="0"/>
          <w:sz w:val="32"/>
          <w:szCs w:val="32"/>
          <w:vertAlign w:val="baseline"/>
          <w:lang w:eastAsia="zh-CN"/>
        </w:rPr>
        <w:t>《</w:t>
      </w:r>
      <w:r>
        <w:rPr>
          <w:rFonts w:hint="eastAsia" w:ascii="楷体_GB2312" w:hAnsi="楷体_GB2312" w:eastAsia="楷体_GB2312" w:cs="楷体_GB2312"/>
          <w:color w:val="auto"/>
          <w:spacing w:val="0"/>
          <w:kern w:val="2"/>
          <w:sz w:val="32"/>
          <w:szCs w:val="32"/>
          <w:lang w:val="en-US" w:eastAsia="zh-CN" w:bidi="ar"/>
        </w:rPr>
        <w:t>关于加快推进现代农业高质量发展的意见</w:t>
      </w:r>
      <w:r>
        <w:rPr>
          <w:rFonts w:hint="eastAsia" w:ascii="楷体_GB2312" w:hAnsi="楷体_GB2312" w:eastAsia="楷体_GB2312" w:cs="楷体_GB2312"/>
          <w:b w:val="0"/>
          <w:bCs w:val="0"/>
          <w:color w:val="auto"/>
          <w:spacing w:val="0"/>
          <w:sz w:val="32"/>
          <w:szCs w:val="32"/>
          <w:vertAlign w:val="baseline"/>
          <w:lang w:eastAsia="zh-CN"/>
        </w:rPr>
        <w:t>》</w:t>
      </w:r>
      <w:r>
        <w:rPr>
          <w:rFonts w:hint="eastAsia" w:ascii="楷体_GB2312" w:hAnsi="楷体_GB2312" w:eastAsia="楷体_GB2312" w:cs="楷体_GB2312"/>
          <w:b w:val="0"/>
          <w:bCs w:val="0"/>
          <w:color w:val="auto"/>
          <w:spacing w:val="0"/>
          <w:sz w:val="32"/>
          <w:szCs w:val="32"/>
          <w:highlight w:val="none"/>
          <w:lang w:eastAsia="zh-CN"/>
        </w:rPr>
        <w:t>（</w:t>
      </w:r>
      <w:r>
        <w:rPr>
          <w:rFonts w:hint="eastAsia" w:ascii="楷体_GB2312" w:hAnsi="楷体_GB2312" w:eastAsia="楷体_GB2312" w:cs="楷体_GB2312"/>
          <w:color w:val="auto"/>
          <w:spacing w:val="0"/>
          <w:kern w:val="2"/>
          <w:sz w:val="32"/>
          <w:szCs w:val="32"/>
          <w:lang w:val="en-US" w:eastAsia="zh-CN" w:bidi="ar"/>
        </w:rPr>
        <w:t>民政办发〔2021〕37号</w:t>
      </w:r>
      <w:r>
        <w:rPr>
          <w:rFonts w:hint="eastAsia" w:ascii="楷体_GB2312" w:hAnsi="楷体_GB2312" w:eastAsia="楷体_GB2312" w:cs="楷体_GB2312"/>
          <w:b w:val="0"/>
          <w:bCs w:val="0"/>
          <w:color w:val="auto"/>
          <w:spacing w:val="0"/>
          <w:sz w:val="32"/>
          <w:szCs w:val="32"/>
          <w:highlight w:val="none"/>
          <w:lang w:eastAsia="zh-CN"/>
        </w:rPr>
        <w:t>）</w:t>
      </w:r>
    </w:p>
    <w:tbl>
      <w:tblPr>
        <w:tblStyle w:val="18"/>
        <w:tblpPr w:leftFromText="180" w:rightFromText="180" w:vertAnchor="text" w:horzAnchor="page" w:tblpX="1584" w:tblpY="504"/>
        <w:tblOverlap w:val="never"/>
        <w:tblW w:w="5011" w:type="pct"/>
        <w:tblInd w:w="0" w:type="dxa"/>
        <w:tblBorders>
          <w:top w:val="single" w:color="000000" w:sz="8" w:space="0"/>
          <w:left w:val="single" w:color="000000" w:sz="8" w:space="0"/>
          <w:bottom w:val="single" w:color="000000" w:sz="8" w:space="0"/>
          <w:right w:val="single" w:color="000000" w:sz="8"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885"/>
      </w:tblGrid>
      <w:tr>
        <w:tblPrEx>
          <w:tblBorders>
            <w:top w:val="single" w:color="000000" w:sz="8" w:space="0"/>
            <w:left w:val="single" w:color="000000" w:sz="8" w:space="0"/>
            <w:bottom w:val="single" w:color="000000" w:sz="8" w:space="0"/>
            <w:right w:val="single" w:color="000000" w:sz="8" w:space="0"/>
            <w:insideH w:val="outset" w:color="auto" w:sz="6" w:space="0"/>
            <w:insideV w:val="outset" w:color="auto" w:sz="6" w:space="0"/>
          </w:tblBorders>
          <w:shd w:val="clear" w:color="auto" w:fill="auto"/>
          <w:tblCellMar>
            <w:top w:w="0" w:type="dxa"/>
            <w:left w:w="0" w:type="dxa"/>
            <w:bottom w:w="0" w:type="dxa"/>
            <w:right w:w="0" w:type="dxa"/>
          </w:tblCellMar>
        </w:tblPrEx>
        <w:trPr>
          <w:trHeight w:val="3366" w:hRule="atLeast"/>
        </w:trPr>
        <w:tc>
          <w:tcPr>
            <w:tcW w:w="5000" w:type="pct"/>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pageBreakBefore w:val="0"/>
              <w:widowControl w:val="0"/>
              <w:suppressLineNumbers w:val="0"/>
              <w:kinsoku/>
              <w:wordWrap/>
              <w:overflowPunct/>
              <w:topLinePunct/>
              <w:autoSpaceDE/>
              <w:autoSpaceDN/>
              <w:bidi w:val="0"/>
              <w:adjustRightInd w:val="0"/>
              <w:snapToGrid w:val="0"/>
              <w:spacing w:before="0" w:beforeAutospacing="0" w:after="0" w:afterAutospacing="0" w:line="540" w:lineRule="exact"/>
              <w:ind w:left="0" w:leftChars="0" w:right="0" w:firstLine="560" w:firstLineChars="200"/>
              <w:jc w:val="both"/>
              <w:textAlignment w:val="baseline"/>
              <w:rPr>
                <w:rFonts w:hint="eastAsia" w:ascii="仿宋_GB2312" w:hAnsi="仿宋_GB2312" w:eastAsia="仿宋_GB2312" w:cs="仿宋_GB2312"/>
                <w:b w:val="0"/>
                <w:bCs w:val="0"/>
                <w:snapToGrid/>
                <w:color w:val="auto"/>
                <w:spacing w:val="0"/>
                <w:kern w:val="0"/>
                <w:sz w:val="28"/>
                <w:szCs w:val="28"/>
                <w:lang w:val="en-US" w:eastAsia="zh-CN" w:bidi="ar"/>
              </w:rPr>
            </w:pPr>
            <w:r>
              <w:rPr>
                <w:rFonts w:hint="eastAsia" w:ascii="仿宋_GB2312" w:hAnsi="仿宋_GB2312" w:eastAsia="仿宋_GB2312" w:cs="仿宋_GB2312"/>
                <w:b w:val="0"/>
                <w:bCs w:val="0"/>
                <w:snapToGrid/>
                <w:color w:val="auto"/>
                <w:spacing w:val="0"/>
                <w:kern w:val="0"/>
                <w:sz w:val="28"/>
                <w:szCs w:val="28"/>
                <w:lang w:val="en-US" w:eastAsia="zh-CN" w:bidi="ar"/>
              </w:rPr>
              <w:t>文件第4-8页</w:t>
            </w:r>
          </w:p>
          <w:p>
            <w:pPr>
              <w:keepNext w:val="0"/>
              <w:keepLines w:val="0"/>
              <w:pageBreakBefore w:val="0"/>
              <w:widowControl w:val="0"/>
              <w:suppressLineNumbers w:val="0"/>
              <w:kinsoku/>
              <w:wordWrap/>
              <w:overflowPunct/>
              <w:topLinePunct/>
              <w:autoSpaceDE/>
              <w:autoSpaceDN/>
              <w:bidi w:val="0"/>
              <w:spacing w:before="0" w:beforeAutospacing="0" w:after="0" w:afterAutospacing="0" w:line="540" w:lineRule="exact"/>
              <w:ind w:left="0" w:right="0" w:firstLine="560" w:firstLineChars="200"/>
              <w:jc w:val="both"/>
              <w:rPr>
                <w:rFonts w:hint="eastAsia" w:ascii="仿宋_GB2312" w:hAnsi="仿宋_GB2312" w:eastAsia="仿宋_GB2312" w:cs="仿宋_GB2312"/>
                <w:color w:val="auto"/>
                <w:spacing w:val="0"/>
                <w:kern w:val="2"/>
                <w:sz w:val="28"/>
                <w:szCs w:val="28"/>
              </w:rPr>
            </w:pPr>
            <w:r>
              <w:rPr>
                <w:rFonts w:hint="eastAsia" w:ascii="仿宋_GB2312" w:hAnsi="仿宋_GB2312" w:eastAsia="仿宋_GB2312" w:cs="仿宋_GB2312"/>
                <w:color w:val="auto"/>
                <w:spacing w:val="0"/>
                <w:kern w:val="2"/>
                <w:sz w:val="28"/>
                <w:szCs w:val="28"/>
                <w:lang w:val="en-US" w:eastAsia="zh-CN" w:bidi="ar"/>
              </w:rPr>
              <w:t>三、重点任务</w:t>
            </w:r>
          </w:p>
          <w:p>
            <w:pPr>
              <w:keepNext w:val="0"/>
              <w:keepLines w:val="0"/>
              <w:pageBreakBefore w:val="0"/>
              <w:widowControl w:val="0"/>
              <w:suppressLineNumbers w:val="0"/>
              <w:kinsoku/>
              <w:wordWrap/>
              <w:overflowPunct/>
              <w:topLinePunct/>
              <w:autoSpaceDE/>
              <w:autoSpaceDN/>
              <w:bidi w:val="0"/>
              <w:spacing w:before="0" w:beforeAutospacing="0" w:after="0" w:afterAutospacing="0" w:line="540" w:lineRule="exact"/>
              <w:ind w:left="0" w:right="0" w:firstLine="560" w:firstLineChars="200"/>
              <w:jc w:val="both"/>
              <w:rPr>
                <w:rFonts w:hint="eastAsia" w:ascii="仿宋_GB2312" w:hAnsi="仿宋_GB2312" w:eastAsia="仿宋_GB2312" w:cs="仿宋_GB2312"/>
                <w:b/>
                <w:bCs/>
                <w:color w:val="auto"/>
                <w:spacing w:val="0"/>
                <w:kern w:val="2"/>
                <w:sz w:val="28"/>
                <w:szCs w:val="28"/>
              </w:rPr>
            </w:pPr>
            <w:r>
              <w:rPr>
                <w:rFonts w:hint="eastAsia" w:ascii="仿宋_GB2312" w:hAnsi="仿宋_GB2312" w:eastAsia="仿宋_GB2312" w:cs="仿宋_GB2312"/>
                <w:color w:val="auto"/>
                <w:spacing w:val="0"/>
                <w:kern w:val="2"/>
                <w:sz w:val="28"/>
                <w:szCs w:val="28"/>
                <w:lang w:val="en-US" w:eastAsia="zh-CN" w:bidi="ar"/>
              </w:rPr>
              <w:t>（一）建设产业功能区</w:t>
            </w:r>
          </w:p>
          <w:p>
            <w:pPr>
              <w:keepNext w:val="0"/>
              <w:keepLines w:val="0"/>
              <w:pageBreakBefore w:val="0"/>
              <w:widowControl w:val="0"/>
              <w:suppressLineNumbers w:val="0"/>
              <w:kinsoku/>
              <w:wordWrap/>
              <w:overflowPunct/>
              <w:topLinePunct/>
              <w:autoSpaceDE/>
              <w:autoSpaceDN/>
              <w:bidi w:val="0"/>
              <w:spacing w:before="0" w:beforeAutospacing="0" w:after="0" w:afterAutospacing="0" w:line="540" w:lineRule="exact"/>
              <w:ind w:left="0" w:right="0" w:firstLine="562" w:firstLineChars="200"/>
              <w:jc w:val="both"/>
              <w:rPr>
                <w:rFonts w:hint="eastAsia" w:ascii="仿宋_GB2312" w:hAnsi="仿宋_GB2312" w:eastAsia="仿宋_GB2312" w:cs="仿宋_GB2312"/>
                <w:b/>
                <w:bCs/>
                <w:color w:val="auto"/>
                <w:spacing w:val="0"/>
                <w:kern w:val="2"/>
                <w:sz w:val="28"/>
                <w:szCs w:val="28"/>
                <w:lang w:val="en-US" w:eastAsia="zh-CN" w:bidi="ar"/>
              </w:rPr>
            </w:pPr>
            <w:r>
              <w:rPr>
                <w:rFonts w:hint="eastAsia" w:ascii="仿宋_GB2312" w:hAnsi="仿宋_GB2312" w:eastAsia="仿宋_GB2312" w:cs="仿宋_GB2312"/>
                <w:b/>
                <w:bCs/>
                <w:color w:val="auto"/>
                <w:spacing w:val="0"/>
                <w:kern w:val="2"/>
                <w:sz w:val="28"/>
                <w:szCs w:val="28"/>
                <w:lang w:val="en-US" w:eastAsia="zh-CN" w:bidi="ar"/>
              </w:rPr>
              <w:t>2.打造核心示范片区</w:t>
            </w:r>
          </w:p>
          <w:p>
            <w:pPr>
              <w:keepNext w:val="0"/>
              <w:keepLines w:val="0"/>
              <w:pageBreakBefore w:val="0"/>
              <w:widowControl w:val="0"/>
              <w:suppressLineNumbers w:val="0"/>
              <w:kinsoku/>
              <w:wordWrap/>
              <w:overflowPunct/>
              <w:topLinePunct/>
              <w:autoSpaceDE/>
              <w:autoSpaceDN/>
              <w:bidi w:val="0"/>
              <w:spacing w:before="0" w:beforeAutospacing="0" w:after="0" w:afterAutospacing="0" w:line="540" w:lineRule="exact"/>
              <w:ind w:left="0" w:right="0" w:firstLine="562" w:firstLineChars="200"/>
              <w:jc w:val="both"/>
              <w:rPr>
                <w:rFonts w:hint="eastAsia" w:ascii="仿宋_GB2312" w:hAnsi="仿宋_GB2312" w:eastAsia="仿宋_GB2312" w:cs="仿宋_GB2312"/>
                <w:b/>
                <w:bCs/>
                <w:color w:val="auto"/>
                <w:spacing w:val="0"/>
                <w:kern w:val="2"/>
                <w:sz w:val="28"/>
                <w:szCs w:val="28"/>
                <w:lang w:val="en-US" w:eastAsia="zh-CN" w:bidi="ar"/>
              </w:rPr>
            </w:pPr>
            <w:r>
              <w:rPr>
                <w:rFonts w:hint="eastAsia" w:ascii="仿宋_GB2312" w:hAnsi="仿宋_GB2312" w:eastAsia="仿宋_GB2312" w:cs="仿宋_GB2312"/>
                <w:b/>
                <w:bCs/>
                <w:color w:val="auto"/>
                <w:spacing w:val="0"/>
                <w:kern w:val="2"/>
                <w:sz w:val="28"/>
                <w:szCs w:val="28"/>
                <w:lang w:val="en-US" w:eastAsia="zh-CN" w:bidi="ar"/>
              </w:rPr>
              <w:t>专用马铃薯片区</w:t>
            </w:r>
          </w:p>
          <w:p>
            <w:pPr>
              <w:keepNext w:val="0"/>
              <w:keepLines w:val="0"/>
              <w:pageBreakBefore w:val="0"/>
              <w:widowControl w:val="0"/>
              <w:suppressLineNumbers w:val="0"/>
              <w:kinsoku/>
              <w:wordWrap/>
              <w:overflowPunct/>
              <w:topLinePunct/>
              <w:autoSpaceDE/>
              <w:autoSpaceDN/>
              <w:bidi w:val="0"/>
              <w:spacing w:before="0" w:beforeAutospacing="0" w:after="0" w:afterAutospacing="0" w:line="540" w:lineRule="exact"/>
              <w:ind w:left="0" w:right="0" w:firstLine="560" w:firstLineChars="200"/>
              <w:jc w:val="both"/>
              <w:rPr>
                <w:rFonts w:hint="eastAsia" w:ascii="仿宋_GB2312" w:hAnsi="仿宋_GB2312" w:eastAsia="仿宋_GB2312" w:cs="仿宋_GB2312"/>
                <w:color w:val="auto"/>
                <w:spacing w:val="0"/>
                <w:kern w:val="2"/>
                <w:sz w:val="28"/>
                <w:szCs w:val="28"/>
                <w:lang w:val="en-US" w:eastAsia="zh-CN" w:bidi="ar"/>
              </w:rPr>
            </w:pPr>
            <w:r>
              <w:rPr>
                <w:rFonts w:hint="eastAsia" w:ascii="仿宋_GB2312" w:hAnsi="仿宋_GB2312" w:eastAsia="仿宋_GB2312" w:cs="仿宋_GB2312"/>
                <w:color w:val="auto"/>
                <w:spacing w:val="0"/>
                <w:kern w:val="2"/>
                <w:sz w:val="28"/>
                <w:szCs w:val="28"/>
                <w:u w:val="single"/>
                <w:lang w:val="en-US" w:eastAsia="zh-CN" w:bidi="ar"/>
              </w:rPr>
              <w:t>依托</w:t>
            </w:r>
            <w:r>
              <w:rPr>
                <w:rFonts w:hint="eastAsia" w:ascii="仿宋_GB2312" w:hAnsi="仿宋_GB2312" w:eastAsia="仿宋_GB2312" w:cs="仿宋_GB2312"/>
                <w:bCs/>
                <w:color w:val="auto"/>
                <w:spacing w:val="0"/>
                <w:kern w:val="2"/>
                <w:sz w:val="28"/>
                <w:szCs w:val="28"/>
                <w:u w:val="single"/>
                <w:lang w:val="en-US" w:eastAsia="zh-CN" w:bidi="ar"/>
              </w:rPr>
              <w:t>爱味客、丰源薯业、天润园</w:t>
            </w:r>
            <w:r>
              <w:rPr>
                <w:rFonts w:hint="eastAsia" w:ascii="仿宋_GB2312" w:hAnsi="仿宋_GB2312" w:eastAsia="仿宋_GB2312" w:cs="仿宋_GB2312"/>
                <w:color w:val="auto"/>
                <w:spacing w:val="0"/>
                <w:kern w:val="2"/>
                <w:sz w:val="28"/>
                <w:szCs w:val="28"/>
                <w:u w:val="single"/>
                <w:lang w:val="en-US" w:eastAsia="zh-CN" w:bidi="ar"/>
              </w:rPr>
              <w:t>等马铃薯加工龙头企业，</w:t>
            </w:r>
            <w:r>
              <w:rPr>
                <w:rFonts w:hint="eastAsia" w:ascii="仿宋_GB2312" w:hAnsi="仿宋_GB2312" w:eastAsia="仿宋_GB2312" w:cs="仿宋_GB2312"/>
                <w:color w:val="auto"/>
                <w:spacing w:val="0"/>
                <w:kern w:val="2"/>
                <w:sz w:val="28"/>
                <w:szCs w:val="28"/>
                <w:lang w:val="en-US" w:eastAsia="zh-CN" w:bidi="ar"/>
              </w:rPr>
              <w:t>发展马铃薯全粉、淀粉、休闲食品和主食化产品等全产业链深加工，加工能力达到30万吨。</w:t>
            </w:r>
          </w:p>
          <w:p>
            <w:pPr>
              <w:keepNext w:val="0"/>
              <w:keepLines w:val="0"/>
              <w:pageBreakBefore w:val="0"/>
              <w:widowControl w:val="0"/>
              <w:suppressLineNumbers w:val="0"/>
              <w:kinsoku/>
              <w:wordWrap/>
              <w:overflowPunct/>
              <w:topLinePunct/>
              <w:autoSpaceDE/>
              <w:autoSpaceDN/>
              <w:bidi w:val="0"/>
              <w:spacing w:before="0" w:beforeAutospacing="0" w:after="0" w:afterAutospacing="0" w:line="540" w:lineRule="exact"/>
              <w:ind w:left="0" w:right="0" w:firstLine="562" w:firstLineChars="200"/>
              <w:jc w:val="both"/>
              <w:rPr>
                <w:rFonts w:hint="eastAsia" w:ascii="仿宋_GB2312" w:hAnsi="仿宋_GB2312" w:eastAsia="仿宋_GB2312" w:cs="仿宋_GB2312"/>
                <w:color w:val="auto"/>
                <w:spacing w:val="0"/>
                <w:sz w:val="28"/>
                <w:szCs w:val="28"/>
                <w:u w:val="single"/>
                <w:lang w:val="en-US"/>
              </w:rPr>
            </w:pPr>
            <w:r>
              <w:rPr>
                <w:rFonts w:hint="eastAsia" w:ascii="仿宋_GB2312" w:hAnsi="仿宋_GB2312" w:eastAsia="仿宋_GB2312" w:cs="仿宋_GB2312"/>
                <w:b/>
                <w:bCs/>
                <w:color w:val="auto"/>
                <w:spacing w:val="0"/>
                <w:kern w:val="2"/>
                <w:sz w:val="28"/>
                <w:szCs w:val="28"/>
                <w:u w:val="single"/>
                <w:lang w:val="en-US" w:eastAsia="zh-CN" w:bidi="ar"/>
              </w:rPr>
              <w:t>中药材片区。</w:t>
            </w:r>
          </w:p>
          <w:p>
            <w:pPr>
              <w:keepNext w:val="0"/>
              <w:keepLines w:val="0"/>
              <w:pageBreakBefore w:val="0"/>
              <w:widowControl w:val="0"/>
              <w:suppressLineNumbers w:val="0"/>
              <w:kinsoku/>
              <w:wordWrap/>
              <w:overflowPunct/>
              <w:topLinePunct/>
              <w:autoSpaceDE/>
              <w:autoSpaceDN/>
              <w:bidi w:val="0"/>
              <w:spacing w:before="0" w:beforeAutospacing="0" w:after="0" w:afterAutospacing="0" w:line="540" w:lineRule="exact"/>
              <w:ind w:left="0" w:right="0" w:firstLine="562" w:firstLineChars="200"/>
              <w:jc w:val="both"/>
              <w:rPr>
                <w:rFonts w:hint="eastAsia" w:ascii="仿宋_GB2312" w:hAnsi="仿宋_GB2312" w:eastAsia="仿宋_GB2312" w:cs="仿宋_GB2312"/>
                <w:color w:val="auto"/>
                <w:spacing w:val="0"/>
                <w:sz w:val="28"/>
                <w:szCs w:val="28"/>
                <w:u w:val="single"/>
              </w:rPr>
            </w:pPr>
            <w:r>
              <w:rPr>
                <w:rFonts w:hint="eastAsia" w:ascii="仿宋_GB2312" w:hAnsi="仿宋_GB2312" w:eastAsia="仿宋_GB2312" w:cs="仿宋_GB2312"/>
                <w:b/>
                <w:bCs/>
                <w:color w:val="auto"/>
                <w:spacing w:val="0"/>
                <w:kern w:val="2"/>
                <w:sz w:val="28"/>
                <w:szCs w:val="28"/>
                <w:u w:val="single"/>
                <w:lang w:val="en-US" w:eastAsia="zh-CN" w:bidi="ar"/>
              </w:rPr>
              <w:t>中药材片区。</w:t>
            </w:r>
          </w:p>
          <w:p>
            <w:pPr>
              <w:keepNext w:val="0"/>
              <w:keepLines w:val="0"/>
              <w:pageBreakBefore w:val="0"/>
              <w:widowControl w:val="0"/>
              <w:suppressLineNumbers w:val="0"/>
              <w:kinsoku/>
              <w:wordWrap/>
              <w:overflowPunct/>
              <w:topLinePunct/>
              <w:autoSpaceDE/>
              <w:autoSpaceDN/>
              <w:bidi w:val="0"/>
              <w:spacing w:before="0" w:beforeAutospacing="0" w:after="0" w:afterAutospacing="0" w:line="540" w:lineRule="exact"/>
              <w:ind w:left="0" w:right="0" w:firstLine="562" w:firstLineChars="200"/>
              <w:jc w:val="both"/>
              <w:rPr>
                <w:rFonts w:hint="eastAsia" w:ascii="仿宋_GB2312" w:hAnsi="仿宋_GB2312" w:eastAsia="仿宋_GB2312" w:cs="仿宋_GB2312"/>
                <w:color w:val="auto"/>
                <w:spacing w:val="0"/>
                <w:sz w:val="28"/>
                <w:szCs w:val="28"/>
                <w:u w:val="single"/>
              </w:rPr>
            </w:pPr>
            <w:r>
              <w:rPr>
                <w:rFonts w:hint="eastAsia" w:ascii="仿宋_GB2312" w:hAnsi="仿宋_GB2312" w:eastAsia="仿宋_GB2312" w:cs="仿宋_GB2312"/>
                <w:b/>
                <w:bCs/>
                <w:color w:val="auto"/>
                <w:spacing w:val="0"/>
                <w:kern w:val="2"/>
                <w:sz w:val="28"/>
                <w:szCs w:val="28"/>
                <w:u w:val="single"/>
                <w:lang w:val="en-US" w:eastAsia="zh-CN" w:bidi="ar"/>
              </w:rPr>
              <w:t>现代智能温室产业园。</w:t>
            </w:r>
          </w:p>
          <w:p>
            <w:pPr>
              <w:keepNext w:val="0"/>
              <w:keepLines w:val="0"/>
              <w:pageBreakBefore w:val="0"/>
              <w:widowControl w:val="0"/>
              <w:suppressLineNumbers w:val="0"/>
              <w:kinsoku/>
              <w:wordWrap/>
              <w:overflowPunct/>
              <w:topLinePunct/>
              <w:autoSpaceDE/>
              <w:autoSpaceDN/>
              <w:bidi w:val="0"/>
              <w:spacing w:before="0" w:beforeAutospacing="0" w:after="0" w:afterAutospacing="0" w:line="540" w:lineRule="exact"/>
              <w:ind w:left="0" w:right="0" w:firstLine="562" w:firstLineChars="200"/>
              <w:jc w:val="both"/>
              <w:rPr>
                <w:rFonts w:hint="eastAsia" w:ascii="仿宋_GB2312" w:hAnsi="仿宋_GB2312" w:eastAsia="仿宋_GB2312" w:cs="仿宋_GB2312"/>
                <w:b/>
                <w:bCs/>
                <w:color w:val="auto"/>
                <w:spacing w:val="0"/>
                <w:kern w:val="2"/>
                <w:sz w:val="28"/>
                <w:szCs w:val="28"/>
                <w:u w:val="single"/>
                <w:lang w:val="en-US" w:eastAsia="zh-CN" w:bidi="ar"/>
              </w:rPr>
            </w:pPr>
            <w:r>
              <w:rPr>
                <w:rFonts w:hint="eastAsia" w:ascii="仿宋_GB2312" w:hAnsi="仿宋_GB2312" w:eastAsia="仿宋_GB2312" w:cs="仿宋_GB2312"/>
                <w:b/>
                <w:bCs/>
                <w:color w:val="auto"/>
                <w:spacing w:val="0"/>
                <w:kern w:val="2"/>
                <w:sz w:val="28"/>
                <w:szCs w:val="28"/>
                <w:u w:val="single"/>
                <w:lang w:val="en-US" w:eastAsia="zh-CN" w:bidi="ar"/>
              </w:rPr>
              <w:t>草畜产业片区。</w:t>
            </w:r>
          </w:p>
          <w:p>
            <w:pPr>
              <w:keepNext w:val="0"/>
              <w:keepLines w:val="0"/>
              <w:pageBreakBefore w:val="0"/>
              <w:widowControl w:val="0"/>
              <w:suppressLineNumbers w:val="0"/>
              <w:kinsoku/>
              <w:wordWrap/>
              <w:overflowPunct/>
              <w:topLinePunct/>
              <w:autoSpaceDE/>
              <w:autoSpaceDN/>
              <w:bidi w:val="0"/>
              <w:spacing w:before="0" w:beforeAutospacing="0" w:after="0" w:afterAutospacing="0" w:line="540" w:lineRule="exact"/>
              <w:ind w:left="0" w:right="0" w:firstLine="562" w:firstLineChars="200"/>
              <w:jc w:val="both"/>
              <w:rPr>
                <w:rFonts w:hint="eastAsia" w:ascii="仿宋_GB2312" w:hAnsi="仿宋_GB2312" w:eastAsia="仿宋_GB2312" w:cs="仿宋_GB2312"/>
                <w:b/>
                <w:bCs/>
                <w:color w:val="auto"/>
                <w:spacing w:val="0"/>
                <w:kern w:val="2"/>
                <w:sz w:val="28"/>
                <w:szCs w:val="28"/>
                <w:lang w:val="en-US" w:eastAsia="zh-CN" w:bidi="ar"/>
              </w:rPr>
            </w:pPr>
            <w:r>
              <w:rPr>
                <w:rFonts w:hint="eastAsia" w:ascii="仿宋_GB2312" w:hAnsi="仿宋_GB2312" w:eastAsia="仿宋_GB2312" w:cs="仿宋_GB2312"/>
                <w:b/>
                <w:bCs/>
                <w:color w:val="auto"/>
                <w:spacing w:val="0"/>
                <w:kern w:val="2"/>
                <w:sz w:val="28"/>
                <w:szCs w:val="28"/>
                <w:lang w:val="en-US" w:eastAsia="zh-CN" w:bidi="ar"/>
              </w:rPr>
              <w:t>均有类似的表述</w:t>
            </w:r>
          </w:p>
        </w:tc>
      </w:tr>
    </w:tbl>
    <w:p>
      <w:pPr>
        <w:keepNext w:val="0"/>
        <w:keepLines w:val="0"/>
        <w:pageBreakBefore w:val="0"/>
        <w:widowControl w:val="0"/>
        <w:suppressLineNumbers w:val="0"/>
        <w:kinsoku/>
        <w:wordWrap/>
        <w:overflowPunct/>
        <w:topLinePunct/>
        <w:autoSpaceDE/>
        <w:autoSpaceDN/>
        <w:bidi w:val="0"/>
        <w:adjustRightInd w:val="0"/>
        <w:snapToGrid w:val="0"/>
        <w:spacing w:beforeAutospacing="0" w:afterAutospacing="0" w:line="540" w:lineRule="exact"/>
        <w:ind w:left="0" w:right="0" w:firstLine="640" w:firstLineChars="200"/>
        <w:jc w:val="both"/>
        <w:textAlignment w:val="baseline"/>
        <w:rPr>
          <w:rFonts w:hint="eastAsia" w:ascii="仿宋_GB2312" w:hAnsi="仿宋_GB2312" w:eastAsia="仿宋_GB2312" w:cs="仿宋_GB2312"/>
          <w:b w:val="0"/>
          <w:bCs w:val="0"/>
          <w:color w:val="auto"/>
          <w:spacing w:val="0"/>
          <w:kern w:val="0"/>
          <w:sz w:val="32"/>
          <w:szCs w:val="32"/>
        </w:rPr>
      </w:pPr>
      <w:r>
        <w:rPr>
          <w:rFonts w:hint="eastAsia" w:ascii="仿宋_GB2312" w:hAnsi="仿宋_GB2312" w:eastAsia="仿宋_GB2312" w:cs="仿宋_GB2312"/>
          <w:b w:val="0"/>
          <w:bCs w:val="0"/>
          <w:snapToGrid/>
          <w:color w:val="auto"/>
          <w:spacing w:val="0"/>
          <w:kern w:val="0"/>
          <w:sz w:val="32"/>
          <w:szCs w:val="32"/>
          <w:lang w:val="en-US" w:eastAsia="zh-CN" w:bidi="ar"/>
        </w:rPr>
        <w:t>a.问题内容条款</w:t>
      </w:r>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right="0" w:firstLine="640" w:firstLineChars="200"/>
        <w:jc w:val="both"/>
        <w:rPr>
          <w:rFonts w:hint="eastAsia" w:ascii="仿宋_GB2312" w:hAnsi="仿宋_GB2312" w:eastAsia="仿宋_GB2312" w:cs="仿宋_GB2312"/>
          <w:bCs w:val="0"/>
          <w:color w:val="auto"/>
          <w:spacing w:val="0"/>
          <w:kern w:val="2"/>
          <w:sz w:val="32"/>
          <w:szCs w:val="32"/>
          <w:lang w:val="en-US" w:eastAsia="zh-CN" w:bidi="ar"/>
        </w:rPr>
      </w:pPr>
      <w:r>
        <w:rPr>
          <w:rFonts w:hint="eastAsia" w:ascii="仿宋_GB2312" w:hAnsi="仿宋_GB2312" w:eastAsia="仿宋_GB2312" w:cs="仿宋_GB2312"/>
          <w:bCs w:val="0"/>
          <w:color w:val="auto"/>
          <w:spacing w:val="0"/>
          <w:kern w:val="2"/>
          <w:sz w:val="32"/>
          <w:szCs w:val="32"/>
          <w:lang w:val="en-US" w:eastAsia="zh-CN" w:bidi="ar"/>
        </w:rPr>
        <w:t>b.剖析论证</w:t>
      </w:r>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right="0" w:firstLine="640" w:firstLineChars="200"/>
        <w:jc w:val="both"/>
        <w:rPr>
          <w:rFonts w:hint="eastAsia" w:ascii="仿宋_GB2312" w:hAnsi="仿宋_GB2312" w:eastAsia="仿宋_GB2312" w:cs="仿宋_GB2312"/>
          <w:bCs w:val="0"/>
          <w:color w:val="auto"/>
          <w:spacing w:val="0"/>
          <w:kern w:val="2"/>
          <w:sz w:val="32"/>
          <w:szCs w:val="32"/>
          <w:lang w:val="en-US" w:eastAsia="zh-CN" w:bidi="ar"/>
        </w:rPr>
      </w:pPr>
      <w:r>
        <w:rPr>
          <w:rFonts w:hint="eastAsia" w:ascii="仿宋_GB2312" w:hAnsi="仿宋_GB2312" w:eastAsia="仿宋_GB2312" w:cs="仿宋_GB2312"/>
          <w:bCs w:val="0"/>
          <w:color w:val="auto"/>
          <w:spacing w:val="0"/>
          <w:kern w:val="2"/>
          <w:sz w:val="32"/>
          <w:szCs w:val="32"/>
          <w:lang w:val="en-US" w:eastAsia="zh-CN" w:bidi="ar"/>
        </w:rPr>
        <w:t>文件内容违反公平竞争审查制度“影响生产经营成本标准”中关于“不得违法给予特定经营者优惠政策”的规定，从特定经营者角度界定，或者直接规定具体的受惠企业，或者规定受惠企业的类型（龙头企业）。从优惠类型分析，以“依托”“引导、支持”“重点发展”“做强”等概括性地表述为主。</w:t>
      </w:r>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right="0" w:firstLine="640" w:firstLineChars="200"/>
        <w:jc w:val="both"/>
        <w:rPr>
          <w:rFonts w:hint="eastAsia" w:ascii="楷体_GB2312" w:hAnsi="楷体_GB2312" w:eastAsia="楷体_GB2312" w:cs="楷体_GB2312"/>
          <w:bCs w:val="0"/>
          <w:color w:val="auto"/>
          <w:spacing w:val="0"/>
          <w:kern w:val="2"/>
          <w:sz w:val="32"/>
          <w:szCs w:val="32"/>
          <w:lang w:val="en-US" w:eastAsia="zh-CN" w:bidi="ar"/>
        </w:rPr>
      </w:pPr>
      <w:r>
        <w:rPr>
          <w:rFonts w:hint="eastAsia" w:ascii="楷体_GB2312" w:hAnsi="楷体_GB2312" w:eastAsia="楷体_GB2312" w:cs="楷体_GB2312"/>
          <w:bCs w:val="0"/>
          <w:color w:val="auto"/>
          <w:spacing w:val="0"/>
          <w:kern w:val="2"/>
          <w:sz w:val="32"/>
          <w:szCs w:val="32"/>
          <w:lang w:val="en-US" w:eastAsia="zh-CN" w:bidi="ar"/>
        </w:rPr>
        <w:t>（二）《民乐县支持文化旅游产业发展扶持奖励办法》（民政发〔2022〕57号）</w:t>
      </w:r>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right="0" w:firstLine="640" w:firstLineChars="200"/>
        <w:jc w:val="both"/>
        <w:rPr>
          <w:rFonts w:hint="eastAsia" w:ascii="仿宋_GB2312" w:hAnsi="仿宋_GB2312" w:eastAsia="仿宋_GB2312" w:cs="仿宋_GB2312"/>
          <w:bCs w:val="0"/>
          <w:color w:val="auto"/>
          <w:spacing w:val="0"/>
          <w:kern w:val="2"/>
          <w:sz w:val="32"/>
          <w:szCs w:val="32"/>
          <w:lang w:val="en-US" w:eastAsia="zh-CN" w:bidi="ar"/>
        </w:rPr>
      </w:pPr>
      <w:r>
        <w:rPr>
          <w:rFonts w:hint="eastAsia" w:ascii="仿宋_GB2312" w:hAnsi="仿宋_GB2312" w:eastAsia="仿宋_GB2312" w:cs="仿宋_GB2312"/>
          <w:bCs w:val="0"/>
          <w:color w:val="auto"/>
          <w:spacing w:val="0"/>
          <w:kern w:val="2"/>
          <w:sz w:val="32"/>
          <w:szCs w:val="32"/>
          <w:lang w:val="en-US" w:eastAsia="zh-CN" w:bidi="ar"/>
        </w:rPr>
        <w:t>a.问题内容条款</w:t>
      </w:r>
    </w:p>
    <w:tbl>
      <w:tblPr>
        <w:tblStyle w:val="18"/>
        <w:tblW w:w="5000" w:type="pct"/>
        <w:tblInd w:w="0" w:type="dxa"/>
        <w:tblBorders>
          <w:top w:val="single" w:color="000000" w:sz="8" w:space="0"/>
          <w:left w:val="single" w:color="000000" w:sz="8" w:space="0"/>
          <w:bottom w:val="single" w:color="000000" w:sz="8" w:space="0"/>
          <w:right w:val="single" w:color="000000" w:sz="8"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865"/>
      </w:tblGrid>
      <w:tr>
        <w:tblPrEx>
          <w:tblBorders>
            <w:top w:val="single" w:color="000000" w:sz="8" w:space="0"/>
            <w:left w:val="single" w:color="000000" w:sz="8" w:space="0"/>
            <w:bottom w:val="single" w:color="000000" w:sz="8" w:space="0"/>
            <w:right w:val="single" w:color="000000" w:sz="8" w:space="0"/>
            <w:insideH w:val="outset" w:color="auto" w:sz="6" w:space="0"/>
            <w:insideV w:val="outset" w:color="auto" w:sz="6" w:space="0"/>
          </w:tblBorders>
          <w:tblCellMar>
            <w:top w:w="0" w:type="dxa"/>
            <w:left w:w="0" w:type="dxa"/>
            <w:bottom w:w="0" w:type="dxa"/>
            <w:right w:w="0" w:type="dxa"/>
          </w:tblCellMar>
        </w:tblPrEx>
        <w:trPr>
          <w:trHeight w:val="3366" w:hRule="atLeast"/>
        </w:trPr>
        <w:tc>
          <w:tcPr>
            <w:tcW w:w="5000" w:type="pct"/>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pageBreakBefore w:val="0"/>
              <w:widowControl w:val="0"/>
              <w:suppressLineNumbers w:val="0"/>
              <w:kinsoku/>
              <w:wordWrap/>
              <w:overflowPunct/>
              <w:topLinePunct/>
              <w:autoSpaceDE/>
              <w:autoSpaceDN/>
              <w:bidi w:val="0"/>
              <w:adjustRightInd w:val="0"/>
              <w:snapToGrid w:val="0"/>
              <w:spacing w:before="0" w:beforeAutospacing="0" w:after="0" w:afterAutospacing="0" w:line="540" w:lineRule="exact"/>
              <w:ind w:left="0" w:leftChars="0" w:right="0" w:firstLine="560" w:firstLineChars="200"/>
              <w:jc w:val="both"/>
              <w:textAlignment w:val="baseline"/>
              <w:rPr>
                <w:rFonts w:hint="eastAsia" w:ascii="仿宋_GB2312" w:hAnsi="仿宋_GB2312" w:eastAsia="仿宋_GB2312" w:cs="仿宋_GB2312"/>
                <w:b w:val="0"/>
                <w:bCs w:val="0"/>
                <w:snapToGrid/>
                <w:color w:val="auto"/>
                <w:spacing w:val="0"/>
                <w:kern w:val="0"/>
                <w:sz w:val="28"/>
                <w:szCs w:val="28"/>
                <w:lang w:val="en-US" w:eastAsia="zh-CN" w:bidi="ar"/>
              </w:rPr>
            </w:pPr>
            <w:r>
              <w:rPr>
                <w:rFonts w:hint="eastAsia" w:ascii="仿宋_GB2312" w:hAnsi="仿宋_GB2312" w:eastAsia="仿宋_GB2312" w:cs="仿宋_GB2312"/>
                <w:b w:val="0"/>
                <w:bCs w:val="0"/>
                <w:snapToGrid/>
                <w:color w:val="auto"/>
                <w:spacing w:val="0"/>
                <w:kern w:val="0"/>
                <w:sz w:val="28"/>
                <w:szCs w:val="28"/>
                <w:lang w:val="en-US" w:eastAsia="zh-CN" w:bidi="ar"/>
              </w:rPr>
              <w:t>文件第4页</w:t>
            </w:r>
          </w:p>
          <w:p>
            <w:pPr>
              <w:keepNext w:val="0"/>
              <w:keepLines w:val="0"/>
              <w:pageBreakBefore w:val="0"/>
              <w:widowControl w:val="0"/>
              <w:suppressLineNumbers w:val="0"/>
              <w:kinsoku/>
              <w:wordWrap/>
              <w:overflowPunct/>
              <w:topLinePunct/>
              <w:autoSpaceDE/>
              <w:autoSpaceDN/>
              <w:bidi w:val="0"/>
              <w:spacing w:before="0" w:beforeAutospacing="0" w:after="0" w:afterAutospacing="0" w:line="540" w:lineRule="exact"/>
              <w:ind w:left="0" w:right="0" w:firstLine="562" w:firstLineChars="200"/>
              <w:jc w:val="both"/>
              <w:textAlignment w:val="baseline"/>
              <w:rPr>
                <w:rFonts w:hint="eastAsia" w:ascii="仿宋_GB2312" w:hAnsi="仿宋_GB2312" w:eastAsia="仿宋_GB2312" w:cs="仿宋_GB2312"/>
                <w:b/>
                <w:bCs/>
                <w:color w:val="auto"/>
                <w:spacing w:val="0"/>
                <w:kern w:val="2"/>
                <w:sz w:val="28"/>
                <w:szCs w:val="28"/>
                <w:lang w:val="en-US" w:eastAsia="zh-CN" w:bidi="ar"/>
              </w:rPr>
            </w:pPr>
            <w:r>
              <w:rPr>
                <w:rFonts w:hint="eastAsia" w:ascii="仿宋_GB2312" w:hAnsi="仿宋_GB2312" w:eastAsia="仿宋_GB2312" w:cs="仿宋_GB2312"/>
                <w:b/>
                <w:bCs w:val="0"/>
                <w:color w:val="auto"/>
                <w:spacing w:val="0"/>
                <w:kern w:val="0"/>
                <w:sz w:val="28"/>
                <w:szCs w:val="28"/>
                <w:u w:color="000000"/>
                <w:lang w:val="en-US" w:eastAsia="zh-CN" w:bidi="ar"/>
              </w:rPr>
              <w:t>第七条</w:t>
            </w:r>
            <w:r>
              <w:rPr>
                <w:rFonts w:hint="eastAsia" w:ascii="仿宋_GB2312" w:hAnsi="仿宋_GB2312" w:eastAsia="仿宋_GB2312" w:cs="仿宋_GB2312"/>
                <w:color w:val="auto"/>
                <w:spacing w:val="0"/>
                <w:kern w:val="0"/>
                <w:sz w:val="28"/>
                <w:szCs w:val="28"/>
                <w:u w:color="000000"/>
                <w:lang w:val="en-US" w:eastAsia="zh-CN" w:bidi="ar"/>
              </w:rPr>
              <w:t>鼓励旅行社招徕国内外游客。（一）</w:t>
            </w:r>
            <w:r>
              <w:rPr>
                <w:rFonts w:hint="eastAsia" w:ascii="仿宋_GB2312" w:hAnsi="仿宋_GB2312" w:eastAsia="仿宋_GB2312" w:cs="仿宋_GB2312"/>
                <w:color w:val="auto"/>
                <w:spacing w:val="0"/>
                <w:kern w:val="0"/>
                <w:sz w:val="28"/>
                <w:szCs w:val="28"/>
                <w:u w:val="single" w:color="auto"/>
                <w:lang w:val="en-US" w:eastAsia="zh-CN" w:bidi="ar"/>
              </w:rPr>
              <w:t>组团奖励。对县内外旅行社招徕国内外游客来民旅游，停留2天1晚以上（须在星级饭店住宿1晚），游览2处以上有门票收费景区，一次性组织400人、600人、800人以上的，分别奖励1万元、2万元、3万元。</w:t>
            </w:r>
          </w:p>
        </w:tc>
      </w:tr>
    </w:tbl>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right="0" w:firstLine="640" w:firstLineChars="200"/>
        <w:jc w:val="both"/>
        <w:rPr>
          <w:rFonts w:hint="eastAsia" w:ascii="仿宋_GB2312" w:hAnsi="仿宋_GB2312" w:eastAsia="仿宋_GB2312" w:cs="仿宋_GB2312"/>
          <w:bCs w:val="0"/>
          <w:color w:val="auto"/>
          <w:spacing w:val="0"/>
          <w:kern w:val="2"/>
          <w:sz w:val="32"/>
          <w:szCs w:val="32"/>
          <w:lang w:val="en-US" w:eastAsia="zh-CN" w:bidi="ar"/>
        </w:rPr>
      </w:pPr>
      <w:r>
        <w:rPr>
          <w:rFonts w:hint="eastAsia" w:ascii="仿宋_GB2312" w:hAnsi="仿宋_GB2312" w:eastAsia="仿宋_GB2312" w:cs="仿宋_GB2312"/>
          <w:bCs w:val="0"/>
          <w:color w:val="auto"/>
          <w:spacing w:val="0"/>
          <w:kern w:val="2"/>
          <w:sz w:val="32"/>
          <w:szCs w:val="32"/>
          <w:lang w:val="en-US" w:eastAsia="zh-CN" w:bidi="ar"/>
        </w:rPr>
        <w:t>b.剖析论证</w:t>
      </w:r>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right="0" w:firstLine="640" w:firstLineChars="200"/>
        <w:jc w:val="both"/>
        <w:rPr>
          <w:rFonts w:hint="eastAsia" w:ascii="仿宋_GB2312" w:hAnsi="仿宋_GB2312" w:eastAsia="仿宋_GB2312" w:cs="仿宋_GB2312"/>
          <w:bCs w:val="0"/>
          <w:color w:val="auto"/>
          <w:spacing w:val="0"/>
          <w:kern w:val="2"/>
          <w:sz w:val="32"/>
          <w:szCs w:val="32"/>
          <w:lang w:val="en-US" w:eastAsia="zh-CN" w:bidi="ar"/>
        </w:rPr>
      </w:pPr>
      <w:r>
        <w:rPr>
          <w:rFonts w:hint="eastAsia" w:ascii="仿宋_GB2312" w:hAnsi="仿宋_GB2312" w:eastAsia="仿宋_GB2312" w:cs="仿宋_GB2312"/>
          <w:bCs w:val="0"/>
          <w:color w:val="auto"/>
          <w:spacing w:val="0"/>
          <w:kern w:val="2"/>
          <w:sz w:val="32"/>
          <w:szCs w:val="32"/>
          <w:lang w:val="en-US" w:eastAsia="zh-CN" w:bidi="ar"/>
        </w:rPr>
        <w:t>文件内容违反公平竞争审查制度“商品要素自由流动标准”中关于“不得对外地和进口商品、服务实行歧视性价格和歧视性补贴政策”的规定，由于政策优待给予了本地旅游产品（包括收费景点、住宿等），形成了本地旅游产品的不当竞争优势，损害了不同地区旅游产品之间公平竞争的市场格局，不利于其他地区的旅游产品平等参与竞争。</w:t>
      </w:r>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right="0" w:firstLine="640" w:firstLineChars="200"/>
        <w:jc w:val="both"/>
        <w:rPr>
          <w:rFonts w:hint="eastAsia" w:ascii="楷体_GB2312" w:hAnsi="楷体_GB2312" w:eastAsia="楷体_GB2312" w:cs="楷体_GB2312"/>
          <w:bCs w:val="0"/>
          <w:color w:val="auto"/>
          <w:spacing w:val="0"/>
          <w:kern w:val="2"/>
          <w:sz w:val="32"/>
          <w:szCs w:val="32"/>
          <w:lang w:val="en-US" w:eastAsia="zh-CN" w:bidi="ar"/>
        </w:rPr>
      </w:pPr>
      <w:r>
        <w:rPr>
          <w:rFonts w:hint="eastAsia" w:ascii="楷体_GB2312" w:hAnsi="楷体_GB2312" w:eastAsia="楷体_GB2312" w:cs="楷体_GB2312"/>
          <w:bCs w:val="0"/>
          <w:color w:val="auto"/>
          <w:spacing w:val="0"/>
          <w:kern w:val="2"/>
          <w:sz w:val="32"/>
          <w:szCs w:val="32"/>
          <w:lang w:val="en-US" w:eastAsia="zh-CN" w:bidi="ar"/>
        </w:rPr>
        <w:t>（三）《关于加快推进马铃薯产业高质量发展的意见》（民政办发〔2022〕66号）</w:t>
      </w:r>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right="0" w:firstLine="640" w:firstLineChars="200"/>
        <w:jc w:val="both"/>
        <w:rPr>
          <w:rFonts w:hint="eastAsia" w:ascii="仿宋_GB2312" w:hAnsi="仿宋_GB2312" w:eastAsia="仿宋_GB2312" w:cs="仿宋_GB2312"/>
          <w:bCs w:val="0"/>
          <w:color w:val="auto"/>
          <w:spacing w:val="0"/>
          <w:kern w:val="2"/>
          <w:sz w:val="32"/>
          <w:szCs w:val="32"/>
          <w:lang w:val="en-US" w:eastAsia="zh-CN" w:bidi="ar"/>
        </w:rPr>
      </w:pPr>
      <w:r>
        <w:rPr>
          <w:rFonts w:hint="eastAsia" w:ascii="仿宋_GB2312" w:hAnsi="仿宋_GB2312" w:eastAsia="仿宋_GB2312" w:cs="仿宋_GB2312"/>
          <w:bCs w:val="0"/>
          <w:color w:val="auto"/>
          <w:spacing w:val="0"/>
          <w:kern w:val="2"/>
          <w:sz w:val="32"/>
          <w:szCs w:val="32"/>
          <w:lang w:val="en-US" w:eastAsia="zh-CN" w:bidi="ar"/>
        </w:rPr>
        <w:t>a.问题内容条款</w:t>
      </w:r>
    </w:p>
    <w:tbl>
      <w:tblPr>
        <w:tblStyle w:val="18"/>
        <w:tblW w:w="5000" w:type="pct"/>
        <w:tblInd w:w="0" w:type="dxa"/>
        <w:tblBorders>
          <w:top w:val="single" w:color="000000" w:sz="8" w:space="0"/>
          <w:left w:val="single" w:color="000000" w:sz="8" w:space="0"/>
          <w:bottom w:val="single" w:color="000000" w:sz="8" w:space="0"/>
          <w:right w:val="single" w:color="000000" w:sz="8"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865"/>
      </w:tblGrid>
      <w:tr>
        <w:tblPrEx>
          <w:tblBorders>
            <w:top w:val="single" w:color="000000" w:sz="8" w:space="0"/>
            <w:left w:val="single" w:color="000000" w:sz="8" w:space="0"/>
            <w:bottom w:val="single" w:color="000000" w:sz="8" w:space="0"/>
            <w:right w:val="single" w:color="000000" w:sz="8" w:space="0"/>
            <w:insideH w:val="outset" w:color="auto" w:sz="6" w:space="0"/>
            <w:insideV w:val="outset" w:color="auto" w:sz="6" w:space="0"/>
          </w:tblBorders>
          <w:shd w:val="clear" w:color="auto" w:fill="auto"/>
          <w:tblCellMar>
            <w:top w:w="0" w:type="dxa"/>
            <w:left w:w="0" w:type="dxa"/>
            <w:bottom w:w="0" w:type="dxa"/>
            <w:right w:w="0" w:type="dxa"/>
          </w:tblCellMar>
        </w:tblPrEx>
        <w:trPr>
          <w:trHeight w:val="2658" w:hRule="atLeast"/>
        </w:trPr>
        <w:tc>
          <w:tcPr>
            <w:tcW w:w="5000" w:type="pct"/>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pageBreakBefore w:val="0"/>
              <w:widowControl w:val="0"/>
              <w:suppressLineNumbers w:val="0"/>
              <w:kinsoku/>
              <w:wordWrap/>
              <w:overflowPunct/>
              <w:topLinePunct/>
              <w:autoSpaceDE/>
              <w:autoSpaceDN/>
              <w:bidi w:val="0"/>
              <w:adjustRightInd w:val="0"/>
              <w:snapToGrid w:val="0"/>
              <w:spacing w:before="0" w:beforeAutospacing="0" w:after="0" w:afterAutospacing="0" w:line="540" w:lineRule="exact"/>
              <w:ind w:left="0" w:leftChars="0" w:right="0" w:firstLine="560" w:firstLineChars="200"/>
              <w:jc w:val="both"/>
              <w:textAlignment w:val="baseline"/>
              <w:rPr>
                <w:rFonts w:hint="eastAsia" w:ascii="仿宋_GB2312" w:hAnsi="仿宋_GB2312" w:eastAsia="仿宋_GB2312" w:cs="仿宋_GB2312"/>
                <w:b w:val="0"/>
                <w:bCs w:val="0"/>
                <w:snapToGrid/>
                <w:color w:val="auto"/>
                <w:spacing w:val="0"/>
                <w:kern w:val="0"/>
                <w:sz w:val="28"/>
                <w:szCs w:val="28"/>
                <w:lang w:val="en-US" w:eastAsia="zh-CN" w:bidi="ar"/>
              </w:rPr>
            </w:pPr>
            <w:r>
              <w:rPr>
                <w:rFonts w:hint="eastAsia" w:ascii="仿宋_GB2312" w:hAnsi="仿宋_GB2312" w:eastAsia="仿宋_GB2312" w:cs="仿宋_GB2312"/>
                <w:b w:val="0"/>
                <w:bCs w:val="0"/>
                <w:snapToGrid/>
                <w:color w:val="auto"/>
                <w:spacing w:val="0"/>
                <w:kern w:val="0"/>
                <w:sz w:val="28"/>
                <w:szCs w:val="28"/>
                <w:lang w:val="en-US" w:eastAsia="zh-CN" w:bidi="ar"/>
              </w:rPr>
              <w:t>文件第5页</w:t>
            </w:r>
          </w:p>
          <w:p>
            <w:pPr>
              <w:keepNext w:val="0"/>
              <w:keepLines w:val="0"/>
              <w:pageBreakBefore w:val="0"/>
              <w:widowControl w:val="0"/>
              <w:suppressLineNumbers w:val="0"/>
              <w:kinsoku/>
              <w:wordWrap/>
              <w:overflowPunct/>
              <w:topLinePunct/>
              <w:autoSpaceDE/>
              <w:autoSpaceDN/>
              <w:bidi w:val="0"/>
              <w:spacing w:before="0" w:beforeAutospacing="0" w:after="0" w:afterAutospacing="0" w:line="540" w:lineRule="exact"/>
              <w:ind w:left="0" w:right="0" w:firstLine="560" w:firstLineChars="200"/>
              <w:jc w:val="both"/>
              <w:rPr>
                <w:rFonts w:hint="eastAsia" w:ascii="仿宋_GB2312" w:hAnsi="仿宋_GB2312" w:eastAsia="仿宋_GB2312" w:cs="仿宋_GB2312"/>
                <w:b/>
                <w:bCs/>
                <w:color w:val="auto"/>
                <w:spacing w:val="0"/>
                <w:kern w:val="2"/>
                <w:sz w:val="28"/>
                <w:szCs w:val="28"/>
                <w:lang w:val="en-US" w:eastAsia="zh-CN" w:bidi="ar"/>
              </w:rPr>
            </w:pPr>
            <w:r>
              <w:rPr>
                <w:rFonts w:hint="eastAsia" w:ascii="仿宋_GB2312" w:hAnsi="仿宋_GB2312" w:eastAsia="仿宋_GB2312" w:cs="仿宋_GB2312"/>
                <w:b w:val="0"/>
                <w:bCs/>
                <w:color w:val="auto"/>
                <w:spacing w:val="0"/>
                <w:kern w:val="2"/>
                <w:sz w:val="28"/>
                <w:szCs w:val="28"/>
                <w:lang w:val="en-US" w:eastAsia="zh-CN" w:bidi="ar"/>
              </w:rPr>
              <w:t>（四）强化土地规模经营，加快构建联农带农机制。开展土地公司化运营改革试点，按照“入股量化到户、参股保底收益、滚动循环发展”的方式，引导农户土地承包经营权以股份或者份额形式入股村股份经济合作社，再以“内股外租”形式投资</w:t>
            </w:r>
            <w:r>
              <w:rPr>
                <w:rFonts w:hint="eastAsia" w:ascii="仿宋_GB2312" w:hAnsi="仿宋_GB2312" w:eastAsia="仿宋_GB2312" w:cs="仿宋_GB2312"/>
                <w:b/>
                <w:bCs w:val="0"/>
                <w:color w:val="auto"/>
                <w:spacing w:val="0"/>
                <w:kern w:val="2"/>
                <w:sz w:val="28"/>
                <w:szCs w:val="28"/>
                <w:u w:val="single"/>
                <w:lang w:val="en-US" w:eastAsia="zh-CN" w:bidi="ar"/>
              </w:rPr>
              <w:t>民乐县裕振投资开发有限责任公司</w:t>
            </w:r>
          </w:p>
        </w:tc>
      </w:tr>
    </w:tbl>
    <w:p>
      <w:pPr>
        <w:keepNext w:val="0"/>
        <w:keepLines w:val="0"/>
        <w:pageBreakBefore w:val="0"/>
        <w:widowControl w:val="0"/>
        <w:suppressLineNumbers w:val="0"/>
        <w:kinsoku/>
        <w:wordWrap/>
        <w:overflowPunct/>
        <w:topLinePunct/>
        <w:autoSpaceDE/>
        <w:autoSpaceDN/>
        <w:bidi w:val="0"/>
        <w:adjustRightInd w:val="0"/>
        <w:snapToGrid w:val="0"/>
        <w:spacing w:beforeAutospacing="0" w:afterAutospacing="0" w:line="540" w:lineRule="exact"/>
        <w:ind w:left="0" w:right="0" w:firstLine="640" w:firstLineChars="200"/>
        <w:jc w:val="both"/>
        <w:textAlignment w:val="baseline"/>
        <w:rPr>
          <w:rFonts w:hint="eastAsia" w:ascii="仿宋_GB2312" w:hAnsi="仿宋_GB2312" w:eastAsia="仿宋_GB2312" w:cs="仿宋_GB2312"/>
          <w:b w:val="0"/>
          <w:bCs w:val="0"/>
          <w:color w:val="auto"/>
          <w:spacing w:val="0"/>
          <w:kern w:val="0"/>
          <w:sz w:val="32"/>
          <w:szCs w:val="32"/>
        </w:rPr>
      </w:pPr>
      <w:r>
        <w:rPr>
          <w:rFonts w:hint="eastAsia" w:ascii="仿宋_GB2312" w:hAnsi="仿宋_GB2312" w:eastAsia="仿宋_GB2312" w:cs="仿宋_GB2312"/>
          <w:b w:val="0"/>
          <w:bCs w:val="0"/>
          <w:snapToGrid/>
          <w:color w:val="auto"/>
          <w:spacing w:val="0"/>
          <w:kern w:val="0"/>
          <w:sz w:val="32"/>
          <w:szCs w:val="32"/>
          <w:lang w:val="en-US" w:eastAsia="zh-CN" w:bidi="ar"/>
        </w:rPr>
        <w:t>b.剖析论证</w:t>
      </w:r>
    </w:p>
    <w:p>
      <w:pPr>
        <w:pStyle w:val="5"/>
        <w:keepNext w:val="0"/>
        <w:keepLines w:val="0"/>
        <w:pageBreakBefore w:val="0"/>
        <w:widowControl w:val="0"/>
        <w:suppressLineNumbers w:val="0"/>
        <w:kinsoku/>
        <w:wordWrap/>
        <w:overflowPunct/>
        <w:topLinePunct/>
        <w:autoSpaceDE/>
        <w:autoSpaceDN/>
        <w:bidi w:val="0"/>
        <w:spacing w:before="0" w:beforeAutospacing="0" w:after="0" w:afterAutospacing="0" w:line="540" w:lineRule="exact"/>
        <w:ind w:left="0" w:right="0" w:firstLine="640" w:firstLineChars="200"/>
        <w:jc w:val="both"/>
        <w:rPr>
          <w:rFonts w:hint="eastAsia" w:ascii="仿宋_GB2312" w:hAnsi="仿宋_GB2312" w:eastAsia="仿宋_GB2312" w:cs="仿宋_GB2312"/>
          <w:color w:val="auto"/>
          <w:spacing w:val="0"/>
          <w:kern w:val="2"/>
          <w:sz w:val="32"/>
          <w:szCs w:val="32"/>
        </w:rPr>
      </w:pPr>
      <w:r>
        <w:rPr>
          <w:rFonts w:hint="eastAsia" w:ascii="仿宋_GB2312" w:hAnsi="仿宋_GB2312" w:eastAsia="仿宋_GB2312" w:cs="仿宋_GB2312"/>
          <w:b w:val="0"/>
          <w:bCs w:val="0"/>
          <w:snapToGrid/>
          <w:color w:val="auto"/>
          <w:spacing w:val="0"/>
          <w:kern w:val="0"/>
          <w:sz w:val="32"/>
          <w:szCs w:val="32"/>
          <w:lang w:eastAsia="zh-CN" w:bidi="ar"/>
        </w:rPr>
        <w:t>文件</w:t>
      </w:r>
      <w:r>
        <w:rPr>
          <w:rFonts w:hint="eastAsia" w:ascii="仿宋_GB2312" w:hAnsi="仿宋_GB2312" w:eastAsia="仿宋_GB2312" w:cs="仿宋_GB2312"/>
          <w:b w:val="0"/>
          <w:bCs w:val="0"/>
          <w:snapToGrid/>
          <w:color w:val="auto"/>
          <w:spacing w:val="0"/>
          <w:kern w:val="0"/>
          <w:sz w:val="32"/>
          <w:szCs w:val="32"/>
          <w:lang w:val="en-US" w:eastAsia="zh-CN" w:bidi="ar"/>
        </w:rPr>
        <w:t>内容</w:t>
      </w:r>
      <w:r>
        <w:rPr>
          <w:rFonts w:hint="eastAsia" w:ascii="仿宋_GB2312" w:hAnsi="仿宋_GB2312" w:eastAsia="仿宋_GB2312" w:cs="仿宋_GB2312"/>
          <w:b w:val="0"/>
          <w:bCs w:val="0"/>
          <w:snapToGrid/>
          <w:color w:val="auto"/>
          <w:spacing w:val="0"/>
          <w:kern w:val="0"/>
          <w:sz w:val="32"/>
          <w:szCs w:val="32"/>
          <w:lang w:eastAsia="zh-CN" w:bidi="ar"/>
        </w:rPr>
        <w:t>违反公平竞争审查制度</w:t>
      </w:r>
      <w:r>
        <w:rPr>
          <w:rFonts w:hint="eastAsia" w:ascii="仿宋_GB2312" w:hAnsi="仿宋_GB2312" w:eastAsia="仿宋_GB2312" w:cs="仿宋_GB2312"/>
          <w:b w:val="0"/>
          <w:bCs w:val="0"/>
          <w:snapToGrid/>
          <w:color w:val="auto"/>
          <w:spacing w:val="0"/>
          <w:kern w:val="0"/>
          <w:sz w:val="32"/>
          <w:szCs w:val="32"/>
          <w:lang w:val="en-US" w:eastAsia="zh-CN" w:bidi="ar"/>
        </w:rPr>
        <w:t>“影响生产经营行为</w:t>
      </w:r>
      <w:r>
        <w:rPr>
          <w:rFonts w:hint="eastAsia" w:ascii="仿宋_GB2312" w:hAnsi="仿宋_GB2312" w:eastAsia="仿宋_GB2312" w:cs="仿宋_GB2312"/>
          <w:b w:val="0"/>
          <w:bCs w:val="0"/>
          <w:snapToGrid/>
          <w:color w:val="auto"/>
          <w:spacing w:val="0"/>
          <w:kern w:val="0"/>
          <w:sz w:val="32"/>
          <w:szCs w:val="32"/>
          <w:lang w:eastAsia="zh-CN" w:bidi="ar"/>
        </w:rPr>
        <w:t>标准</w:t>
      </w:r>
      <w:r>
        <w:rPr>
          <w:rFonts w:hint="eastAsia" w:ascii="仿宋_GB2312" w:hAnsi="仿宋_GB2312" w:eastAsia="仿宋_GB2312" w:cs="仿宋_GB2312"/>
          <w:b w:val="0"/>
          <w:bCs w:val="0"/>
          <w:snapToGrid/>
          <w:color w:val="auto"/>
          <w:spacing w:val="0"/>
          <w:kern w:val="0"/>
          <w:sz w:val="32"/>
          <w:szCs w:val="32"/>
          <w:lang w:val="en-US" w:eastAsia="zh-CN" w:bidi="ar"/>
        </w:rPr>
        <w:t>”</w:t>
      </w:r>
      <w:r>
        <w:rPr>
          <w:rFonts w:hint="eastAsia" w:ascii="仿宋_GB2312" w:hAnsi="仿宋_GB2312" w:eastAsia="仿宋_GB2312" w:cs="仿宋_GB2312"/>
          <w:b w:val="0"/>
          <w:bCs w:val="0"/>
          <w:snapToGrid/>
          <w:color w:val="auto"/>
          <w:spacing w:val="0"/>
          <w:kern w:val="0"/>
          <w:sz w:val="32"/>
          <w:szCs w:val="32"/>
          <w:lang w:eastAsia="zh-CN" w:bidi="ar"/>
        </w:rPr>
        <w:t>中关于“</w:t>
      </w:r>
      <w:r>
        <w:rPr>
          <w:rFonts w:hint="eastAsia" w:ascii="仿宋_GB2312" w:hAnsi="仿宋_GB2312" w:eastAsia="仿宋_GB2312" w:cs="仿宋_GB2312"/>
          <w:color w:val="auto"/>
          <w:spacing w:val="0"/>
          <w:kern w:val="2"/>
          <w:sz w:val="32"/>
          <w:szCs w:val="32"/>
          <w:lang w:val="en-US" w:eastAsia="zh-CN"/>
        </w:rPr>
        <w:t>不得强制经营者从事垄断行为</w:t>
      </w:r>
      <w:r>
        <w:rPr>
          <w:rFonts w:hint="eastAsia" w:ascii="仿宋_GB2312" w:hAnsi="仿宋_GB2312" w:eastAsia="仿宋_GB2312" w:cs="仿宋_GB2312"/>
          <w:b w:val="0"/>
          <w:bCs w:val="0"/>
          <w:snapToGrid/>
          <w:color w:val="auto"/>
          <w:spacing w:val="0"/>
          <w:kern w:val="0"/>
          <w:sz w:val="32"/>
          <w:szCs w:val="32"/>
          <w:lang w:eastAsia="zh-CN" w:bidi="ar"/>
        </w:rPr>
        <w:t>”的规定，</w:t>
      </w:r>
      <w:r>
        <w:rPr>
          <w:rFonts w:hint="eastAsia" w:ascii="仿宋_GB2312" w:hAnsi="仿宋_GB2312" w:eastAsia="仿宋_GB2312" w:cs="仿宋_GB2312"/>
          <w:color w:val="auto"/>
          <w:spacing w:val="0"/>
          <w:kern w:val="2"/>
          <w:sz w:val="32"/>
          <w:szCs w:val="32"/>
        </w:rPr>
        <w:t>公平竞争审查细则第十</w:t>
      </w:r>
      <w:r>
        <w:rPr>
          <w:rFonts w:hint="eastAsia" w:ascii="仿宋_GB2312" w:hAnsi="仿宋_GB2312" w:eastAsia="仿宋_GB2312" w:cs="仿宋_GB2312"/>
          <w:color w:val="auto"/>
          <w:spacing w:val="0"/>
          <w:kern w:val="2"/>
          <w:sz w:val="32"/>
          <w:szCs w:val="32"/>
          <w:lang w:eastAsia="zh-CN"/>
        </w:rPr>
        <w:t>六</w:t>
      </w:r>
      <w:r>
        <w:rPr>
          <w:rFonts w:hint="eastAsia" w:ascii="仿宋_GB2312" w:hAnsi="仿宋_GB2312" w:eastAsia="仿宋_GB2312" w:cs="仿宋_GB2312"/>
          <w:color w:val="auto"/>
          <w:spacing w:val="0"/>
          <w:kern w:val="2"/>
          <w:sz w:val="32"/>
          <w:szCs w:val="32"/>
        </w:rPr>
        <w:t>条影响生产经营行为标准</w:t>
      </w:r>
    </w:p>
    <w:p>
      <w:pPr>
        <w:pStyle w:val="5"/>
        <w:keepNext w:val="0"/>
        <w:keepLines w:val="0"/>
        <w:pageBreakBefore w:val="0"/>
        <w:widowControl w:val="0"/>
        <w:numPr>
          <w:ilvl w:val="0"/>
          <w:numId w:val="2"/>
        </w:numPr>
        <w:suppressLineNumbers w:val="0"/>
        <w:kinsoku/>
        <w:wordWrap/>
        <w:overflowPunct/>
        <w:topLinePunct/>
        <w:autoSpaceDE/>
        <w:autoSpaceDN/>
        <w:bidi w:val="0"/>
        <w:spacing w:before="0" w:beforeAutospacing="0" w:after="0" w:afterAutospacing="0" w:line="540" w:lineRule="exact"/>
        <w:ind w:left="0" w:right="0" w:firstLine="640" w:firstLineChars="200"/>
        <w:jc w:val="both"/>
        <w:rPr>
          <w:rFonts w:hint="eastAsia" w:ascii="仿宋_GB2312" w:hAnsi="仿宋_GB2312" w:eastAsia="仿宋_GB2312" w:cs="仿宋_GB2312"/>
          <w:color w:val="auto"/>
          <w:spacing w:val="0"/>
          <w:kern w:val="2"/>
          <w:sz w:val="32"/>
          <w:szCs w:val="32"/>
          <w:lang w:eastAsia="zh-CN"/>
        </w:rPr>
      </w:pPr>
      <w:r>
        <w:rPr>
          <w:rFonts w:hint="eastAsia" w:ascii="仿宋_GB2312" w:hAnsi="仿宋_GB2312" w:eastAsia="仿宋_GB2312" w:cs="仿宋_GB2312"/>
          <w:color w:val="auto"/>
          <w:spacing w:val="0"/>
          <w:kern w:val="2"/>
          <w:sz w:val="32"/>
          <w:szCs w:val="32"/>
        </w:rPr>
        <w:t>不得强制经营者从事《中华人民共和国反垄断法》</w:t>
      </w:r>
      <w:r>
        <w:rPr>
          <w:rFonts w:hint="eastAsia" w:ascii="仿宋_GB2312" w:hAnsi="仿宋_GB2312" w:eastAsia="仿宋_GB2312" w:cs="仿宋_GB2312"/>
          <w:color w:val="auto"/>
          <w:spacing w:val="0"/>
          <w:kern w:val="2"/>
          <w:sz w:val="32"/>
          <w:szCs w:val="32"/>
          <w:lang w:eastAsia="zh-CN"/>
        </w:rPr>
        <w:t>禁止</w:t>
      </w:r>
      <w:r>
        <w:rPr>
          <w:rFonts w:hint="eastAsia" w:ascii="仿宋_GB2312" w:hAnsi="仿宋_GB2312" w:eastAsia="仿宋_GB2312" w:cs="仿宋_GB2312"/>
          <w:color w:val="auto"/>
          <w:spacing w:val="0"/>
          <w:kern w:val="2"/>
          <w:sz w:val="32"/>
          <w:szCs w:val="32"/>
        </w:rPr>
        <w:t>的垄断行为，主要指以行政命令、行政授权、行政指导</w:t>
      </w:r>
      <w:r>
        <w:rPr>
          <w:rFonts w:hint="eastAsia" w:ascii="仿宋_GB2312" w:hAnsi="仿宋_GB2312" w:eastAsia="仿宋_GB2312" w:cs="仿宋_GB2312"/>
          <w:color w:val="auto"/>
          <w:spacing w:val="0"/>
          <w:kern w:val="2"/>
          <w:sz w:val="32"/>
          <w:szCs w:val="32"/>
          <w:lang w:eastAsia="zh-CN"/>
        </w:rPr>
        <w:t>等方式</w:t>
      </w:r>
      <w:r>
        <w:rPr>
          <w:rFonts w:hint="eastAsia" w:ascii="仿宋_GB2312" w:hAnsi="仿宋_GB2312" w:eastAsia="仿宋_GB2312" w:cs="仿宋_GB2312"/>
          <w:color w:val="auto"/>
          <w:spacing w:val="0"/>
          <w:kern w:val="2"/>
          <w:sz w:val="32"/>
          <w:szCs w:val="32"/>
        </w:rPr>
        <w:t>或者通过行业协会</w:t>
      </w:r>
      <w:r>
        <w:rPr>
          <w:rFonts w:hint="eastAsia" w:ascii="仿宋_GB2312" w:hAnsi="仿宋_GB2312" w:eastAsia="仿宋_GB2312" w:cs="仿宋_GB2312"/>
          <w:color w:val="auto"/>
          <w:spacing w:val="0"/>
          <w:kern w:val="2"/>
          <w:sz w:val="32"/>
          <w:szCs w:val="32"/>
          <w:lang w:eastAsia="zh-CN"/>
        </w:rPr>
        <w:t>、商会</w:t>
      </w:r>
      <w:r>
        <w:rPr>
          <w:rFonts w:hint="eastAsia" w:ascii="仿宋_GB2312" w:hAnsi="仿宋_GB2312" w:eastAsia="仿宋_GB2312" w:cs="仿宋_GB2312"/>
          <w:color w:val="auto"/>
          <w:spacing w:val="0"/>
          <w:kern w:val="2"/>
          <w:sz w:val="32"/>
          <w:szCs w:val="32"/>
        </w:rPr>
        <w:t>，强制、组织或者引导经营者达成、垄断协议</w:t>
      </w:r>
      <w:r>
        <w:rPr>
          <w:rFonts w:hint="eastAsia" w:ascii="仿宋_GB2312" w:hAnsi="仿宋_GB2312" w:eastAsia="仿宋_GB2312" w:cs="仿宋_GB2312"/>
          <w:color w:val="auto"/>
          <w:spacing w:val="0"/>
          <w:kern w:val="2"/>
          <w:sz w:val="32"/>
          <w:szCs w:val="32"/>
          <w:lang w:eastAsia="zh-CN"/>
        </w:rPr>
        <w:t>、</w:t>
      </w:r>
      <w:r>
        <w:rPr>
          <w:rFonts w:hint="eastAsia" w:ascii="仿宋_GB2312" w:hAnsi="仿宋_GB2312" w:eastAsia="仿宋_GB2312" w:cs="仿宋_GB2312"/>
          <w:color w:val="auto"/>
          <w:spacing w:val="0"/>
          <w:kern w:val="2"/>
          <w:sz w:val="32"/>
          <w:szCs w:val="32"/>
        </w:rPr>
        <w:t>滥用市场支配地位</w:t>
      </w:r>
      <w:r>
        <w:rPr>
          <w:rFonts w:hint="eastAsia" w:ascii="仿宋_GB2312" w:hAnsi="仿宋_GB2312" w:eastAsia="仿宋_GB2312" w:cs="仿宋_GB2312"/>
          <w:color w:val="auto"/>
          <w:spacing w:val="0"/>
          <w:kern w:val="2"/>
          <w:sz w:val="32"/>
          <w:szCs w:val="32"/>
          <w:lang w:eastAsia="zh-CN"/>
        </w:rPr>
        <w:t>，以及实施具有或者可能具有排除、限制竞争效果的经营者集中等行为。</w:t>
      </w:r>
    </w:p>
    <w:p>
      <w:pPr>
        <w:pStyle w:val="7"/>
        <w:keepNext w:val="0"/>
        <w:keepLines w:val="0"/>
        <w:pageBreakBefore w:val="0"/>
        <w:widowControl w:val="0"/>
        <w:kinsoku/>
        <w:wordWrap/>
        <w:overflowPunct/>
        <w:topLinePunct/>
        <w:autoSpaceDE/>
        <w:autoSpaceDN/>
        <w:bidi w:val="0"/>
        <w:spacing w:beforeAutospacing="0" w:after="0" w:afterAutospacing="0" w:line="540" w:lineRule="exact"/>
        <w:ind w:left="0" w:right="0" w:firstLine="640" w:firstLineChars="200"/>
        <w:jc w:val="both"/>
        <w:rPr>
          <w:rFonts w:hint="eastAsia" w:ascii="楷体_GB2312" w:hAnsi="楷体_GB2312" w:eastAsia="楷体_GB2312" w:cs="楷体_GB2312"/>
          <w:b w:val="0"/>
          <w:bCs w:val="0"/>
          <w:color w:val="auto"/>
          <w:spacing w:val="0"/>
          <w:sz w:val="32"/>
          <w:szCs w:val="32"/>
        </w:rPr>
      </w:pPr>
      <w:r>
        <w:rPr>
          <w:rFonts w:hint="eastAsia" w:ascii="楷体_GB2312" w:hAnsi="楷体_GB2312" w:eastAsia="楷体_GB2312" w:cs="楷体_GB2312"/>
          <w:b w:val="0"/>
          <w:bCs w:val="0"/>
          <w:color w:val="auto"/>
          <w:spacing w:val="0"/>
          <w:sz w:val="32"/>
          <w:szCs w:val="32"/>
          <w:vertAlign w:val="baseline"/>
          <w:lang w:eastAsia="zh-CN"/>
        </w:rPr>
        <w:t>（四）《民乐县农业社会化服务体系建设实施方案》</w:t>
      </w:r>
      <w:r>
        <w:rPr>
          <w:rFonts w:hint="eastAsia" w:ascii="楷体_GB2312" w:hAnsi="楷体_GB2312" w:eastAsia="楷体_GB2312" w:cs="楷体_GB2312"/>
          <w:b w:val="0"/>
          <w:bCs w:val="0"/>
          <w:color w:val="auto"/>
          <w:spacing w:val="0"/>
          <w:sz w:val="32"/>
          <w:szCs w:val="32"/>
          <w:highlight w:val="none"/>
          <w:lang w:eastAsia="zh-CN"/>
        </w:rPr>
        <w:t>（</w:t>
      </w:r>
      <w:r>
        <w:rPr>
          <w:rFonts w:hint="eastAsia" w:ascii="楷体_GB2312" w:hAnsi="楷体_GB2312" w:eastAsia="楷体_GB2312" w:cs="楷体_GB2312"/>
          <w:color w:val="auto"/>
          <w:spacing w:val="0"/>
          <w:kern w:val="2"/>
          <w:sz w:val="32"/>
          <w:szCs w:val="32"/>
          <w:lang w:val="en-US" w:eastAsia="zh-CN" w:bidi="ar"/>
        </w:rPr>
        <w:t>民办发〔2022〕111号</w:t>
      </w:r>
      <w:r>
        <w:rPr>
          <w:rFonts w:hint="eastAsia" w:ascii="楷体_GB2312" w:hAnsi="楷体_GB2312" w:eastAsia="楷体_GB2312" w:cs="楷体_GB2312"/>
          <w:b w:val="0"/>
          <w:bCs w:val="0"/>
          <w:color w:val="auto"/>
          <w:spacing w:val="0"/>
          <w:sz w:val="32"/>
          <w:szCs w:val="32"/>
          <w:highlight w:val="none"/>
          <w:lang w:eastAsia="zh-CN"/>
        </w:rPr>
        <w:t>）</w:t>
      </w:r>
    </w:p>
    <w:p>
      <w:pPr>
        <w:keepNext w:val="0"/>
        <w:keepLines w:val="0"/>
        <w:pageBreakBefore w:val="0"/>
        <w:widowControl w:val="0"/>
        <w:suppressLineNumbers w:val="0"/>
        <w:kinsoku/>
        <w:wordWrap/>
        <w:overflowPunct/>
        <w:topLinePunct/>
        <w:autoSpaceDE/>
        <w:autoSpaceDN/>
        <w:bidi w:val="0"/>
        <w:adjustRightInd w:val="0"/>
        <w:snapToGrid w:val="0"/>
        <w:spacing w:beforeAutospacing="0" w:afterAutospacing="0" w:line="540" w:lineRule="exact"/>
        <w:ind w:left="0" w:right="0" w:firstLine="640" w:firstLineChars="200"/>
        <w:jc w:val="both"/>
        <w:textAlignment w:val="baseline"/>
        <w:rPr>
          <w:rFonts w:hint="eastAsia" w:ascii="仿宋_GB2312" w:hAnsi="仿宋_GB2312" w:eastAsia="仿宋_GB2312" w:cs="仿宋_GB2312"/>
          <w:b w:val="0"/>
          <w:bCs w:val="0"/>
          <w:color w:val="auto"/>
          <w:spacing w:val="0"/>
          <w:kern w:val="0"/>
          <w:sz w:val="32"/>
          <w:szCs w:val="32"/>
        </w:rPr>
      </w:pPr>
      <w:r>
        <w:rPr>
          <w:rFonts w:hint="eastAsia" w:ascii="仿宋_GB2312" w:hAnsi="仿宋_GB2312" w:eastAsia="仿宋_GB2312" w:cs="仿宋_GB2312"/>
          <w:b w:val="0"/>
          <w:bCs w:val="0"/>
          <w:snapToGrid/>
          <w:color w:val="auto"/>
          <w:spacing w:val="0"/>
          <w:kern w:val="0"/>
          <w:sz w:val="32"/>
          <w:szCs w:val="32"/>
          <w:lang w:val="en-US" w:eastAsia="zh-CN" w:bidi="ar"/>
        </w:rPr>
        <w:t>a.问题内容条款</w:t>
      </w:r>
    </w:p>
    <w:tbl>
      <w:tblPr>
        <w:tblStyle w:val="18"/>
        <w:tblW w:w="5000" w:type="pct"/>
        <w:tblInd w:w="0" w:type="dxa"/>
        <w:tblBorders>
          <w:top w:val="single" w:color="000000" w:sz="8" w:space="0"/>
          <w:left w:val="single" w:color="000000" w:sz="8" w:space="0"/>
          <w:bottom w:val="single" w:color="000000" w:sz="8" w:space="0"/>
          <w:right w:val="single" w:color="000000" w:sz="8"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865"/>
      </w:tblGrid>
      <w:tr>
        <w:tblPrEx>
          <w:tblBorders>
            <w:top w:val="single" w:color="000000" w:sz="8" w:space="0"/>
            <w:left w:val="single" w:color="000000" w:sz="8" w:space="0"/>
            <w:bottom w:val="single" w:color="000000" w:sz="8" w:space="0"/>
            <w:right w:val="single" w:color="000000" w:sz="8" w:space="0"/>
            <w:insideH w:val="outset" w:color="auto" w:sz="6" w:space="0"/>
            <w:insideV w:val="outset" w:color="auto" w:sz="6" w:space="0"/>
          </w:tblBorders>
          <w:shd w:val="clear" w:color="auto" w:fill="auto"/>
          <w:tblCellMar>
            <w:top w:w="0" w:type="dxa"/>
            <w:left w:w="0" w:type="dxa"/>
            <w:bottom w:w="0" w:type="dxa"/>
            <w:right w:w="0" w:type="dxa"/>
          </w:tblCellMar>
        </w:tblPrEx>
        <w:trPr>
          <w:trHeight w:val="794" w:hRule="atLeast"/>
        </w:trPr>
        <w:tc>
          <w:tcPr>
            <w:tcW w:w="5000" w:type="pct"/>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pageBreakBefore w:val="0"/>
              <w:widowControl w:val="0"/>
              <w:suppressLineNumbers w:val="0"/>
              <w:kinsoku/>
              <w:wordWrap/>
              <w:overflowPunct/>
              <w:topLinePunct/>
              <w:autoSpaceDE/>
              <w:autoSpaceDN/>
              <w:bidi w:val="0"/>
              <w:adjustRightInd w:val="0"/>
              <w:snapToGrid w:val="0"/>
              <w:spacing w:before="0" w:beforeAutospacing="0" w:after="0" w:afterAutospacing="0" w:line="540" w:lineRule="exact"/>
              <w:ind w:left="0" w:leftChars="0" w:right="0" w:firstLine="560" w:firstLineChars="200"/>
              <w:jc w:val="both"/>
              <w:textAlignment w:val="baseline"/>
              <w:rPr>
                <w:rFonts w:hint="eastAsia" w:ascii="仿宋_GB2312" w:hAnsi="仿宋_GB2312" w:eastAsia="仿宋_GB2312" w:cs="仿宋_GB2312"/>
                <w:b w:val="0"/>
                <w:bCs w:val="0"/>
                <w:snapToGrid/>
                <w:color w:val="auto"/>
                <w:spacing w:val="0"/>
                <w:kern w:val="0"/>
                <w:sz w:val="28"/>
                <w:szCs w:val="28"/>
                <w:lang w:val="en-US" w:eastAsia="zh-CN" w:bidi="ar"/>
              </w:rPr>
            </w:pPr>
            <w:r>
              <w:rPr>
                <w:rFonts w:hint="eastAsia" w:ascii="仿宋_GB2312" w:hAnsi="仿宋_GB2312" w:eastAsia="仿宋_GB2312" w:cs="仿宋_GB2312"/>
                <w:b w:val="0"/>
                <w:bCs w:val="0"/>
                <w:snapToGrid/>
                <w:color w:val="auto"/>
                <w:spacing w:val="0"/>
                <w:kern w:val="0"/>
                <w:sz w:val="28"/>
                <w:szCs w:val="28"/>
                <w:lang w:val="en-US" w:eastAsia="zh-CN" w:bidi="ar"/>
              </w:rPr>
              <w:t>文件第6-7页</w:t>
            </w:r>
          </w:p>
          <w:p>
            <w:pPr>
              <w:keepNext w:val="0"/>
              <w:keepLines w:val="0"/>
              <w:pageBreakBefore w:val="0"/>
              <w:widowControl w:val="0"/>
              <w:suppressLineNumbers w:val="0"/>
              <w:kinsoku/>
              <w:wordWrap/>
              <w:overflowPunct/>
              <w:topLinePunct/>
              <w:autoSpaceDE/>
              <w:autoSpaceDN/>
              <w:bidi w:val="0"/>
              <w:spacing w:before="0" w:beforeAutospacing="0" w:after="0" w:afterAutospacing="0" w:line="540" w:lineRule="exact"/>
              <w:ind w:left="0" w:right="0" w:firstLine="560" w:firstLineChars="200"/>
              <w:jc w:val="both"/>
              <w:rPr>
                <w:rFonts w:hint="eastAsia" w:ascii="仿宋_GB2312" w:hAnsi="仿宋_GB2312" w:eastAsia="仿宋_GB2312" w:cs="仿宋_GB2312"/>
                <w:color w:val="auto"/>
                <w:spacing w:val="0"/>
                <w:sz w:val="28"/>
                <w:szCs w:val="28"/>
              </w:rPr>
            </w:pPr>
            <w:r>
              <w:rPr>
                <w:rFonts w:hint="eastAsia" w:ascii="仿宋_GB2312" w:hAnsi="仿宋_GB2312" w:eastAsia="仿宋_GB2312" w:cs="仿宋_GB2312"/>
                <w:color w:val="auto"/>
                <w:spacing w:val="0"/>
                <w:kern w:val="0"/>
                <w:sz w:val="28"/>
                <w:szCs w:val="28"/>
                <w:lang w:val="en-US" w:eastAsia="zh-CN" w:bidi="ar"/>
              </w:rPr>
              <w:t>（四）大力拓展农业社会化服务领域。聚焦农业生产关键薄弱环节，着眼满足新型农业经营主体和小农户生产需要，立足服务农业产前、产中、产后全过程、全要素、全产业链，因地制宜拓展农业社会化服务的广度和深度。一是建立“专业化”托管服务组织。以</w:t>
            </w:r>
            <w:r>
              <w:rPr>
                <w:rFonts w:hint="eastAsia" w:ascii="仿宋_GB2312" w:hAnsi="仿宋_GB2312" w:eastAsia="仿宋_GB2312" w:cs="仿宋_GB2312"/>
                <w:b w:val="0"/>
                <w:bCs w:val="0"/>
                <w:color w:val="auto"/>
                <w:spacing w:val="0"/>
                <w:kern w:val="0"/>
                <w:sz w:val="28"/>
                <w:szCs w:val="28"/>
                <w:u w:val="single"/>
                <w:lang w:val="en-US" w:eastAsia="zh-CN" w:bidi="ar"/>
              </w:rPr>
              <w:t>民乐县裕振投资开发有限责任公司为平台</w:t>
            </w:r>
            <w:r>
              <w:rPr>
                <w:rFonts w:hint="eastAsia" w:ascii="仿宋_GB2312" w:hAnsi="仿宋_GB2312" w:eastAsia="仿宋_GB2312" w:cs="仿宋_GB2312"/>
                <w:color w:val="auto"/>
                <w:spacing w:val="0"/>
                <w:kern w:val="0"/>
                <w:sz w:val="28"/>
                <w:szCs w:val="28"/>
                <w:lang w:val="en-US" w:eastAsia="zh-CN" w:bidi="ar"/>
              </w:rPr>
              <w:t>，整合发展前景好、产业链稳定的企业、农民合作社等经营主体，成立马铃薯种植专业化托管服务公司，</w:t>
            </w:r>
          </w:p>
          <w:p>
            <w:pPr>
              <w:keepNext w:val="0"/>
              <w:keepLines w:val="0"/>
              <w:pageBreakBefore w:val="0"/>
              <w:widowControl w:val="0"/>
              <w:suppressLineNumbers w:val="0"/>
              <w:kinsoku/>
              <w:wordWrap/>
              <w:overflowPunct/>
              <w:topLinePunct/>
              <w:autoSpaceDE/>
              <w:autoSpaceDN/>
              <w:bidi w:val="0"/>
              <w:spacing w:before="0" w:beforeAutospacing="0" w:after="0" w:afterAutospacing="0" w:line="540" w:lineRule="exact"/>
              <w:ind w:left="0" w:right="0" w:firstLine="562" w:firstLineChars="200"/>
              <w:jc w:val="both"/>
              <w:rPr>
                <w:rFonts w:hint="eastAsia" w:ascii="仿宋_GB2312" w:hAnsi="仿宋_GB2312" w:eastAsia="仿宋_GB2312" w:cs="仿宋_GB2312"/>
                <w:b/>
                <w:bCs/>
                <w:color w:val="auto"/>
                <w:spacing w:val="0"/>
                <w:kern w:val="2"/>
                <w:sz w:val="28"/>
                <w:szCs w:val="28"/>
                <w:lang w:val="en-US" w:eastAsia="zh-CN" w:bidi="ar"/>
              </w:rPr>
            </w:pPr>
          </w:p>
        </w:tc>
      </w:tr>
    </w:tbl>
    <w:p>
      <w:pPr>
        <w:keepNext w:val="0"/>
        <w:keepLines w:val="0"/>
        <w:pageBreakBefore w:val="0"/>
        <w:widowControl w:val="0"/>
        <w:suppressLineNumbers w:val="0"/>
        <w:kinsoku/>
        <w:wordWrap/>
        <w:overflowPunct/>
        <w:topLinePunct/>
        <w:autoSpaceDE/>
        <w:autoSpaceDN/>
        <w:bidi w:val="0"/>
        <w:adjustRightInd w:val="0"/>
        <w:snapToGrid w:val="0"/>
        <w:spacing w:beforeAutospacing="0" w:afterAutospacing="0" w:line="540" w:lineRule="exact"/>
        <w:ind w:left="0" w:right="0" w:firstLine="640" w:firstLineChars="200"/>
        <w:jc w:val="both"/>
        <w:textAlignment w:val="baseline"/>
        <w:rPr>
          <w:rFonts w:hint="eastAsia" w:ascii="仿宋_GB2312" w:hAnsi="仿宋_GB2312" w:eastAsia="仿宋_GB2312" w:cs="仿宋_GB2312"/>
          <w:b w:val="0"/>
          <w:bCs w:val="0"/>
          <w:color w:val="auto"/>
          <w:spacing w:val="0"/>
          <w:kern w:val="0"/>
          <w:sz w:val="32"/>
          <w:szCs w:val="32"/>
        </w:rPr>
      </w:pPr>
      <w:r>
        <w:rPr>
          <w:rFonts w:hint="eastAsia" w:ascii="仿宋_GB2312" w:hAnsi="仿宋_GB2312" w:eastAsia="仿宋_GB2312" w:cs="仿宋_GB2312"/>
          <w:b w:val="0"/>
          <w:bCs w:val="0"/>
          <w:snapToGrid/>
          <w:color w:val="auto"/>
          <w:spacing w:val="0"/>
          <w:kern w:val="0"/>
          <w:sz w:val="32"/>
          <w:szCs w:val="32"/>
          <w:lang w:val="en-US" w:eastAsia="zh-CN" w:bidi="ar"/>
        </w:rPr>
        <w:t>b.剖析论证</w:t>
      </w:r>
    </w:p>
    <w:p>
      <w:pPr>
        <w:pStyle w:val="5"/>
        <w:keepNext w:val="0"/>
        <w:keepLines w:val="0"/>
        <w:pageBreakBefore w:val="0"/>
        <w:widowControl w:val="0"/>
        <w:suppressLineNumbers w:val="0"/>
        <w:kinsoku/>
        <w:wordWrap/>
        <w:overflowPunct/>
        <w:topLinePunct/>
        <w:autoSpaceDE/>
        <w:autoSpaceDN/>
        <w:bidi w:val="0"/>
        <w:spacing w:before="0" w:beforeAutospacing="0" w:after="0" w:afterAutospacing="0" w:line="540" w:lineRule="exact"/>
        <w:ind w:left="0" w:right="0" w:firstLine="640" w:firstLineChars="200"/>
        <w:jc w:val="both"/>
        <w:rPr>
          <w:rFonts w:hint="eastAsia" w:ascii="仿宋_GB2312" w:hAnsi="仿宋_GB2312" w:eastAsia="仿宋_GB2312" w:cs="仿宋_GB2312"/>
          <w:color w:val="auto"/>
          <w:spacing w:val="0"/>
          <w:kern w:val="2"/>
          <w:sz w:val="32"/>
          <w:szCs w:val="32"/>
        </w:rPr>
      </w:pPr>
      <w:r>
        <w:rPr>
          <w:rFonts w:hint="eastAsia" w:ascii="仿宋_GB2312" w:hAnsi="仿宋_GB2312" w:eastAsia="仿宋_GB2312" w:cs="仿宋_GB2312"/>
          <w:b w:val="0"/>
          <w:bCs w:val="0"/>
          <w:snapToGrid/>
          <w:color w:val="auto"/>
          <w:spacing w:val="0"/>
          <w:kern w:val="0"/>
          <w:sz w:val="32"/>
          <w:szCs w:val="32"/>
          <w:lang w:eastAsia="zh-CN" w:bidi="ar"/>
        </w:rPr>
        <w:t>文件</w:t>
      </w:r>
      <w:r>
        <w:rPr>
          <w:rFonts w:hint="eastAsia" w:ascii="仿宋_GB2312" w:hAnsi="仿宋_GB2312" w:eastAsia="仿宋_GB2312" w:cs="仿宋_GB2312"/>
          <w:b w:val="0"/>
          <w:bCs w:val="0"/>
          <w:snapToGrid/>
          <w:color w:val="auto"/>
          <w:spacing w:val="0"/>
          <w:kern w:val="0"/>
          <w:sz w:val="32"/>
          <w:szCs w:val="32"/>
          <w:lang w:val="en-US" w:eastAsia="zh-CN" w:bidi="ar"/>
        </w:rPr>
        <w:t>内容</w:t>
      </w:r>
      <w:r>
        <w:rPr>
          <w:rFonts w:hint="eastAsia" w:ascii="仿宋_GB2312" w:hAnsi="仿宋_GB2312" w:eastAsia="仿宋_GB2312" w:cs="仿宋_GB2312"/>
          <w:b w:val="0"/>
          <w:bCs w:val="0"/>
          <w:snapToGrid/>
          <w:color w:val="auto"/>
          <w:spacing w:val="0"/>
          <w:kern w:val="0"/>
          <w:sz w:val="32"/>
          <w:szCs w:val="32"/>
          <w:lang w:eastAsia="zh-CN" w:bidi="ar"/>
        </w:rPr>
        <w:t>违反公平竞争审查制度</w:t>
      </w:r>
      <w:r>
        <w:rPr>
          <w:rFonts w:hint="eastAsia" w:ascii="仿宋_GB2312" w:hAnsi="仿宋_GB2312" w:eastAsia="仿宋_GB2312" w:cs="仿宋_GB2312"/>
          <w:b w:val="0"/>
          <w:bCs w:val="0"/>
          <w:snapToGrid/>
          <w:color w:val="auto"/>
          <w:spacing w:val="0"/>
          <w:kern w:val="0"/>
          <w:sz w:val="32"/>
          <w:szCs w:val="32"/>
          <w:lang w:val="en-US" w:eastAsia="zh-CN" w:bidi="ar"/>
        </w:rPr>
        <w:t>“影响生产经营行为</w:t>
      </w:r>
      <w:r>
        <w:rPr>
          <w:rFonts w:hint="eastAsia" w:ascii="仿宋_GB2312" w:hAnsi="仿宋_GB2312" w:eastAsia="仿宋_GB2312" w:cs="仿宋_GB2312"/>
          <w:b w:val="0"/>
          <w:bCs w:val="0"/>
          <w:snapToGrid/>
          <w:color w:val="auto"/>
          <w:spacing w:val="0"/>
          <w:kern w:val="0"/>
          <w:sz w:val="32"/>
          <w:szCs w:val="32"/>
          <w:lang w:eastAsia="zh-CN" w:bidi="ar"/>
        </w:rPr>
        <w:t>标准</w:t>
      </w:r>
      <w:r>
        <w:rPr>
          <w:rFonts w:hint="eastAsia" w:ascii="仿宋_GB2312" w:hAnsi="仿宋_GB2312" w:eastAsia="仿宋_GB2312" w:cs="仿宋_GB2312"/>
          <w:b w:val="0"/>
          <w:bCs w:val="0"/>
          <w:snapToGrid/>
          <w:color w:val="auto"/>
          <w:spacing w:val="0"/>
          <w:kern w:val="0"/>
          <w:sz w:val="32"/>
          <w:szCs w:val="32"/>
          <w:lang w:val="en-US" w:eastAsia="zh-CN" w:bidi="ar"/>
        </w:rPr>
        <w:t>”</w:t>
      </w:r>
      <w:r>
        <w:rPr>
          <w:rFonts w:hint="eastAsia" w:ascii="仿宋_GB2312" w:hAnsi="仿宋_GB2312" w:eastAsia="仿宋_GB2312" w:cs="仿宋_GB2312"/>
          <w:b w:val="0"/>
          <w:bCs w:val="0"/>
          <w:snapToGrid/>
          <w:color w:val="auto"/>
          <w:spacing w:val="0"/>
          <w:kern w:val="0"/>
          <w:sz w:val="32"/>
          <w:szCs w:val="32"/>
          <w:lang w:eastAsia="zh-CN" w:bidi="ar"/>
        </w:rPr>
        <w:t>中关于“</w:t>
      </w:r>
      <w:r>
        <w:rPr>
          <w:rFonts w:hint="eastAsia" w:ascii="仿宋_GB2312" w:hAnsi="仿宋_GB2312" w:eastAsia="仿宋_GB2312" w:cs="仿宋_GB2312"/>
          <w:color w:val="auto"/>
          <w:spacing w:val="0"/>
          <w:kern w:val="2"/>
          <w:sz w:val="32"/>
          <w:szCs w:val="32"/>
          <w:lang w:val="en-US" w:eastAsia="zh-CN"/>
        </w:rPr>
        <w:t>不得强制经营者从事垄断行为</w:t>
      </w:r>
      <w:r>
        <w:rPr>
          <w:rFonts w:hint="eastAsia" w:ascii="仿宋_GB2312" w:hAnsi="仿宋_GB2312" w:eastAsia="仿宋_GB2312" w:cs="仿宋_GB2312"/>
          <w:b w:val="0"/>
          <w:bCs w:val="0"/>
          <w:snapToGrid/>
          <w:color w:val="auto"/>
          <w:spacing w:val="0"/>
          <w:kern w:val="0"/>
          <w:sz w:val="32"/>
          <w:szCs w:val="32"/>
          <w:lang w:eastAsia="zh-CN" w:bidi="ar"/>
        </w:rPr>
        <w:t>”的规定，</w:t>
      </w:r>
      <w:r>
        <w:rPr>
          <w:rFonts w:hint="eastAsia" w:ascii="仿宋_GB2312" w:hAnsi="仿宋_GB2312" w:eastAsia="仿宋_GB2312" w:cs="仿宋_GB2312"/>
          <w:color w:val="auto"/>
          <w:spacing w:val="0"/>
          <w:kern w:val="2"/>
          <w:sz w:val="32"/>
          <w:szCs w:val="32"/>
        </w:rPr>
        <w:t>公平竞争审查细则第十</w:t>
      </w:r>
      <w:r>
        <w:rPr>
          <w:rFonts w:hint="eastAsia" w:ascii="仿宋_GB2312" w:hAnsi="仿宋_GB2312" w:eastAsia="仿宋_GB2312" w:cs="仿宋_GB2312"/>
          <w:color w:val="auto"/>
          <w:spacing w:val="0"/>
          <w:kern w:val="2"/>
          <w:sz w:val="32"/>
          <w:szCs w:val="32"/>
          <w:lang w:eastAsia="zh-CN"/>
        </w:rPr>
        <w:t>六</w:t>
      </w:r>
      <w:r>
        <w:rPr>
          <w:rFonts w:hint="eastAsia" w:ascii="仿宋_GB2312" w:hAnsi="仿宋_GB2312" w:eastAsia="仿宋_GB2312" w:cs="仿宋_GB2312"/>
          <w:color w:val="auto"/>
          <w:spacing w:val="0"/>
          <w:kern w:val="2"/>
          <w:sz w:val="32"/>
          <w:szCs w:val="32"/>
        </w:rPr>
        <w:t>条影响生产经营行为标准</w:t>
      </w:r>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right="0" w:firstLine="640" w:firstLineChars="200"/>
        <w:jc w:val="both"/>
        <w:rPr>
          <w:rFonts w:hint="eastAsia" w:ascii="仿宋_GB2312" w:hAnsi="仿宋_GB2312" w:eastAsia="仿宋_GB2312" w:cs="仿宋_GB2312"/>
          <w:color w:val="auto"/>
          <w:spacing w:val="0"/>
          <w:kern w:val="2"/>
          <w:sz w:val="32"/>
          <w:szCs w:val="32"/>
          <w:lang w:eastAsia="zh-CN"/>
        </w:rPr>
      </w:pPr>
      <w:r>
        <w:rPr>
          <w:rFonts w:hint="eastAsia" w:ascii="仿宋_GB2312" w:hAnsi="仿宋_GB2312" w:eastAsia="仿宋_GB2312" w:cs="仿宋_GB2312"/>
          <w:color w:val="auto"/>
          <w:spacing w:val="0"/>
          <w:kern w:val="2"/>
          <w:sz w:val="32"/>
          <w:szCs w:val="32"/>
        </w:rPr>
        <w:t>不得强制经营者从事《中华人民共和国反垄断法》</w:t>
      </w:r>
      <w:r>
        <w:rPr>
          <w:rFonts w:hint="eastAsia" w:ascii="仿宋_GB2312" w:hAnsi="仿宋_GB2312" w:eastAsia="仿宋_GB2312" w:cs="仿宋_GB2312"/>
          <w:color w:val="auto"/>
          <w:spacing w:val="0"/>
          <w:kern w:val="2"/>
          <w:sz w:val="32"/>
          <w:szCs w:val="32"/>
          <w:lang w:eastAsia="zh-CN"/>
        </w:rPr>
        <w:t>禁止</w:t>
      </w:r>
      <w:r>
        <w:rPr>
          <w:rFonts w:hint="eastAsia" w:ascii="仿宋_GB2312" w:hAnsi="仿宋_GB2312" w:eastAsia="仿宋_GB2312" w:cs="仿宋_GB2312"/>
          <w:color w:val="auto"/>
          <w:spacing w:val="0"/>
          <w:kern w:val="2"/>
          <w:sz w:val="32"/>
          <w:szCs w:val="32"/>
        </w:rPr>
        <w:t>的垄断行为，主要指以行政命令、行政授权、行政指导</w:t>
      </w:r>
      <w:r>
        <w:rPr>
          <w:rFonts w:hint="eastAsia" w:ascii="仿宋_GB2312" w:hAnsi="仿宋_GB2312" w:eastAsia="仿宋_GB2312" w:cs="仿宋_GB2312"/>
          <w:color w:val="auto"/>
          <w:spacing w:val="0"/>
          <w:kern w:val="2"/>
          <w:sz w:val="32"/>
          <w:szCs w:val="32"/>
          <w:lang w:eastAsia="zh-CN"/>
        </w:rPr>
        <w:t>等方式</w:t>
      </w:r>
      <w:r>
        <w:rPr>
          <w:rFonts w:hint="eastAsia" w:ascii="仿宋_GB2312" w:hAnsi="仿宋_GB2312" w:eastAsia="仿宋_GB2312" w:cs="仿宋_GB2312"/>
          <w:color w:val="auto"/>
          <w:spacing w:val="0"/>
          <w:kern w:val="2"/>
          <w:sz w:val="32"/>
          <w:szCs w:val="32"/>
        </w:rPr>
        <w:t>或者通过行业协会</w:t>
      </w:r>
      <w:r>
        <w:rPr>
          <w:rFonts w:hint="eastAsia" w:ascii="仿宋_GB2312" w:hAnsi="仿宋_GB2312" w:eastAsia="仿宋_GB2312" w:cs="仿宋_GB2312"/>
          <w:color w:val="auto"/>
          <w:spacing w:val="0"/>
          <w:kern w:val="2"/>
          <w:sz w:val="32"/>
          <w:szCs w:val="32"/>
          <w:lang w:eastAsia="zh-CN"/>
        </w:rPr>
        <w:t>、商会</w:t>
      </w:r>
      <w:r>
        <w:rPr>
          <w:rFonts w:hint="eastAsia" w:ascii="仿宋_GB2312" w:hAnsi="仿宋_GB2312" w:eastAsia="仿宋_GB2312" w:cs="仿宋_GB2312"/>
          <w:color w:val="auto"/>
          <w:spacing w:val="0"/>
          <w:kern w:val="2"/>
          <w:sz w:val="32"/>
          <w:szCs w:val="32"/>
        </w:rPr>
        <w:t>，强制、组织或者引导经营者达成、垄断协议</w:t>
      </w:r>
      <w:r>
        <w:rPr>
          <w:rFonts w:hint="eastAsia" w:ascii="仿宋_GB2312" w:hAnsi="仿宋_GB2312" w:eastAsia="仿宋_GB2312" w:cs="仿宋_GB2312"/>
          <w:color w:val="auto"/>
          <w:spacing w:val="0"/>
          <w:kern w:val="2"/>
          <w:sz w:val="32"/>
          <w:szCs w:val="32"/>
          <w:lang w:eastAsia="zh-CN"/>
        </w:rPr>
        <w:t>、</w:t>
      </w:r>
      <w:r>
        <w:rPr>
          <w:rFonts w:hint="eastAsia" w:ascii="仿宋_GB2312" w:hAnsi="仿宋_GB2312" w:eastAsia="仿宋_GB2312" w:cs="仿宋_GB2312"/>
          <w:color w:val="auto"/>
          <w:spacing w:val="0"/>
          <w:kern w:val="2"/>
          <w:sz w:val="32"/>
          <w:szCs w:val="32"/>
        </w:rPr>
        <w:t>滥用市场支配地位</w:t>
      </w:r>
      <w:r>
        <w:rPr>
          <w:rFonts w:hint="eastAsia" w:ascii="仿宋_GB2312" w:hAnsi="仿宋_GB2312" w:eastAsia="仿宋_GB2312" w:cs="仿宋_GB2312"/>
          <w:color w:val="auto"/>
          <w:spacing w:val="0"/>
          <w:kern w:val="2"/>
          <w:sz w:val="32"/>
          <w:szCs w:val="32"/>
          <w:lang w:eastAsia="zh-CN"/>
        </w:rPr>
        <w:t>，以及实施具有或者可能具有排除、限制竞争效果的经营者集中等行为。</w:t>
      </w:r>
    </w:p>
    <w:p>
      <w:pPr>
        <w:pStyle w:val="7"/>
        <w:keepNext w:val="0"/>
        <w:keepLines w:val="0"/>
        <w:pageBreakBefore w:val="0"/>
        <w:widowControl w:val="0"/>
        <w:kinsoku/>
        <w:wordWrap/>
        <w:overflowPunct/>
        <w:topLinePunct/>
        <w:autoSpaceDE/>
        <w:autoSpaceDN/>
        <w:bidi w:val="0"/>
        <w:spacing w:beforeAutospacing="0" w:after="0" w:afterAutospacing="0" w:line="540" w:lineRule="exact"/>
        <w:ind w:left="0" w:right="0" w:firstLine="640" w:firstLineChars="200"/>
        <w:jc w:val="both"/>
        <w:rPr>
          <w:rFonts w:hint="eastAsia" w:ascii="仿宋_GB2312" w:hAnsi="仿宋_GB2312" w:eastAsia="仿宋_GB2312" w:cs="仿宋_GB2312"/>
          <w:b w:val="0"/>
          <w:bCs w:val="0"/>
          <w:color w:val="auto"/>
          <w:spacing w:val="0"/>
          <w:sz w:val="32"/>
          <w:szCs w:val="32"/>
        </w:rPr>
      </w:pPr>
      <w:r>
        <w:rPr>
          <w:rFonts w:hint="eastAsia" w:ascii="仿宋_GB2312" w:hAnsi="仿宋_GB2312" w:eastAsia="仿宋_GB2312" w:cs="仿宋_GB2312"/>
          <w:b w:val="0"/>
          <w:bCs w:val="0"/>
          <w:color w:val="auto"/>
          <w:spacing w:val="0"/>
          <w:sz w:val="32"/>
          <w:szCs w:val="32"/>
          <w:vertAlign w:val="baseline"/>
          <w:lang w:eastAsia="zh-CN"/>
        </w:rPr>
        <w:t>（五）《民乐县规范农村土地经营权流转实施方案》</w:t>
      </w:r>
      <w:r>
        <w:rPr>
          <w:rFonts w:hint="eastAsia" w:ascii="仿宋_GB2312" w:hAnsi="仿宋_GB2312" w:eastAsia="仿宋_GB2312" w:cs="仿宋_GB2312"/>
          <w:b w:val="0"/>
          <w:bCs w:val="0"/>
          <w:color w:val="auto"/>
          <w:spacing w:val="0"/>
          <w:sz w:val="32"/>
          <w:szCs w:val="32"/>
          <w:highlight w:val="none"/>
          <w:lang w:eastAsia="zh-CN"/>
        </w:rPr>
        <w:t>（</w:t>
      </w:r>
      <w:r>
        <w:rPr>
          <w:rFonts w:hint="eastAsia" w:ascii="仿宋_GB2312" w:hAnsi="仿宋_GB2312" w:eastAsia="仿宋_GB2312" w:cs="仿宋_GB2312"/>
          <w:color w:val="auto"/>
          <w:spacing w:val="0"/>
          <w:kern w:val="2"/>
          <w:sz w:val="32"/>
          <w:szCs w:val="32"/>
          <w:lang w:val="en-US" w:eastAsia="zh-CN" w:bidi="ar"/>
        </w:rPr>
        <w:t>民办发〔2022〕113号</w:t>
      </w:r>
      <w:r>
        <w:rPr>
          <w:rFonts w:hint="eastAsia" w:ascii="仿宋_GB2312" w:hAnsi="仿宋_GB2312" w:eastAsia="仿宋_GB2312" w:cs="仿宋_GB2312"/>
          <w:b w:val="0"/>
          <w:bCs w:val="0"/>
          <w:color w:val="auto"/>
          <w:spacing w:val="0"/>
          <w:sz w:val="32"/>
          <w:szCs w:val="32"/>
          <w:highlight w:val="none"/>
          <w:lang w:eastAsia="zh-CN"/>
        </w:rPr>
        <w:t>）</w:t>
      </w:r>
    </w:p>
    <w:p>
      <w:pPr>
        <w:keepNext w:val="0"/>
        <w:keepLines w:val="0"/>
        <w:pageBreakBefore w:val="0"/>
        <w:widowControl w:val="0"/>
        <w:suppressLineNumbers w:val="0"/>
        <w:kinsoku/>
        <w:wordWrap/>
        <w:overflowPunct/>
        <w:topLinePunct/>
        <w:autoSpaceDE/>
        <w:autoSpaceDN/>
        <w:bidi w:val="0"/>
        <w:adjustRightInd w:val="0"/>
        <w:snapToGrid w:val="0"/>
        <w:spacing w:beforeAutospacing="0" w:afterAutospacing="0" w:line="540" w:lineRule="exact"/>
        <w:ind w:left="0" w:right="0" w:firstLine="640" w:firstLineChars="200"/>
        <w:jc w:val="both"/>
        <w:textAlignment w:val="baseline"/>
        <w:rPr>
          <w:rFonts w:hint="eastAsia" w:ascii="仿宋_GB2312" w:hAnsi="仿宋_GB2312" w:eastAsia="仿宋_GB2312" w:cs="仿宋_GB2312"/>
          <w:b w:val="0"/>
          <w:bCs w:val="0"/>
          <w:color w:val="auto"/>
          <w:spacing w:val="0"/>
          <w:kern w:val="0"/>
          <w:sz w:val="32"/>
          <w:szCs w:val="32"/>
        </w:rPr>
      </w:pPr>
      <w:r>
        <w:rPr>
          <w:rFonts w:hint="eastAsia" w:ascii="仿宋_GB2312" w:hAnsi="仿宋_GB2312" w:eastAsia="仿宋_GB2312" w:cs="仿宋_GB2312"/>
          <w:b w:val="0"/>
          <w:bCs w:val="0"/>
          <w:snapToGrid/>
          <w:color w:val="auto"/>
          <w:spacing w:val="0"/>
          <w:kern w:val="0"/>
          <w:sz w:val="32"/>
          <w:szCs w:val="32"/>
          <w:lang w:val="en-US" w:eastAsia="zh-CN" w:bidi="ar"/>
        </w:rPr>
        <w:t>a.问题内容条款</w:t>
      </w:r>
    </w:p>
    <w:tbl>
      <w:tblPr>
        <w:tblStyle w:val="18"/>
        <w:tblW w:w="5000" w:type="pct"/>
        <w:tblInd w:w="0" w:type="dxa"/>
        <w:tblBorders>
          <w:top w:val="single" w:color="000000" w:sz="8" w:space="0"/>
          <w:left w:val="single" w:color="000000" w:sz="8" w:space="0"/>
          <w:bottom w:val="single" w:color="000000" w:sz="8" w:space="0"/>
          <w:right w:val="single" w:color="000000" w:sz="8"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8865"/>
      </w:tblGrid>
      <w:tr>
        <w:tblPrEx>
          <w:tblBorders>
            <w:top w:val="single" w:color="000000" w:sz="8" w:space="0"/>
            <w:left w:val="single" w:color="000000" w:sz="8" w:space="0"/>
            <w:bottom w:val="single" w:color="000000" w:sz="8" w:space="0"/>
            <w:right w:val="single" w:color="000000" w:sz="8" w:space="0"/>
            <w:insideH w:val="outset" w:color="auto" w:sz="6" w:space="0"/>
            <w:insideV w:val="outset" w:color="auto" w:sz="6" w:space="0"/>
          </w:tblBorders>
          <w:shd w:val="clear" w:color="auto" w:fill="auto"/>
          <w:tblCellMar>
            <w:top w:w="0" w:type="dxa"/>
            <w:left w:w="0" w:type="dxa"/>
            <w:bottom w:w="0" w:type="dxa"/>
            <w:right w:w="0" w:type="dxa"/>
          </w:tblCellMar>
        </w:tblPrEx>
        <w:trPr>
          <w:trHeight w:val="3366" w:hRule="atLeast"/>
        </w:trPr>
        <w:tc>
          <w:tcPr>
            <w:tcW w:w="5000" w:type="pct"/>
            <w:tcBorders>
              <w:top w:val="single" w:color="000000" w:sz="8" w:space="0"/>
              <w:left w:val="single" w:color="000000" w:sz="8" w:space="0"/>
              <w:bottom w:val="single" w:color="000000" w:sz="8" w:space="0"/>
              <w:right w:val="single" w:color="000000" w:sz="8" w:space="0"/>
            </w:tcBorders>
            <w:shd w:val="clear" w:color="auto" w:fill="auto"/>
            <w:vAlign w:val="top"/>
          </w:tcPr>
          <w:p>
            <w:pPr>
              <w:keepNext w:val="0"/>
              <w:keepLines w:val="0"/>
              <w:pageBreakBefore w:val="0"/>
              <w:widowControl w:val="0"/>
              <w:suppressLineNumbers w:val="0"/>
              <w:kinsoku/>
              <w:wordWrap/>
              <w:overflowPunct/>
              <w:topLinePunct/>
              <w:autoSpaceDE/>
              <w:autoSpaceDN/>
              <w:bidi w:val="0"/>
              <w:adjustRightInd w:val="0"/>
              <w:snapToGrid w:val="0"/>
              <w:spacing w:before="0" w:beforeAutospacing="0" w:after="0" w:afterAutospacing="0" w:line="540" w:lineRule="exact"/>
              <w:ind w:left="0" w:leftChars="0" w:right="0" w:firstLine="560" w:firstLineChars="200"/>
              <w:jc w:val="both"/>
              <w:textAlignment w:val="baseline"/>
              <w:rPr>
                <w:rFonts w:hint="eastAsia" w:ascii="仿宋_GB2312" w:hAnsi="仿宋_GB2312" w:eastAsia="仿宋_GB2312" w:cs="仿宋_GB2312"/>
                <w:b w:val="0"/>
                <w:bCs w:val="0"/>
                <w:snapToGrid/>
                <w:color w:val="auto"/>
                <w:spacing w:val="0"/>
                <w:kern w:val="0"/>
                <w:sz w:val="28"/>
                <w:szCs w:val="28"/>
                <w:lang w:val="en-US" w:eastAsia="zh-CN" w:bidi="ar"/>
              </w:rPr>
            </w:pPr>
            <w:r>
              <w:rPr>
                <w:rFonts w:hint="eastAsia" w:ascii="仿宋_GB2312" w:hAnsi="仿宋_GB2312" w:eastAsia="仿宋_GB2312" w:cs="仿宋_GB2312"/>
                <w:b w:val="0"/>
                <w:bCs w:val="0"/>
                <w:snapToGrid/>
                <w:color w:val="auto"/>
                <w:spacing w:val="0"/>
                <w:kern w:val="0"/>
                <w:sz w:val="28"/>
                <w:szCs w:val="28"/>
                <w:lang w:val="en-US" w:eastAsia="zh-CN" w:bidi="ar"/>
              </w:rPr>
              <w:t>文件第6页</w:t>
            </w:r>
          </w:p>
          <w:p>
            <w:pPr>
              <w:keepNext w:val="0"/>
              <w:keepLines w:val="0"/>
              <w:pageBreakBefore w:val="0"/>
              <w:widowControl w:val="0"/>
              <w:suppressLineNumbers w:val="0"/>
              <w:kinsoku/>
              <w:wordWrap/>
              <w:overflowPunct/>
              <w:topLinePunct/>
              <w:autoSpaceDE/>
              <w:autoSpaceDN/>
              <w:bidi w:val="0"/>
              <w:spacing w:before="0" w:beforeAutospacing="0" w:after="0" w:afterAutospacing="0" w:line="540" w:lineRule="exact"/>
              <w:ind w:left="0" w:right="0" w:firstLine="560" w:firstLineChars="200"/>
              <w:jc w:val="both"/>
              <w:rPr>
                <w:rFonts w:hint="eastAsia" w:ascii="仿宋_GB2312" w:hAnsi="仿宋_GB2312" w:eastAsia="仿宋_GB2312" w:cs="仿宋_GB2312"/>
                <w:b/>
                <w:bCs/>
                <w:color w:val="auto"/>
                <w:spacing w:val="0"/>
                <w:kern w:val="2"/>
                <w:sz w:val="28"/>
                <w:szCs w:val="28"/>
                <w:lang w:val="en-US" w:eastAsia="zh-CN" w:bidi="ar"/>
              </w:rPr>
            </w:pPr>
            <w:r>
              <w:rPr>
                <w:rFonts w:hint="eastAsia" w:ascii="仿宋_GB2312" w:hAnsi="仿宋_GB2312" w:eastAsia="仿宋_GB2312" w:cs="仿宋_GB2312"/>
                <w:color w:val="auto"/>
                <w:spacing w:val="0"/>
                <w:kern w:val="0"/>
                <w:sz w:val="28"/>
                <w:szCs w:val="28"/>
                <w:lang w:val="en-US" w:eastAsia="zh-CN" w:bidi="ar"/>
              </w:rPr>
              <w:t>二是引导农户土地经营权入股村集体经营。按照市场经济发展规律，创新村集体经济发展新模式，以村党支部为引领，以产权制度改革后的村集体经济组织（股份经济合作社）为主体，引导农户以土地经营权入股村集体经济为动力，</w:t>
            </w:r>
            <w:r>
              <w:rPr>
                <w:rFonts w:hint="eastAsia" w:ascii="仿宋_GB2312" w:hAnsi="仿宋_GB2312" w:eastAsia="仿宋_GB2312" w:cs="仿宋_GB2312"/>
                <w:color w:val="auto"/>
                <w:spacing w:val="0"/>
                <w:kern w:val="0"/>
                <w:sz w:val="28"/>
                <w:szCs w:val="28"/>
                <w:u w:val="single"/>
                <w:lang w:val="en-US" w:eastAsia="zh-CN" w:bidi="ar"/>
              </w:rPr>
              <w:t>以县裕振投资开发有限责任公司为土地流转发展平台，</w:t>
            </w:r>
            <w:r>
              <w:rPr>
                <w:rFonts w:hint="eastAsia" w:ascii="仿宋_GB2312" w:hAnsi="仿宋_GB2312" w:eastAsia="仿宋_GB2312" w:cs="仿宋_GB2312"/>
                <w:color w:val="auto"/>
                <w:spacing w:val="0"/>
                <w:kern w:val="0"/>
                <w:sz w:val="28"/>
                <w:szCs w:val="28"/>
                <w:lang w:val="en-US" w:eastAsia="zh-CN" w:bidi="ar"/>
              </w:rPr>
              <w:t>整合农村各类资源要素，</w:t>
            </w:r>
          </w:p>
        </w:tc>
      </w:tr>
    </w:tbl>
    <w:p>
      <w:pPr>
        <w:keepNext w:val="0"/>
        <w:keepLines w:val="0"/>
        <w:pageBreakBefore w:val="0"/>
        <w:widowControl w:val="0"/>
        <w:suppressLineNumbers w:val="0"/>
        <w:kinsoku/>
        <w:wordWrap/>
        <w:overflowPunct/>
        <w:topLinePunct/>
        <w:autoSpaceDE/>
        <w:autoSpaceDN/>
        <w:bidi w:val="0"/>
        <w:adjustRightInd w:val="0"/>
        <w:snapToGrid w:val="0"/>
        <w:spacing w:beforeAutospacing="0" w:afterAutospacing="0" w:line="540" w:lineRule="exact"/>
        <w:ind w:left="0" w:right="0" w:firstLine="640" w:firstLineChars="200"/>
        <w:jc w:val="both"/>
        <w:textAlignment w:val="baseline"/>
        <w:rPr>
          <w:rFonts w:hint="eastAsia" w:ascii="仿宋_GB2312" w:hAnsi="仿宋_GB2312" w:eastAsia="仿宋_GB2312" w:cs="仿宋_GB2312"/>
          <w:b w:val="0"/>
          <w:bCs w:val="0"/>
          <w:color w:val="auto"/>
          <w:spacing w:val="0"/>
          <w:kern w:val="0"/>
          <w:sz w:val="32"/>
          <w:szCs w:val="32"/>
        </w:rPr>
      </w:pPr>
      <w:r>
        <w:rPr>
          <w:rFonts w:hint="eastAsia" w:ascii="仿宋_GB2312" w:hAnsi="仿宋_GB2312" w:eastAsia="仿宋_GB2312" w:cs="仿宋_GB2312"/>
          <w:b w:val="0"/>
          <w:bCs w:val="0"/>
          <w:snapToGrid/>
          <w:color w:val="auto"/>
          <w:spacing w:val="0"/>
          <w:kern w:val="0"/>
          <w:sz w:val="32"/>
          <w:szCs w:val="32"/>
          <w:lang w:val="en-US" w:eastAsia="zh-CN" w:bidi="ar"/>
        </w:rPr>
        <w:t>b.剖析论证</w:t>
      </w:r>
    </w:p>
    <w:p>
      <w:pPr>
        <w:pStyle w:val="5"/>
        <w:keepNext w:val="0"/>
        <w:keepLines w:val="0"/>
        <w:pageBreakBefore w:val="0"/>
        <w:widowControl w:val="0"/>
        <w:suppressLineNumbers w:val="0"/>
        <w:kinsoku/>
        <w:wordWrap/>
        <w:overflowPunct/>
        <w:topLinePunct/>
        <w:autoSpaceDE/>
        <w:autoSpaceDN/>
        <w:bidi w:val="0"/>
        <w:spacing w:before="0" w:beforeAutospacing="0" w:after="0" w:afterAutospacing="0" w:line="540" w:lineRule="exact"/>
        <w:ind w:left="0" w:right="0" w:firstLine="640" w:firstLineChars="200"/>
        <w:jc w:val="both"/>
        <w:rPr>
          <w:rFonts w:hint="eastAsia" w:ascii="仿宋_GB2312" w:hAnsi="仿宋_GB2312" w:eastAsia="仿宋_GB2312" w:cs="仿宋_GB2312"/>
          <w:color w:val="auto"/>
          <w:spacing w:val="0"/>
          <w:kern w:val="2"/>
          <w:sz w:val="32"/>
          <w:szCs w:val="32"/>
        </w:rPr>
      </w:pPr>
      <w:r>
        <w:rPr>
          <w:rFonts w:hint="eastAsia" w:ascii="仿宋_GB2312" w:hAnsi="仿宋_GB2312" w:eastAsia="仿宋_GB2312" w:cs="仿宋_GB2312"/>
          <w:b w:val="0"/>
          <w:bCs w:val="0"/>
          <w:snapToGrid/>
          <w:color w:val="auto"/>
          <w:spacing w:val="0"/>
          <w:kern w:val="0"/>
          <w:sz w:val="32"/>
          <w:szCs w:val="32"/>
          <w:lang w:eastAsia="zh-CN" w:bidi="ar"/>
        </w:rPr>
        <w:t>文件</w:t>
      </w:r>
      <w:r>
        <w:rPr>
          <w:rFonts w:hint="eastAsia" w:ascii="仿宋_GB2312" w:hAnsi="仿宋_GB2312" w:eastAsia="仿宋_GB2312" w:cs="仿宋_GB2312"/>
          <w:b w:val="0"/>
          <w:bCs w:val="0"/>
          <w:snapToGrid/>
          <w:color w:val="auto"/>
          <w:spacing w:val="0"/>
          <w:kern w:val="0"/>
          <w:sz w:val="32"/>
          <w:szCs w:val="32"/>
          <w:lang w:val="en-US" w:eastAsia="zh-CN" w:bidi="ar"/>
        </w:rPr>
        <w:t>内容</w:t>
      </w:r>
      <w:r>
        <w:rPr>
          <w:rFonts w:hint="eastAsia" w:ascii="仿宋_GB2312" w:hAnsi="仿宋_GB2312" w:eastAsia="仿宋_GB2312" w:cs="仿宋_GB2312"/>
          <w:b w:val="0"/>
          <w:bCs w:val="0"/>
          <w:snapToGrid/>
          <w:color w:val="auto"/>
          <w:spacing w:val="0"/>
          <w:kern w:val="0"/>
          <w:sz w:val="32"/>
          <w:szCs w:val="32"/>
          <w:lang w:eastAsia="zh-CN" w:bidi="ar"/>
        </w:rPr>
        <w:t>违反公平竞争审查制度</w:t>
      </w:r>
      <w:r>
        <w:rPr>
          <w:rFonts w:hint="eastAsia" w:ascii="仿宋_GB2312" w:hAnsi="仿宋_GB2312" w:eastAsia="仿宋_GB2312" w:cs="仿宋_GB2312"/>
          <w:b w:val="0"/>
          <w:bCs w:val="0"/>
          <w:snapToGrid/>
          <w:color w:val="auto"/>
          <w:spacing w:val="0"/>
          <w:kern w:val="0"/>
          <w:sz w:val="32"/>
          <w:szCs w:val="32"/>
          <w:lang w:val="en-US" w:eastAsia="zh-CN" w:bidi="ar"/>
        </w:rPr>
        <w:t>“影响生产经营行为</w:t>
      </w:r>
      <w:r>
        <w:rPr>
          <w:rFonts w:hint="eastAsia" w:ascii="仿宋_GB2312" w:hAnsi="仿宋_GB2312" w:eastAsia="仿宋_GB2312" w:cs="仿宋_GB2312"/>
          <w:b w:val="0"/>
          <w:bCs w:val="0"/>
          <w:snapToGrid/>
          <w:color w:val="auto"/>
          <w:spacing w:val="0"/>
          <w:kern w:val="0"/>
          <w:sz w:val="32"/>
          <w:szCs w:val="32"/>
          <w:lang w:eastAsia="zh-CN" w:bidi="ar"/>
        </w:rPr>
        <w:t>标准</w:t>
      </w:r>
      <w:r>
        <w:rPr>
          <w:rFonts w:hint="eastAsia" w:ascii="仿宋_GB2312" w:hAnsi="仿宋_GB2312" w:eastAsia="仿宋_GB2312" w:cs="仿宋_GB2312"/>
          <w:b w:val="0"/>
          <w:bCs w:val="0"/>
          <w:snapToGrid/>
          <w:color w:val="auto"/>
          <w:spacing w:val="0"/>
          <w:kern w:val="0"/>
          <w:sz w:val="32"/>
          <w:szCs w:val="32"/>
          <w:lang w:val="en-US" w:eastAsia="zh-CN" w:bidi="ar"/>
        </w:rPr>
        <w:t>”</w:t>
      </w:r>
      <w:r>
        <w:rPr>
          <w:rFonts w:hint="eastAsia" w:ascii="仿宋_GB2312" w:hAnsi="仿宋_GB2312" w:eastAsia="仿宋_GB2312" w:cs="仿宋_GB2312"/>
          <w:b w:val="0"/>
          <w:bCs w:val="0"/>
          <w:snapToGrid/>
          <w:color w:val="auto"/>
          <w:spacing w:val="0"/>
          <w:kern w:val="0"/>
          <w:sz w:val="32"/>
          <w:szCs w:val="32"/>
          <w:lang w:eastAsia="zh-CN" w:bidi="ar"/>
        </w:rPr>
        <w:t>中关于“</w:t>
      </w:r>
      <w:r>
        <w:rPr>
          <w:rFonts w:hint="eastAsia" w:ascii="仿宋_GB2312" w:hAnsi="仿宋_GB2312" w:eastAsia="仿宋_GB2312" w:cs="仿宋_GB2312"/>
          <w:color w:val="auto"/>
          <w:spacing w:val="0"/>
          <w:kern w:val="2"/>
          <w:sz w:val="32"/>
          <w:szCs w:val="32"/>
          <w:lang w:val="en-US" w:eastAsia="zh-CN"/>
        </w:rPr>
        <w:t>不得强制经营者从事垄断行为</w:t>
      </w:r>
      <w:r>
        <w:rPr>
          <w:rFonts w:hint="eastAsia" w:ascii="仿宋_GB2312" w:hAnsi="仿宋_GB2312" w:eastAsia="仿宋_GB2312" w:cs="仿宋_GB2312"/>
          <w:b w:val="0"/>
          <w:bCs w:val="0"/>
          <w:snapToGrid/>
          <w:color w:val="auto"/>
          <w:spacing w:val="0"/>
          <w:kern w:val="0"/>
          <w:sz w:val="32"/>
          <w:szCs w:val="32"/>
          <w:lang w:eastAsia="zh-CN" w:bidi="ar"/>
        </w:rPr>
        <w:t>”的规定，</w:t>
      </w:r>
      <w:r>
        <w:rPr>
          <w:rFonts w:hint="eastAsia" w:ascii="仿宋_GB2312" w:hAnsi="仿宋_GB2312" w:eastAsia="仿宋_GB2312" w:cs="仿宋_GB2312"/>
          <w:color w:val="auto"/>
          <w:spacing w:val="0"/>
          <w:kern w:val="2"/>
          <w:sz w:val="32"/>
          <w:szCs w:val="32"/>
        </w:rPr>
        <w:t>公平竞争审查细则第十</w:t>
      </w:r>
      <w:r>
        <w:rPr>
          <w:rFonts w:hint="eastAsia" w:ascii="仿宋_GB2312" w:hAnsi="仿宋_GB2312" w:eastAsia="仿宋_GB2312" w:cs="仿宋_GB2312"/>
          <w:color w:val="auto"/>
          <w:spacing w:val="0"/>
          <w:kern w:val="2"/>
          <w:sz w:val="32"/>
          <w:szCs w:val="32"/>
          <w:lang w:eastAsia="zh-CN"/>
        </w:rPr>
        <w:t>六</w:t>
      </w:r>
      <w:r>
        <w:rPr>
          <w:rFonts w:hint="eastAsia" w:ascii="仿宋_GB2312" w:hAnsi="仿宋_GB2312" w:eastAsia="仿宋_GB2312" w:cs="仿宋_GB2312"/>
          <w:color w:val="auto"/>
          <w:spacing w:val="0"/>
          <w:kern w:val="2"/>
          <w:sz w:val="32"/>
          <w:szCs w:val="32"/>
        </w:rPr>
        <w:t>条影响生产经营行为标准</w:t>
      </w:r>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right="0" w:firstLine="640" w:firstLineChars="200"/>
        <w:jc w:val="both"/>
        <w:rPr>
          <w:rFonts w:hint="eastAsia" w:ascii="仿宋_GB2312" w:hAnsi="仿宋_GB2312" w:eastAsia="仿宋_GB2312" w:cs="仿宋_GB2312"/>
          <w:color w:val="auto"/>
          <w:spacing w:val="0"/>
          <w:kern w:val="2"/>
          <w:sz w:val="32"/>
          <w:szCs w:val="32"/>
          <w:lang w:eastAsia="zh-CN"/>
        </w:rPr>
      </w:pPr>
      <w:r>
        <w:rPr>
          <w:rFonts w:hint="eastAsia" w:ascii="仿宋_GB2312" w:hAnsi="仿宋_GB2312" w:eastAsia="仿宋_GB2312" w:cs="仿宋_GB2312"/>
          <w:color w:val="auto"/>
          <w:spacing w:val="0"/>
          <w:kern w:val="2"/>
          <w:sz w:val="32"/>
          <w:szCs w:val="32"/>
        </w:rPr>
        <w:t>不得强制经营者从事《中华人民共和国反垄断法》</w:t>
      </w:r>
      <w:r>
        <w:rPr>
          <w:rFonts w:hint="eastAsia" w:ascii="仿宋_GB2312" w:hAnsi="仿宋_GB2312" w:eastAsia="仿宋_GB2312" w:cs="仿宋_GB2312"/>
          <w:color w:val="auto"/>
          <w:spacing w:val="0"/>
          <w:kern w:val="2"/>
          <w:sz w:val="32"/>
          <w:szCs w:val="32"/>
          <w:lang w:eastAsia="zh-CN"/>
        </w:rPr>
        <w:t>禁止</w:t>
      </w:r>
      <w:r>
        <w:rPr>
          <w:rFonts w:hint="eastAsia" w:ascii="仿宋_GB2312" w:hAnsi="仿宋_GB2312" w:eastAsia="仿宋_GB2312" w:cs="仿宋_GB2312"/>
          <w:color w:val="auto"/>
          <w:spacing w:val="0"/>
          <w:kern w:val="2"/>
          <w:sz w:val="32"/>
          <w:szCs w:val="32"/>
        </w:rPr>
        <w:t>的垄断行为，主要指以行政命令、行政授权、行政指导</w:t>
      </w:r>
      <w:r>
        <w:rPr>
          <w:rFonts w:hint="eastAsia" w:ascii="仿宋_GB2312" w:hAnsi="仿宋_GB2312" w:eastAsia="仿宋_GB2312" w:cs="仿宋_GB2312"/>
          <w:color w:val="auto"/>
          <w:spacing w:val="0"/>
          <w:kern w:val="2"/>
          <w:sz w:val="32"/>
          <w:szCs w:val="32"/>
          <w:lang w:eastAsia="zh-CN"/>
        </w:rPr>
        <w:t>等方式</w:t>
      </w:r>
      <w:r>
        <w:rPr>
          <w:rFonts w:hint="eastAsia" w:ascii="仿宋_GB2312" w:hAnsi="仿宋_GB2312" w:eastAsia="仿宋_GB2312" w:cs="仿宋_GB2312"/>
          <w:color w:val="auto"/>
          <w:spacing w:val="0"/>
          <w:kern w:val="2"/>
          <w:sz w:val="32"/>
          <w:szCs w:val="32"/>
        </w:rPr>
        <w:t>或者通过行业协会</w:t>
      </w:r>
      <w:r>
        <w:rPr>
          <w:rFonts w:hint="eastAsia" w:ascii="仿宋_GB2312" w:hAnsi="仿宋_GB2312" w:eastAsia="仿宋_GB2312" w:cs="仿宋_GB2312"/>
          <w:color w:val="auto"/>
          <w:spacing w:val="0"/>
          <w:kern w:val="2"/>
          <w:sz w:val="32"/>
          <w:szCs w:val="32"/>
          <w:lang w:eastAsia="zh-CN"/>
        </w:rPr>
        <w:t>、商会</w:t>
      </w:r>
      <w:r>
        <w:rPr>
          <w:rFonts w:hint="eastAsia" w:ascii="仿宋_GB2312" w:hAnsi="仿宋_GB2312" w:eastAsia="仿宋_GB2312" w:cs="仿宋_GB2312"/>
          <w:color w:val="auto"/>
          <w:spacing w:val="0"/>
          <w:kern w:val="2"/>
          <w:sz w:val="32"/>
          <w:szCs w:val="32"/>
        </w:rPr>
        <w:t>，强制、组织或者引导经营者达成、垄断协议</w:t>
      </w:r>
      <w:r>
        <w:rPr>
          <w:rFonts w:hint="eastAsia" w:ascii="仿宋_GB2312" w:hAnsi="仿宋_GB2312" w:eastAsia="仿宋_GB2312" w:cs="仿宋_GB2312"/>
          <w:color w:val="auto"/>
          <w:spacing w:val="0"/>
          <w:kern w:val="2"/>
          <w:sz w:val="32"/>
          <w:szCs w:val="32"/>
          <w:lang w:eastAsia="zh-CN"/>
        </w:rPr>
        <w:t>、</w:t>
      </w:r>
      <w:r>
        <w:rPr>
          <w:rFonts w:hint="eastAsia" w:ascii="仿宋_GB2312" w:hAnsi="仿宋_GB2312" w:eastAsia="仿宋_GB2312" w:cs="仿宋_GB2312"/>
          <w:color w:val="auto"/>
          <w:spacing w:val="0"/>
          <w:kern w:val="2"/>
          <w:sz w:val="32"/>
          <w:szCs w:val="32"/>
        </w:rPr>
        <w:t>滥用市场支配地位</w:t>
      </w:r>
      <w:r>
        <w:rPr>
          <w:rFonts w:hint="eastAsia" w:ascii="仿宋_GB2312" w:hAnsi="仿宋_GB2312" w:eastAsia="仿宋_GB2312" w:cs="仿宋_GB2312"/>
          <w:color w:val="auto"/>
          <w:spacing w:val="0"/>
          <w:kern w:val="2"/>
          <w:sz w:val="32"/>
          <w:szCs w:val="32"/>
          <w:lang w:eastAsia="zh-CN"/>
        </w:rPr>
        <w:t>，以及实施具有或者可能具有排除、限制竞争效果的经营者集中等行为。</w:t>
      </w:r>
    </w:p>
    <w:p>
      <w:pPr>
        <w:keepNext w:val="0"/>
        <w:keepLines w:val="0"/>
        <w:pageBreakBefore w:val="0"/>
        <w:widowControl w:val="0"/>
        <w:suppressLineNumbers w:val="0"/>
        <w:kinsoku/>
        <w:wordWrap/>
        <w:overflowPunct/>
        <w:topLinePunct/>
        <w:autoSpaceDE/>
        <w:autoSpaceDN/>
        <w:bidi w:val="0"/>
        <w:adjustRightInd/>
        <w:snapToGrid/>
        <w:spacing w:before="157" w:beforeLines="50" w:beforeAutospacing="0" w:after="157" w:afterLines="50" w:afterAutospacing="0" w:line="540" w:lineRule="exact"/>
        <w:ind w:left="0" w:leftChars="0" w:right="0" w:rightChars="0" w:firstLine="640" w:firstLineChars="200"/>
        <w:jc w:val="both"/>
        <w:textAlignment w:val="auto"/>
        <w:outlineLvl w:val="0"/>
        <w:rPr>
          <w:rFonts w:hint="eastAsia" w:ascii="黑体" w:hAnsi="黑体" w:eastAsia="黑体" w:cs="黑体"/>
          <w:b w:val="0"/>
          <w:bCs/>
          <w:color w:val="auto"/>
          <w:spacing w:val="0"/>
          <w:kern w:val="2"/>
          <w:position w:val="0"/>
          <w:sz w:val="32"/>
          <w:szCs w:val="32"/>
          <w:lang w:val="en-US" w:eastAsia="zh-CN" w:bidi="ar"/>
        </w:rPr>
      </w:pPr>
      <w:bookmarkStart w:id="5" w:name="_Toc15753"/>
      <w:r>
        <w:rPr>
          <w:rFonts w:hint="eastAsia" w:ascii="黑体" w:hAnsi="黑体" w:eastAsia="黑体" w:cs="黑体"/>
          <w:b w:val="0"/>
          <w:bCs/>
          <w:color w:val="auto"/>
          <w:spacing w:val="0"/>
          <w:kern w:val="2"/>
          <w:position w:val="0"/>
          <w:sz w:val="32"/>
          <w:szCs w:val="32"/>
          <w:lang w:val="en-US" w:eastAsia="zh-CN" w:bidi="ar"/>
        </w:rPr>
        <w:t>三、评估结果</w:t>
      </w:r>
      <w:bookmarkEnd w:id="5"/>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right="0" w:firstLine="640" w:firstLineChars="200"/>
        <w:jc w:val="both"/>
        <w:textAlignment w:val="auto"/>
        <w:outlineLvl w:val="9"/>
        <w:rPr>
          <w:rFonts w:hint="eastAsia" w:ascii="仿宋_GB2312" w:hAnsi="仿宋_GB2312" w:eastAsia="仿宋_GB2312" w:cs="仿宋_GB2312"/>
          <w:b w:val="0"/>
          <w:bCs/>
          <w:color w:val="auto"/>
          <w:spacing w:val="0"/>
          <w:position w:val="0"/>
          <w:sz w:val="32"/>
          <w:szCs w:val="32"/>
          <w:lang w:val="en-US" w:eastAsia="zh-CN"/>
        </w:rPr>
      </w:pPr>
      <w:r>
        <w:rPr>
          <w:rFonts w:hint="eastAsia" w:ascii="仿宋_GB2312" w:hAnsi="仿宋_GB2312" w:eastAsia="仿宋_GB2312" w:cs="仿宋_GB2312"/>
          <w:bCs w:val="0"/>
          <w:color w:val="auto"/>
          <w:spacing w:val="0"/>
          <w:kern w:val="2"/>
          <w:sz w:val="32"/>
          <w:szCs w:val="32"/>
          <w:lang w:val="en-US" w:eastAsia="zh-CN" w:bidi="ar"/>
        </w:rPr>
        <w:t>根据《甘肃省市场监管局等四单位关于进一步推进落实公平竞争审查工作的通知》（甘市监发〔2020〕291号）及《张掖市公平竞争审查工作单位联席会议办公室关于开展公平竞争审查工作第三方评估的通知》（张公竞〔2022〕10号）文件要求，民乐县</w:t>
      </w:r>
      <w:r>
        <w:rPr>
          <w:rFonts w:hint="eastAsia" w:ascii="仿宋_GB2312" w:hAnsi="仿宋_GB2312" w:eastAsia="仿宋_GB2312" w:cs="仿宋_GB2312"/>
          <w:b w:val="0"/>
          <w:bCs/>
          <w:color w:val="auto"/>
          <w:spacing w:val="0"/>
          <w:position w:val="0"/>
          <w:sz w:val="32"/>
          <w:szCs w:val="32"/>
          <w:lang w:val="en-US" w:eastAsia="zh-CN"/>
        </w:rPr>
        <w:t>公平竞争审查工作得分如下：</w:t>
      </w:r>
    </w:p>
    <w:p>
      <w:pPr>
        <w:pStyle w:val="2"/>
        <w:ind w:firstLine="640" w:firstLineChars="200"/>
        <w:outlineLvl w:val="1"/>
        <w:rPr>
          <w:rFonts w:hint="eastAsia" w:ascii="楷体_GB2312" w:hAnsi="楷体_GB2312" w:eastAsia="楷体_GB2312" w:cs="楷体_GB2312"/>
          <w:b w:val="0"/>
          <w:bCs/>
          <w:color w:val="auto"/>
          <w:spacing w:val="0"/>
          <w:kern w:val="2"/>
          <w:position w:val="0"/>
          <w:sz w:val="32"/>
          <w:szCs w:val="32"/>
          <w:lang w:val="en-US" w:eastAsia="zh-CN" w:bidi="ar"/>
        </w:rPr>
      </w:pPr>
      <w:bookmarkStart w:id="6" w:name="_Toc14029"/>
      <w:bookmarkStart w:id="7" w:name="_Toc9063"/>
      <w:r>
        <w:rPr>
          <w:rFonts w:hint="eastAsia" w:ascii="楷体_GB2312" w:hAnsi="楷体_GB2312" w:eastAsia="楷体_GB2312" w:cs="楷体_GB2312"/>
          <w:b w:val="0"/>
          <w:bCs/>
          <w:color w:val="auto"/>
          <w:spacing w:val="0"/>
          <w:kern w:val="2"/>
          <w:position w:val="0"/>
          <w:sz w:val="32"/>
          <w:szCs w:val="32"/>
          <w:lang w:val="en-US" w:eastAsia="zh-CN" w:bidi="ar"/>
        </w:rPr>
        <w:t>（一） 工作部署落实情况得分</w:t>
      </w:r>
      <w:bookmarkEnd w:id="6"/>
      <w:bookmarkEnd w:id="7"/>
    </w:p>
    <w:p>
      <w:pPr>
        <w:keepNext w:val="0"/>
        <w:keepLines w:val="0"/>
        <w:widowControl w:val="0"/>
        <w:suppressLineNumbers w:val="0"/>
        <w:autoSpaceDE w:val="0"/>
        <w:autoSpaceDN/>
        <w:spacing w:before="0" w:beforeAutospacing="0" w:after="0" w:afterAutospacing="0" w:line="560" w:lineRule="exact"/>
        <w:ind w:left="0" w:leftChars="0" w:right="0" w:rightChars="0" w:firstLine="0" w:firstLineChars="0"/>
        <w:jc w:val="center"/>
        <w:rPr>
          <w:rFonts w:hint="eastAsia" w:ascii="黑体" w:hAnsi="黑体" w:eastAsia="黑体" w:cs="黑体"/>
          <w:b w:val="0"/>
          <w:bCs/>
          <w:color w:val="auto"/>
          <w:spacing w:val="0"/>
          <w:kern w:val="2"/>
          <w:position w:val="0"/>
          <w:sz w:val="24"/>
          <w:szCs w:val="30"/>
          <w:lang w:val="en-US" w:eastAsia="zh-CN" w:bidi="ar"/>
        </w:rPr>
      </w:pPr>
      <w:r>
        <w:rPr>
          <w:rFonts w:hint="eastAsia" w:ascii="黑体" w:hAnsi="黑体" w:eastAsia="黑体" w:cs="黑体"/>
          <w:b w:val="0"/>
          <w:bCs/>
          <w:color w:val="auto"/>
          <w:spacing w:val="0"/>
          <w:kern w:val="2"/>
          <w:position w:val="0"/>
          <w:sz w:val="24"/>
          <w:szCs w:val="30"/>
          <w:lang w:val="en-US" w:eastAsia="zh-CN" w:bidi="ar"/>
        </w:rPr>
        <w:t>表1：公平竞争审查工作部署落实情况评分表</w:t>
      </w:r>
    </w:p>
    <w:tbl>
      <w:tblPr>
        <w:tblStyle w:val="13"/>
        <w:tblW w:w="89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852"/>
        <w:gridCol w:w="924"/>
        <w:gridCol w:w="2145"/>
        <w:gridCol w:w="4488"/>
        <w:gridCol w:w="5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66" w:hRule="atLeast"/>
        </w:trPr>
        <w:tc>
          <w:tcPr>
            <w:tcW w:w="8948" w:type="dxa"/>
            <w:gridSpan w:val="5"/>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民乐县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852" w:type="dxa"/>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一级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指标</w:t>
            </w:r>
          </w:p>
        </w:tc>
        <w:tc>
          <w:tcPr>
            <w:tcW w:w="924" w:type="dxa"/>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二级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指标</w:t>
            </w:r>
          </w:p>
        </w:tc>
        <w:tc>
          <w:tcPr>
            <w:tcW w:w="2145"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指标评价内容</w:t>
            </w:r>
          </w:p>
        </w:tc>
        <w:tc>
          <w:tcPr>
            <w:tcW w:w="4488"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评</w:t>
            </w:r>
            <w:r>
              <w:rPr>
                <w:rFonts w:hint="default" w:ascii="仿宋_GB2312" w:hAnsi="仿宋_GB2312" w:eastAsia="仿宋_GB2312" w:cs="仿宋_GB2312"/>
                <w:b w:val="0"/>
                <w:bCs/>
                <w:color w:val="auto"/>
                <w:spacing w:val="0"/>
                <w:position w:val="0"/>
                <w:sz w:val="24"/>
                <w:szCs w:val="24"/>
                <w:lang w:val="en-US" w:eastAsia="zh-CN"/>
              </w:rPr>
              <w:t>分标准</w:t>
            </w:r>
          </w:p>
        </w:tc>
        <w:tc>
          <w:tcPr>
            <w:tcW w:w="539"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84" w:hRule="atLeast"/>
        </w:trPr>
        <w:tc>
          <w:tcPr>
            <w:tcW w:w="852" w:type="dxa"/>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工作部署落实情况（45分）</w:t>
            </w:r>
          </w:p>
        </w:tc>
        <w:tc>
          <w:tcPr>
            <w:tcW w:w="924" w:type="dxa"/>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印发</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方案</w:t>
            </w:r>
          </w:p>
        </w:tc>
        <w:tc>
          <w:tcPr>
            <w:tcW w:w="2145"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印发公平竞争审查方案（5分）</w:t>
            </w:r>
          </w:p>
        </w:tc>
        <w:tc>
          <w:tcPr>
            <w:tcW w:w="4488"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根据是否印发建立公平竞争审查制度的实施通知/实施方案等文件进行判断。</w:t>
            </w:r>
          </w:p>
        </w:tc>
        <w:tc>
          <w:tcPr>
            <w:tcW w:w="539"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83" w:hRule="atLeast"/>
        </w:trPr>
        <w:tc>
          <w:tcPr>
            <w:tcW w:w="852" w:type="dxa"/>
            <w:vMerge w:val="continue"/>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924" w:type="dxa"/>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建立相应审查机制</w:t>
            </w:r>
          </w:p>
        </w:tc>
        <w:tc>
          <w:tcPr>
            <w:tcW w:w="2145"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建立公平竞争审查机制（10分）</w:t>
            </w:r>
          </w:p>
        </w:tc>
        <w:tc>
          <w:tcPr>
            <w:tcW w:w="4488"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有</w:t>
            </w:r>
            <w:r>
              <w:rPr>
                <w:rFonts w:hint="default" w:ascii="仿宋_GB2312" w:hAnsi="仿宋_GB2312" w:eastAsia="仿宋_GB2312" w:cs="仿宋_GB2312"/>
                <w:b w:val="0"/>
                <w:bCs/>
                <w:color w:val="auto"/>
                <w:spacing w:val="0"/>
                <w:position w:val="0"/>
                <w:sz w:val="24"/>
                <w:szCs w:val="24"/>
                <w:lang w:val="en-US" w:eastAsia="zh-CN"/>
              </w:rPr>
              <w:t>报批文件、通知文件、审批流程文件</w:t>
            </w:r>
            <w:r>
              <w:rPr>
                <w:rFonts w:hint="eastAsia" w:ascii="仿宋_GB2312" w:hAnsi="仿宋_GB2312" w:eastAsia="仿宋_GB2312" w:cs="仿宋_GB2312"/>
                <w:b w:val="0"/>
                <w:bCs/>
                <w:color w:val="auto"/>
                <w:spacing w:val="0"/>
                <w:position w:val="0"/>
                <w:sz w:val="24"/>
                <w:szCs w:val="24"/>
                <w:lang w:val="en-US" w:eastAsia="zh-CN"/>
              </w:rPr>
              <w:t>或已建立的公平竞争审查制度、方案</w:t>
            </w:r>
            <w:r>
              <w:rPr>
                <w:rFonts w:hint="default" w:ascii="仿宋_GB2312" w:hAnsi="仿宋_GB2312" w:eastAsia="仿宋_GB2312" w:cs="仿宋_GB2312"/>
                <w:b w:val="0"/>
                <w:bCs/>
                <w:color w:val="auto"/>
                <w:spacing w:val="0"/>
                <w:position w:val="0"/>
                <w:sz w:val="24"/>
                <w:szCs w:val="24"/>
                <w:lang w:val="en-US" w:eastAsia="zh-CN"/>
              </w:rPr>
              <w:t>。</w:t>
            </w:r>
          </w:p>
        </w:tc>
        <w:tc>
          <w:tcPr>
            <w:tcW w:w="539"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 w:hRule="atLeast"/>
        </w:trPr>
        <w:tc>
          <w:tcPr>
            <w:tcW w:w="852" w:type="dxa"/>
            <w:vMerge w:val="continue"/>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924" w:type="dxa"/>
            <w:vMerge w:val="continue"/>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2145"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建立投诉举报回应机制（5分）</w:t>
            </w:r>
          </w:p>
        </w:tc>
        <w:tc>
          <w:tcPr>
            <w:tcW w:w="4488"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有</w:t>
            </w:r>
            <w:r>
              <w:rPr>
                <w:rFonts w:hint="default" w:ascii="仿宋_GB2312" w:hAnsi="仿宋_GB2312" w:eastAsia="仿宋_GB2312" w:cs="仿宋_GB2312"/>
                <w:b w:val="0"/>
                <w:bCs/>
                <w:color w:val="auto"/>
                <w:spacing w:val="0"/>
                <w:position w:val="0"/>
                <w:sz w:val="24"/>
                <w:szCs w:val="24"/>
                <w:lang w:val="en-US" w:eastAsia="zh-CN"/>
              </w:rPr>
              <w:t>相关文件</w:t>
            </w:r>
            <w:r>
              <w:rPr>
                <w:rFonts w:hint="eastAsia" w:ascii="仿宋_GB2312" w:hAnsi="仿宋_GB2312" w:eastAsia="仿宋_GB2312" w:cs="仿宋_GB2312"/>
                <w:b w:val="0"/>
                <w:bCs/>
                <w:color w:val="auto"/>
                <w:spacing w:val="0"/>
                <w:position w:val="0"/>
                <w:sz w:val="24"/>
                <w:szCs w:val="24"/>
                <w:lang w:val="en-US" w:eastAsia="zh-CN"/>
              </w:rPr>
              <w:t>、资料</w:t>
            </w:r>
            <w:r>
              <w:rPr>
                <w:rFonts w:hint="default" w:ascii="仿宋_GB2312" w:hAnsi="仿宋_GB2312" w:eastAsia="仿宋_GB2312" w:cs="仿宋_GB2312"/>
                <w:b w:val="0"/>
                <w:bCs/>
                <w:color w:val="auto"/>
                <w:spacing w:val="0"/>
                <w:position w:val="0"/>
                <w:sz w:val="24"/>
                <w:szCs w:val="24"/>
                <w:lang w:val="en-US" w:eastAsia="zh-CN"/>
              </w:rPr>
              <w:t>。</w:t>
            </w:r>
          </w:p>
        </w:tc>
        <w:tc>
          <w:tcPr>
            <w:tcW w:w="539"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 w:hRule="atLeast"/>
        </w:trPr>
        <w:tc>
          <w:tcPr>
            <w:tcW w:w="852" w:type="dxa"/>
            <w:vMerge w:val="continue"/>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924" w:type="dxa"/>
            <w:vMerge w:val="continue"/>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2145"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引入第三方审查机制（5分）</w:t>
            </w:r>
          </w:p>
        </w:tc>
        <w:tc>
          <w:tcPr>
            <w:tcW w:w="4488"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有</w:t>
            </w:r>
            <w:r>
              <w:rPr>
                <w:rFonts w:hint="default" w:ascii="仿宋_GB2312" w:hAnsi="仿宋_GB2312" w:eastAsia="仿宋_GB2312" w:cs="仿宋_GB2312"/>
                <w:b w:val="0"/>
                <w:bCs/>
                <w:color w:val="auto"/>
                <w:spacing w:val="0"/>
                <w:position w:val="0"/>
                <w:sz w:val="24"/>
                <w:szCs w:val="24"/>
                <w:lang w:val="en-US" w:eastAsia="zh-CN"/>
              </w:rPr>
              <w:t>第三方评估报告、专家意见等文件。</w:t>
            </w:r>
          </w:p>
        </w:tc>
        <w:tc>
          <w:tcPr>
            <w:tcW w:w="539"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852" w:type="dxa"/>
            <w:vMerge w:val="continue"/>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924" w:type="dxa"/>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安排</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部署</w:t>
            </w:r>
          </w:p>
        </w:tc>
        <w:tc>
          <w:tcPr>
            <w:tcW w:w="2145"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公平竞争审查人员组成及运行状况（5分）</w:t>
            </w:r>
          </w:p>
        </w:tc>
        <w:tc>
          <w:tcPr>
            <w:tcW w:w="4488"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有具体的人员组成和分工。</w:t>
            </w:r>
          </w:p>
        </w:tc>
        <w:tc>
          <w:tcPr>
            <w:tcW w:w="539"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5" w:hRule="atLeast"/>
        </w:trPr>
        <w:tc>
          <w:tcPr>
            <w:tcW w:w="852" w:type="dxa"/>
            <w:vMerge w:val="continue"/>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924" w:type="dxa"/>
            <w:vMerge w:val="continue"/>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2145"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公平竞争审查机制运行状况（5分）</w:t>
            </w:r>
          </w:p>
        </w:tc>
        <w:tc>
          <w:tcPr>
            <w:tcW w:w="4488"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根据公平竞争审查工作定期开展情况为依据进行判断</w:t>
            </w:r>
            <w:r>
              <w:rPr>
                <w:rFonts w:hint="eastAsia" w:ascii="仿宋_GB2312" w:hAnsi="仿宋_GB2312" w:eastAsia="仿宋_GB2312" w:cs="仿宋_GB2312"/>
                <w:b w:val="0"/>
                <w:bCs/>
                <w:color w:val="auto"/>
                <w:spacing w:val="0"/>
                <w:position w:val="0"/>
                <w:sz w:val="24"/>
                <w:szCs w:val="24"/>
                <w:lang w:val="en-US" w:eastAsia="zh-CN"/>
              </w:rPr>
              <w:t>（</w:t>
            </w:r>
            <w:r>
              <w:rPr>
                <w:rFonts w:hint="default" w:ascii="仿宋_GB2312" w:hAnsi="仿宋_GB2312" w:eastAsia="仿宋_GB2312" w:cs="仿宋_GB2312"/>
                <w:b w:val="0"/>
                <w:bCs/>
                <w:color w:val="auto"/>
                <w:spacing w:val="0"/>
                <w:position w:val="0"/>
                <w:sz w:val="24"/>
                <w:szCs w:val="24"/>
                <w:lang w:val="en-US" w:eastAsia="zh-CN"/>
              </w:rPr>
              <w:t>如是否形成自查报告等</w:t>
            </w:r>
            <w:r>
              <w:rPr>
                <w:rFonts w:hint="eastAsia" w:ascii="仿宋_GB2312" w:hAnsi="仿宋_GB2312" w:eastAsia="仿宋_GB2312" w:cs="仿宋_GB2312"/>
                <w:b w:val="0"/>
                <w:bCs/>
                <w:color w:val="auto"/>
                <w:spacing w:val="0"/>
                <w:position w:val="0"/>
                <w:sz w:val="24"/>
                <w:szCs w:val="24"/>
                <w:lang w:val="en-US" w:eastAsia="zh-CN"/>
              </w:rPr>
              <w:t>）</w:t>
            </w:r>
            <w:r>
              <w:rPr>
                <w:rFonts w:hint="default" w:ascii="仿宋_GB2312" w:hAnsi="仿宋_GB2312" w:eastAsia="仿宋_GB2312" w:cs="仿宋_GB2312"/>
                <w:b w:val="0"/>
                <w:bCs/>
                <w:color w:val="auto"/>
                <w:spacing w:val="0"/>
                <w:position w:val="0"/>
                <w:sz w:val="24"/>
                <w:szCs w:val="24"/>
                <w:lang w:val="en-US" w:eastAsia="zh-CN"/>
              </w:rPr>
              <w:t>。</w:t>
            </w:r>
          </w:p>
        </w:tc>
        <w:tc>
          <w:tcPr>
            <w:tcW w:w="539"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852" w:type="dxa"/>
            <w:vMerge w:val="continue"/>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924" w:type="dxa"/>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宣传培训</w:t>
            </w:r>
          </w:p>
        </w:tc>
        <w:tc>
          <w:tcPr>
            <w:tcW w:w="2145"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组织面向社会公众、市场主体的公平竞争审查宣传（5分）</w:t>
            </w:r>
          </w:p>
        </w:tc>
        <w:tc>
          <w:tcPr>
            <w:tcW w:w="4488"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根据面向社会公众、企业主体介绍公平竞争审查制度情况</w:t>
            </w:r>
            <w:r>
              <w:rPr>
                <w:rFonts w:hint="eastAsia" w:ascii="仿宋_GB2312" w:hAnsi="仿宋_GB2312" w:eastAsia="仿宋_GB2312" w:cs="仿宋_GB2312"/>
                <w:b w:val="0"/>
                <w:bCs/>
                <w:color w:val="auto"/>
                <w:spacing w:val="0"/>
                <w:position w:val="0"/>
                <w:sz w:val="24"/>
                <w:szCs w:val="24"/>
                <w:lang w:val="en-US" w:eastAsia="zh-CN"/>
              </w:rPr>
              <w:t>、有组织针对性的宣传（如</w:t>
            </w:r>
            <w:r>
              <w:rPr>
                <w:rFonts w:hint="default" w:ascii="仿宋_GB2312" w:hAnsi="仿宋_GB2312" w:eastAsia="仿宋_GB2312" w:cs="仿宋_GB2312"/>
                <w:b w:val="0"/>
                <w:bCs/>
                <w:color w:val="auto"/>
                <w:spacing w:val="0"/>
                <w:position w:val="0"/>
                <w:sz w:val="24"/>
                <w:szCs w:val="24"/>
                <w:lang w:val="en-US" w:eastAsia="zh-CN"/>
              </w:rPr>
              <w:t>宣传资料、活动照片</w:t>
            </w:r>
            <w:r>
              <w:rPr>
                <w:rFonts w:hint="eastAsia" w:ascii="仿宋_GB2312" w:hAnsi="仿宋_GB2312" w:eastAsia="仿宋_GB2312" w:cs="仿宋_GB2312"/>
                <w:b w:val="0"/>
                <w:bCs/>
                <w:color w:val="auto"/>
                <w:spacing w:val="0"/>
                <w:position w:val="0"/>
                <w:sz w:val="24"/>
                <w:szCs w:val="24"/>
                <w:lang w:val="en-US" w:eastAsia="zh-CN"/>
              </w:rPr>
              <w:t>、公众号等</w:t>
            </w:r>
            <w:r>
              <w:rPr>
                <w:rFonts w:hint="default" w:ascii="仿宋_GB2312" w:hAnsi="仿宋_GB2312" w:eastAsia="仿宋_GB2312" w:cs="仿宋_GB2312"/>
                <w:b w:val="0"/>
                <w:bCs/>
                <w:color w:val="auto"/>
                <w:spacing w:val="0"/>
                <w:position w:val="0"/>
                <w:sz w:val="24"/>
                <w:szCs w:val="24"/>
                <w:lang w:val="en-US" w:eastAsia="zh-CN"/>
              </w:rPr>
              <w:t>判定</w:t>
            </w:r>
            <w:r>
              <w:rPr>
                <w:rFonts w:hint="eastAsia" w:ascii="仿宋_GB2312" w:hAnsi="仿宋_GB2312" w:eastAsia="仿宋_GB2312" w:cs="仿宋_GB2312"/>
                <w:b w:val="0"/>
                <w:bCs/>
                <w:color w:val="auto"/>
                <w:spacing w:val="0"/>
                <w:position w:val="0"/>
                <w:sz w:val="24"/>
                <w:szCs w:val="24"/>
                <w:lang w:val="en-US" w:eastAsia="zh-CN"/>
              </w:rPr>
              <w:t>）。</w:t>
            </w:r>
          </w:p>
        </w:tc>
        <w:tc>
          <w:tcPr>
            <w:tcW w:w="539"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5" w:hRule="atLeast"/>
        </w:trPr>
        <w:tc>
          <w:tcPr>
            <w:tcW w:w="852" w:type="dxa"/>
            <w:vMerge w:val="continue"/>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924" w:type="dxa"/>
            <w:vMerge w:val="continue"/>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2145"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内部举行公平竞争审查的学习培训（5分）</w:t>
            </w:r>
          </w:p>
        </w:tc>
        <w:tc>
          <w:tcPr>
            <w:tcW w:w="4488"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根据开展公平竞争审查专题培训情况进行判断，有组织针对性的学习和培训</w:t>
            </w:r>
            <w:r>
              <w:rPr>
                <w:rFonts w:hint="eastAsia" w:ascii="仿宋_GB2312" w:hAnsi="仿宋_GB2312" w:eastAsia="仿宋_GB2312" w:cs="仿宋_GB2312"/>
                <w:b w:val="0"/>
                <w:bCs/>
                <w:color w:val="auto"/>
                <w:spacing w:val="0"/>
                <w:position w:val="0"/>
                <w:sz w:val="24"/>
                <w:szCs w:val="24"/>
                <w:lang w:val="en-US" w:eastAsia="zh-CN"/>
              </w:rPr>
              <w:t>（如</w:t>
            </w:r>
            <w:r>
              <w:rPr>
                <w:rFonts w:hint="default" w:ascii="仿宋_GB2312" w:hAnsi="仿宋_GB2312" w:eastAsia="仿宋_GB2312" w:cs="仿宋_GB2312"/>
                <w:b w:val="0"/>
                <w:bCs/>
                <w:color w:val="auto"/>
                <w:spacing w:val="0"/>
                <w:position w:val="0"/>
                <w:sz w:val="24"/>
                <w:szCs w:val="24"/>
                <w:lang w:val="en-US" w:eastAsia="zh-CN"/>
              </w:rPr>
              <w:t>培训照片、签到表、会议记录等资料</w:t>
            </w:r>
            <w:r>
              <w:rPr>
                <w:rFonts w:hint="eastAsia" w:ascii="仿宋_GB2312" w:hAnsi="仿宋_GB2312" w:eastAsia="仿宋_GB2312" w:cs="仿宋_GB2312"/>
                <w:b w:val="0"/>
                <w:bCs/>
                <w:color w:val="auto"/>
                <w:spacing w:val="0"/>
                <w:position w:val="0"/>
                <w:sz w:val="24"/>
                <w:szCs w:val="24"/>
                <w:lang w:val="en-US" w:eastAsia="zh-CN"/>
              </w:rPr>
              <w:t>）。</w:t>
            </w:r>
          </w:p>
        </w:tc>
        <w:tc>
          <w:tcPr>
            <w:tcW w:w="539"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 w:hRule="atLeast"/>
        </w:trPr>
        <w:tc>
          <w:tcPr>
            <w:tcW w:w="852" w:type="dxa"/>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政策措施审查清理情况（4</w:t>
            </w:r>
            <w:r>
              <w:rPr>
                <w:rFonts w:hint="eastAsia" w:ascii="仿宋_GB2312" w:hAnsi="仿宋_GB2312" w:eastAsia="仿宋_GB2312" w:cs="仿宋_GB2312"/>
                <w:b w:val="0"/>
                <w:bCs/>
                <w:color w:val="auto"/>
                <w:spacing w:val="0"/>
                <w:position w:val="0"/>
                <w:sz w:val="24"/>
                <w:szCs w:val="24"/>
                <w:lang w:val="en-US" w:eastAsia="zh-CN"/>
              </w:rPr>
              <w:t>0</w:t>
            </w:r>
            <w:r>
              <w:rPr>
                <w:rFonts w:hint="default" w:ascii="仿宋_GB2312" w:hAnsi="仿宋_GB2312" w:eastAsia="仿宋_GB2312" w:cs="仿宋_GB2312"/>
                <w:b w:val="0"/>
                <w:bCs/>
                <w:color w:val="auto"/>
                <w:spacing w:val="0"/>
                <w:position w:val="0"/>
                <w:sz w:val="24"/>
                <w:szCs w:val="24"/>
                <w:lang w:val="en-US" w:eastAsia="zh-CN"/>
              </w:rPr>
              <w:t>分）</w:t>
            </w:r>
          </w:p>
        </w:tc>
        <w:tc>
          <w:tcPr>
            <w:tcW w:w="924" w:type="dxa"/>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增量措施审查情况</w:t>
            </w:r>
          </w:p>
        </w:tc>
        <w:tc>
          <w:tcPr>
            <w:tcW w:w="2145"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提供政策措施数量（10分）</w:t>
            </w:r>
          </w:p>
        </w:tc>
        <w:tc>
          <w:tcPr>
            <w:tcW w:w="4488"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各县区提供的增量政策措施数量不能少于15份，市直单位不能少于5份。</w:t>
            </w:r>
          </w:p>
        </w:tc>
        <w:tc>
          <w:tcPr>
            <w:tcW w:w="539"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10</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 w:hRule="atLeast"/>
        </w:trPr>
        <w:tc>
          <w:tcPr>
            <w:tcW w:w="852" w:type="dxa"/>
            <w:vMerge w:val="continue"/>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924" w:type="dxa"/>
            <w:vMerge w:val="continue"/>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2145"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政策措施审查是否全面（10分）</w:t>
            </w:r>
          </w:p>
        </w:tc>
        <w:tc>
          <w:tcPr>
            <w:tcW w:w="4488"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以被评估单位</w:t>
            </w:r>
            <w:r>
              <w:rPr>
                <w:rFonts w:hint="eastAsia" w:ascii="仿宋_GB2312" w:hAnsi="仿宋_GB2312" w:eastAsia="仿宋_GB2312" w:cs="仿宋_GB2312"/>
                <w:b w:val="0"/>
                <w:bCs/>
                <w:color w:val="auto"/>
                <w:spacing w:val="0"/>
                <w:position w:val="0"/>
                <w:sz w:val="24"/>
                <w:szCs w:val="24"/>
                <w:lang w:val="en-US" w:eastAsia="zh-CN"/>
              </w:rPr>
              <w:t>审查</w:t>
            </w:r>
            <w:r>
              <w:rPr>
                <w:rFonts w:hint="default" w:ascii="仿宋_GB2312" w:hAnsi="仿宋_GB2312" w:eastAsia="仿宋_GB2312" w:cs="仿宋_GB2312"/>
                <w:b w:val="0"/>
                <w:bCs/>
                <w:color w:val="auto"/>
                <w:spacing w:val="0"/>
                <w:position w:val="0"/>
                <w:sz w:val="24"/>
                <w:szCs w:val="24"/>
                <w:lang w:val="en-US" w:eastAsia="zh-CN"/>
              </w:rPr>
              <w:t>记录为准，未形成书面审查结论出台政策措施的，视为未进行公平竞争审查</w:t>
            </w:r>
            <w:r>
              <w:rPr>
                <w:rFonts w:hint="eastAsia" w:ascii="仿宋_GB2312" w:hAnsi="仿宋_GB2312" w:eastAsia="仿宋_GB2312" w:cs="仿宋_GB2312"/>
                <w:b w:val="0"/>
                <w:bCs/>
                <w:color w:val="auto"/>
                <w:spacing w:val="0"/>
                <w:position w:val="0"/>
                <w:sz w:val="24"/>
                <w:szCs w:val="24"/>
                <w:lang w:val="en-US" w:eastAsia="zh-CN"/>
              </w:rPr>
              <w:t>。</w:t>
            </w:r>
          </w:p>
        </w:tc>
        <w:tc>
          <w:tcPr>
            <w:tcW w:w="539"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 w:hRule="atLeast"/>
        </w:trPr>
        <w:tc>
          <w:tcPr>
            <w:tcW w:w="852" w:type="dxa"/>
            <w:vMerge w:val="continue"/>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924" w:type="dxa"/>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存量措施清理情况</w:t>
            </w:r>
          </w:p>
        </w:tc>
        <w:tc>
          <w:tcPr>
            <w:tcW w:w="2145"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政策措施审查是否全面（</w:t>
            </w:r>
            <w:r>
              <w:rPr>
                <w:rFonts w:hint="eastAsia" w:ascii="仿宋_GB2312" w:hAnsi="仿宋_GB2312" w:eastAsia="仿宋_GB2312" w:cs="仿宋_GB2312"/>
                <w:b w:val="0"/>
                <w:bCs/>
                <w:color w:val="auto"/>
                <w:spacing w:val="0"/>
                <w:position w:val="0"/>
                <w:sz w:val="24"/>
                <w:szCs w:val="24"/>
                <w:lang w:val="en-US" w:eastAsia="zh-CN"/>
              </w:rPr>
              <w:t>10</w:t>
            </w:r>
            <w:r>
              <w:rPr>
                <w:rFonts w:hint="default" w:ascii="仿宋_GB2312" w:hAnsi="仿宋_GB2312" w:eastAsia="仿宋_GB2312" w:cs="仿宋_GB2312"/>
                <w:b w:val="0"/>
                <w:bCs/>
                <w:color w:val="auto"/>
                <w:spacing w:val="0"/>
                <w:position w:val="0"/>
                <w:sz w:val="24"/>
                <w:szCs w:val="24"/>
                <w:lang w:val="en-US" w:eastAsia="zh-CN"/>
              </w:rPr>
              <w:t>分）</w:t>
            </w:r>
          </w:p>
        </w:tc>
        <w:tc>
          <w:tcPr>
            <w:tcW w:w="4488"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以被评估单位清理记录为准，未形成书面审查结论的，视为未进行公平竞争审查</w:t>
            </w:r>
            <w:r>
              <w:rPr>
                <w:rFonts w:hint="eastAsia" w:ascii="仿宋_GB2312" w:hAnsi="仿宋_GB2312" w:eastAsia="仿宋_GB2312" w:cs="仿宋_GB2312"/>
                <w:b w:val="0"/>
                <w:bCs/>
                <w:color w:val="auto"/>
                <w:spacing w:val="0"/>
                <w:position w:val="0"/>
                <w:sz w:val="24"/>
                <w:szCs w:val="24"/>
                <w:lang w:val="en-US" w:eastAsia="zh-CN"/>
              </w:rPr>
              <w:t>。</w:t>
            </w:r>
          </w:p>
        </w:tc>
        <w:tc>
          <w:tcPr>
            <w:tcW w:w="539"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 w:hRule="atLeast"/>
        </w:trPr>
        <w:tc>
          <w:tcPr>
            <w:tcW w:w="852" w:type="dxa"/>
            <w:vMerge w:val="continue"/>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924" w:type="dxa"/>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总体</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情况</w:t>
            </w:r>
          </w:p>
        </w:tc>
        <w:tc>
          <w:tcPr>
            <w:tcW w:w="2145"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政策措施审查是否全面、规范（5分）</w:t>
            </w:r>
          </w:p>
        </w:tc>
        <w:tc>
          <w:tcPr>
            <w:tcW w:w="4488"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根据是否有公平竞争审查工作归档记录，以及审查表、书面审查结论是否与审查文件数量一致判断</w:t>
            </w:r>
          </w:p>
        </w:tc>
        <w:tc>
          <w:tcPr>
            <w:tcW w:w="539"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 w:hRule="atLeast"/>
        </w:trPr>
        <w:tc>
          <w:tcPr>
            <w:tcW w:w="852" w:type="dxa"/>
            <w:vMerge w:val="continue"/>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924" w:type="dxa"/>
            <w:vMerge w:val="continue"/>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2145"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是否形成书面审查报告（</w:t>
            </w:r>
            <w:r>
              <w:rPr>
                <w:rFonts w:hint="eastAsia" w:ascii="仿宋_GB2312" w:hAnsi="仿宋_GB2312" w:eastAsia="仿宋_GB2312" w:cs="仿宋_GB2312"/>
                <w:b w:val="0"/>
                <w:bCs/>
                <w:color w:val="auto"/>
                <w:spacing w:val="0"/>
                <w:position w:val="0"/>
                <w:sz w:val="24"/>
                <w:szCs w:val="24"/>
                <w:lang w:val="en-US" w:eastAsia="zh-CN"/>
              </w:rPr>
              <w:t>5</w:t>
            </w:r>
            <w:r>
              <w:rPr>
                <w:rFonts w:hint="default" w:ascii="仿宋_GB2312" w:hAnsi="仿宋_GB2312" w:eastAsia="仿宋_GB2312" w:cs="仿宋_GB2312"/>
                <w:b w:val="0"/>
                <w:bCs/>
                <w:color w:val="auto"/>
                <w:spacing w:val="0"/>
                <w:position w:val="0"/>
                <w:sz w:val="24"/>
                <w:szCs w:val="24"/>
                <w:lang w:val="en-US" w:eastAsia="zh-CN"/>
              </w:rPr>
              <w:t>分）</w:t>
            </w:r>
          </w:p>
        </w:tc>
        <w:tc>
          <w:tcPr>
            <w:tcW w:w="4488"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根据公平竞争审查清理工作是否形成本单位书面审查报告或年度总结报告</w:t>
            </w:r>
            <w:r>
              <w:rPr>
                <w:rFonts w:hint="eastAsia" w:ascii="仿宋_GB2312" w:hAnsi="仿宋_GB2312" w:eastAsia="仿宋_GB2312" w:cs="仿宋_GB2312"/>
                <w:b w:val="0"/>
                <w:bCs/>
                <w:color w:val="auto"/>
                <w:spacing w:val="0"/>
                <w:position w:val="0"/>
                <w:sz w:val="24"/>
                <w:szCs w:val="24"/>
                <w:lang w:val="en-US" w:eastAsia="zh-CN"/>
              </w:rPr>
              <w:t>。</w:t>
            </w:r>
          </w:p>
        </w:tc>
        <w:tc>
          <w:tcPr>
            <w:tcW w:w="539"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0" w:hRule="atLeast"/>
        </w:trPr>
        <w:tc>
          <w:tcPr>
            <w:tcW w:w="852" w:type="dxa"/>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公平竞争审查工作落实成效（15分）</w:t>
            </w:r>
          </w:p>
        </w:tc>
        <w:tc>
          <w:tcPr>
            <w:tcW w:w="924" w:type="dxa"/>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社会</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反馈</w:t>
            </w:r>
          </w:p>
        </w:tc>
        <w:tc>
          <w:tcPr>
            <w:tcW w:w="2145"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社会公众及市场主体对已审查通过的政策措施无负面反馈（5分）</w:t>
            </w:r>
          </w:p>
        </w:tc>
        <w:tc>
          <w:tcPr>
            <w:tcW w:w="4488"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无负面反馈得满分。</w:t>
            </w:r>
          </w:p>
        </w:tc>
        <w:tc>
          <w:tcPr>
            <w:tcW w:w="539"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5" w:hRule="atLeast"/>
        </w:trPr>
        <w:tc>
          <w:tcPr>
            <w:tcW w:w="852" w:type="dxa"/>
            <w:vMerge w:val="continue"/>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924" w:type="dxa"/>
            <w:vMerge w:val="restart"/>
            <w:tcBorders>
              <w:tl2br w:val="nil"/>
              <w:tr2bl w:val="nil"/>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整改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情况</w:t>
            </w:r>
          </w:p>
        </w:tc>
        <w:tc>
          <w:tcPr>
            <w:tcW w:w="2145"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对妨碍公平竞争的政策措施是否进行整改（5分）</w:t>
            </w:r>
          </w:p>
        </w:tc>
        <w:tc>
          <w:tcPr>
            <w:tcW w:w="4488"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对妨碍公平竞争的政策措施</w:t>
            </w:r>
            <w:r>
              <w:rPr>
                <w:rFonts w:hint="eastAsia" w:ascii="仿宋_GB2312" w:hAnsi="仿宋_GB2312" w:eastAsia="仿宋_GB2312" w:cs="仿宋_GB2312"/>
                <w:b w:val="0"/>
                <w:bCs/>
                <w:color w:val="auto"/>
                <w:spacing w:val="0"/>
                <w:position w:val="0"/>
                <w:sz w:val="24"/>
                <w:szCs w:val="24"/>
                <w:lang w:val="en-US" w:eastAsia="zh-CN"/>
              </w:rPr>
              <w:t>已</w:t>
            </w:r>
            <w:r>
              <w:rPr>
                <w:rFonts w:hint="default" w:ascii="仿宋_GB2312" w:hAnsi="仿宋_GB2312" w:eastAsia="仿宋_GB2312" w:cs="仿宋_GB2312"/>
                <w:b w:val="0"/>
                <w:bCs/>
                <w:color w:val="auto"/>
                <w:spacing w:val="0"/>
                <w:position w:val="0"/>
                <w:sz w:val="24"/>
                <w:szCs w:val="24"/>
                <w:lang w:val="en-US" w:eastAsia="zh-CN"/>
              </w:rPr>
              <w:t>全部进行整改、废止的得满分。</w:t>
            </w:r>
          </w:p>
        </w:tc>
        <w:tc>
          <w:tcPr>
            <w:tcW w:w="539"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5" w:hRule="atLeast"/>
        </w:trPr>
        <w:tc>
          <w:tcPr>
            <w:tcW w:w="852" w:type="dxa"/>
            <w:vMerge w:val="continue"/>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924" w:type="dxa"/>
            <w:vMerge w:val="continue"/>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c>
          <w:tcPr>
            <w:tcW w:w="2145"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对妨碍公平竞争的政策措施是否及时整改（5分）</w:t>
            </w:r>
          </w:p>
        </w:tc>
        <w:tc>
          <w:tcPr>
            <w:tcW w:w="4488"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以评估开始日期为基准，若审查工作开始时已经完成整改或无需整改得满分。</w:t>
            </w:r>
          </w:p>
        </w:tc>
        <w:tc>
          <w:tcPr>
            <w:tcW w:w="539" w:type="dxa"/>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5" w:hRule="atLeast"/>
        </w:trPr>
        <w:tc>
          <w:tcPr>
            <w:tcW w:w="1776" w:type="dxa"/>
            <w:gridSpan w:val="2"/>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default" w:ascii="仿宋_GB2312" w:hAnsi="仿宋_GB2312" w:eastAsia="仿宋_GB2312" w:cs="仿宋_GB2312"/>
                <w:b w:val="0"/>
                <w:bCs/>
                <w:color w:val="auto"/>
                <w:spacing w:val="0"/>
                <w:position w:val="0"/>
                <w:sz w:val="24"/>
                <w:szCs w:val="24"/>
                <w:lang w:val="en-US" w:eastAsia="zh-CN"/>
              </w:rPr>
              <w:t>最终得分</w:t>
            </w:r>
          </w:p>
        </w:tc>
        <w:tc>
          <w:tcPr>
            <w:tcW w:w="7172" w:type="dxa"/>
            <w:gridSpan w:val="3"/>
            <w:tcBorders>
              <w:tl2br w:val="nil"/>
              <w:tr2bl w:val="nil"/>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100</w:t>
            </w:r>
          </w:p>
        </w:tc>
      </w:tr>
    </w:tbl>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right="0" w:firstLine="640" w:firstLineChars="200"/>
        <w:jc w:val="both"/>
        <w:outlineLvl w:val="1"/>
        <w:rPr>
          <w:rFonts w:hint="eastAsia" w:ascii="仿宋_GB2312" w:hAnsi="仿宋_GB2312" w:eastAsia="仿宋_GB2312" w:cs="仿宋_GB2312"/>
          <w:b w:val="0"/>
          <w:bCs/>
          <w:color w:val="auto"/>
          <w:spacing w:val="0"/>
          <w:kern w:val="2"/>
          <w:sz w:val="32"/>
          <w:szCs w:val="32"/>
        </w:rPr>
      </w:pPr>
      <w:bookmarkStart w:id="8" w:name="_Toc26809"/>
      <w:r>
        <w:rPr>
          <w:rFonts w:hint="eastAsia" w:ascii="仿宋_GB2312" w:hAnsi="仿宋_GB2312" w:eastAsia="仿宋_GB2312" w:cs="仿宋_GB2312"/>
          <w:b w:val="0"/>
          <w:bCs/>
          <w:color w:val="auto"/>
          <w:spacing w:val="0"/>
          <w:kern w:val="0"/>
          <w:sz w:val="32"/>
          <w:szCs w:val="32"/>
          <w:lang w:val="en-US" w:eastAsia="zh-CN" w:bidi="ar"/>
        </w:rPr>
        <w:t>（二）政策措施评估得分</w:t>
      </w:r>
      <w:bookmarkEnd w:id="8"/>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right="0" w:firstLine="640" w:firstLineChars="200"/>
        <w:jc w:val="both"/>
        <w:rPr>
          <w:rFonts w:hint="eastAsia" w:ascii="仿宋_GB2312" w:hAnsi="仿宋_GB2312" w:eastAsia="仿宋_GB2312" w:cs="仿宋_GB2312"/>
          <w:b w:val="0"/>
          <w:bCs/>
          <w:color w:val="auto"/>
          <w:spacing w:val="0"/>
          <w:kern w:val="0"/>
          <w:sz w:val="32"/>
          <w:szCs w:val="32"/>
          <w:lang w:val="en-US" w:eastAsia="zh-CN" w:bidi="ar"/>
        </w:rPr>
      </w:pPr>
      <w:r>
        <w:rPr>
          <w:rFonts w:hint="eastAsia" w:ascii="仿宋_GB2312" w:hAnsi="仿宋_GB2312" w:eastAsia="仿宋_GB2312" w:cs="仿宋_GB2312"/>
          <w:b w:val="0"/>
          <w:bCs/>
          <w:color w:val="auto"/>
          <w:spacing w:val="0"/>
          <w:kern w:val="0"/>
          <w:sz w:val="32"/>
          <w:szCs w:val="32"/>
          <w:lang w:val="en-US" w:eastAsia="zh-CN" w:bidi="ar"/>
        </w:rPr>
        <w:t>按照《张掖市公平竞争审查工作第三方评估执行手册》中评估指标量化打分，民乐县在政策措施评估方面具体得分如表2所示：</w:t>
      </w:r>
    </w:p>
    <w:p>
      <w:pPr>
        <w:keepNext w:val="0"/>
        <w:keepLines w:val="0"/>
        <w:widowControl w:val="0"/>
        <w:suppressLineNumbers w:val="0"/>
        <w:autoSpaceDE w:val="0"/>
        <w:autoSpaceDN/>
        <w:spacing w:before="0" w:beforeAutospacing="0" w:after="0" w:afterAutospacing="0" w:line="560" w:lineRule="exact"/>
        <w:ind w:left="0" w:leftChars="0" w:right="0" w:rightChars="0" w:firstLine="0" w:firstLineChars="0"/>
        <w:jc w:val="center"/>
        <w:rPr>
          <w:rFonts w:hint="eastAsia" w:ascii="黑体" w:hAnsi="黑体" w:eastAsia="黑体" w:cs="黑体"/>
          <w:b w:val="0"/>
          <w:bCs/>
          <w:color w:val="auto"/>
          <w:spacing w:val="0"/>
          <w:kern w:val="2"/>
          <w:position w:val="0"/>
          <w:sz w:val="24"/>
          <w:szCs w:val="30"/>
          <w:lang w:val="en-US" w:eastAsia="zh-CN" w:bidi="ar"/>
        </w:rPr>
      </w:pPr>
      <w:r>
        <w:rPr>
          <w:rFonts w:hint="eastAsia" w:ascii="黑体" w:hAnsi="黑体" w:eastAsia="黑体" w:cs="黑体"/>
          <w:b w:val="0"/>
          <w:bCs/>
          <w:color w:val="auto"/>
          <w:spacing w:val="0"/>
          <w:kern w:val="2"/>
          <w:position w:val="0"/>
          <w:sz w:val="24"/>
          <w:szCs w:val="30"/>
          <w:lang w:val="en-US" w:eastAsia="zh-CN" w:bidi="ar"/>
        </w:rPr>
        <w:t>表2政策措施评估结果统计表</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377"/>
        <w:gridCol w:w="3072"/>
        <w:gridCol w:w="2796"/>
        <w:gridCol w:w="960"/>
        <w:gridCol w:w="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77"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项目</w:t>
            </w:r>
          </w:p>
        </w:tc>
        <w:tc>
          <w:tcPr>
            <w:tcW w:w="3072"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需要进行公平竞争审查的政策措施数量（份）</w:t>
            </w:r>
          </w:p>
        </w:tc>
        <w:tc>
          <w:tcPr>
            <w:tcW w:w="279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有违反公平竞争的政策措施数量（份）</w:t>
            </w:r>
          </w:p>
        </w:tc>
        <w:tc>
          <w:tcPr>
            <w:tcW w:w="96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差错率（%）</w:t>
            </w:r>
          </w:p>
        </w:tc>
        <w:tc>
          <w:tcPr>
            <w:tcW w:w="74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377"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增量措施</w:t>
            </w:r>
          </w:p>
        </w:tc>
        <w:tc>
          <w:tcPr>
            <w:tcW w:w="3072"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13</w:t>
            </w:r>
          </w:p>
        </w:tc>
        <w:tc>
          <w:tcPr>
            <w:tcW w:w="2796"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w:t>
            </w:r>
          </w:p>
        </w:tc>
        <w:tc>
          <w:tcPr>
            <w:tcW w:w="96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38.46%</w:t>
            </w:r>
          </w:p>
        </w:tc>
        <w:tc>
          <w:tcPr>
            <w:tcW w:w="74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80</w:t>
            </w:r>
          </w:p>
        </w:tc>
      </w:tr>
    </w:tbl>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right="0" w:firstLine="640" w:firstLineChars="200"/>
        <w:jc w:val="both"/>
        <w:rPr>
          <w:rFonts w:hint="eastAsia" w:ascii="仿宋_GB2312" w:hAnsi="仿宋_GB2312" w:eastAsia="仿宋_GB2312" w:cs="仿宋_GB2312"/>
          <w:b w:val="0"/>
          <w:bCs/>
          <w:color w:val="auto"/>
          <w:spacing w:val="0"/>
          <w:kern w:val="2"/>
          <w:sz w:val="32"/>
          <w:szCs w:val="32"/>
        </w:rPr>
      </w:pPr>
      <w:r>
        <w:rPr>
          <w:rFonts w:hint="eastAsia" w:ascii="仿宋_GB2312" w:hAnsi="仿宋_GB2312" w:eastAsia="仿宋_GB2312" w:cs="仿宋_GB2312"/>
          <w:b w:val="0"/>
          <w:bCs/>
          <w:color w:val="auto"/>
          <w:spacing w:val="0"/>
          <w:kern w:val="2"/>
          <w:sz w:val="32"/>
          <w:szCs w:val="32"/>
          <w:lang w:val="en-US" w:eastAsia="zh-CN" w:bidi="ar"/>
        </w:rPr>
        <w:t>评分标准及计算方案见表3：</w:t>
      </w:r>
    </w:p>
    <w:p>
      <w:pPr>
        <w:keepNext w:val="0"/>
        <w:keepLines w:val="0"/>
        <w:widowControl w:val="0"/>
        <w:suppressLineNumbers w:val="0"/>
        <w:autoSpaceDE w:val="0"/>
        <w:autoSpaceDN/>
        <w:spacing w:before="0" w:beforeAutospacing="0" w:after="0" w:afterAutospacing="0" w:line="560" w:lineRule="exact"/>
        <w:ind w:right="0" w:rightChars="0"/>
        <w:jc w:val="center"/>
        <w:rPr>
          <w:rFonts w:hint="eastAsia" w:ascii="仿宋" w:hAnsi="仿宋" w:eastAsia="仿宋" w:cs="仿宋"/>
          <w:b w:val="0"/>
          <w:bCs/>
          <w:color w:val="auto"/>
          <w:spacing w:val="0"/>
          <w:kern w:val="2"/>
          <w:position w:val="0"/>
          <w:sz w:val="32"/>
          <w:szCs w:val="32"/>
          <w:lang w:val="en-US" w:eastAsia="zh-CN" w:bidi="ar"/>
        </w:rPr>
      </w:pPr>
      <w:r>
        <w:rPr>
          <w:rFonts w:hint="eastAsia" w:ascii="黑体" w:hAnsi="黑体" w:eastAsia="黑体" w:cs="黑体"/>
          <w:b w:val="0"/>
          <w:bCs/>
          <w:color w:val="auto"/>
          <w:spacing w:val="0"/>
          <w:kern w:val="2"/>
          <w:position w:val="0"/>
          <w:sz w:val="24"/>
          <w:szCs w:val="30"/>
          <w:lang w:val="en-US" w:eastAsia="zh-CN" w:bidi="ar"/>
        </w:rPr>
        <w:t>表3政策措施评估标准及计算方法</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430"/>
        <w:gridCol w:w="695"/>
        <w:gridCol w:w="1562"/>
        <w:gridCol w:w="1485"/>
        <w:gridCol w:w="1639"/>
        <w:gridCol w:w="1024"/>
        <w:gridCol w:w="8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评估内容</w:t>
            </w:r>
          </w:p>
        </w:tc>
        <w:tc>
          <w:tcPr>
            <w:tcW w:w="6405"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评估标准</w:t>
            </w:r>
          </w:p>
        </w:tc>
        <w:tc>
          <w:tcPr>
            <w:tcW w:w="865"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对应权重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143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政策措施差错率</w:t>
            </w:r>
          </w:p>
        </w:tc>
        <w:tc>
          <w:tcPr>
            <w:tcW w:w="6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=0%</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（0%，10%）</w:t>
            </w:r>
          </w:p>
        </w:tc>
        <w:tc>
          <w:tcPr>
            <w:tcW w:w="148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（10%，20%）</w:t>
            </w:r>
          </w:p>
        </w:tc>
        <w:tc>
          <w:tcPr>
            <w:tcW w:w="163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（20%，40%）</w:t>
            </w:r>
          </w:p>
        </w:tc>
        <w:tc>
          <w:tcPr>
            <w:tcW w:w="102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&gt;40%</w:t>
            </w:r>
          </w:p>
        </w:tc>
        <w:tc>
          <w:tcPr>
            <w:tcW w:w="86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对应得分</w:t>
            </w:r>
          </w:p>
        </w:tc>
        <w:tc>
          <w:tcPr>
            <w:tcW w:w="69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100</w:t>
            </w:r>
          </w:p>
        </w:tc>
        <w:tc>
          <w:tcPr>
            <w:tcW w:w="1562"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90</w:t>
            </w:r>
          </w:p>
        </w:tc>
        <w:tc>
          <w:tcPr>
            <w:tcW w:w="148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80</w:t>
            </w:r>
          </w:p>
        </w:tc>
        <w:tc>
          <w:tcPr>
            <w:tcW w:w="1639"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70</w:t>
            </w:r>
          </w:p>
        </w:tc>
        <w:tc>
          <w:tcPr>
            <w:tcW w:w="1024"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60</w:t>
            </w:r>
          </w:p>
        </w:tc>
        <w:tc>
          <w:tcPr>
            <w:tcW w:w="865"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bl>
    <w:p>
      <w:pPr>
        <w:keepNext w:val="0"/>
        <w:keepLines w:val="0"/>
        <w:pageBreakBefore w:val="0"/>
        <w:widowControl w:val="0"/>
        <w:numPr>
          <w:ilvl w:val="0"/>
          <w:numId w:val="0"/>
        </w:numPr>
        <w:suppressLineNumbers w:val="0"/>
        <w:kinsoku/>
        <w:wordWrap/>
        <w:overflowPunct/>
        <w:topLinePunct/>
        <w:autoSpaceDE/>
        <w:autoSpaceDN/>
        <w:bidi w:val="0"/>
        <w:spacing w:beforeAutospacing="0" w:afterAutospacing="0" w:line="540" w:lineRule="exact"/>
        <w:ind w:leftChars="200" w:right="0" w:rightChars="0" w:firstLine="320" w:firstLineChars="100"/>
        <w:jc w:val="both"/>
        <w:outlineLvl w:val="1"/>
        <w:rPr>
          <w:rFonts w:hint="eastAsia" w:ascii="仿宋_GB2312" w:hAnsi="仿宋_GB2312" w:eastAsia="仿宋_GB2312" w:cs="仿宋_GB2312"/>
          <w:b w:val="0"/>
          <w:bCs/>
          <w:color w:val="auto"/>
          <w:spacing w:val="0"/>
          <w:kern w:val="0"/>
          <w:sz w:val="32"/>
          <w:szCs w:val="32"/>
        </w:rPr>
      </w:pPr>
      <w:bookmarkStart w:id="9" w:name="_Toc12987"/>
      <w:r>
        <w:rPr>
          <w:rFonts w:hint="eastAsia" w:ascii="仿宋_GB2312" w:hAnsi="仿宋_GB2312" w:eastAsia="仿宋_GB2312" w:cs="仿宋_GB2312"/>
          <w:b w:val="0"/>
          <w:bCs/>
          <w:color w:val="auto"/>
          <w:spacing w:val="0"/>
          <w:kern w:val="0"/>
          <w:sz w:val="32"/>
          <w:szCs w:val="32"/>
          <w:lang w:val="en-US" w:eastAsia="zh-CN" w:bidi="ar"/>
        </w:rPr>
        <w:t>（三）公平竞争审查第三方评估工作配合情况得分</w:t>
      </w:r>
      <w:bookmarkEnd w:id="9"/>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right="0" w:firstLine="640" w:firstLineChars="200"/>
        <w:jc w:val="both"/>
        <w:rPr>
          <w:rFonts w:hint="eastAsia" w:ascii="仿宋_GB2312" w:hAnsi="仿宋_GB2312" w:eastAsia="仿宋_GB2312" w:cs="仿宋_GB2312"/>
          <w:b w:val="0"/>
          <w:bCs/>
          <w:color w:val="auto"/>
          <w:spacing w:val="0"/>
          <w:kern w:val="0"/>
          <w:sz w:val="32"/>
          <w:szCs w:val="32"/>
        </w:rPr>
      </w:pPr>
      <w:r>
        <w:rPr>
          <w:rFonts w:hint="eastAsia" w:ascii="仿宋_GB2312" w:hAnsi="仿宋_GB2312" w:eastAsia="仿宋_GB2312" w:cs="仿宋_GB2312"/>
          <w:b w:val="0"/>
          <w:bCs/>
          <w:color w:val="auto"/>
          <w:spacing w:val="0"/>
          <w:kern w:val="0"/>
          <w:sz w:val="32"/>
          <w:szCs w:val="32"/>
          <w:lang w:val="en-US" w:eastAsia="zh-CN" w:bidi="ar"/>
        </w:rPr>
        <w:t>民乐县在公平竞争审查工作第三方评估项目中积极配合，及时移交评估所需文件及佐证材料，沟通顺畅，确保了公平竞争审查第三方评估工作顺利开展，按照《张掖市公平竞争审查工作第三方评估执行手册》中评估指标量化打分，民乐县在工作配合情况中得100分。</w:t>
      </w:r>
    </w:p>
    <w:p>
      <w:pPr>
        <w:keepNext w:val="0"/>
        <w:keepLines w:val="0"/>
        <w:pageBreakBefore w:val="0"/>
        <w:widowControl w:val="0"/>
        <w:numPr>
          <w:ilvl w:val="0"/>
          <w:numId w:val="0"/>
        </w:numPr>
        <w:suppressLineNumbers w:val="0"/>
        <w:kinsoku/>
        <w:wordWrap/>
        <w:overflowPunct/>
        <w:topLinePunct/>
        <w:autoSpaceDE/>
        <w:autoSpaceDN/>
        <w:bidi w:val="0"/>
        <w:spacing w:beforeAutospacing="0" w:afterAutospacing="0" w:line="540" w:lineRule="exact"/>
        <w:ind w:leftChars="200" w:right="0" w:rightChars="0" w:firstLine="320" w:firstLineChars="100"/>
        <w:jc w:val="both"/>
        <w:outlineLvl w:val="1"/>
        <w:rPr>
          <w:rFonts w:hint="eastAsia" w:ascii="仿宋_GB2312" w:hAnsi="仿宋_GB2312" w:eastAsia="仿宋_GB2312" w:cs="仿宋_GB2312"/>
          <w:color w:val="auto"/>
          <w:spacing w:val="0"/>
          <w:kern w:val="0"/>
          <w:sz w:val="32"/>
          <w:szCs w:val="32"/>
        </w:rPr>
      </w:pPr>
      <w:bookmarkStart w:id="10" w:name="_Toc19098"/>
      <w:r>
        <w:rPr>
          <w:rFonts w:hint="eastAsia" w:ascii="仿宋_GB2312" w:hAnsi="仿宋_GB2312" w:eastAsia="仿宋_GB2312" w:cs="仿宋_GB2312"/>
          <w:b w:val="0"/>
          <w:bCs/>
          <w:color w:val="auto"/>
          <w:spacing w:val="0"/>
          <w:kern w:val="0"/>
          <w:sz w:val="32"/>
          <w:szCs w:val="32"/>
          <w:lang w:val="en-US" w:eastAsia="zh-CN" w:bidi="ar"/>
        </w:rPr>
        <w:t>（四）公平竞</w:t>
      </w:r>
      <w:r>
        <w:rPr>
          <w:rFonts w:hint="eastAsia" w:ascii="仿宋_GB2312" w:hAnsi="仿宋_GB2312" w:eastAsia="仿宋_GB2312" w:cs="仿宋_GB2312"/>
          <w:color w:val="auto"/>
          <w:spacing w:val="0"/>
          <w:kern w:val="0"/>
          <w:sz w:val="32"/>
          <w:szCs w:val="32"/>
          <w:lang w:val="en-US" w:eastAsia="zh-CN" w:bidi="ar"/>
        </w:rPr>
        <w:t>争审查第三方评估最终得分</w:t>
      </w:r>
      <w:bookmarkEnd w:id="10"/>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right="0" w:firstLine="640" w:firstLineChars="200"/>
        <w:jc w:val="both"/>
        <w:rPr>
          <w:rFonts w:hint="eastAsia" w:ascii="仿宋_GB2312" w:hAnsi="仿宋_GB2312" w:eastAsia="仿宋_GB2312" w:cs="仿宋_GB2312"/>
          <w:color w:val="auto"/>
          <w:spacing w:val="0"/>
          <w:kern w:val="0"/>
          <w:sz w:val="32"/>
          <w:szCs w:val="32"/>
        </w:rPr>
      </w:pPr>
      <w:r>
        <w:rPr>
          <w:rFonts w:hint="eastAsia" w:ascii="仿宋_GB2312" w:hAnsi="仿宋_GB2312" w:eastAsia="仿宋_GB2312" w:cs="仿宋_GB2312"/>
          <w:color w:val="auto"/>
          <w:spacing w:val="0"/>
          <w:kern w:val="0"/>
          <w:sz w:val="32"/>
          <w:szCs w:val="32"/>
          <w:lang w:val="en-US" w:eastAsia="zh-CN" w:bidi="ar"/>
        </w:rPr>
        <w:t>根据最终得分</w:t>
      </w:r>
      <w:r>
        <w:rPr>
          <w:rFonts w:hint="eastAsia" w:ascii="仿宋" w:hAnsi="仿宋" w:eastAsia="仿宋" w:cs="仿宋"/>
          <w:color w:val="auto"/>
          <w:spacing w:val="0"/>
          <w:kern w:val="0"/>
          <w:sz w:val="32"/>
          <w:szCs w:val="32"/>
          <w:lang w:val="en-US" w:eastAsia="zh-CN" w:bidi="ar"/>
        </w:rPr>
        <w:t>=</w:t>
      </w:r>
      <w:r>
        <w:rPr>
          <w:rFonts w:hint="eastAsia" w:ascii="仿宋_GB2312" w:hAnsi="仿宋_GB2312" w:eastAsia="仿宋_GB2312" w:cs="仿宋_GB2312"/>
          <w:color w:val="auto"/>
          <w:spacing w:val="0"/>
          <w:kern w:val="0"/>
          <w:sz w:val="32"/>
          <w:szCs w:val="32"/>
          <w:lang w:val="en-US" w:eastAsia="zh-CN" w:bidi="ar"/>
        </w:rPr>
        <w:t>工作部署落实情况评估得分×50%＋政策措施评估得分×40%＋工作配合情况得分×10%的计算公式，民乐县最终得分如表4所示：</w:t>
      </w:r>
    </w:p>
    <w:p>
      <w:pPr>
        <w:keepNext w:val="0"/>
        <w:keepLines w:val="0"/>
        <w:widowControl w:val="0"/>
        <w:suppressLineNumbers w:val="0"/>
        <w:autoSpaceDE w:val="0"/>
        <w:autoSpaceDN/>
        <w:spacing w:before="0" w:beforeAutospacing="0" w:after="0" w:afterAutospacing="0" w:line="560" w:lineRule="exact"/>
        <w:ind w:right="0" w:rightChars="0"/>
        <w:jc w:val="center"/>
        <w:rPr>
          <w:rFonts w:hint="eastAsia" w:ascii="黑体" w:hAnsi="黑体" w:eastAsia="黑体" w:cs="黑体"/>
          <w:b w:val="0"/>
          <w:bCs/>
          <w:color w:val="auto"/>
          <w:spacing w:val="0"/>
          <w:kern w:val="2"/>
          <w:position w:val="0"/>
          <w:sz w:val="24"/>
          <w:szCs w:val="30"/>
          <w:lang w:val="en-US" w:eastAsia="zh-CN" w:bidi="ar"/>
        </w:rPr>
      </w:pPr>
      <w:r>
        <w:rPr>
          <w:rFonts w:hint="eastAsia" w:ascii="黑体" w:hAnsi="黑体" w:eastAsia="黑体" w:cs="黑体"/>
          <w:b w:val="0"/>
          <w:bCs/>
          <w:color w:val="auto"/>
          <w:spacing w:val="0"/>
          <w:kern w:val="2"/>
          <w:position w:val="0"/>
          <w:sz w:val="24"/>
          <w:szCs w:val="30"/>
          <w:lang w:val="en-US" w:eastAsia="zh-CN" w:bidi="ar"/>
        </w:rPr>
        <w:t>表4民乐县第三方评估最终得分</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2838"/>
        <w:gridCol w:w="3050"/>
        <w:gridCol w:w="30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3" w:hRule="atLeast"/>
        </w:trPr>
        <w:tc>
          <w:tcPr>
            <w:tcW w:w="283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被评估单位</w:t>
            </w:r>
          </w:p>
        </w:tc>
        <w:tc>
          <w:tcPr>
            <w:tcW w:w="6101"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民乐县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36" w:hRule="atLeast"/>
        </w:trPr>
        <w:tc>
          <w:tcPr>
            <w:tcW w:w="283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公平竞争审查工作部署落实情况</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评估得分</w:t>
            </w:r>
          </w:p>
        </w:tc>
        <w:tc>
          <w:tcPr>
            <w:tcW w:w="305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公平竞争审查政策</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措施评估得分</w:t>
            </w:r>
          </w:p>
        </w:tc>
        <w:tc>
          <w:tcPr>
            <w:tcW w:w="3051"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公平竞争审查第三方评估工作配合</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情况得分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3" w:hRule="atLeast"/>
        </w:trPr>
        <w:tc>
          <w:tcPr>
            <w:tcW w:w="283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100</w:t>
            </w:r>
          </w:p>
        </w:tc>
        <w:tc>
          <w:tcPr>
            <w:tcW w:w="3050"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80</w:t>
            </w:r>
          </w:p>
        </w:tc>
        <w:tc>
          <w:tcPr>
            <w:tcW w:w="3051"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3" w:hRule="atLeast"/>
        </w:trPr>
        <w:tc>
          <w:tcPr>
            <w:tcW w:w="283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总分计算过程</w:t>
            </w:r>
          </w:p>
        </w:tc>
        <w:tc>
          <w:tcPr>
            <w:tcW w:w="6101"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100×50%＋80×40%＋100×10%=92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4" w:hRule="atLeast"/>
        </w:trPr>
        <w:tc>
          <w:tcPr>
            <w:tcW w:w="283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总分</w:t>
            </w:r>
          </w:p>
        </w:tc>
        <w:tc>
          <w:tcPr>
            <w:tcW w:w="6101"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92</w:t>
            </w:r>
          </w:p>
        </w:tc>
      </w:tr>
    </w:tbl>
    <w:p>
      <w:pPr>
        <w:keepNext w:val="0"/>
        <w:keepLines w:val="0"/>
        <w:pageBreakBefore w:val="0"/>
        <w:widowControl w:val="0"/>
        <w:suppressLineNumbers w:val="0"/>
        <w:kinsoku/>
        <w:wordWrap/>
        <w:overflowPunct/>
        <w:topLinePunct/>
        <w:autoSpaceDE/>
        <w:autoSpaceDN/>
        <w:bidi w:val="0"/>
        <w:snapToGrid/>
        <w:spacing w:beforeAutospacing="0" w:afterAutospacing="0" w:line="540" w:lineRule="exact"/>
        <w:ind w:left="0" w:leftChars="0" w:right="0" w:rightChars="0" w:firstLine="640" w:firstLineChars="200"/>
        <w:jc w:val="both"/>
        <w:outlineLvl w:val="0"/>
        <w:rPr>
          <w:rFonts w:hint="eastAsia" w:ascii="黑体" w:hAnsi="黑体" w:eastAsia="黑体" w:cs="黑体"/>
          <w:b w:val="0"/>
          <w:bCs/>
          <w:color w:val="auto"/>
          <w:spacing w:val="0"/>
          <w:kern w:val="2"/>
          <w:position w:val="0"/>
          <w:sz w:val="32"/>
          <w:szCs w:val="32"/>
          <w:lang w:val="en-US" w:eastAsia="zh-CN" w:bidi="ar"/>
        </w:rPr>
      </w:pPr>
      <w:bookmarkStart w:id="11" w:name="_Toc8637"/>
      <w:r>
        <w:rPr>
          <w:rFonts w:hint="eastAsia" w:ascii="黑体" w:hAnsi="黑体" w:eastAsia="黑体" w:cs="黑体"/>
          <w:b w:val="0"/>
          <w:bCs/>
          <w:color w:val="auto"/>
          <w:spacing w:val="0"/>
          <w:kern w:val="2"/>
          <w:position w:val="0"/>
          <w:sz w:val="32"/>
          <w:szCs w:val="32"/>
          <w:lang w:val="en-US" w:eastAsia="zh-CN" w:bidi="ar"/>
        </w:rPr>
        <w:t>四、意见建议</w:t>
      </w:r>
      <w:bookmarkEnd w:id="11"/>
    </w:p>
    <w:p>
      <w:pPr>
        <w:keepNext w:val="0"/>
        <w:keepLines w:val="0"/>
        <w:pageBreakBefore w:val="0"/>
        <w:widowControl w:val="0"/>
        <w:numPr>
          <w:ilvl w:val="0"/>
          <w:numId w:val="0"/>
        </w:numPr>
        <w:suppressLineNumbers w:val="0"/>
        <w:kinsoku/>
        <w:wordWrap/>
        <w:overflowPunct/>
        <w:topLinePunct/>
        <w:autoSpaceDE/>
        <w:autoSpaceDN/>
        <w:bidi w:val="0"/>
        <w:spacing w:beforeAutospacing="0" w:afterAutospacing="0" w:line="540" w:lineRule="exact"/>
        <w:ind w:left="0" w:leftChars="0" w:right="0" w:rightChars="0" w:firstLine="640" w:firstLineChars="200"/>
        <w:jc w:val="both"/>
        <w:outlineLvl w:val="1"/>
        <w:rPr>
          <w:rFonts w:hint="eastAsia" w:ascii="楷体_GB2312" w:hAnsi="楷体_GB2312" w:eastAsia="楷体_GB2312" w:cs="楷体_GB2312"/>
          <w:bCs w:val="0"/>
          <w:color w:val="auto"/>
          <w:spacing w:val="0"/>
          <w:kern w:val="2"/>
          <w:sz w:val="32"/>
          <w:szCs w:val="32"/>
          <w:lang w:val="en-US" w:eastAsia="zh-CN" w:bidi="ar"/>
        </w:rPr>
      </w:pPr>
      <w:bookmarkStart w:id="12" w:name="_Toc32452"/>
      <w:r>
        <w:rPr>
          <w:rFonts w:hint="eastAsia" w:ascii="楷体_GB2312" w:hAnsi="楷体_GB2312" w:eastAsia="楷体_GB2312" w:cs="楷体_GB2312"/>
          <w:bCs w:val="0"/>
          <w:color w:val="auto"/>
          <w:spacing w:val="0"/>
          <w:kern w:val="2"/>
          <w:sz w:val="32"/>
          <w:szCs w:val="32"/>
          <w:lang w:val="en-US" w:eastAsia="zh-CN" w:bidi="ar"/>
        </w:rPr>
        <w:t>（一）加强审查机制建设，健全审查保障机制</w:t>
      </w:r>
      <w:bookmarkEnd w:id="12"/>
    </w:p>
    <w:p>
      <w:pPr>
        <w:keepNext w:val="0"/>
        <w:keepLines w:val="0"/>
        <w:pageBreakBefore w:val="0"/>
        <w:widowControl w:val="0"/>
        <w:numPr>
          <w:ilvl w:val="0"/>
          <w:numId w:val="0"/>
        </w:numPr>
        <w:suppressLineNumbers w:val="0"/>
        <w:kinsoku/>
        <w:wordWrap/>
        <w:overflowPunct/>
        <w:topLinePunct/>
        <w:autoSpaceDE/>
        <w:autoSpaceDN/>
        <w:bidi w:val="0"/>
        <w:spacing w:beforeAutospacing="0" w:afterAutospacing="0" w:line="540" w:lineRule="exact"/>
        <w:ind w:left="0" w:leftChars="0" w:right="0" w:rightChars="0" w:firstLine="640" w:firstLineChars="200"/>
        <w:jc w:val="both"/>
        <w:rPr>
          <w:rFonts w:hint="eastAsia" w:ascii="仿宋_GB2312" w:hAnsi="仿宋_GB2312" w:eastAsia="仿宋_GB2312" w:cs="仿宋_GB2312"/>
          <w:bCs w:val="0"/>
          <w:color w:val="auto"/>
          <w:spacing w:val="0"/>
          <w:kern w:val="2"/>
          <w:sz w:val="32"/>
          <w:szCs w:val="32"/>
        </w:rPr>
      </w:pPr>
      <w:r>
        <w:rPr>
          <w:rFonts w:hint="eastAsia" w:ascii="仿宋_GB2312" w:hAnsi="仿宋_GB2312" w:eastAsia="仿宋_GB2312" w:cs="仿宋_GB2312"/>
          <w:bCs w:val="0"/>
          <w:color w:val="auto"/>
          <w:spacing w:val="0"/>
          <w:kern w:val="2"/>
          <w:sz w:val="32"/>
          <w:szCs w:val="32"/>
          <w:lang w:val="en-US" w:eastAsia="zh-CN" w:bidi="ar"/>
        </w:rPr>
        <w:t>涉及市场主体经营行为的政策措施</w:t>
      </w:r>
      <w:r>
        <w:rPr>
          <w:rFonts w:hint="eastAsia" w:ascii="仿宋_GB2312" w:hAnsi="仿宋_GB2312" w:eastAsia="仿宋_GB2312" w:cs="仿宋_GB2312"/>
          <w:bCs w:val="0"/>
          <w:color w:val="auto"/>
          <w:spacing w:val="0"/>
          <w:kern w:val="2"/>
          <w:sz w:val="32"/>
          <w:szCs w:val="32"/>
          <w:lang w:eastAsia="zh-CN" w:bidi="ar"/>
        </w:rPr>
        <w:t>如未</w:t>
      </w:r>
      <w:r>
        <w:rPr>
          <w:rFonts w:hint="eastAsia" w:ascii="仿宋_GB2312" w:hAnsi="仿宋_GB2312" w:eastAsia="仿宋_GB2312" w:cs="仿宋_GB2312"/>
          <w:bCs w:val="0"/>
          <w:color w:val="auto"/>
          <w:spacing w:val="0"/>
          <w:kern w:val="2"/>
          <w:sz w:val="32"/>
          <w:szCs w:val="32"/>
          <w:lang w:val="en-US" w:eastAsia="zh-CN" w:bidi="ar"/>
        </w:rPr>
        <w:t>经过公平竞争审查程序出台</w:t>
      </w:r>
      <w:r>
        <w:rPr>
          <w:rFonts w:hint="eastAsia" w:ascii="仿宋_GB2312" w:hAnsi="仿宋_GB2312" w:eastAsia="仿宋_GB2312" w:cs="仿宋_GB2312"/>
          <w:bCs w:val="0"/>
          <w:color w:val="auto"/>
          <w:spacing w:val="0"/>
          <w:kern w:val="2"/>
          <w:sz w:val="32"/>
          <w:szCs w:val="32"/>
          <w:lang w:eastAsia="zh-CN" w:bidi="ar"/>
        </w:rPr>
        <w:t>，在</w:t>
      </w:r>
      <w:r>
        <w:rPr>
          <w:rFonts w:hint="eastAsia" w:ascii="仿宋_GB2312" w:hAnsi="仿宋_GB2312" w:eastAsia="仿宋_GB2312" w:cs="仿宋_GB2312"/>
          <w:bCs w:val="0"/>
          <w:color w:val="auto"/>
          <w:spacing w:val="0"/>
          <w:kern w:val="2"/>
          <w:sz w:val="32"/>
          <w:szCs w:val="32"/>
          <w:lang w:val="en-US" w:eastAsia="zh-CN" w:bidi="ar"/>
        </w:rPr>
        <w:t>一定程度上存在妨碍统一市场建设与公平竞争的风险，因此应当从审查机制建设入手，确保公平竞争审查机制运行顺畅。</w:t>
      </w:r>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leftChars="0" w:right="0" w:rightChars="0" w:firstLine="643" w:firstLineChars="200"/>
        <w:jc w:val="both"/>
        <w:rPr>
          <w:rFonts w:hint="eastAsia" w:ascii="仿宋_GB2312" w:hAnsi="仿宋_GB2312" w:eastAsia="仿宋_GB2312" w:cs="仿宋_GB2312"/>
          <w:bCs w:val="0"/>
          <w:color w:val="auto"/>
          <w:spacing w:val="0"/>
          <w:kern w:val="2"/>
          <w:sz w:val="32"/>
          <w:szCs w:val="32"/>
        </w:rPr>
      </w:pPr>
      <w:r>
        <w:rPr>
          <w:rFonts w:hint="eastAsia" w:ascii="仿宋_GB2312" w:hAnsi="仿宋_GB2312" w:eastAsia="仿宋_GB2312" w:cs="仿宋_GB2312"/>
          <w:b/>
          <w:bCs/>
          <w:color w:val="auto"/>
          <w:spacing w:val="0"/>
          <w:kern w:val="2"/>
          <w:sz w:val="32"/>
          <w:szCs w:val="32"/>
          <w:lang w:val="en-US" w:eastAsia="zh-CN" w:bidi="ar"/>
        </w:rPr>
        <w:t>一是坚持“谁起草、谁审查、谁担责”的原则，</w:t>
      </w:r>
      <w:r>
        <w:rPr>
          <w:rFonts w:hint="eastAsia" w:ascii="仿宋_GB2312" w:hAnsi="仿宋_GB2312" w:eastAsia="仿宋_GB2312" w:cs="仿宋_GB2312"/>
          <w:bCs w:val="0"/>
          <w:color w:val="auto"/>
          <w:spacing w:val="0"/>
          <w:kern w:val="2"/>
          <w:sz w:val="32"/>
          <w:szCs w:val="32"/>
          <w:lang w:val="en-US" w:eastAsia="zh-CN" w:bidi="ar"/>
        </w:rPr>
        <w:t>重点落实</w:t>
      </w:r>
      <w:r>
        <w:rPr>
          <w:rFonts w:hint="eastAsia" w:ascii="仿宋_GB2312" w:hAnsi="仿宋_GB2312" w:eastAsia="仿宋_GB2312" w:cs="仿宋_GB2312"/>
          <w:color w:val="auto"/>
          <w:spacing w:val="0"/>
          <w:kern w:val="2"/>
          <w:sz w:val="32"/>
          <w:szCs w:val="32"/>
          <w:lang w:val="en-US" w:eastAsia="zh-CN" w:bidi="ar"/>
        </w:rPr>
        <w:t>政策措施制定机关</w:t>
      </w:r>
      <w:r>
        <w:rPr>
          <w:rFonts w:hint="eastAsia" w:ascii="仿宋_GB2312" w:hAnsi="仿宋_GB2312" w:eastAsia="仿宋_GB2312" w:cs="仿宋_GB2312"/>
          <w:bCs w:val="0"/>
          <w:color w:val="auto"/>
          <w:spacing w:val="0"/>
          <w:kern w:val="2"/>
          <w:sz w:val="32"/>
          <w:szCs w:val="32"/>
          <w:lang w:val="en-US" w:eastAsia="zh-CN" w:bidi="ar"/>
        </w:rPr>
        <w:t>部门的责任，涉及市场主体经营活动的政策措施需经各</w:t>
      </w:r>
      <w:r>
        <w:rPr>
          <w:rFonts w:hint="eastAsia" w:ascii="仿宋_GB2312" w:hAnsi="仿宋_GB2312" w:eastAsia="仿宋_GB2312" w:cs="仿宋_GB2312"/>
          <w:color w:val="auto"/>
          <w:spacing w:val="0"/>
          <w:kern w:val="2"/>
          <w:sz w:val="32"/>
          <w:szCs w:val="32"/>
          <w:lang w:val="en-US" w:eastAsia="zh-CN" w:bidi="ar"/>
        </w:rPr>
        <w:t>政策措施制定机关</w:t>
      </w:r>
      <w:r>
        <w:rPr>
          <w:rFonts w:hint="eastAsia" w:ascii="仿宋_GB2312" w:hAnsi="仿宋_GB2312" w:eastAsia="仿宋_GB2312" w:cs="仿宋_GB2312"/>
          <w:bCs w:val="0"/>
          <w:color w:val="auto"/>
          <w:spacing w:val="0"/>
          <w:kern w:val="2"/>
          <w:sz w:val="32"/>
          <w:szCs w:val="32"/>
          <w:lang w:val="en-US" w:eastAsia="zh-CN" w:bidi="ar"/>
        </w:rPr>
        <w:t>负责对制定的政策措施进行公平竞争审查，</w:t>
      </w:r>
      <w:r>
        <w:rPr>
          <w:rFonts w:hint="eastAsia" w:ascii="仿宋_GB2312" w:hAnsi="仿宋_GB2312" w:eastAsia="仿宋_GB2312" w:cs="仿宋_GB2312"/>
          <w:color w:val="auto"/>
          <w:spacing w:val="0"/>
          <w:kern w:val="2"/>
          <w:sz w:val="32"/>
          <w:szCs w:val="32"/>
          <w:lang w:val="en-US" w:eastAsia="zh-CN" w:bidi="ar"/>
        </w:rPr>
        <w:t>政策措施制定机关负责人</w:t>
      </w:r>
      <w:r>
        <w:rPr>
          <w:rFonts w:hint="eastAsia" w:ascii="仿宋_GB2312" w:hAnsi="仿宋_GB2312" w:eastAsia="仿宋_GB2312" w:cs="仿宋_GB2312"/>
          <w:bCs w:val="0"/>
          <w:color w:val="auto"/>
          <w:spacing w:val="0"/>
          <w:kern w:val="2"/>
          <w:sz w:val="32"/>
          <w:szCs w:val="32"/>
          <w:lang w:val="en-US" w:eastAsia="zh-CN" w:bidi="ar"/>
        </w:rPr>
        <w:t>在《公平竞争审查表》上签字后，政策措施制定机关出具书面审核意见。通过依法审查、强化监督的做法，建立健全公平竞争审查保障机制，把自我审查和外部监督相结合，防止滥用行政权力排除、限制竞争行为。</w:t>
      </w:r>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leftChars="0" w:right="0" w:rightChars="0" w:firstLine="643" w:firstLineChars="200"/>
        <w:jc w:val="both"/>
        <w:rPr>
          <w:rFonts w:hint="eastAsia" w:ascii="仿宋_GB2312" w:hAnsi="仿宋_GB2312" w:eastAsia="仿宋_GB2312" w:cs="仿宋_GB2312"/>
          <w:bCs w:val="0"/>
          <w:color w:val="auto"/>
          <w:spacing w:val="0"/>
          <w:kern w:val="2"/>
          <w:sz w:val="32"/>
          <w:szCs w:val="32"/>
        </w:rPr>
      </w:pPr>
      <w:r>
        <w:rPr>
          <w:rFonts w:hint="eastAsia" w:ascii="仿宋_GB2312" w:hAnsi="仿宋_GB2312" w:eastAsia="仿宋_GB2312" w:cs="仿宋_GB2312"/>
          <w:b/>
          <w:bCs/>
          <w:color w:val="auto"/>
          <w:spacing w:val="0"/>
          <w:kern w:val="2"/>
          <w:sz w:val="32"/>
          <w:szCs w:val="32"/>
          <w:lang w:val="en-US" w:eastAsia="zh-CN" w:bidi="ar"/>
        </w:rPr>
        <w:t>二是确保应纳入公平竞争审查的政策措施均进行公平竞争审查程序，</w:t>
      </w:r>
      <w:r>
        <w:rPr>
          <w:rFonts w:hint="eastAsia" w:ascii="仿宋_GB2312" w:hAnsi="仿宋_GB2312" w:eastAsia="仿宋_GB2312" w:cs="仿宋_GB2312"/>
          <w:color w:val="auto"/>
          <w:spacing w:val="0"/>
          <w:kern w:val="2"/>
          <w:sz w:val="32"/>
          <w:szCs w:val="32"/>
          <w:lang w:val="en-US" w:eastAsia="zh-CN" w:bidi="ar"/>
        </w:rPr>
        <w:t>在严格落实“谁制定、谁审查”原则的基础上，对涉及重大公共利益、且在制定过程中被多个单位或者个人反映或者举报涉嫌排除、限制竞争的政策措施或多个部门联合制定，且涉及多个部门职责的政策措施，在公平竞争审查中出现较大争议或者意见难以协调一致时，政策制定机关应提请</w:t>
      </w:r>
      <w:r>
        <w:rPr>
          <w:rFonts w:hint="eastAsia" w:ascii="仿宋_GB2312" w:hAnsi="仿宋_GB2312" w:eastAsia="仿宋_GB2312" w:cs="仿宋_GB2312"/>
          <w:bCs w:val="0"/>
          <w:color w:val="auto"/>
          <w:spacing w:val="0"/>
          <w:kern w:val="2"/>
          <w:sz w:val="32"/>
          <w:szCs w:val="32"/>
          <w:lang w:val="en-US" w:eastAsia="zh-CN" w:bidi="ar"/>
        </w:rPr>
        <w:t>县</w:t>
      </w:r>
      <w:r>
        <w:rPr>
          <w:rFonts w:hint="eastAsia" w:ascii="仿宋_GB2312" w:hAnsi="仿宋_GB2312" w:eastAsia="仿宋_GB2312" w:cs="仿宋_GB2312"/>
          <w:color w:val="auto"/>
          <w:spacing w:val="0"/>
          <w:kern w:val="2"/>
          <w:sz w:val="32"/>
          <w:szCs w:val="32"/>
          <w:lang w:val="en-US" w:eastAsia="zh-CN" w:bidi="ar"/>
        </w:rPr>
        <w:t>公平竞争联席会议协调</w:t>
      </w:r>
      <w:r>
        <w:rPr>
          <w:rFonts w:hint="eastAsia" w:ascii="仿宋_GB2312" w:hAnsi="仿宋_GB2312" w:eastAsia="仿宋_GB2312" w:cs="仿宋_GB2312"/>
          <w:bCs w:val="0"/>
          <w:color w:val="auto"/>
          <w:spacing w:val="0"/>
          <w:kern w:val="2"/>
          <w:sz w:val="32"/>
          <w:szCs w:val="32"/>
          <w:lang w:val="en-US" w:eastAsia="zh-CN" w:bidi="ar"/>
        </w:rPr>
        <w:t>，确保应纳入公平竞争审查的政策措施均按照公平竞争审查工作要求进行彻底审查。</w:t>
      </w:r>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leftChars="0" w:right="0" w:firstLine="643" w:firstLineChars="200"/>
        <w:jc w:val="both"/>
        <w:rPr>
          <w:rFonts w:hint="eastAsia" w:ascii="仿宋_GB2312" w:hAnsi="仿宋_GB2312" w:eastAsia="仿宋_GB2312" w:cs="仿宋_GB2312"/>
          <w:bCs w:val="0"/>
          <w:color w:val="auto"/>
          <w:spacing w:val="0"/>
          <w:kern w:val="2"/>
          <w:sz w:val="32"/>
          <w:szCs w:val="32"/>
        </w:rPr>
      </w:pPr>
      <w:r>
        <w:rPr>
          <w:rFonts w:hint="eastAsia" w:ascii="仿宋_GB2312" w:hAnsi="仿宋_GB2312" w:eastAsia="仿宋_GB2312" w:cs="仿宋_GB2312"/>
          <w:b/>
          <w:bCs/>
          <w:color w:val="auto"/>
          <w:spacing w:val="0"/>
          <w:kern w:val="2"/>
          <w:sz w:val="32"/>
          <w:szCs w:val="32"/>
          <w:lang w:val="en-US" w:eastAsia="zh-CN" w:bidi="ar"/>
        </w:rPr>
        <w:t>三是健全审查保障机制，</w:t>
      </w:r>
      <w:r>
        <w:rPr>
          <w:rFonts w:hint="eastAsia" w:ascii="仿宋_GB2312" w:hAnsi="仿宋_GB2312" w:eastAsia="仿宋_GB2312" w:cs="仿宋_GB2312"/>
          <w:bCs w:val="0"/>
          <w:color w:val="auto"/>
          <w:spacing w:val="0"/>
          <w:kern w:val="2"/>
          <w:sz w:val="32"/>
          <w:szCs w:val="32"/>
          <w:lang w:val="en-US" w:eastAsia="zh-CN" w:bidi="ar"/>
        </w:rPr>
        <w:t>县</w:t>
      </w:r>
      <w:r>
        <w:rPr>
          <w:rFonts w:hint="eastAsia" w:ascii="仿宋_GB2312" w:hAnsi="仿宋_GB2312" w:eastAsia="仿宋_GB2312" w:cs="仿宋_GB2312"/>
          <w:color w:val="auto"/>
          <w:spacing w:val="0"/>
          <w:kern w:val="2"/>
          <w:sz w:val="32"/>
          <w:szCs w:val="32"/>
          <w:lang w:val="en-US" w:eastAsia="zh-CN" w:bidi="ar"/>
        </w:rPr>
        <w:t>公平竞争审查工作部门联席会议办公室</w:t>
      </w:r>
      <w:r>
        <w:rPr>
          <w:rFonts w:hint="eastAsia" w:ascii="仿宋_GB2312" w:hAnsi="仿宋_GB2312" w:eastAsia="仿宋_GB2312" w:cs="仿宋_GB2312"/>
          <w:bCs w:val="0"/>
          <w:color w:val="auto"/>
          <w:spacing w:val="0"/>
          <w:kern w:val="2"/>
          <w:sz w:val="32"/>
          <w:szCs w:val="32"/>
          <w:lang w:val="en-US" w:eastAsia="zh-CN" w:bidi="ar"/>
        </w:rPr>
        <w:t>可定期检查各</w:t>
      </w:r>
      <w:r>
        <w:rPr>
          <w:rFonts w:hint="eastAsia" w:ascii="仿宋_GB2312" w:hAnsi="仿宋_GB2312" w:eastAsia="仿宋_GB2312" w:cs="仿宋_GB2312"/>
          <w:color w:val="auto"/>
          <w:spacing w:val="0"/>
          <w:kern w:val="2"/>
          <w:sz w:val="32"/>
          <w:szCs w:val="32"/>
          <w:lang w:val="en-US" w:eastAsia="zh-CN" w:bidi="ar"/>
        </w:rPr>
        <w:t>政策措施制定机关</w:t>
      </w:r>
      <w:r>
        <w:rPr>
          <w:rFonts w:hint="eastAsia" w:ascii="仿宋_GB2312" w:hAnsi="仿宋_GB2312" w:eastAsia="仿宋_GB2312" w:cs="仿宋_GB2312"/>
          <w:bCs w:val="0"/>
          <w:color w:val="auto"/>
          <w:spacing w:val="0"/>
          <w:kern w:val="2"/>
          <w:sz w:val="32"/>
          <w:szCs w:val="32"/>
          <w:lang w:val="en-US" w:eastAsia="zh-CN" w:bidi="ar"/>
        </w:rPr>
        <w:t>报送公平竞争审查文件是否全面，对应纳入公平竞争审查而未进行的，要及时督促</w:t>
      </w:r>
      <w:r>
        <w:rPr>
          <w:rFonts w:hint="eastAsia" w:ascii="仿宋_GB2312" w:hAnsi="仿宋_GB2312" w:eastAsia="仿宋_GB2312" w:cs="仿宋_GB2312"/>
          <w:color w:val="auto"/>
          <w:spacing w:val="0"/>
          <w:kern w:val="2"/>
          <w:sz w:val="32"/>
          <w:szCs w:val="32"/>
          <w:lang w:val="en-US" w:eastAsia="zh-CN" w:bidi="ar"/>
        </w:rPr>
        <w:t>政策措施制定机关</w:t>
      </w:r>
      <w:r>
        <w:rPr>
          <w:rFonts w:hint="eastAsia" w:ascii="仿宋_GB2312" w:hAnsi="仿宋_GB2312" w:eastAsia="仿宋_GB2312" w:cs="仿宋_GB2312"/>
          <w:bCs w:val="0"/>
          <w:color w:val="auto"/>
          <w:spacing w:val="0"/>
          <w:kern w:val="2"/>
          <w:sz w:val="32"/>
          <w:szCs w:val="32"/>
          <w:lang w:val="en-US" w:eastAsia="zh-CN" w:bidi="ar"/>
        </w:rPr>
        <w:t>补充审查，如有违反公平竞争审查标准的，应及时建议修改或予以废止。</w:t>
      </w:r>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leftChars="0" w:right="0" w:firstLine="640" w:firstLineChars="200"/>
        <w:jc w:val="both"/>
        <w:outlineLvl w:val="1"/>
        <w:rPr>
          <w:rFonts w:hint="eastAsia" w:ascii="楷体_GB2312" w:hAnsi="楷体_GB2312" w:eastAsia="楷体_GB2312" w:cs="楷体_GB2312"/>
          <w:bCs w:val="0"/>
          <w:color w:val="auto"/>
          <w:spacing w:val="0"/>
          <w:kern w:val="2"/>
          <w:sz w:val="32"/>
          <w:szCs w:val="32"/>
        </w:rPr>
      </w:pPr>
      <w:bookmarkStart w:id="13" w:name="_Toc17486"/>
      <w:r>
        <w:rPr>
          <w:rFonts w:hint="eastAsia" w:ascii="楷体_GB2312" w:hAnsi="楷体_GB2312" w:eastAsia="楷体_GB2312" w:cs="楷体_GB2312"/>
          <w:bCs w:val="0"/>
          <w:color w:val="auto"/>
          <w:spacing w:val="0"/>
          <w:kern w:val="2"/>
          <w:sz w:val="32"/>
          <w:szCs w:val="32"/>
          <w:lang w:val="en-US" w:eastAsia="zh-CN" w:bidi="ar"/>
        </w:rPr>
        <w:t>（二）加强内部培训，增强审查意识</w:t>
      </w:r>
      <w:bookmarkEnd w:id="13"/>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leftChars="0" w:right="0" w:firstLine="640" w:firstLineChars="200"/>
        <w:jc w:val="both"/>
        <w:rPr>
          <w:rFonts w:hint="eastAsia" w:ascii="仿宋_GB2312" w:hAnsi="仿宋_GB2312" w:eastAsia="仿宋_GB2312" w:cs="仿宋_GB2312"/>
          <w:bCs w:val="0"/>
          <w:color w:val="auto"/>
          <w:spacing w:val="0"/>
          <w:kern w:val="2"/>
          <w:sz w:val="32"/>
          <w:szCs w:val="32"/>
        </w:rPr>
      </w:pPr>
      <w:r>
        <w:rPr>
          <w:rFonts w:hint="eastAsia" w:ascii="仿宋_GB2312" w:hAnsi="仿宋_GB2312" w:eastAsia="仿宋_GB2312" w:cs="仿宋_GB2312"/>
          <w:bCs w:val="0"/>
          <w:color w:val="auto"/>
          <w:spacing w:val="0"/>
          <w:kern w:val="2"/>
          <w:sz w:val="32"/>
          <w:szCs w:val="32"/>
          <w:lang w:val="en-US" w:eastAsia="zh-CN" w:bidi="ar"/>
        </w:rPr>
        <w:t>公平竞争审查制度运行不畅、应纳入审查范围文件未进行审查等问题，很大程度上是各</w:t>
      </w:r>
      <w:r>
        <w:rPr>
          <w:rFonts w:hint="eastAsia" w:ascii="仿宋_GB2312" w:hAnsi="仿宋_GB2312" w:eastAsia="仿宋_GB2312" w:cs="仿宋_GB2312"/>
          <w:color w:val="auto"/>
          <w:spacing w:val="0"/>
          <w:kern w:val="2"/>
          <w:sz w:val="32"/>
          <w:szCs w:val="32"/>
          <w:lang w:val="en-US" w:eastAsia="zh-CN" w:bidi="ar"/>
        </w:rPr>
        <w:t>政策措施制定机关</w:t>
      </w:r>
      <w:r>
        <w:rPr>
          <w:rFonts w:hint="eastAsia" w:ascii="仿宋_GB2312" w:hAnsi="仿宋_GB2312" w:eastAsia="仿宋_GB2312" w:cs="仿宋_GB2312"/>
          <w:bCs w:val="0"/>
          <w:color w:val="auto"/>
          <w:spacing w:val="0"/>
          <w:kern w:val="2"/>
          <w:sz w:val="32"/>
          <w:szCs w:val="32"/>
          <w:lang w:val="en-US" w:eastAsia="zh-CN" w:bidi="ar"/>
        </w:rPr>
        <w:t>公平竞争审查意识不强、对公平竞争审查范围理解不到位引起的。因此应当从宣传培训入手，增强各</w:t>
      </w:r>
      <w:r>
        <w:rPr>
          <w:rFonts w:hint="eastAsia" w:ascii="仿宋_GB2312" w:hAnsi="仿宋_GB2312" w:eastAsia="仿宋_GB2312" w:cs="仿宋_GB2312"/>
          <w:color w:val="auto"/>
          <w:spacing w:val="0"/>
          <w:kern w:val="2"/>
          <w:sz w:val="32"/>
          <w:szCs w:val="32"/>
          <w:lang w:val="en-US" w:eastAsia="zh-CN" w:bidi="ar"/>
        </w:rPr>
        <w:t>政策措施制定机关</w:t>
      </w:r>
      <w:r>
        <w:rPr>
          <w:rFonts w:hint="eastAsia" w:ascii="仿宋_GB2312" w:hAnsi="仿宋_GB2312" w:eastAsia="仿宋_GB2312" w:cs="仿宋_GB2312"/>
          <w:bCs w:val="0"/>
          <w:color w:val="auto"/>
          <w:spacing w:val="0"/>
          <w:kern w:val="2"/>
          <w:sz w:val="32"/>
          <w:szCs w:val="32"/>
          <w:lang w:val="en-US" w:eastAsia="zh-CN" w:bidi="ar"/>
        </w:rPr>
        <w:t>政策制定相关人员公平竞争审查意识。</w:t>
      </w:r>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leftChars="0" w:right="0" w:firstLine="643" w:firstLineChars="200"/>
        <w:jc w:val="both"/>
        <w:rPr>
          <w:rFonts w:hint="eastAsia" w:ascii="仿宋_GB2312" w:hAnsi="仿宋_GB2312" w:eastAsia="仿宋_GB2312" w:cs="仿宋_GB2312"/>
          <w:bCs w:val="0"/>
          <w:color w:val="auto"/>
          <w:spacing w:val="0"/>
          <w:kern w:val="2"/>
          <w:sz w:val="32"/>
          <w:szCs w:val="32"/>
        </w:rPr>
      </w:pPr>
      <w:r>
        <w:rPr>
          <w:rFonts w:hint="eastAsia" w:ascii="仿宋_GB2312" w:hAnsi="仿宋_GB2312" w:eastAsia="仿宋_GB2312" w:cs="仿宋_GB2312"/>
          <w:b/>
          <w:bCs/>
          <w:color w:val="auto"/>
          <w:spacing w:val="0"/>
          <w:kern w:val="2"/>
          <w:sz w:val="32"/>
          <w:szCs w:val="32"/>
          <w:lang w:val="en-US" w:eastAsia="zh-CN" w:bidi="ar"/>
        </w:rPr>
        <w:t>一是加强各政策措施制定机关公平竞争审查机制与具体实施方案内容学习，</w:t>
      </w:r>
      <w:r>
        <w:rPr>
          <w:rFonts w:hint="eastAsia" w:ascii="仿宋_GB2312" w:hAnsi="仿宋_GB2312" w:eastAsia="仿宋_GB2312" w:cs="仿宋_GB2312"/>
          <w:bCs w:val="0"/>
          <w:color w:val="auto"/>
          <w:spacing w:val="0"/>
          <w:kern w:val="2"/>
          <w:sz w:val="32"/>
          <w:szCs w:val="32"/>
          <w:lang w:val="en-US" w:eastAsia="zh-CN" w:bidi="ar"/>
        </w:rPr>
        <w:t>规范公平竞争审查流程，确保政策制定人员对公平竞争审查流程有深入地了解,相关培训不仅要覆盖到各</w:t>
      </w:r>
      <w:r>
        <w:rPr>
          <w:rFonts w:hint="eastAsia" w:ascii="仿宋_GB2312" w:hAnsi="仿宋_GB2312" w:eastAsia="仿宋_GB2312" w:cs="仿宋_GB2312"/>
          <w:color w:val="auto"/>
          <w:spacing w:val="0"/>
          <w:kern w:val="2"/>
          <w:sz w:val="32"/>
          <w:szCs w:val="32"/>
          <w:lang w:val="en-US" w:eastAsia="zh-CN" w:bidi="ar"/>
        </w:rPr>
        <w:t>政策措施制定机关联络</w:t>
      </w:r>
      <w:r>
        <w:rPr>
          <w:rFonts w:hint="eastAsia" w:ascii="仿宋_GB2312" w:hAnsi="仿宋_GB2312" w:eastAsia="仿宋_GB2312" w:cs="仿宋_GB2312"/>
          <w:bCs w:val="0"/>
          <w:color w:val="auto"/>
          <w:spacing w:val="0"/>
          <w:kern w:val="2"/>
          <w:sz w:val="32"/>
          <w:szCs w:val="32"/>
          <w:lang w:val="en-US" w:eastAsia="zh-CN" w:bidi="ar"/>
        </w:rPr>
        <w:t>员，各</w:t>
      </w:r>
      <w:r>
        <w:rPr>
          <w:rFonts w:hint="eastAsia" w:ascii="仿宋_GB2312" w:hAnsi="仿宋_GB2312" w:eastAsia="仿宋_GB2312" w:cs="仿宋_GB2312"/>
          <w:color w:val="auto"/>
          <w:spacing w:val="0"/>
          <w:kern w:val="2"/>
          <w:sz w:val="32"/>
          <w:szCs w:val="32"/>
          <w:lang w:val="en-US" w:eastAsia="zh-CN" w:bidi="ar"/>
        </w:rPr>
        <w:t>政策措施制定机关的</w:t>
      </w:r>
      <w:r>
        <w:rPr>
          <w:rFonts w:hint="eastAsia" w:ascii="仿宋_GB2312" w:hAnsi="仿宋_GB2312" w:eastAsia="仿宋_GB2312" w:cs="仿宋_GB2312"/>
          <w:bCs w:val="0"/>
          <w:color w:val="auto"/>
          <w:spacing w:val="0"/>
          <w:kern w:val="2"/>
          <w:sz w:val="32"/>
          <w:szCs w:val="32"/>
          <w:lang w:val="en-US" w:eastAsia="zh-CN" w:bidi="ar"/>
        </w:rPr>
        <w:t>职能科室也要重点学习，确保各</w:t>
      </w:r>
      <w:r>
        <w:rPr>
          <w:rFonts w:hint="eastAsia" w:ascii="仿宋_GB2312" w:hAnsi="仿宋_GB2312" w:eastAsia="仿宋_GB2312" w:cs="仿宋_GB2312"/>
          <w:color w:val="auto"/>
          <w:spacing w:val="0"/>
          <w:kern w:val="2"/>
          <w:sz w:val="32"/>
          <w:szCs w:val="32"/>
          <w:lang w:val="en-US" w:eastAsia="zh-CN" w:bidi="ar"/>
        </w:rPr>
        <w:t>政策措施制定机关</w:t>
      </w:r>
      <w:r>
        <w:rPr>
          <w:rFonts w:hint="eastAsia" w:ascii="仿宋_GB2312" w:hAnsi="仿宋_GB2312" w:eastAsia="仿宋_GB2312" w:cs="仿宋_GB2312"/>
          <w:bCs w:val="0"/>
          <w:color w:val="auto"/>
          <w:spacing w:val="0"/>
          <w:kern w:val="2"/>
          <w:sz w:val="32"/>
          <w:szCs w:val="32"/>
          <w:lang w:val="en-US" w:eastAsia="zh-CN" w:bidi="ar"/>
        </w:rPr>
        <w:t>文件能够按照公平竞争审查机制进行审查。</w:t>
      </w:r>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leftChars="0" w:right="0" w:firstLine="643" w:firstLineChars="200"/>
        <w:jc w:val="both"/>
        <w:rPr>
          <w:rFonts w:hint="eastAsia" w:ascii="仿宋_GB2312" w:hAnsi="仿宋_GB2312" w:eastAsia="仿宋_GB2312" w:cs="仿宋_GB2312"/>
          <w:bCs w:val="0"/>
          <w:color w:val="auto"/>
          <w:spacing w:val="0"/>
          <w:kern w:val="2"/>
          <w:sz w:val="32"/>
          <w:szCs w:val="32"/>
        </w:rPr>
      </w:pPr>
      <w:r>
        <w:rPr>
          <w:rFonts w:hint="eastAsia" w:ascii="仿宋_GB2312" w:hAnsi="仿宋_GB2312" w:eastAsia="仿宋_GB2312" w:cs="仿宋_GB2312"/>
          <w:b/>
          <w:bCs/>
          <w:color w:val="auto"/>
          <w:spacing w:val="0"/>
          <w:kern w:val="2"/>
          <w:sz w:val="32"/>
          <w:szCs w:val="32"/>
          <w:lang w:val="en-US" w:eastAsia="zh-CN" w:bidi="ar"/>
        </w:rPr>
        <w:t>二是通过案例教育加深对公平竞争审查内容的理解，</w:t>
      </w:r>
      <w:r>
        <w:rPr>
          <w:rFonts w:hint="eastAsia" w:ascii="仿宋_GB2312" w:hAnsi="仿宋_GB2312" w:eastAsia="仿宋_GB2312" w:cs="仿宋_GB2312"/>
          <w:bCs w:val="0"/>
          <w:color w:val="auto"/>
          <w:spacing w:val="0"/>
          <w:kern w:val="2"/>
          <w:sz w:val="32"/>
          <w:szCs w:val="32"/>
          <w:lang w:val="en-US" w:eastAsia="zh-CN" w:bidi="ar"/>
        </w:rPr>
        <w:t>学习本县已发现的违反公平竞争审查标准的案例，以及全国全省、其他地方单位典型案例，深刻理解公平竞争审查标准，此类培训既可以避免各</w:t>
      </w:r>
      <w:r>
        <w:rPr>
          <w:rFonts w:hint="eastAsia" w:ascii="仿宋_GB2312" w:hAnsi="仿宋_GB2312" w:eastAsia="仿宋_GB2312" w:cs="仿宋_GB2312"/>
          <w:color w:val="auto"/>
          <w:spacing w:val="0"/>
          <w:kern w:val="2"/>
          <w:sz w:val="32"/>
          <w:szCs w:val="32"/>
          <w:lang w:val="en-US" w:eastAsia="zh-CN" w:bidi="ar"/>
        </w:rPr>
        <w:t>政策措施制定机关</w:t>
      </w:r>
      <w:r>
        <w:rPr>
          <w:rFonts w:hint="eastAsia" w:ascii="仿宋_GB2312" w:hAnsi="仿宋_GB2312" w:eastAsia="仿宋_GB2312" w:cs="仿宋_GB2312"/>
          <w:bCs w:val="0"/>
          <w:color w:val="auto"/>
          <w:spacing w:val="0"/>
          <w:kern w:val="2"/>
          <w:sz w:val="32"/>
          <w:szCs w:val="32"/>
          <w:lang w:val="en-US" w:eastAsia="zh-CN" w:bidi="ar"/>
        </w:rPr>
        <w:t>出台违反公平竞争审查标准的文件,也利于各</w:t>
      </w:r>
      <w:r>
        <w:rPr>
          <w:rFonts w:hint="eastAsia" w:ascii="仿宋_GB2312" w:hAnsi="仿宋_GB2312" w:eastAsia="仿宋_GB2312" w:cs="仿宋_GB2312"/>
          <w:color w:val="auto"/>
          <w:spacing w:val="0"/>
          <w:kern w:val="2"/>
          <w:sz w:val="32"/>
          <w:szCs w:val="32"/>
          <w:lang w:val="en-US" w:eastAsia="zh-CN" w:bidi="ar"/>
        </w:rPr>
        <w:t>政策措施制定机关</w:t>
      </w:r>
      <w:r>
        <w:rPr>
          <w:rFonts w:hint="eastAsia" w:ascii="仿宋_GB2312" w:hAnsi="仿宋_GB2312" w:eastAsia="仿宋_GB2312" w:cs="仿宋_GB2312"/>
          <w:bCs w:val="0"/>
          <w:color w:val="auto"/>
          <w:spacing w:val="0"/>
          <w:kern w:val="2"/>
          <w:sz w:val="32"/>
          <w:szCs w:val="32"/>
          <w:lang w:val="en-US" w:eastAsia="zh-CN" w:bidi="ar"/>
        </w:rPr>
        <w:t>负责公平竞争审查的职能人员发现所制定文件是否存在违反公平竞争审查标准的文件条款。</w:t>
      </w:r>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leftChars="0" w:right="0" w:firstLine="640" w:firstLineChars="200"/>
        <w:jc w:val="both"/>
        <w:outlineLvl w:val="1"/>
        <w:rPr>
          <w:rFonts w:hint="eastAsia" w:ascii="楷体_GB2312" w:hAnsi="楷体_GB2312" w:eastAsia="楷体_GB2312" w:cs="楷体_GB2312"/>
          <w:bCs w:val="0"/>
          <w:color w:val="auto"/>
          <w:spacing w:val="0"/>
          <w:kern w:val="2"/>
          <w:sz w:val="32"/>
          <w:szCs w:val="32"/>
        </w:rPr>
      </w:pPr>
      <w:bookmarkStart w:id="14" w:name="_Toc4610"/>
      <w:r>
        <w:rPr>
          <w:rFonts w:hint="eastAsia" w:ascii="楷体_GB2312" w:hAnsi="楷体_GB2312" w:eastAsia="楷体_GB2312" w:cs="楷体_GB2312"/>
          <w:bCs w:val="0"/>
          <w:color w:val="auto"/>
          <w:spacing w:val="0"/>
          <w:kern w:val="2"/>
          <w:sz w:val="32"/>
          <w:szCs w:val="32"/>
          <w:lang w:val="en-US" w:eastAsia="zh-CN" w:bidi="ar"/>
        </w:rPr>
        <w:t>（三）聘请第三方进行审查，增强审查专业性</w:t>
      </w:r>
      <w:bookmarkEnd w:id="14"/>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leftChars="0" w:right="0" w:firstLine="640" w:firstLineChars="200"/>
        <w:jc w:val="both"/>
        <w:rPr>
          <w:rFonts w:hint="eastAsia" w:ascii="仿宋_GB2312" w:hAnsi="仿宋_GB2312" w:eastAsia="仿宋_GB2312" w:cs="仿宋_GB2312"/>
          <w:bCs w:val="0"/>
          <w:color w:val="auto"/>
          <w:spacing w:val="0"/>
          <w:kern w:val="2"/>
          <w:sz w:val="32"/>
          <w:szCs w:val="32"/>
        </w:rPr>
      </w:pPr>
      <w:r>
        <w:rPr>
          <w:rFonts w:hint="eastAsia" w:ascii="仿宋_GB2312" w:hAnsi="仿宋_GB2312" w:eastAsia="仿宋_GB2312" w:cs="仿宋_GB2312"/>
          <w:bCs w:val="0"/>
          <w:color w:val="auto"/>
          <w:spacing w:val="0"/>
          <w:kern w:val="2"/>
          <w:sz w:val="32"/>
          <w:szCs w:val="32"/>
          <w:lang w:val="en-US" w:eastAsia="zh-CN" w:bidi="ar"/>
        </w:rPr>
        <w:t>公平竞争审查工作涉及专业性和政策性较强</w:t>
      </w:r>
      <w:r>
        <w:rPr>
          <w:rFonts w:hint="eastAsia" w:ascii="仿宋_GB2312" w:hAnsi="仿宋_GB2312" w:eastAsia="仿宋_GB2312" w:cs="仿宋_GB2312"/>
          <w:bCs w:val="0"/>
          <w:color w:val="auto"/>
          <w:spacing w:val="0"/>
          <w:kern w:val="2"/>
          <w:sz w:val="32"/>
          <w:szCs w:val="32"/>
          <w:lang w:eastAsia="zh-CN" w:bidi="ar"/>
        </w:rPr>
        <w:t>，目前</w:t>
      </w:r>
      <w:r>
        <w:rPr>
          <w:rFonts w:hint="eastAsia" w:ascii="仿宋_GB2312" w:hAnsi="仿宋_GB2312" w:eastAsia="仿宋_GB2312" w:cs="仿宋_GB2312"/>
          <w:bCs w:val="0"/>
          <w:color w:val="auto"/>
          <w:spacing w:val="0"/>
          <w:kern w:val="2"/>
          <w:sz w:val="32"/>
          <w:szCs w:val="32"/>
          <w:lang w:val="en-US" w:eastAsia="zh-CN" w:bidi="ar"/>
        </w:rPr>
        <w:t>公平竞争审查工作主要采取各</w:t>
      </w:r>
      <w:r>
        <w:rPr>
          <w:rFonts w:hint="eastAsia" w:ascii="仿宋_GB2312" w:hAnsi="仿宋_GB2312" w:eastAsia="仿宋_GB2312" w:cs="仿宋_GB2312"/>
          <w:color w:val="auto"/>
          <w:spacing w:val="0"/>
          <w:kern w:val="2"/>
          <w:sz w:val="32"/>
          <w:szCs w:val="32"/>
          <w:lang w:val="en-US" w:eastAsia="zh-CN" w:bidi="ar"/>
        </w:rPr>
        <w:t>政策措施制定机关相关部门</w:t>
      </w:r>
      <w:r>
        <w:rPr>
          <w:rFonts w:hint="eastAsia" w:ascii="仿宋_GB2312" w:hAnsi="仿宋_GB2312" w:eastAsia="仿宋_GB2312" w:cs="仿宋_GB2312"/>
          <w:bCs w:val="0"/>
          <w:color w:val="auto"/>
          <w:spacing w:val="0"/>
          <w:kern w:val="2"/>
          <w:sz w:val="32"/>
          <w:szCs w:val="32"/>
          <w:lang w:val="en-US" w:eastAsia="zh-CN" w:bidi="ar"/>
        </w:rPr>
        <w:t>起草后，再提交本单位法规科或办公室复查的形式,审查人员工作量大，审查质量难以保证。因此，建议联合外部的专业力量和团队，采取第三方审查方式，推动审查工作更精准、更专业、更高效。</w:t>
      </w:r>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leftChars="0" w:right="0" w:firstLine="640" w:firstLineChars="200"/>
        <w:jc w:val="both"/>
        <w:outlineLvl w:val="1"/>
        <w:rPr>
          <w:rFonts w:hint="eastAsia" w:ascii="楷体_GB2312" w:hAnsi="楷体_GB2312" w:eastAsia="楷体_GB2312" w:cs="楷体_GB2312"/>
          <w:bCs w:val="0"/>
          <w:color w:val="auto"/>
          <w:spacing w:val="0"/>
          <w:kern w:val="2"/>
          <w:sz w:val="32"/>
          <w:szCs w:val="32"/>
        </w:rPr>
      </w:pPr>
      <w:bookmarkStart w:id="15" w:name="_Toc29022"/>
      <w:r>
        <w:rPr>
          <w:rFonts w:hint="eastAsia" w:ascii="楷体_GB2312" w:hAnsi="楷体_GB2312" w:eastAsia="楷体_GB2312" w:cs="楷体_GB2312"/>
          <w:bCs w:val="0"/>
          <w:color w:val="auto"/>
          <w:spacing w:val="0"/>
          <w:kern w:val="2"/>
          <w:sz w:val="32"/>
          <w:szCs w:val="32"/>
          <w:lang w:val="en-US" w:eastAsia="zh-CN" w:bidi="ar"/>
        </w:rPr>
        <w:t>（四）利用好公平竞争审查投诉举报回应机制</w:t>
      </w:r>
      <w:bookmarkEnd w:id="15"/>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leftChars="0" w:right="0" w:firstLine="640" w:firstLineChars="200"/>
        <w:jc w:val="both"/>
        <w:rPr>
          <w:rFonts w:hint="eastAsia" w:ascii="仿宋_GB2312" w:hAnsi="仿宋_GB2312" w:eastAsia="仿宋_GB2312" w:cs="仿宋_GB2312"/>
          <w:bCs w:val="0"/>
          <w:color w:val="auto"/>
          <w:spacing w:val="0"/>
          <w:kern w:val="2"/>
          <w:sz w:val="32"/>
          <w:szCs w:val="32"/>
          <w:lang w:val="en-US" w:eastAsia="zh-CN" w:bidi="ar"/>
        </w:rPr>
      </w:pPr>
      <w:r>
        <w:rPr>
          <w:rFonts w:hint="eastAsia" w:ascii="仿宋_GB2312" w:hAnsi="仿宋_GB2312" w:eastAsia="仿宋_GB2312" w:cs="仿宋_GB2312"/>
          <w:bCs w:val="0"/>
          <w:color w:val="auto"/>
          <w:spacing w:val="0"/>
          <w:kern w:val="2"/>
          <w:sz w:val="32"/>
          <w:szCs w:val="32"/>
          <w:lang w:val="en-US" w:eastAsia="zh-CN" w:bidi="ar"/>
        </w:rPr>
        <w:t>投诉举报回应机制的建立有助于充分发挥公平竞争审查工作中社会监督的作用,是提高公平竞争审查政策透明度的有效途径</w:t>
      </w:r>
      <w:r>
        <w:rPr>
          <w:rFonts w:hint="eastAsia" w:ascii="仿宋_GB2312" w:hAnsi="仿宋_GB2312" w:eastAsia="仿宋_GB2312" w:cs="仿宋_GB2312"/>
          <w:b/>
          <w:bCs/>
          <w:color w:val="auto"/>
          <w:spacing w:val="0"/>
          <w:kern w:val="2"/>
          <w:sz w:val="32"/>
          <w:szCs w:val="32"/>
          <w:lang w:val="en-US" w:eastAsia="zh-CN" w:bidi="ar"/>
        </w:rPr>
        <w:t>。</w:t>
      </w:r>
      <w:r>
        <w:rPr>
          <w:rFonts w:hint="eastAsia" w:ascii="仿宋_GB2312" w:hAnsi="仿宋_GB2312" w:eastAsia="仿宋_GB2312" w:cs="仿宋_GB2312"/>
          <w:bCs w:val="0"/>
          <w:color w:val="auto"/>
          <w:spacing w:val="0"/>
          <w:kern w:val="2"/>
          <w:sz w:val="32"/>
          <w:szCs w:val="32"/>
          <w:lang w:eastAsia="zh-CN" w:bidi="ar"/>
        </w:rPr>
        <w:t>民乐</w:t>
      </w:r>
      <w:r>
        <w:rPr>
          <w:rFonts w:hint="eastAsia" w:ascii="仿宋_GB2312" w:hAnsi="仿宋_GB2312" w:eastAsia="仿宋_GB2312" w:cs="仿宋_GB2312"/>
          <w:bCs w:val="0"/>
          <w:color w:val="auto"/>
          <w:spacing w:val="0"/>
          <w:kern w:val="2"/>
          <w:sz w:val="32"/>
          <w:szCs w:val="32"/>
          <w:lang w:val="en-US" w:eastAsia="zh-CN" w:bidi="ar"/>
        </w:rPr>
        <w:t>县可以通过公平竞争审查投诉举报“一站式”受理与处理机制，及时回应群众关切，及时发现和纠正政策措施中出现排除和限制竞争的问题。</w:t>
      </w:r>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leftChars="0" w:right="0" w:firstLine="640" w:firstLineChars="200"/>
        <w:jc w:val="both"/>
        <w:rPr>
          <w:rFonts w:hint="eastAsia" w:ascii="仿宋_GB2312" w:hAnsi="仿宋_GB2312" w:eastAsia="仿宋_GB2312" w:cs="仿宋_GB2312"/>
          <w:bCs w:val="0"/>
          <w:color w:val="auto"/>
          <w:spacing w:val="0"/>
          <w:kern w:val="2"/>
          <w:sz w:val="32"/>
          <w:szCs w:val="32"/>
          <w:lang w:val="en-US" w:eastAsia="zh-CN" w:bidi="ar"/>
        </w:rPr>
      </w:pPr>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leftChars="0" w:right="0" w:firstLine="640" w:firstLineChars="200"/>
        <w:jc w:val="both"/>
        <w:rPr>
          <w:rFonts w:hint="eastAsia" w:ascii="仿宋_GB2312" w:hAnsi="仿宋_GB2312" w:eastAsia="仿宋_GB2312" w:cs="仿宋_GB2312"/>
          <w:bCs w:val="0"/>
          <w:color w:val="auto"/>
          <w:spacing w:val="0"/>
          <w:kern w:val="2"/>
          <w:sz w:val="32"/>
          <w:szCs w:val="32"/>
          <w:lang w:val="en-US" w:eastAsia="zh-CN" w:bidi="ar"/>
        </w:rPr>
      </w:pPr>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leftChars="0" w:right="0" w:firstLine="640" w:firstLineChars="200"/>
        <w:jc w:val="both"/>
        <w:rPr>
          <w:rFonts w:hint="eastAsia" w:ascii="仿宋_GB2312" w:hAnsi="仿宋_GB2312" w:eastAsia="仿宋_GB2312" w:cs="仿宋_GB2312"/>
          <w:bCs w:val="0"/>
          <w:color w:val="auto"/>
          <w:spacing w:val="0"/>
          <w:kern w:val="2"/>
          <w:sz w:val="32"/>
          <w:szCs w:val="32"/>
          <w:lang w:val="en-US" w:eastAsia="zh-CN" w:bidi="ar"/>
        </w:rPr>
      </w:pPr>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leftChars="0" w:right="0" w:firstLine="640" w:firstLineChars="200"/>
        <w:jc w:val="both"/>
        <w:rPr>
          <w:rFonts w:hint="eastAsia" w:ascii="仿宋_GB2312" w:hAnsi="仿宋_GB2312" w:eastAsia="仿宋_GB2312" w:cs="仿宋_GB2312"/>
          <w:bCs w:val="0"/>
          <w:color w:val="auto"/>
          <w:spacing w:val="0"/>
          <w:kern w:val="2"/>
          <w:sz w:val="32"/>
          <w:szCs w:val="32"/>
          <w:lang w:val="en-US" w:eastAsia="zh-CN" w:bidi="ar"/>
        </w:rPr>
      </w:pPr>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leftChars="0" w:right="0" w:firstLine="640" w:firstLineChars="200"/>
        <w:jc w:val="both"/>
        <w:rPr>
          <w:rFonts w:hint="eastAsia" w:ascii="仿宋_GB2312" w:hAnsi="仿宋_GB2312" w:eastAsia="仿宋_GB2312" w:cs="仿宋_GB2312"/>
          <w:bCs w:val="0"/>
          <w:color w:val="auto"/>
          <w:spacing w:val="0"/>
          <w:kern w:val="2"/>
          <w:sz w:val="32"/>
          <w:szCs w:val="32"/>
          <w:lang w:val="en-US" w:eastAsia="zh-CN" w:bidi="ar"/>
        </w:rPr>
      </w:pPr>
      <w:r>
        <w:rPr>
          <w:rFonts w:hint="eastAsia" w:ascii="仿宋_GB2312" w:hAnsi="仿宋_GB2312" w:eastAsia="仿宋_GB2312" w:cs="仿宋_GB2312"/>
          <w:bCs w:val="0"/>
          <w:color w:val="auto"/>
          <w:spacing w:val="0"/>
          <w:kern w:val="2"/>
          <w:sz w:val="32"/>
          <w:szCs w:val="32"/>
          <w:lang w:val="en-US" w:eastAsia="zh-CN" w:bidi="ar"/>
        </w:rPr>
        <w:t xml:space="preserve">                          甘肃金彤律师事务所</w:t>
      </w:r>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leftChars="0" w:right="0" w:firstLine="640" w:firstLineChars="200"/>
        <w:jc w:val="both"/>
        <w:rPr>
          <w:rFonts w:hint="default" w:ascii="仿宋_GB2312" w:hAnsi="仿宋_GB2312" w:eastAsia="仿宋_GB2312" w:cs="仿宋_GB2312"/>
          <w:bCs w:val="0"/>
          <w:color w:val="auto"/>
          <w:spacing w:val="0"/>
          <w:kern w:val="2"/>
          <w:sz w:val="32"/>
          <w:szCs w:val="32"/>
          <w:lang w:val="en-US" w:eastAsia="zh-CN" w:bidi="ar"/>
        </w:rPr>
      </w:pPr>
      <w:r>
        <w:rPr>
          <w:rFonts w:hint="eastAsia" w:ascii="仿宋_GB2312" w:hAnsi="仿宋_GB2312" w:eastAsia="仿宋_GB2312" w:cs="仿宋_GB2312"/>
          <w:bCs w:val="0"/>
          <w:color w:val="auto"/>
          <w:spacing w:val="0"/>
          <w:kern w:val="2"/>
          <w:sz w:val="32"/>
          <w:szCs w:val="32"/>
          <w:lang w:val="en-US" w:eastAsia="zh-CN" w:bidi="ar"/>
        </w:rPr>
        <w:t xml:space="preserve">                         二零二三年四月三十日</w:t>
      </w:r>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leftChars="0" w:right="0" w:firstLine="640" w:firstLineChars="200"/>
        <w:jc w:val="both"/>
        <w:rPr>
          <w:rFonts w:hint="eastAsia" w:ascii="仿宋_GB2312" w:hAnsi="仿宋_GB2312" w:eastAsia="仿宋_GB2312" w:cs="仿宋_GB2312"/>
          <w:bCs w:val="0"/>
          <w:color w:val="auto"/>
          <w:spacing w:val="0"/>
          <w:kern w:val="2"/>
          <w:sz w:val="32"/>
          <w:szCs w:val="32"/>
          <w:lang w:val="en-US" w:eastAsia="zh-CN" w:bidi="ar"/>
        </w:rPr>
      </w:pPr>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leftChars="0" w:right="0" w:firstLine="640" w:firstLineChars="200"/>
        <w:jc w:val="both"/>
        <w:rPr>
          <w:rFonts w:hint="eastAsia" w:ascii="仿宋_GB2312" w:hAnsi="仿宋_GB2312" w:eastAsia="仿宋_GB2312" w:cs="仿宋_GB2312"/>
          <w:bCs w:val="0"/>
          <w:color w:val="auto"/>
          <w:spacing w:val="0"/>
          <w:kern w:val="2"/>
          <w:sz w:val="32"/>
          <w:szCs w:val="32"/>
          <w:lang w:val="en-US" w:eastAsia="zh-CN" w:bidi="ar"/>
        </w:rPr>
      </w:pPr>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leftChars="0" w:right="0" w:firstLine="640" w:firstLineChars="200"/>
        <w:jc w:val="both"/>
        <w:rPr>
          <w:rFonts w:hint="eastAsia" w:ascii="仿宋_GB2312" w:hAnsi="仿宋_GB2312" w:eastAsia="仿宋_GB2312" w:cs="仿宋_GB2312"/>
          <w:bCs w:val="0"/>
          <w:color w:val="auto"/>
          <w:spacing w:val="0"/>
          <w:kern w:val="2"/>
          <w:sz w:val="32"/>
          <w:szCs w:val="32"/>
          <w:lang w:val="en-US" w:eastAsia="zh-CN" w:bidi="ar"/>
        </w:rPr>
      </w:pPr>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leftChars="0" w:right="0" w:firstLine="640" w:firstLineChars="200"/>
        <w:jc w:val="both"/>
        <w:rPr>
          <w:rFonts w:hint="eastAsia" w:ascii="仿宋_GB2312" w:hAnsi="仿宋_GB2312" w:eastAsia="仿宋_GB2312" w:cs="仿宋_GB2312"/>
          <w:bCs w:val="0"/>
          <w:color w:val="auto"/>
          <w:spacing w:val="0"/>
          <w:kern w:val="2"/>
          <w:sz w:val="32"/>
          <w:szCs w:val="32"/>
          <w:lang w:val="en-US" w:eastAsia="zh-CN" w:bidi="ar"/>
        </w:rPr>
      </w:pPr>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leftChars="0" w:right="0" w:firstLine="640" w:firstLineChars="200"/>
        <w:jc w:val="both"/>
        <w:rPr>
          <w:rFonts w:hint="eastAsia" w:ascii="仿宋_GB2312" w:hAnsi="仿宋_GB2312" w:eastAsia="仿宋_GB2312" w:cs="仿宋_GB2312"/>
          <w:bCs w:val="0"/>
          <w:color w:val="auto"/>
          <w:spacing w:val="0"/>
          <w:kern w:val="2"/>
          <w:sz w:val="32"/>
          <w:szCs w:val="32"/>
          <w:lang w:val="en-US" w:eastAsia="zh-CN" w:bidi="ar"/>
        </w:rPr>
      </w:pPr>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leftChars="0" w:right="0" w:firstLine="640" w:firstLineChars="200"/>
        <w:jc w:val="both"/>
        <w:rPr>
          <w:rFonts w:hint="eastAsia" w:ascii="仿宋_GB2312" w:hAnsi="仿宋_GB2312" w:eastAsia="仿宋_GB2312" w:cs="仿宋_GB2312"/>
          <w:bCs w:val="0"/>
          <w:color w:val="auto"/>
          <w:spacing w:val="0"/>
          <w:kern w:val="2"/>
          <w:sz w:val="32"/>
          <w:szCs w:val="32"/>
          <w:lang w:val="en-US" w:eastAsia="zh-CN" w:bidi="ar"/>
        </w:rPr>
      </w:pPr>
    </w:p>
    <w:p>
      <w:pPr>
        <w:keepNext w:val="0"/>
        <w:keepLines w:val="0"/>
        <w:pageBreakBefore w:val="0"/>
        <w:widowControl w:val="0"/>
        <w:suppressLineNumbers w:val="0"/>
        <w:kinsoku/>
        <w:wordWrap/>
        <w:overflowPunct/>
        <w:topLinePunct/>
        <w:autoSpaceDE/>
        <w:autoSpaceDN/>
        <w:bidi w:val="0"/>
        <w:spacing w:beforeAutospacing="0" w:afterAutospacing="0" w:line="540" w:lineRule="exact"/>
        <w:ind w:left="0" w:leftChars="0" w:right="0" w:firstLine="640" w:firstLineChars="200"/>
        <w:jc w:val="both"/>
        <w:rPr>
          <w:rFonts w:hint="eastAsia" w:ascii="仿宋_GB2312" w:hAnsi="仿宋_GB2312" w:eastAsia="仿宋_GB2312" w:cs="仿宋_GB2312"/>
          <w:bCs w:val="0"/>
          <w:color w:val="auto"/>
          <w:spacing w:val="0"/>
          <w:kern w:val="2"/>
          <w:sz w:val="32"/>
          <w:szCs w:val="32"/>
          <w:lang w:val="en-US" w:eastAsia="zh-CN" w:bidi="ar"/>
        </w:rPr>
      </w:pPr>
    </w:p>
    <w:p>
      <w:pPr>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line="540" w:lineRule="exact"/>
        <w:ind w:right="0" w:rightChars="0"/>
        <w:jc w:val="both"/>
        <w:textAlignment w:val="auto"/>
        <w:outlineLvl w:val="0"/>
        <w:rPr>
          <w:rFonts w:hint="eastAsia" w:ascii="黑体" w:hAnsi="黑体" w:eastAsia="黑体" w:cs="黑体"/>
          <w:b w:val="0"/>
          <w:bCs/>
          <w:color w:val="auto"/>
          <w:spacing w:val="0"/>
          <w:position w:val="0"/>
          <w:sz w:val="32"/>
          <w:szCs w:val="32"/>
          <w:lang w:val="en-US" w:eastAsia="zh-CN"/>
        </w:rPr>
      </w:pPr>
      <w:bookmarkStart w:id="16" w:name="_Toc20366"/>
      <w:r>
        <w:rPr>
          <w:rFonts w:hint="eastAsia" w:ascii="黑体" w:hAnsi="黑体" w:eastAsia="黑体" w:cs="黑体"/>
          <w:b w:val="0"/>
          <w:bCs/>
          <w:color w:val="auto"/>
          <w:spacing w:val="0"/>
          <w:position w:val="0"/>
          <w:sz w:val="32"/>
          <w:szCs w:val="32"/>
          <w:lang w:val="en-US" w:eastAsia="zh-CN"/>
        </w:rPr>
        <w:t>附件一：民乐县政策措施文件目录</w:t>
      </w:r>
      <w:bookmarkEnd w:id="16"/>
    </w:p>
    <w:p>
      <w:pPr>
        <w:pStyle w:val="2"/>
        <w:jc w:val="center"/>
        <w:outlineLvl w:val="0"/>
        <w:rPr>
          <w:rFonts w:hint="eastAsia"/>
          <w:lang w:val="en-US" w:eastAsia="zh-CN"/>
        </w:rPr>
      </w:pPr>
      <w:bookmarkStart w:id="17" w:name="_Toc32550"/>
      <w:r>
        <w:rPr>
          <w:rFonts w:hint="eastAsia" w:ascii="黑体" w:hAnsi="黑体" w:eastAsia="黑体" w:cs="黑体"/>
          <w:b w:val="0"/>
          <w:bCs/>
          <w:color w:val="auto"/>
          <w:spacing w:val="0"/>
          <w:kern w:val="2"/>
          <w:position w:val="0"/>
          <w:sz w:val="28"/>
          <w:szCs w:val="30"/>
          <w:lang w:val="en-US" w:eastAsia="zh-CN" w:bidi="ar"/>
        </w:rPr>
        <w:t>民乐县政策措施文件目录</w:t>
      </w:r>
      <w:bookmarkEnd w:id="17"/>
    </w:p>
    <w:tbl>
      <w:tblPr>
        <w:tblStyle w:val="13"/>
        <w:tblW w:w="49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576"/>
        <w:gridCol w:w="1892"/>
        <w:gridCol w:w="3671"/>
        <w:gridCol w:w="1348"/>
        <w:gridCol w:w="1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4" w:hRule="atLeast"/>
          <w:jc w:val="center"/>
        </w:trPr>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序号</w:t>
            </w:r>
          </w:p>
        </w:tc>
        <w:tc>
          <w:tcPr>
            <w:tcW w:w="1061"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文号</w:t>
            </w:r>
          </w:p>
        </w:tc>
        <w:tc>
          <w:tcPr>
            <w:tcW w:w="205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文件名称</w:t>
            </w:r>
          </w:p>
        </w:tc>
        <w:tc>
          <w:tcPr>
            <w:tcW w:w="756"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是否在本次审核时间范围内</w:t>
            </w:r>
          </w:p>
        </w:tc>
        <w:tc>
          <w:tcPr>
            <w:tcW w:w="800"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是否涉及市场主体及经济活动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4" w:hRule="atLeast"/>
          <w:jc w:val="center"/>
        </w:trPr>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w:t>
            </w:r>
          </w:p>
        </w:tc>
        <w:tc>
          <w:tcPr>
            <w:tcW w:w="1061"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高促中民办发〔2021〕4号</w:t>
            </w:r>
          </w:p>
        </w:tc>
        <w:tc>
          <w:tcPr>
            <w:tcW w:w="2058"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关于进一步健全支持中小企业发展制度的若干措施</w:t>
            </w:r>
          </w:p>
        </w:tc>
        <w:tc>
          <w:tcPr>
            <w:tcW w:w="756"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c>
          <w:tcPr>
            <w:tcW w:w="800"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w:t>
            </w:r>
          </w:p>
        </w:tc>
        <w:tc>
          <w:tcPr>
            <w:tcW w:w="1061"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民政办发（2021）37号</w:t>
            </w:r>
          </w:p>
        </w:tc>
        <w:tc>
          <w:tcPr>
            <w:tcW w:w="2058"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关于加快推进现代农业高质量发展的意见</w:t>
            </w:r>
          </w:p>
        </w:tc>
        <w:tc>
          <w:tcPr>
            <w:tcW w:w="756"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c>
          <w:tcPr>
            <w:tcW w:w="800"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w:t>
            </w:r>
          </w:p>
        </w:tc>
        <w:tc>
          <w:tcPr>
            <w:tcW w:w="1061"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民政办发（2021）57号</w:t>
            </w:r>
          </w:p>
        </w:tc>
        <w:tc>
          <w:tcPr>
            <w:tcW w:w="2058"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关于开展乡村振兴“十项重点工作”实施方案</w:t>
            </w:r>
          </w:p>
        </w:tc>
        <w:tc>
          <w:tcPr>
            <w:tcW w:w="756"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c>
          <w:tcPr>
            <w:tcW w:w="800"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w:t>
            </w:r>
          </w:p>
        </w:tc>
        <w:tc>
          <w:tcPr>
            <w:tcW w:w="1061"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民政办发（2021）60号</w:t>
            </w:r>
          </w:p>
        </w:tc>
        <w:tc>
          <w:tcPr>
            <w:tcW w:w="2058"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民乐县产业链招商班组建工作方案</w:t>
            </w:r>
          </w:p>
        </w:tc>
        <w:tc>
          <w:tcPr>
            <w:tcW w:w="756"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c>
          <w:tcPr>
            <w:tcW w:w="800"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w:t>
            </w:r>
          </w:p>
        </w:tc>
        <w:tc>
          <w:tcPr>
            <w:tcW w:w="1061"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民政办发（2021）66号</w:t>
            </w:r>
          </w:p>
        </w:tc>
        <w:tc>
          <w:tcPr>
            <w:tcW w:w="2058"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民乐县扶贫项目资产后续管理和监督实施办法</w:t>
            </w:r>
          </w:p>
        </w:tc>
        <w:tc>
          <w:tcPr>
            <w:tcW w:w="756"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c>
          <w:tcPr>
            <w:tcW w:w="800"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4" w:hRule="atLeast"/>
          <w:jc w:val="center"/>
        </w:trPr>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6</w:t>
            </w:r>
          </w:p>
        </w:tc>
        <w:tc>
          <w:tcPr>
            <w:tcW w:w="1061"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民办发（2022）14号</w:t>
            </w:r>
          </w:p>
        </w:tc>
        <w:tc>
          <w:tcPr>
            <w:tcW w:w="2058"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民乐县加强县域商业体系建设促进农村消费实施方案</w:t>
            </w:r>
          </w:p>
        </w:tc>
        <w:tc>
          <w:tcPr>
            <w:tcW w:w="756"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c>
          <w:tcPr>
            <w:tcW w:w="800"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7</w:t>
            </w:r>
          </w:p>
        </w:tc>
        <w:tc>
          <w:tcPr>
            <w:tcW w:w="1061"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民办发（2022）16号</w:t>
            </w:r>
          </w:p>
        </w:tc>
        <w:tc>
          <w:tcPr>
            <w:tcW w:w="2058"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民乐县大宗地产中药材产地加工（趁鲜切制）工作方案</w:t>
            </w:r>
          </w:p>
        </w:tc>
        <w:tc>
          <w:tcPr>
            <w:tcW w:w="756"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c>
          <w:tcPr>
            <w:tcW w:w="800"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4" w:hRule="atLeast"/>
          <w:jc w:val="center"/>
        </w:trPr>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8</w:t>
            </w:r>
          </w:p>
        </w:tc>
        <w:tc>
          <w:tcPr>
            <w:tcW w:w="1061"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民政发（2022）57号</w:t>
            </w:r>
          </w:p>
        </w:tc>
        <w:tc>
          <w:tcPr>
            <w:tcW w:w="2058"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民乐县支持文化旅游产业发展扶持奖励办法</w:t>
            </w:r>
          </w:p>
        </w:tc>
        <w:tc>
          <w:tcPr>
            <w:tcW w:w="756"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c>
          <w:tcPr>
            <w:tcW w:w="800"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4" w:hRule="atLeast"/>
          <w:jc w:val="center"/>
        </w:trPr>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9</w:t>
            </w:r>
          </w:p>
        </w:tc>
        <w:tc>
          <w:tcPr>
            <w:tcW w:w="1061"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民政办发（2022）68号</w:t>
            </w:r>
          </w:p>
        </w:tc>
        <w:tc>
          <w:tcPr>
            <w:tcW w:w="2058"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关于加快推进马铃薯产业高质量发展的意见</w:t>
            </w:r>
          </w:p>
        </w:tc>
        <w:tc>
          <w:tcPr>
            <w:tcW w:w="756"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c>
          <w:tcPr>
            <w:tcW w:w="800"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84" w:hRule="atLeast"/>
          <w:jc w:val="center"/>
        </w:trPr>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10</w:t>
            </w:r>
          </w:p>
        </w:tc>
        <w:tc>
          <w:tcPr>
            <w:tcW w:w="1061"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民政办发（2022）75号</w:t>
            </w:r>
          </w:p>
        </w:tc>
        <w:tc>
          <w:tcPr>
            <w:tcW w:w="2058"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（民乐县完善政府猪肉储备调节机制做好猪肉市场保供稳价工作预案</w:t>
            </w:r>
          </w:p>
        </w:tc>
        <w:tc>
          <w:tcPr>
            <w:tcW w:w="756"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c>
          <w:tcPr>
            <w:tcW w:w="800"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5" w:hRule="atLeast"/>
          <w:jc w:val="center"/>
        </w:trPr>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11</w:t>
            </w:r>
          </w:p>
        </w:tc>
        <w:tc>
          <w:tcPr>
            <w:tcW w:w="1061"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民政办发2022）111号</w:t>
            </w:r>
          </w:p>
        </w:tc>
        <w:tc>
          <w:tcPr>
            <w:tcW w:w="2058"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民乐县农业社会化服务体系建设实施方案</w:t>
            </w:r>
          </w:p>
        </w:tc>
        <w:tc>
          <w:tcPr>
            <w:tcW w:w="756"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c>
          <w:tcPr>
            <w:tcW w:w="800"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25" w:hRule="atLeast"/>
          <w:jc w:val="center"/>
        </w:trPr>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12</w:t>
            </w:r>
          </w:p>
        </w:tc>
        <w:tc>
          <w:tcPr>
            <w:tcW w:w="1061"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民政办发2022）112号</w:t>
            </w:r>
          </w:p>
        </w:tc>
        <w:tc>
          <w:tcPr>
            <w:tcW w:w="2058"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关于进一步做好2022整村搬迁土地经营管理工作的意见</w:t>
            </w:r>
          </w:p>
        </w:tc>
        <w:tc>
          <w:tcPr>
            <w:tcW w:w="756"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c>
          <w:tcPr>
            <w:tcW w:w="800"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0" w:hRule="atLeast"/>
          <w:jc w:val="center"/>
        </w:trPr>
        <w:tc>
          <w:tcPr>
            <w:tcW w:w="323"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13</w:t>
            </w:r>
          </w:p>
        </w:tc>
        <w:tc>
          <w:tcPr>
            <w:tcW w:w="1061"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民政发（2022）113号</w:t>
            </w:r>
          </w:p>
        </w:tc>
        <w:tc>
          <w:tcPr>
            <w:tcW w:w="2058"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民乐县规范农村土地经营权流转实施方案</w:t>
            </w:r>
          </w:p>
        </w:tc>
        <w:tc>
          <w:tcPr>
            <w:tcW w:w="756"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c>
          <w:tcPr>
            <w:tcW w:w="800" w:type="pct"/>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bl>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line="540" w:lineRule="exact"/>
        <w:ind w:right="0" w:rightChars="0"/>
        <w:jc w:val="both"/>
        <w:textAlignment w:val="auto"/>
        <w:outlineLvl w:val="0"/>
        <w:rPr>
          <w:rFonts w:hint="eastAsia" w:ascii="黑体" w:hAnsi="黑体" w:eastAsia="黑体" w:cs="黑体"/>
          <w:b w:val="0"/>
          <w:bCs/>
          <w:color w:val="auto"/>
          <w:spacing w:val="0"/>
          <w:position w:val="0"/>
          <w:sz w:val="32"/>
          <w:szCs w:val="32"/>
          <w:lang w:val="en-US" w:eastAsia="zh-CN"/>
        </w:rPr>
      </w:pPr>
      <w:bookmarkStart w:id="18" w:name="_Toc5399"/>
      <w:r>
        <w:rPr>
          <w:rFonts w:hint="eastAsia" w:ascii="黑体" w:hAnsi="黑体" w:eastAsia="黑体" w:cs="黑体"/>
          <w:b w:val="0"/>
          <w:bCs/>
          <w:color w:val="auto"/>
          <w:spacing w:val="0"/>
          <w:position w:val="0"/>
          <w:sz w:val="32"/>
          <w:szCs w:val="32"/>
          <w:lang w:val="en-US" w:eastAsia="zh-CN"/>
        </w:rPr>
        <w:t>附件二：</w:t>
      </w:r>
      <w:bookmarkEnd w:id="18"/>
      <w:r>
        <w:rPr>
          <w:rFonts w:hint="eastAsia" w:ascii="黑体" w:hAnsi="黑体" w:eastAsia="黑体" w:cs="黑体"/>
          <w:b w:val="0"/>
          <w:bCs/>
          <w:color w:val="auto"/>
          <w:spacing w:val="0"/>
          <w:position w:val="0"/>
          <w:sz w:val="32"/>
          <w:szCs w:val="32"/>
          <w:lang w:val="en-US" w:eastAsia="zh-CN"/>
        </w:rPr>
        <w:t>民乐县政策措施评估表</w:t>
      </w:r>
      <w:bookmarkStart w:id="33" w:name="_GoBack"/>
      <w:bookmarkEnd w:id="33"/>
    </w:p>
    <w:p>
      <w:pPr>
        <w:keepNext w:val="0"/>
        <w:keepLines w:val="0"/>
        <w:pageBreakBefore w:val="0"/>
        <w:widowControl w:val="0"/>
        <w:suppressLineNumbers w:val="0"/>
        <w:kinsoku/>
        <w:wordWrap/>
        <w:overflowPunct/>
        <w:topLinePunct w:val="0"/>
        <w:bidi w:val="0"/>
        <w:spacing w:before="0" w:beforeAutospacing="0" w:after="0" w:afterAutospacing="0" w:line="560" w:lineRule="exact"/>
        <w:ind w:left="0" w:right="0"/>
        <w:jc w:val="center"/>
        <w:textAlignment w:val="auto"/>
        <w:outlineLvl w:val="0"/>
        <w:rPr>
          <w:rFonts w:hint="eastAsia" w:ascii="仿宋_GB2312" w:hAnsi="仿宋_GB2312" w:eastAsia="仿宋_GB2312" w:cs="仿宋_GB2312"/>
          <w:b w:val="0"/>
          <w:bCs/>
          <w:color w:val="auto"/>
          <w:spacing w:val="0"/>
          <w:kern w:val="2"/>
          <w:position w:val="0"/>
          <w:sz w:val="24"/>
          <w:szCs w:val="24"/>
          <w:lang w:val="en-US" w:eastAsia="zh-CN" w:bidi="ar-SA"/>
        </w:rPr>
      </w:pPr>
      <w:bookmarkStart w:id="19" w:name="_Toc26904"/>
      <w:bookmarkStart w:id="20" w:name="_Toc7045"/>
      <w:r>
        <w:rPr>
          <w:rFonts w:hint="eastAsia" w:ascii="黑体" w:hAnsi="黑体" w:eastAsia="黑体" w:cs="黑体"/>
          <w:b w:val="0"/>
          <w:bCs/>
          <w:color w:val="auto"/>
          <w:spacing w:val="0"/>
          <w:kern w:val="2"/>
          <w:position w:val="0"/>
          <w:sz w:val="28"/>
          <w:szCs w:val="30"/>
          <w:lang w:val="en-US" w:eastAsia="zh-CN" w:bidi="ar"/>
        </w:rPr>
        <w:t>公平竞争第三方审查表</w:t>
      </w:r>
      <w:bookmarkEnd w:id="19"/>
      <w:bookmarkEnd w:id="20"/>
    </w:p>
    <w:tbl>
      <w:tblPr>
        <w:tblStyle w:val="12"/>
        <w:tblW w:w="904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617"/>
        <w:gridCol w:w="4829"/>
        <w:gridCol w:w="132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关于进一步健全支持中小企业发展制度的若干措施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民办发〔2021〕4号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制定机关</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民乐县人民政府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1、是否开展内部审查</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2、是否履行征求意见程序</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2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一、是否违反市场准入和退出标准</w:t>
            </w:r>
          </w:p>
        </w:tc>
        <w:tc>
          <w:tcPr>
            <w:tcW w:w="132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2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1、设置不合理和歧视性的准入和退出条件</w:t>
            </w:r>
          </w:p>
        </w:tc>
        <w:tc>
          <w:tcPr>
            <w:tcW w:w="132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2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2、未经公平竞争授予经营者特许经营权</w:t>
            </w:r>
          </w:p>
        </w:tc>
        <w:tc>
          <w:tcPr>
            <w:tcW w:w="132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2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3、限定经营、购买、使用特定经营者提供的商品和服务</w:t>
            </w:r>
          </w:p>
        </w:tc>
        <w:tc>
          <w:tcPr>
            <w:tcW w:w="132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2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4、设置没有法律法规依据的审批或者具有行政审批性质的事前备案程序</w:t>
            </w:r>
          </w:p>
        </w:tc>
        <w:tc>
          <w:tcPr>
            <w:tcW w:w="132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2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5、对市场准入负面清单以外的行业、领域、业务设置审批程序</w:t>
            </w:r>
          </w:p>
        </w:tc>
        <w:tc>
          <w:tcPr>
            <w:tcW w:w="132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2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二、是否违反商品要素自由流通标准</w:t>
            </w:r>
          </w:p>
        </w:tc>
        <w:tc>
          <w:tcPr>
            <w:tcW w:w="132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2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1、对外地和进口食品、服务实行歧视性价格或补贴政策</w:t>
            </w:r>
          </w:p>
        </w:tc>
        <w:tc>
          <w:tcPr>
            <w:tcW w:w="132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2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2、限制外地和进口商品、服务进入本地市场或阻碍本地商品运出</w:t>
            </w:r>
          </w:p>
        </w:tc>
        <w:tc>
          <w:tcPr>
            <w:tcW w:w="132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2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3、排斥或限制外地经营者参加本地招标投标活动</w:t>
            </w:r>
          </w:p>
        </w:tc>
        <w:tc>
          <w:tcPr>
            <w:tcW w:w="132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2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4、排斥或限制外地经营者在本地投资或设立分支机构</w:t>
            </w:r>
          </w:p>
        </w:tc>
        <w:tc>
          <w:tcPr>
            <w:tcW w:w="132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2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5、对外地经营者在本地投资或设立的分支机构进行歧视性待遇</w:t>
            </w:r>
          </w:p>
        </w:tc>
        <w:tc>
          <w:tcPr>
            <w:tcW w:w="132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2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三、是否违反影响生产经营成本标准</w:t>
            </w:r>
          </w:p>
        </w:tc>
        <w:tc>
          <w:tcPr>
            <w:tcW w:w="132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2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1、违法给予特定经营者优惠政策</w:t>
            </w:r>
          </w:p>
        </w:tc>
        <w:tc>
          <w:tcPr>
            <w:tcW w:w="132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2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2、将财政支出安排与企业缴纳的税收或非税收入挂钩</w:t>
            </w:r>
          </w:p>
        </w:tc>
        <w:tc>
          <w:tcPr>
            <w:tcW w:w="132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72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3、违法免除特定经营者需要缴纳的社会保险费用</w:t>
            </w:r>
          </w:p>
        </w:tc>
        <w:tc>
          <w:tcPr>
            <w:tcW w:w="132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72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4、违法要求经营者提供各类保证金或扣留经营者保证金</w:t>
            </w:r>
          </w:p>
        </w:tc>
        <w:tc>
          <w:tcPr>
            <w:tcW w:w="132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2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四、是否违反影响生产经营行为标准</w:t>
            </w:r>
          </w:p>
        </w:tc>
        <w:tc>
          <w:tcPr>
            <w:tcW w:w="132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72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1、强制经营者从事《反垄断法》规定的垄断行为</w:t>
            </w:r>
          </w:p>
        </w:tc>
        <w:tc>
          <w:tcPr>
            <w:tcW w:w="132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72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2、违法披露或者要求经营者披露生产经营敏感信息</w:t>
            </w:r>
          </w:p>
        </w:tc>
        <w:tc>
          <w:tcPr>
            <w:tcW w:w="132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2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3、超越定价权限进行政府定价</w:t>
            </w:r>
          </w:p>
        </w:tc>
        <w:tc>
          <w:tcPr>
            <w:tcW w:w="132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72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五、是否违反兜底条款</w:t>
            </w:r>
          </w:p>
        </w:tc>
        <w:tc>
          <w:tcPr>
            <w:tcW w:w="132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72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1、是否无法律法规依据减损市场主体合法权益或者增加其义务</w:t>
            </w:r>
          </w:p>
        </w:tc>
        <w:tc>
          <w:tcPr>
            <w:tcW w:w="132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2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2、是否违反《反垄断法》制定含有排除竞争内容的政策措施</w:t>
            </w:r>
          </w:p>
        </w:tc>
        <w:tc>
          <w:tcPr>
            <w:tcW w:w="132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2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六、是否适用例外规定</w:t>
            </w:r>
          </w:p>
        </w:tc>
        <w:tc>
          <w:tcPr>
            <w:tcW w:w="132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2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1、维护国家经济安全、文化安全或者设计国防建设</w:t>
            </w:r>
          </w:p>
        </w:tc>
        <w:tc>
          <w:tcPr>
            <w:tcW w:w="132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2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2、实现扶贫开发，救灾救助等社会目的</w:t>
            </w:r>
          </w:p>
        </w:tc>
        <w:tc>
          <w:tcPr>
            <w:tcW w:w="132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2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3、实现节约能源资源，保护生态环境的社会公益目的</w:t>
            </w:r>
          </w:p>
        </w:tc>
        <w:tc>
          <w:tcPr>
            <w:tcW w:w="132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21"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4、法律行政法规规定的其他情况</w:t>
            </w:r>
          </w:p>
        </w:tc>
        <w:tc>
          <w:tcPr>
            <w:tcW w:w="132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140" w:hRule="exac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不违反公平竞争审查标准</w:t>
            </w:r>
          </w:p>
        </w:tc>
      </w:tr>
    </w:tbl>
    <w:p>
      <w:pPr>
        <w:rPr>
          <w:color w:val="auto"/>
        </w:rPr>
      </w:pPr>
    </w:p>
    <w:p>
      <w:pPr>
        <w:rPr>
          <w:color w:val="auto"/>
        </w:rPr>
      </w:pPr>
    </w:p>
    <w:p>
      <w:pPr>
        <w:rPr>
          <w:color w:val="auto"/>
        </w:rPr>
      </w:pPr>
    </w:p>
    <w:p>
      <w:pPr>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line="540" w:lineRule="exact"/>
        <w:ind w:right="0" w:rightChars="0"/>
        <w:jc w:val="center"/>
        <w:textAlignment w:val="auto"/>
        <w:outlineLvl w:val="9"/>
        <w:rPr>
          <w:rFonts w:hint="eastAsia" w:ascii="仿宋_GB2312" w:hAnsi="仿宋_GB2312" w:eastAsia="仿宋_GB2312" w:cs="仿宋_GB2312"/>
          <w:b w:val="0"/>
          <w:bCs/>
          <w:color w:val="auto"/>
          <w:spacing w:val="0"/>
          <w:position w:val="0"/>
          <w:sz w:val="28"/>
          <w:szCs w:val="28"/>
          <w:lang w:val="en-US" w:eastAsia="zh-CN"/>
        </w:rPr>
      </w:pPr>
    </w:p>
    <w:p>
      <w:pPr>
        <w:pStyle w:val="2"/>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line="540" w:lineRule="exact"/>
        <w:ind w:right="0" w:rightChars="0"/>
        <w:jc w:val="center"/>
        <w:textAlignment w:val="auto"/>
        <w:outlineLvl w:val="0"/>
        <w:rPr>
          <w:color w:val="auto"/>
        </w:rPr>
      </w:pPr>
      <w:bookmarkStart w:id="21" w:name="_Toc19500"/>
      <w:r>
        <w:rPr>
          <w:rFonts w:hint="eastAsia" w:ascii="黑体" w:hAnsi="黑体" w:eastAsia="黑体" w:cs="黑体"/>
          <w:b w:val="0"/>
          <w:bCs/>
          <w:color w:val="auto"/>
          <w:spacing w:val="0"/>
          <w:kern w:val="2"/>
          <w:position w:val="0"/>
          <w:sz w:val="28"/>
          <w:szCs w:val="30"/>
          <w:lang w:val="en-US" w:eastAsia="zh-CN" w:bidi="ar"/>
        </w:rPr>
        <w:t>公平竞争第三方审查表</w:t>
      </w:r>
      <w:bookmarkEnd w:id="21"/>
    </w:p>
    <w:tbl>
      <w:tblPr>
        <w:tblStyle w:val="12"/>
        <w:tblW w:w="904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617"/>
        <w:gridCol w:w="4704"/>
        <w:gridCol w:w="144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《关于加快推进现代农业高质量发展的意见》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民办发〔2021〕37号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制定机关</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民乐县人民政府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1、是否开展内部审查</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2、是否履行征求意见程序</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59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一、是否违反市场准入和退出标准</w:t>
            </w:r>
          </w:p>
        </w:tc>
        <w:tc>
          <w:tcPr>
            <w:tcW w:w="144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59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1、设置不合理和歧视性的准入和退出条件</w:t>
            </w:r>
          </w:p>
        </w:tc>
        <w:tc>
          <w:tcPr>
            <w:tcW w:w="144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59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2、未经公平竞争授予经营者特许经营权</w:t>
            </w:r>
          </w:p>
        </w:tc>
        <w:tc>
          <w:tcPr>
            <w:tcW w:w="144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59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3、限定经营、购买、使用特定经营者提供的商品和服务</w:t>
            </w:r>
          </w:p>
        </w:tc>
        <w:tc>
          <w:tcPr>
            <w:tcW w:w="144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60" w:hRule="exact"/>
        </w:trPr>
        <w:tc>
          <w:tcPr>
            <w:tcW w:w="759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4、设置没有法律法规依据的审批或者具有行政审批性质的事前备案程序</w:t>
            </w:r>
          </w:p>
        </w:tc>
        <w:tc>
          <w:tcPr>
            <w:tcW w:w="144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59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5、对市场准入负面清单以外的行业、领域、业务设置审批程序</w:t>
            </w:r>
          </w:p>
        </w:tc>
        <w:tc>
          <w:tcPr>
            <w:tcW w:w="144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59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二、是否违反商品要素自由流通标准</w:t>
            </w:r>
          </w:p>
        </w:tc>
        <w:tc>
          <w:tcPr>
            <w:tcW w:w="144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59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1、对外地和进口食品、服务实行歧视性价格或补贴政策</w:t>
            </w:r>
          </w:p>
        </w:tc>
        <w:tc>
          <w:tcPr>
            <w:tcW w:w="144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59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2、限制外地和进口商品、服务进入本地市场或阻碍本地商品运出</w:t>
            </w:r>
          </w:p>
        </w:tc>
        <w:tc>
          <w:tcPr>
            <w:tcW w:w="144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59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3、排斥或限制外地经营者参加本地招标投标活动</w:t>
            </w:r>
          </w:p>
        </w:tc>
        <w:tc>
          <w:tcPr>
            <w:tcW w:w="144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59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4、排斥或限制外地经营者在本地投资或设立分支机构</w:t>
            </w:r>
          </w:p>
        </w:tc>
        <w:tc>
          <w:tcPr>
            <w:tcW w:w="144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59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5、对外地经营者在本地投资或设立的分支机构进行歧视性待遇</w:t>
            </w:r>
          </w:p>
        </w:tc>
        <w:tc>
          <w:tcPr>
            <w:tcW w:w="144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59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三、是否违反影响生产经营成本标准</w:t>
            </w:r>
          </w:p>
        </w:tc>
        <w:tc>
          <w:tcPr>
            <w:tcW w:w="144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59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1、违法给予特定经营者优惠政策</w:t>
            </w:r>
          </w:p>
        </w:tc>
        <w:tc>
          <w:tcPr>
            <w:tcW w:w="144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59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2、将财政支出安排与企业缴纳的税收或非税收入挂钩</w:t>
            </w:r>
          </w:p>
        </w:tc>
        <w:tc>
          <w:tcPr>
            <w:tcW w:w="144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59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3、违法免除特定经营者需要缴纳的社会保险费用</w:t>
            </w:r>
          </w:p>
        </w:tc>
        <w:tc>
          <w:tcPr>
            <w:tcW w:w="144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59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4、违法要求经营者提供各类保证金或扣留经营者保证金</w:t>
            </w:r>
          </w:p>
        </w:tc>
        <w:tc>
          <w:tcPr>
            <w:tcW w:w="144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59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四、是否违反影响生产经营行为标准</w:t>
            </w:r>
          </w:p>
        </w:tc>
        <w:tc>
          <w:tcPr>
            <w:tcW w:w="144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59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1、强制经营者从事《反垄断法》规定的垄断行为</w:t>
            </w:r>
          </w:p>
        </w:tc>
        <w:tc>
          <w:tcPr>
            <w:tcW w:w="144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59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2、违法披露或者要求经营者披露生产经营敏感信息</w:t>
            </w:r>
          </w:p>
        </w:tc>
        <w:tc>
          <w:tcPr>
            <w:tcW w:w="144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59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3、超越定价权限进行政府定价</w:t>
            </w:r>
          </w:p>
        </w:tc>
        <w:tc>
          <w:tcPr>
            <w:tcW w:w="144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59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五、是否违反兜底条款</w:t>
            </w:r>
          </w:p>
        </w:tc>
        <w:tc>
          <w:tcPr>
            <w:tcW w:w="144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59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1、是否无法律法规依据减损市场主体合法权益或者增加其义务</w:t>
            </w:r>
          </w:p>
        </w:tc>
        <w:tc>
          <w:tcPr>
            <w:tcW w:w="144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59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2、是否违反《反垄断法》制定含有排除竞争内容的政策措施</w:t>
            </w:r>
          </w:p>
        </w:tc>
        <w:tc>
          <w:tcPr>
            <w:tcW w:w="144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59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六、是否适用例外规定</w:t>
            </w:r>
          </w:p>
        </w:tc>
        <w:tc>
          <w:tcPr>
            <w:tcW w:w="144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59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1、维护国家经济安全、文化安全或者设计国防建设</w:t>
            </w:r>
          </w:p>
        </w:tc>
        <w:tc>
          <w:tcPr>
            <w:tcW w:w="144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59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2、实现扶贫开发，救灾救助等社会目的</w:t>
            </w:r>
          </w:p>
        </w:tc>
        <w:tc>
          <w:tcPr>
            <w:tcW w:w="144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59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3、实现节约能源资源，保护生态环境的社会公益目的</w:t>
            </w:r>
          </w:p>
        </w:tc>
        <w:tc>
          <w:tcPr>
            <w:tcW w:w="144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59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4、法律行政法规规定的其他情况</w:t>
            </w:r>
          </w:p>
        </w:tc>
        <w:tc>
          <w:tcPr>
            <w:tcW w:w="144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590" w:hRule="exac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违反公平竞争审查标准十一不得违法给予特定经营者优惠政策；</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直接规定具体的受惠企业；</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概括性地表述为“依托”“引导、支持”“重点发展”“做强”龙头企业。</w:t>
            </w:r>
          </w:p>
        </w:tc>
      </w:tr>
    </w:tbl>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line="540" w:lineRule="exact"/>
        <w:ind w:right="0" w:rightChars="0"/>
        <w:jc w:val="center"/>
        <w:textAlignment w:val="auto"/>
        <w:outlineLvl w:val="0"/>
        <w:rPr>
          <w:rFonts w:hint="eastAsia" w:ascii="仿宋_GB2312" w:hAnsi="仿宋_GB2312" w:eastAsia="仿宋_GB2312" w:cs="仿宋_GB2312"/>
          <w:b w:val="0"/>
          <w:bCs/>
          <w:color w:val="auto"/>
          <w:spacing w:val="0"/>
          <w:position w:val="0"/>
          <w:sz w:val="24"/>
          <w:szCs w:val="24"/>
          <w:lang w:val="en-US" w:eastAsia="zh-CN"/>
        </w:rPr>
      </w:pPr>
      <w:bookmarkStart w:id="22" w:name="_Toc22611"/>
      <w:r>
        <w:rPr>
          <w:rFonts w:hint="eastAsia" w:ascii="黑体" w:hAnsi="黑体" w:eastAsia="黑体" w:cs="黑体"/>
          <w:b w:val="0"/>
          <w:bCs/>
          <w:color w:val="auto"/>
          <w:spacing w:val="0"/>
          <w:kern w:val="2"/>
          <w:position w:val="0"/>
          <w:sz w:val="28"/>
          <w:szCs w:val="30"/>
          <w:lang w:val="en-US" w:eastAsia="zh-CN" w:bidi="ar"/>
        </w:rPr>
        <w:t>公平竞争第三方审查表</w:t>
      </w:r>
      <w:bookmarkEnd w:id="22"/>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617"/>
        <w:gridCol w:w="4162"/>
        <w:gridCol w:w="19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《关于开展乡村振兴“十项重点工作”实施方案》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民办发〔2021〕57号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制定机关</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民乐县人民政府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1、是否开展内部审查</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2、是否履行征求意见程序</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一、是否违反市场准入和退出标准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1、设置不合理和歧视性的准入和退出条件</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2、未经公平竞争授予经营者特许经营权</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3、限定经营、购买、使用特定经营者提供的商品和服务</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70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4、设置没有法律法规依据的审批或者具有行政审批性质的事前备案程序</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5、对市场准入负面清单以外的行业、领域、业务设置审批程序</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二、是否违反商品要素自由流通标准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1、对外地和进口食品、服务实行歧视性价格或补贴政策</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2、限制外地和进口商品、服务进入本地市场或阻碍本地商品运出</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3、排斥或限制外地经营者参加本地招标投标活动</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4、排斥或限制外地经营者在本地投资或设立分支机构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5、对外地经营者在本地投资或设立的分支机构进行歧视性待遇</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三、是否违反影响生产经营成本标准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1、违法给予特定经营者优惠政策</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2、将财政支出安排与企业缴纳的税收或非税收入挂钩</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3、违法免除特定经营者需要缴纳的社会保险费用</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4、违法要求经营者提供各类保证金或扣留经营者保证金</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四、是否违反影响生产经营行为标准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1、强制经营者从事《反垄断法》规定的垄断行为</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2、违法披露或者要求经营者披露生产经营敏感信息</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3、超越定价权限进行政府定价</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五、是否违反兜底条款</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1、是否无法律法规依据减损市场主体合法权益或者增加其义务</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2、是否违反《反垄断法》制定含有排除竞争内容的政策措施</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六、是否适用例外规定</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1、维护国家经济安全、文化安全或者设计国防建设</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2、实现扶贫开发，救灾救助等社会目的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3、实现节约能源资源，保护生态环境的社会公益目的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4、法律行政法规规定的其他情况</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30" w:hRule="exac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不违反公平竞争审查标准</w:t>
            </w:r>
          </w:p>
        </w:tc>
      </w:tr>
    </w:tbl>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line="540" w:lineRule="exact"/>
        <w:ind w:right="0" w:rightChars="0"/>
        <w:jc w:val="center"/>
        <w:textAlignment w:val="auto"/>
        <w:outlineLvl w:val="0"/>
        <w:rPr>
          <w:rFonts w:hint="eastAsia" w:ascii="仿宋_GB2312" w:hAnsi="仿宋_GB2312" w:eastAsia="仿宋_GB2312" w:cs="仿宋_GB2312"/>
          <w:b w:val="0"/>
          <w:bCs/>
          <w:color w:val="auto"/>
          <w:spacing w:val="0"/>
          <w:position w:val="0"/>
          <w:sz w:val="24"/>
          <w:szCs w:val="24"/>
          <w:lang w:val="en-US" w:eastAsia="zh-CN"/>
        </w:rPr>
      </w:pPr>
      <w:bookmarkStart w:id="23" w:name="_Toc23483"/>
      <w:r>
        <w:rPr>
          <w:rFonts w:hint="eastAsia" w:ascii="黑体" w:hAnsi="黑体" w:eastAsia="黑体" w:cs="黑体"/>
          <w:b w:val="0"/>
          <w:bCs/>
          <w:color w:val="auto"/>
          <w:spacing w:val="0"/>
          <w:kern w:val="2"/>
          <w:position w:val="0"/>
          <w:sz w:val="28"/>
          <w:szCs w:val="30"/>
          <w:lang w:val="en-US" w:eastAsia="zh-CN" w:bidi="ar"/>
        </w:rPr>
        <w:t>公平竞争第三方审查表</w:t>
      </w:r>
      <w:bookmarkEnd w:id="23"/>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617"/>
        <w:gridCol w:w="4162"/>
        <w:gridCol w:w="19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民乐县产业链招商班组建工作方案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民办发〔2021〕60号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制定机关</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民乐县人民政府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1、是否开展内部审查</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2、是否履行征求意见程序</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一、是否违反市场准入和退出标准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1、设置不合理和歧视性的准入和退出条件</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2、未经公平竞争授予经营者特许经营权</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3、限定经营、购买、使用特定经营者提供的商品和服务</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68"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4、设置没有法律法规依据的审批或者具有行政审批性质的事前备案程序</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5、对市场准入负面清单以外的行业、领域、业务设置审批程序</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二、是否违反商品要素自由流通标准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1、对外地和进口食品、服务实行歧视性价格或补贴政策</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2、限制外地和进口商品、服务进入本地市场或阻碍本地商品运出</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3、排斥或限制外地经营者参加本地招标投标活动</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4、排斥或限制外地经营者在本地投资或设立分支机构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5、对外地经营者在本地投资或设立的分支机构进行歧视性待遇</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三、是否违反影响生产经营成本标准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1、违法给予特定经营者优惠政策</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2、将财政支出安排与企业缴纳的税收或非税收入挂钩</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3、违法免除特定经营者需要缴纳的社会保险费用</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4、违法要求经营者提供各类保证金或扣留经营者保证金</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四、是否违反影响生产经营行为标准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1、强制经营者从事《反垄断法》规定的垄断行为</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2、违法披露或者要求经营者披露生产经营敏感信息</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3、超越定价权限进行政府定价</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五、是否违反兜底条款</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1、是否无法律法规依据减损市场主体合法权益或者增加其义务</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2、是否违反《反垄断法》制定含有排除竞争内容的政策措施</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六、是否适用例外规定</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1、维护国家经济安全、文化安全或者设计国防建设</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2、实现扶贫开发，救灾救助等社会目的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3、实现节约能源资源，保护生态环境的社会公益目的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4、法律行政法规规定的其他情况</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50" w:hRule="exac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内部管理性文件，不涉及市场主体，不属于公平竞争审查范围</w:t>
            </w:r>
          </w:p>
        </w:tc>
      </w:tr>
    </w:tbl>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ascii="仿宋_GB2312" w:hAnsi="仿宋_GB2312" w:eastAsia="仿宋_GB2312" w:cs="仿宋_GB2312"/>
          <w:b w:val="0"/>
          <w:bCs/>
          <w:color w:val="auto"/>
          <w:spacing w:val="0"/>
          <w:position w:val="0"/>
          <w:sz w:val="24"/>
          <w:szCs w:val="24"/>
          <w:lang w:val="en-US" w:eastAsia="zh-CN"/>
        </w:rPr>
      </w:pPr>
    </w:p>
    <w:p>
      <w:pPr>
        <w:rPr>
          <w:rFonts w:hint="eastAsia" w:ascii="仿宋_GB2312" w:hAnsi="仿宋_GB2312" w:eastAsia="仿宋_GB2312" w:cs="仿宋_GB2312"/>
          <w:b w:val="0"/>
          <w:bCs/>
          <w:color w:val="auto"/>
          <w:spacing w:val="0"/>
          <w:position w:val="0"/>
          <w:sz w:val="24"/>
          <w:szCs w:val="24"/>
          <w:lang w:val="en-US" w:eastAsia="zh-CN"/>
        </w:rPr>
      </w:pPr>
    </w:p>
    <w:p>
      <w:pPr>
        <w:pStyle w:val="2"/>
        <w:rPr>
          <w:rFonts w:hint="eastAsia"/>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line="540" w:lineRule="exact"/>
        <w:ind w:right="0" w:rightChars="0"/>
        <w:jc w:val="center"/>
        <w:textAlignment w:val="auto"/>
        <w:outlineLvl w:val="0"/>
        <w:rPr>
          <w:rFonts w:hint="eastAsia" w:ascii="仿宋_GB2312" w:hAnsi="仿宋_GB2312" w:eastAsia="仿宋_GB2312" w:cs="仿宋_GB2312"/>
          <w:b w:val="0"/>
          <w:bCs/>
          <w:color w:val="auto"/>
          <w:spacing w:val="0"/>
          <w:position w:val="0"/>
          <w:sz w:val="24"/>
          <w:szCs w:val="24"/>
          <w:lang w:val="en-US" w:eastAsia="zh-CN"/>
        </w:rPr>
      </w:pPr>
      <w:bookmarkStart w:id="24" w:name="_Toc4948"/>
      <w:r>
        <w:rPr>
          <w:rFonts w:hint="eastAsia" w:ascii="黑体" w:hAnsi="黑体" w:eastAsia="黑体" w:cs="黑体"/>
          <w:b w:val="0"/>
          <w:bCs/>
          <w:color w:val="auto"/>
          <w:spacing w:val="0"/>
          <w:kern w:val="2"/>
          <w:position w:val="0"/>
          <w:sz w:val="28"/>
          <w:szCs w:val="30"/>
          <w:lang w:val="en-US" w:eastAsia="zh-CN" w:bidi="ar"/>
        </w:rPr>
        <w:t>公平竞争第三方审查表</w:t>
      </w:r>
      <w:bookmarkEnd w:id="24"/>
    </w:p>
    <w:tbl>
      <w:tblPr>
        <w:tblStyle w:val="12"/>
        <w:tblpPr w:leftFromText="180" w:rightFromText="180" w:vertAnchor="text" w:horzAnchor="page" w:tblpX="1580" w:tblpY="273"/>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275"/>
        <w:gridCol w:w="1617"/>
        <w:gridCol w:w="4860"/>
        <w:gridCol w:w="129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民乐县扶贫项目资产后续管理和监督实施办法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民政办发〔2021〕66号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制定机关</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民乐县人民政府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1、是否开展内部审查</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2、是否履行征求意见程序</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904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一、是否违反市场准入和退出标准</w:t>
            </w:r>
          </w:p>
        </w:tc>
        <w:tc>
          <w:tcPr>
            <w:tcW w:w="129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1、设置不合理和歧视性的准入和退出条件</w:t>
            </w:r>
          </w:p>
        </w:tc>
        <w:tc>
          <w:tcPr>
            <w:tcW w:w="129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2、未经公平竞争授予经营者特许经营权</w:t>
            </w:r>
          </w:p>
        </w:tc>
        <w:tc>
          <w:tcPr>
            <w:tcW w:w="129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3、限定经营、购买、使用特定经营者提供的商品和服务</w:t>
            </w:r>
          </w:p>
        </w:tc>
        <w:tc>
          <w:tcPr>
            <w:tcW w:w="129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4、设置没有法律法规依据的审批或者具有行政审批性质的事前备案程序</w:t>
            </w:r>
          </w:p>
        </w:tc>
        <w:tc>
          <w:tcPr>
            <w:tcW w:w="129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5、对市场准入负面清单以外的行业、领域、业务设置审批程序</w:t>
            </w:r>
          </w:p>
        </w:tc>
        <w:tc>
          <w:tcPr>
            <w:tcW w:w="129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二、是否违反商品要素自由流通标准</w:t>
            </w:r>
          </w:p>
        </w:tc>
        <w:tc>
          <w:tcPr>
            <w:tcW w:w="129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1、对外地和进口食品、服务实行歧视性价格或补贴政策</w:t>
            </w:r>
          </w:p>
        </w:tc>
        <w:tc>
          <w:tcPr>
            <w:tcW w:w="129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2、限制外地和进口商品、服务进入本地市场或阻碍本地商品运出</w:t>
            </w:r>
          </w:p>
        </w:tc>
        <w:tc>
          <w:tcPr>
            <w:tcW w:w="129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3、排斥或限制外地经营者参加本地招标投标活动</w:t>
            </w:r>
          </w:p>
        </w:tc>
        <w:tc>
          <w:tcPr>
            <w:tcW w:w="129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4、排斥或限制外地经营者在本地投资或设立分支机构</w:t>
            </w:r>
          </w:p>
        </w:tc>
        <w:tc>
          <w:tcPr>
            <w:tcW w:w="129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5、对外地经营者在本地投资或设立的分支机构进行歧视性待遇</w:t>
            </w:r>
          </w:p>
        </w:tc>
        <w:tc>
          <w:tcPr>
            <w:tcW w:w="129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三、是否违反影响生产经营成本标准</w:t>
            </w:r>
          </w:p>
        </w:tc>
        <w:tc>
          <w:tcPr>
            <w:tcW w:w="129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1、违法给予特定经营者优惠政策</w:t>
            </w:r>
          </w:p>
        </w:tc>
        <w:tc>
          <w:tcPr>
            <w:tcW w:w="129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2、将财政支出安排与企业缴纳的税收或非税收入挂钩</w:t>
            </w:r>
          </w:p>
        </w:tc>
        <w:tc>
          <w:tcPr>
            <w:tcW w:w="129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3、违法免除特定经营者需要缴纳的社会保险费用</w:t>
            </w:r>
          </w:p>
        </w:tc>
        <w:tc>
          <w:tcPr>
            <w:tcW w:w="129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4、违法要求经营者提供各类保证金或扣留经营者保证金</w:t>
            </w:r>
          </w:p>
        </w:tc>
        <w:tc>
          <w:tcPr>
            <w:tcW w:w="129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四、是否违反影响生产经营行为标准</w:t>
            </w:r>
          </w:p>
        </w:tc>
        <w:tc>
          <w:tcPr>
            <w:tcW w:w="129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1、强制经营者从事《反垄断法》规定的垄断行为</w:t>
            </w:r>
          </w:p>
        </w:tc>
        <w:tc>
          <w:tcPr>
            <w:tcW w:w="129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2、违法披露或者要求经营者披露生产经营敏感信息</w:t>
            </w:r>
          </w:p>
        </w:tc>
        <w:tc>
          <w:tcPr>
            <w:tcW w:w="129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3、超越定价权限进行政府定价</w:t>
            </w:r>
          </w:p>
        </w:tc>
        <w:tc>
          <w:tcPr>
            <w:tcW w:w="129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五、是否违反兜底条款</w:t>
            </w:r>
          </w:p>
        </w:tc>
        <w:tc>
          <w:tcPr>
            <w:tcW w:w="129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1、是否无法律法规依据减损市场主体合法权益或者增加其义务</w:t>
            </w:r>
          </w:p>
        </w:tc>
        <w:tc>
          <w:tcPr>
            <w:tcW w:w="129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2、是否违反《反垄断法》制定含有排除竞争内容的政策措施</w:t>
            </w:r>
          </w:p>
        </w:tc>
        <w:tc>
          <w:tcPr>
            <w:tcW w:w="129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7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六、是否适用例外规定</w:t>
            </w:r>
          </w:p>
        </w:tc>
        <w:tc>
          <w:tcPr>
            <w:tcW w:w="129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7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1、维护国家经济安全、文化安全或者设计国防建设</w:t>
            </w:r>
          </w:p>
        </w:tc>
        <w:tc>
          <w:tcPr>
            <w:tcW w:w="129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7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2、实现扶贫开发，救灾救助等社会目的</w:t>
            </w:r>
          </w:p>
        </w:tc>
        <w:tc>
          <w:tcPr>
            <w:tcW w:w="129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7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3、实现节约能源资源，保护生态环境的社会公益目的</w:t>
            </w:r>
          </w:p>
        </w:tc>
        <w:tc>
          <w:tcPr>
            <w:tcW w:w="129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75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4、法律行政法规规定的其他情况</w:t>
            </w:r>
          </w:p>
        </w:tc>
        <w:tc>
          <w:tcPr>
            <w:tcW w:w="129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bl>
    <w:tbl>
      <w:tblPr>
        <w:tblStyle w:val="12"/>
        <w:tblpPr w:leftFromText="180" w:rightFromText="180" w:vertAnchor="text" w:horzAnchor="page" w:tblpX="1580" w:tblpY="1"/>
        <w:tblOverlap w:val="never"/>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794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410" w:hRule="exac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见</w:t>
            </w:r>
          </w:p>
        </w:tc>
        <w:tc>
          <w:tcPr>
            <w:tcW w:w="7943"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不违反公平竞争审查标准</w:t>
            </w:r>
          </w:p>
        </w:tc>
      </w:tr>
    </w:tbl>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line="540" w:lineRule="exact"/>
        <w:ind w:right="0" w:rightChars="0"/>
        <w:jc w:val="center"/>
        <w:textAlignment w:val="auto"/>
        <w:outlineLvl w:val="0"/>
        <w:rPr>
          <w:color w:val="auto"/>
        </w:rPr>
      </w:pPr>
      <w:bookmarkStart w:id="25" w:name="_Toc15046"/>
      <w:r>
        <w:rPr>
          <w:rFonts w:hint="eastAsia" w:ascii="黑体" w:hAnsi="黑体" w:eastAsia="黑体" w:cs="黑体"/>
          <w:b w:val="0"/>
          <w:bCs/>
          <w:color w:val="auto"/>
          <w:spacing w:val="0"/>
          <w:kern w:val="2"/>
          <w:position w:val="0"/>
          <w:sz w:val="28"/>
          <w:szCs w:val="30"/>
          <w:lang w:val="en-US" w:eastAsia="zh-CN" w:bidi="ar"/>
        </w:rPr>
        <w:t>公平竞争第三方审查表</w:t>
      </w:r>
      <w:bookmarkEnd w:id="25"/>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617"/>
        <w:gridCol w:w="4162"/>
        <w:gridCol w:w="19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《民乐县加强县域商业体系建设促进农村消费实施方案》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民办发〔2021〕14号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制定机关</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民乐县人民政府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1、是否开展内部审查</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2、是否履行征求意见程序</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一、是否违反市场准入和退出标准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1、设置不合理和歧视性的准入和退出条件</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2、未经公平竞争授予经营者特许经营权</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3、限定经营、购买、使用特定经营者提供的商品和服务</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55"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4、设置没有法律法规依据的审批或者具有行政审批性质的事前备案程序</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5、对市场准入负面清单以外的行业、领域、业务设置审批程序</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二、是否违反商品要素自由流通标准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1、对外地和进口食品、服务实行歧视性价格或补贴政策</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2、限制外地和进口商品、服务进入本地市场或阻碍本地商品运出</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3、排斥或限制外地经营者参加本地招标投标活动</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4、排斥或限制外地经营者在本地投资或设立分支机构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5、对外地经营者在本地投资或设立的分支机构进行歧视性待遇</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三、是否违反影响生产经营成本标准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1、违法给予特定经营者优惠政策</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2、将财政支出安排与企业缴纳的税收或非税收入挂钩</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3、违法免除特定经营者需要缴纳的社会保险费用</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4、违法要求经营者提供各类保证金或扣留经营者保证金</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四、是否违反影响生产经营行为标准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1、强制经营者从事《反垄断法》规定的垄断行为</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2、违法披露或者要求经营者披露生产经营敏感信息</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3、超越定价权限进行政府定价</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五、是否违反兜底条款</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1、是否无法律法规依据减损市场主体合法权益或者增加其义务</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2、是否违反《反垄断法》制定含有排除竞争内容的政策措施</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六、是否适用例外规定</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1、维护国家经济安全、文化安全或者设计国防建设</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2、实现扶贫开发，救灾救助等社会目的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3、实现节约能源资源，保护生态环境的社会公益目的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4、法律行政法规规定的其他情况</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20" w:hRule="exac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不违反公平竞争审查标准</w:t>
            </w:r>
          </w:p>
        </w:tc>
      </w:tr>
    </w:tbl>
    <w:p>
      <w:pPr>
        <w:rPr>
          <w:color w:val="auto"/>
        </w:rPr>
      </w:pPr>
    </w:p>
    <w:p>
      <w:pPr>
        <w:rPr>
          <w:color w:val="auto"/>
        </w:rPr>
      </w:pPr>
    </w:p>
    <w:p>
      <w:pPr>
        <w:pStyle w:val="2"/>
        <w:rPr>
          <w:color w:val="auto"/>
        </w:rPr>
      </w:pPr>
    </w:p>
    <w:p>
      <w:pPr>
        <w:rPr>
          <w:color w:val="auto"/>
        </w:rPr>
      </w:pPr>
    </w:p>
    <w:p>
      <w:pPr>
        <w:pStyle w:val="2"/>
        <w:rPr>
          <w:color w:val="auto"/>
        </w:rPr>
      </w:pPr>
    </w:p>
    <w:p>
      <w:pPr>
        <w:rPr>
          <w:color w:val="auto"/>
        </w:rPr>
      </w:pPr>
    </w:p>
    <w:p>
      <w:pPr>
        <w:pStyle w:val="2"/>
      </w:pPr>
    </w:p>
    <w:p>
      <w:pPr>
        <w:rPr>
          <w:color w:val="auto"/>
        </w:rPr>
      </w:pPr>
    </w:p>
    <w:p>
      <w:pPr>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line="540" w:lineRule="exact"/>
        <w:ind w:right="0" w:rightChars="0"/>
        <w:jc w:val="center"/>
        <w:textAlignment w:val="auto"/>
        <w:outlineLvl w:val="0"/>
        <w:rPr>
          <w:rFonts w:hint="eastAsia" w:ascii="仿宋_GB2312" w:hAnsi="仿宋_GB2312" w:eastAsia="仿宋_GB2312" w:cs="仿宋_GB2312"/>
          <w:b w:val="0"/>
          <w:bCs/>
          <w:color w:val="auto"/>
          <w:spacing w:val="0"/>
          <w:position w:val="0"/>
          <w:sz w:val="24"/>
          <w:szCs w:val="24"/>
          <w:lang w:val="en-US" w:eastAsia="zh-CN"/>
        </w:rPr>
      </w:pPr>
      <w:bookmarkStart w:id="26" w:name="_Toc24236"/>
      <w:r>
        <w:rPr>
          <w:rFonts w:hint="eastAsia" w:ascii="黑体" w:hAnsi="黑体" w:eastAsia="黑体" w:cs="黑体"/>
          <w:b w:val="0"/>
          <w:bCs/>
          <w:color w:val="auto"/>
          <w:spacing w:val="0"/>
          <w:kern w:val="2"/>
          <w:position w:val="0"/>
          <w:sz w:val="28"/>
          <w:szCs w:val="30"/>
          <w:lang w:val="en-US" w:eastAsia="zh-CN" w:bidi="ar"/>
        </w:rPr>
        <w:t>公平竞争第三方审查表</w:t>
      </w:r>
      <w:bookmarkEnd w:id="26"/>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617"/>
        <w:gridCol w:w="4162"/>
        <w:gridCol w:w="19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《民乐县大宗地产中药材产地加工（趁鲜切制）工作方案》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民办发〔2021〕16号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制定机关</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民乐县人民政府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1、是否开展内部审查</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2、是否履行征求意见程序</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一、是否违反市场准入和退出标准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1、设置不合理和歧视性的准入和退出条件</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2、未经公平竞争授予经营者特许经营权</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3、限定经营、购买、使用特定经营者提供的商品和服务</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4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4、设置没有法律法规依据的审批或者具有行政审批性质的事前备案程序</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5、对市场准入负面清单以外的行业、领域、业务设置审批程序</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二、是否违反商品要素自由流通标准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1、对外地和进口食品、服务实行歧视性价格或补贴政策</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2、限制外地和进口商品、服务进入本地市场或阻碍本地商品运出</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3、排斥或限制外地经营者参加本地招标投标活动</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4、排斥或限制外地经营者在本地投资或设立分支机构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5、对外地经营者在本地投资或设立的分支机构进行歧视性待遇</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三、是否违反影响生产经营成本标准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1、违法给予特定经营者优惠政策</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2、将财政支出安排与企业缴纳的税收或非税收入挂钩</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3、违法免除特定经营者需要缴纳的社会保险费用</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4、违法要求经营者提供各类保证金或扣留经营者保证金</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四、是否违反影响生产经营行为标准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1、强制经营者从事《反垄断法》规定的垄断行为</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2、违法披露或者要求经营者披露生产经营敏感信息</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3、超越定价权限进行政府定价</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五、是否违反兜底条款</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1、是否无法律法规依据减损市场主体合法权益或者增加其义务</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2、是否违反《反垄断法》制定含有排除竞争内容的政策措施</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六、是否适用例外规定</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1、维护国家经济安全、文化安全或者设计国防建设</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2、实现扶贫开发，救灾救助等社会目的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3、实现节约能源资源，保护生态环境的社会公益目的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4、法律行政法规规定的其他情况</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750" w:hRule="exac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不违反公平竞争审查标准</w:t>
            </w:r>
          </w:p>
        </w:tc>
      </w:tr>
    </w:tbl>
    <w:p>
      <w:pPr>
        <w:rPr>
          <w:color w:val="auto"/>
        </w:rPr>
      </w:pPr>
    </w:p>
    <w:p>
      <w:pPr>
        <w:rPr>
          <w:color w:val="auto"/>
        </w:rPr>
      </w:pPr>
    </w:p>
    <w:p>
      <w:pPr>
        <w:pStyle w:val="2"/>
        <w:rPr>
          <w:color w:val="auto"/>
        </w:rPr>
      </w:pPr>
    </w:p>
    <w:p>
      <w:pPr>
        <w:rPr>
          <w:color w:val="auto"/>
        </w:rPr>
      </w:pPr>
    </w:p>
    <w:p>
      <w:pPr>
        <w:pStyle w:val="2"/>
        <w:rPr>
          <w:color w:val="auto"/>
        </w:rPr>
      </w:pPr>
    </w:p>
    <w:p>
      <w:pPr>
        <w:rPr>
          <w:color w:val="auto"/>
        </w:rPr>
      </w:pPr>
    </w:p>
    <w:p>
      <w:pPr>
        <w:pStyle w:val="2"/>
        <w:rPr>
          <w:color w:val="auto"/>
        </w:rPr>
      </w:pPr>
    </w:p>
    <w:p/>
    <w:p>
      <w:pPr>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line="540" w:lineRule="exact"/>
        <w:ind w:right="0" w:rightChars="0"/>
        <w:jc w:val="center"/>
        <w:textAlignment w:val="auto"/>
        <w:outlineLvl w:val="0"/>
        <w:rPr>
          <w:rFonts w:hint="eastAsia" w:ascii="仿宋_GB2312" w:hAnsi="仿宋_GB2312" w:eastAsia="仿宋_GB2312" w:cs="仿宋_GB2312"/>
          <w:b w:val="0"/>
          <w:bCs/>
          <w:color w:val="auto"/>
          <w:spacing w:val="0"/>
          <w:position w:val="0"/>
          <w:sz w:val="24"/>
          <w:szCs w:val="24"/>
          <w:lang w:val="en-US" w:eastAsia="zh-CN"/>
        </w:rPr>
      </w:pPr>
      <w:bookmarkStart w:id="27" w:name="_Toc21881"/>
      <w:r>
        <w:rPr>
          <w:rFonts w:hint="eastAsia" w:ascii="黑体" w:hAnsi="黑体" w:eastAsia="黑体" w:cs="黑体"/>
          <w:b w:val="0"/>
          <w:bCs/>
          <w:color w:val="auto"/>
          <w:spacing w:val="0"/>
          <w:kern w:val="2"/>
          <w:position w:val="0"/>
          <w:sz w:val="28"/>
          <w:szCs w:val="30"/>
          <w:lang w:val="en-US" w:eastAsia="zh-CN" w:bidi="ar"/>
        </w:rPr>
        <w:t>公平竞争第三方审查表</w:t>
      </w:r>
      <w:bookmarkEnd w:id="27"/>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617"/>
        <w:gridCol w:w="4162"/>
        <w:gridCol w:w="19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民乐县支持文化旅游产业发展扶持奖励办法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民办发〔2022〕57号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制定机关</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民乐县人民政府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1、是否开展内部审查</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2、是否履行征求意见程序</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一、是否违反市场准入和退出标准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1、设置不合理和歧视性的准入和退出条件</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2、未经公平竞争授予经营者特许经营权</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3、限定经营、购买、使用特定经营者提供的商品和服务</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73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4、设置没有法律法规依据的审批或者具有行政审批性质的事前备案程序</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5、对市场准入负面清单以外的行业、领域、业务设置审批程序</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二、是否违反商品要素自由流通标准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1、对外地和进口食品、服务实行歧视性价格或补贴政策</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2、限制外地和进口商品、服务进入本地市场或阻碍本地商品运出</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3、排斥或限制外地经营者参加本地招标投标活动</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4、排斥或限制外地经营者在本地投资或设立分支机构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5、对外地经营者在本地投资或设立的分支机构进行歧视性待遇</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三、是否违反影响生产经营成本标准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1、违法给予特定经营者优惠政策</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2、将财政支出安排与企业缴纳的税收或非税收入挂钩</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3、违法免除特定经营者需要缴纳的社会保险费用</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4、违法要求经营者提供各类保证金或扣留经营者保证金</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四、是否违反影响生产经营行为标准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1、强制经营者从事《反垄断法》规定的垄断行为</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2、违法披露或者要求经营者披露生产经营敏感信息</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3、超越定价权限进行政府定价</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五、是否违反兜底条款</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1、是否无法律法规依据减损市场主体合法权益或者增加其义务</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2、是否违反《反垄断法》制定含有排除竞争内容的政策措施</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六、是否适用例外规定</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1、维护国家经济安全、文化安全或者设计国防建设</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2、实现扶贫开发，救灾救助等社会目的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3、实现节约能源资源，保护生态环境的社会公益目的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4、法律行政法规规定的其他情况</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305" w:hRule="exac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违反公平竞争审查制度“商品要素自由流动标准”中关于“不得对外地和进口商品、服务实行歧视性价格和歧视性补贴政策”的规定。</w:t>
            </w:r>
          </w:p>
        </w:tc>
      </w:tr>
    </w:tbl>
    <w:p>
      <w:pPr>
        <w:rPr>
          <w:color w:val="auto"/>
        </w:rPr>
      </w:pPr>
    </w:p>
    <w:p>
      <w:pPr>
        <w:rPr>
          <w:color w:val="auto"/>
        </w:rPr>
      </w:pPr>
    </w:p>
    <w:p>
      <w:pPr>
        <w:pStyle w:val="2"/>
        <w:rPr>
          <w:color w:val="auto"/>
        </w:rPr>
      </w:pPr>
    </w:p>
    <w:p>
      <w:pPr>
        <w:rPr>
          <w:color w:val="auto"/>
        </w:rPr>
      </w:pPr>
    </w:p>
    <w:p>
      <w:pPr>
        <w:pStyle w:val="2"/>
        <w:rPr>
          <w:color w:val="auto"/>
        </w:rPr>
      </w:pPr>
    </w:p>
    <w:p>
      <w:pPr>
        <w:rPr>
          <w:color w:val="auto"/>
        </w:rPr>
      </w:pPr>
    </w:p>
    <w:p>
      <w:pPr>
        <w:pStyle w:val="2"/>
      </w:pPr>
    </w:p>
    <w:p>
      <w:pPr>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line="540" w:lineRule="exact"/>
        <w:ind w:right="0" w:rightChars="0"/>
        <w:jc w:val="center"/>
        <w:textAlignment w:val="auto"/>
        <w:outlineLvl w:val="0"/>
        <w:rPr>
          <w:rFonts w:hint="eastAsia" w:ascii="仿宋_GB2312" w:hAnsi="仿宋_GB2312" w:eastAsia="仿宋_GB2312" w:cs="仿宋_GB2312"/>
          <w:b w:val="0"/>
          <w:bCs/>
          <w:color w:val="auto"/>
          <w:spacing w:val="0"/>
          <w:position w:val="0"/>
          <w:sz w:val="24"/>
          <w:szCs w:val="24"/>
          <w:lang w:val="en-US" w:eastAsia="zh-CN"/>
        </w:rPr>
      </w:pPr>
      <w:bookmarkStart w:id="28" w:name="_Toc30210"/>
      <w:r>
        <w:rPr>
          <w:rFonts w:hint="eastAsia" w:ascii="黑体" w:hAnsi="黑体" w:eastAsia="黑体" w:cs="黑体"/>
          <w:b w:val="0"/>
          <w:bCs/>
          <w:color w:val="auto"/>
          <w:spacing w:val="0"/>
          <w:kern w:val="2"/>
          <w:position w:val="0"/>
          <w:sz w:val="28"/>
          <w:szCs w:val="30"/>
          <w:lang w:val="en-US" w:eastAsia="zh-CN" w:bidi="ar"/>
        </w:rPr>
        <w:t>公平竞争第三方审查表</w:t>
      </w:r>
      <w:bookmarkEnd w:id="28"/>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617"/>
        <w:gridCol w:w="4162"/>
        <w:gridCol w:w="19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《关于加快推进马铃薯产业高质量发展的意见》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民办发〔2022〕68号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制定机关</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民乐县人民政府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1、是否开展内部审查</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2、是否履行征求意见程序</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一、是否违反市场准入和退出标准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1、设置不合理和歧视性的准入和退出条件</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2、未经公平竞争授予经营者特许经营权</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3、限定经营、购买、使用特定经营者提供的商品和服务</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4、设置没有法律法规依据的审批或者具有行政审批性质的事前备案程序</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5、对市场准入负面清单以外的行业、领域、业务设置审批程序</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二、是否违反商品要素自由流通标准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1、对外地和进口食品、服务实行歧视性价格或补贴政策</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2、限制外地和进口商品、服务进入本地市场或阻碍本地商品运出</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3、排斥或限制外地经营者参加本地招标投标活动</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4、排斥或限制外地经营者在本地投资或设立分支机构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5、对外地经营者在本地投资或设立的分支机构进行歧视性待遇</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三、是否违反影响生产经营成本标准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1、违法给予特定经营者优惠政策</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2、将财政支出安排与企业缴纳的税收或非税收入挂钩</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3、违法免除特定经营者需要缴纳的社会保险费用</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4、违法要求经营者提供各类保证金或扣留经营者保证金</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四、是否违反影响生产经营行为标准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1、强制经营者从事《反垄断法》规定的垄断行为</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2、违法披露或者要求经营者披露生产经营敏感信息</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3、超越定价权限进行政府定价</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五、是否违反兜底条款</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1、是否无法律法规依据减损市场主体合法权益或者增加其义务</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2、是否违反《反垄断法》制定含有排除竞争内容的政策措施</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六、是否适用例外规定</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1、维护国家经济安全、文化安全或者设计国防建设</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2、实现扶贫开发，救灾救助等社会目的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3、实现节约能源资源，保护生态环境的社会公益目的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4、法律行政法规规定的其他情况</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3320" w:hRule="exac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违反公平竞争审查细则第十六条影响生产经营行为标准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一）不得强制经营者从事《中华人民共和国反垄断法》禁止的垄断行为，主要指以行政命令、行政授权、行政指导等方式或者通过行业协会、商会，强制、组织或者引导经营者达成、垄断协议、滥用市场支配地位，以及实施具有或者可能具有排除、限制竞争效果的经营者集中等行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p>
        </w:tc>
      </w:tr>
    </w:tbl>
    <w:p>
      <w:pPr>
        <w:rPr>
          <w:color w:val="auto"/>
        </w:rPr>
      </w:pPr>
    </w:p>
    <w:p>
      <w:pPr>
        <w:rPr>
          <w:color w:val="auto"/>
        </w:rPr>
      </w:pPr>
    </w:p>
    <w:p>
      <w:pPr>
        <w:rPr>
          <w:color w:val="auto"/>
        </w:rPr>
      </w:pPr>
    </w:p>
    <w:p>
      <w:pPr>
        <w:rPr>
          <w:color w:val="auto"/>
        </w:rPr>
      </w:pPr>
    </w:p>
    <w:p>
      <w:pPr>
        <w:rPr>
          <w:color w:val="auto"/>
        </w:rPr>
      </w:pPr>
    </w:p>
    <w:p>
      <w:pPr>
        <w:pStyle w:val="2"/>
        <w:rPr>
          <w:color w:val="auto"/>
        </w:rPr>
      </w:pPr>
    </w:p>
    <w:p/>
    <w:p>
      <w:pPr>
        <w:rPr>
          <w:color w:val="auto"/>
        </w:rPr>
      </w:pPr>
    </w:p>
    <w:p>
      <w:pPr>
        <w:rPr>
          <w:color w:val="auto"/>
        </w:rPr>
      </w:pPr>
    </w:p>
    <w:p>
      <w:pPr>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line="540" w:lineRule="exact"/>
        <w:ind w:right="0" w:rightChars="0"/>
        <w:jc w:val="center"/>
        <w:textAlignment w:val="auto"/>
        <w:outlineLvl w:val="0"/>
        <w:rPr>
          <w:rFonts w:hint="eastAsia" w:ascii="仿宋_GB2312" w:hAnsi="仿宋_GB2312" w:eastAsia="仿宋_GB2312" w:cs="仿宋_GB2312"/>
          <w:b w:val="0"/>
          <w:bCs/>
          <w:color w:val="auto"/>
          <w:spacing w:val="0"/>
          <w:position w:val="0"/>
          <w:sz w:val="24"/>
          <w:szCs w:val="24"/>
          <w:lang w:val="en-US" w:eastAsia="zh-CN"/>
        </w:rPr>
      </w:pPr>
      <w:bookmarkStart w:id="29" w:name="_Toc16459"/>
      <w:r>
        <w:rPr>
          <w:rFonts w:hint="eastAsia" w:ascii="黑体" w:hAnsi="黑体" w:eastAsia="黑体" w:cs="黑体"/>
          <w:b w:val="0"/>
          <w:bCs/>
          <w:color w:val="auto"/>
          <w:spacing w:val="0"/>
          <w:kern w:val="2"/>
          <w:position w:val="0"/>
          <w:sz w:val="28"/>
          <w:szCs w:val="30"/>
          <w:lang w:val="en-US" w:eastAsia="zh-CN" w:bidi="ar"/>
        </w:rPr>
        <w:t>公平竞争第三方审查表</w:t>
      </w:r>
      <w:bookmarkEnd w:id="29"/>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617"/>
        <w:gridCol w:w="4162"/>
        <w:gridCol w:w="19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《民乐县完善政府猪肉储备调节机制做好猪肉市场保供稳价工作预案》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民办发〔2022〕75号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制定机关</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民乐县人民政府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1、是否开展内部审查</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2、是否履行征求意见程序</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一、是否违反市场准入和退出标准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1、设置不合理和歧视性的准入和退出条件</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2、未经公平竞争授予经营者特许经营权</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3、限定经营、购买、使用特定经营者提供的商品和服务</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95"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4、设置没有法律法规依据的审批或者具有行政审批性质的事前备案程序</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5、对市场准入负面清单以外的行业、领域、业务设置审批程序</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二、是否违反商品要素自由流通标准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1、对外地和进口食品、服务实行歧视性价格或补贴政策</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2、限制外地和进口商品、服务进入本地市场或阻碍本地商品运出</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3、排斥或限制外地经营者参加本地招标投标活动</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4、排斥或限制外地经营者在本地投资或设立分支机构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5、对外地经营者在本地投资或设立的分支机构进行歧视性待遇</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三、是否违反影响生产经营成本标准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1、违法给予特定经营者优惠政策</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2、将财政支出安排与企业缴纳的税收或非税收入挂钩</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3、违法免除特定经营者需要缴纳的社会保险费用</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4、违法要求经营者提供各类保证金或扣留经营者保证金</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四、是否违反影响生产经营行为标准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1、强制经营者从事《反垄断法》规定的垄断行为</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2、违法披露或者要求经营者披露生产经营敏感信息</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3、超越定价权限进行政府定价</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五、是否违反兜底条款</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1、是否无法律法规依据减损市场主体合法权益或者增加其义务</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2、是否违反《反垄断法》制定含有排除竞争内容的政策措施</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六、是否适用例外规定</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1、维护国家经济安全、文化安全或者设计国防建设</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2、实现扶贫开发，救灾救助等社会目的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3、实现节约能源资源，保护生态环境的社会公益目的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4、法律行政法规规定的其他情况</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680" w:hRule="exac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不违反公平竞争审查标准</w:t>
            </w:r>
          </w:p>
        </w:tc>
      </w:tr>
    </w:tbl>
    <w:p>
      <w:pPr>
        <w:rPr>
          <w:color w:val="auto"/>
        </w:rPr>
      </w:pPr>
    </w:p>
    <w:p>
      <w:pPr>
        <w:rPr>
          <w:color w:val="auto"/>
        </w:rPr>
      </w:pPr>
    </w:p>
    <w:p>
      <w:pPr>
        <w:pStyle w:val="2"/>
        <w:rPr>
          <w:color w:val="auto"/>
        </w:rPr>
      </w:pPr>
    </w:p>
    <w:p>
      <w:pPr>
        <w:rPr>
          <w:color w:val="auto"/>
        </w:rPr>
      </w:pPr>
    </w:p>
    <w:p>
      <w:pPr>
        <w:pStyle w:val="2"/>
        <w:rPr>
          <w:color w:val="auto"/>
        </w:rPr>
      </w:pPr>
    </w:p>
    <w:p>
      <w:pPr>
        <w:rPr>
          <w:color w:val="auto"/>
        </w:rPr>
      </w:pPr>
    </w:p>
    <w:p>
      <w:pPr>
        <w:pStyle w:val="2"/>
        <w:rPr>
          <w:color w:val="auto"/>
        </w:rPr>
      </w:pPr>
    </w:p>
    <w:p/>
    <w:p>
      <w:pPr>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line="540" w:lineRule="exact"/>
        <w:ind w:right="0" w:rightChars="0"/>
        <w:jc w:val="center"/>
        <w:textAlignment w:val="auto"/>
        <w:outlineLvl w:val="0"/>
        <w:rPr>
          <w:rFonts w:hint="eastAsia" w:ascii="仿宋_GB2312" w:hAnsi="仿宋_GB2312" w:eastAsia="仿宋_GB2312" w:cs="仿宋_GB2312"/>
          <w:b w:val="0"/>
          <w:bCs/>
          <w:color w:val="auto"/>
          <w:spacing w:val="0"/>
          <w:position w:val="0"/>
          <w:sz w:val="24"/>
          <w:szCs w:val="24"/>
          <w:lang w:val="en-US" w:eastAsia="zh-CN"/>
        </w:rPr>
      </w:pPr>
      <w:bookmarkStart w:id="30" w:name="_Toc28086"/>
      <w:r>
        <w:rPr>
          <w:rFonts w:hint="eastAsia" w:ascii="黑体" w:hAnsi="黑体" w:eastAsia="黑体" w:cs="黑体"/>
          <w:b w:val="0"/>
          <w:bCs/>
          <w:color w:val="auto"/>
          <w:spacing w:val="0"/>
          <w:kern w:val="2"/>
          <w:position w:val="0"/>
          <w:sz w:val="28"/>
          <w:szCs w:val="30"/>
          <w:lang w:val="en-US" w:eastAsia="zh-CN" w:bidi="ar"/>
        </w:rPr>
        <w:t>公平竞争第三方审查表</w:t>
      </w:r>
      <w:bookmarkEnd w:id="30"/>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617"/>
        <w:gridCol w:w="4162"/>
        <w:gridCol w:w="19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民乐县农业社会化服务体系建设实施方案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民办发〔2022〕111号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制定机关</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民乐县人民政府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1、是否开展内部审查</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2、是否履行征求意见程序</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一、是否违反市场准入和退出标准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1、设置不合理和歧视性的准入和退出条件</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2、未经公平竞争授予经营者特许经营权</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3、限定经营、购买、使用特定经营者提供的商品和服务</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4、设置没有法律法规依据的审批或者具有行政审批性质的事前备案程序</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5、对市场准入负面清单以外的行业、领域、业务设置审批程序</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二、是否违反商品要素自由流通标准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1、对外地和进口食品、服务实行歧视性价格或补贴政策</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2、限制外地和进口商品、服务进入本地市场或阻碍本地商品运出</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3、排斥或限制外地经营者参加本地招标投标活动</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4、排斥或限制外地经营者在本地投资或设立分支机构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5、对外地经营者在本地投资或设立的分支机构进行歧视性待遇</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三、是否违反影响生产经营成本标准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1、违法给予特定经营者优惠政策</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2、将财政支出安排与企业缴纳的税收或非税收入挂钩</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3、违法免除特定经营者需要缴纳的社会保险费用</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4、违法要求经营者提供各类保证金或扣留经营者保证金</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四、是否违反影响生产经营行为标准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1、强制经营者从事《反垄断法》规定的垄断行为</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 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2、违法披露或者要求经营者披露生产经营敏感信息</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3、超越定价权限进行政府定价</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五、是否违反兜底条款</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1、是否无法律法规依据减损市场主体合法权益或者增加其义务</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2、是否违反《反垄断法》制定含有排除竞争内容的政策措施</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六、是否适用例外规定</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1、维护国家经济安全、文化安全或者设计国防建设</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2、实现扶贫开发，救灾救助等社会目的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3、实现节约能源资源，保护生态环境的社会公益目的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4、法律行政法规规定的其他情况</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00" w:hRule="exac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违反公平竞争审查细则第十六条影响生产经营行为标准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一）不得强制经营者从事《中华人民共和国反垄断法》禁止的垄断行为，主要指以行政命令、行政授权、行政指导等方式或者通过行业协会、商会，强制、组织或者引导经营者达成、垄断协议、滥用市场支配地位，以及实施具有或者可能具有排除、限制竞争效果的经营者集中等行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default" w:ascii="仿宋_GB2312" w:hAnsi="仿宋_GB2312" w:eastAsia="仿宋_GB2312" w:cs="仿宋_GB2312"/>
                <w:b w:val="0"/>
                <w:bCs/>
                <w:color w:val="auto"/>
                <w:spacing w:val="0"/>
                <w:position w:val="0"/>
                <w:sz w:val="24"/>
                <w:szCs w:val="24"/>
                <w:lang w:val="en-US" w:eastAsia="zh-CN"/>
              </w:rPr>
            </w:pPr>
          </w:p>
        </w:tc>
      </w:tr>
    </w:tbl>
    <w:p>
      <w:pPr>
        <w:rPr>
          <w:color w:val="auto"/>
        </w:rPr>
      </w:pPr>
    </w:p>
    <w:p>
      <w:pPr>
        <w:rPr>
          <w:color w:val="auto"/>
        </w:rPr>
      </w:pPr>
    </w:p>
    <w:p>
      <w:pPr>
        <w:rPr>
          <w:color w:val="auto"/>
        </w:rPr>
      </w:pPr>
    </w:p>
    <w:p>
      <w:pPr>
        <w:rPr>
          <w:color w:val="auto"/>
        </w:rPr>
      </w:pPr>
    </w:p>
    <w:p>
      <w:pPr>
        <w:rPr>
          <w:color w:val="auto"/>
        </w:rPr>
      </w:pPr>
    </w:p>
    <w:p>
      <w:pPr>
        <w:pStyle w:val="2"/>
        <w:rPr>
          <w:color w:val="auto"/>
        </w:rPr>
      </w:pPr>
    </w:p>
    <w:p/>
    <w:p>
      <w:pPr>
        <w:rPr>
          <w:color w:val="auto"/>
        </w:rPr>
      </w:pPr>
    </w:p>
    <w:p>
      <w:pPr>
        <w:rPr>
          <w:color w:val="auto"/>
        </w:rPr>
      </w:pPr>
    </w:p>
    <w:p>
      <w:pPr>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line="540" w:lineRule="exact"/>
        <w:ind w:right="0" w:rightChars="0"/>
        <w:jc w:val="center"/>
        <w:textAlignment w:val="auto"/>
        <w:outlineLvl w:val="0"/>
        <w:rPr>
          <w:rFonts w:hint="eastAsia" w:ascii="仿宋_GB2312" w:hAnsi="仿宋_GB2312" w:eastAsia="仿宋_GB2312" w:cs="仿宋_GB2312"/>
          <w:b w:val="0"/>
          <w:bCs/>
          <w:color w:val="auto"/>
          <w:spacing w:val="0"/>
          <w:position w:val="0"/>
          <w:sz w:val="24"/>
          <w:szCs w:val="24"/>
          <w:lang w:val="en-US" w:eastAsia="zh-CN"/>
        </w:rPr>
      </w:pPr>
      <w:bookmarkStart w:id="31" w:name="_Toc20689"/>
      <w:r>
        <w:rPr>
          <w:rFonts w:hint="eastAsia" w:ascii="黑体" w:hAnsi="黑体" w:eastAsia="黑体" w:cs="黑体"/>
          <w:b w:val="0"/>
          <w:bCs/>
          <w:color w:val="auto"/>
          <w:spacing w:val="0"/>
          <w:kern w:val="2"/>
          <w:position w:val="0"/>
          <w:sz w:val="28"/>
          <w:szCs w:val="30"/>
          <w:lang w:val="en-US" w:eastAsia="zh-CN" w:bidi="ar"/>
        </w:rPr>
        <w:t>公平竞争第三方审查表</w:t>
      </w:r>
      <w:bookmarkEnd w:id="31"/>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617"/>
        <w:gridCol w:w="4162"/>
        <w:gridCol w:w="19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关于进一步做好2022整村搬迁土地经营管理工作的意见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民办发〔2022〕112号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制定机关</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民乐县人民政府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1、是否开展内部审查</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2、是否履行征求意见程序</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一、是否违反市场准入和退出标准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1、设置不合理和歧视性的准入和退出条件</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2、未经公平竞争授予经营者特许经营权</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3、限定经营、购买、使用特定经营者提供的商品和服务</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685"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4、设置没有法律法规依据的审批或者具有行政审批性质的事前备案程序</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5、对市场准入负面清单以外的行业、领域、业务设置审批程序</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二、是否违反商品要素自由流通标准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1、对外地和进口食品、服务实行歧视性价格或补贴政策</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2、限制外地和进口商品、服务进入本地市场或阻碍本地商品运出</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3、排斥或限制外地经营者参加本地招标投标活动</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4、排斥或限制外地经营者在本地投资或设立分支机构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5、对外地经营者在本地投资或设立的分支机构进行歧视性待遇</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三、是否违反影响生产经营成本标准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1、违法给予特定经营者优惠政策</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2、将财政支出安排与企业缴纳的税收或非税收入挂钩</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3、违法免除特定经营者需要缴纳的社会保险费用</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4、违法要求经营者提供各类保证金或扣留经营者保证金</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四、是否违反影响生产经营行为标准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1、强制经营者从事《反垄断法》规定的垄断行为</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2、违法披露或者要求经营者披露生产经营敏感信息</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3、超越定价权限进行政府定价</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五、是否违反兜底条款</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1、是否无法律法规依据减损市场主体合法权益或者增加其义务</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2、是否违反《反垄断法》制定含有排除竞争内容的政策措施</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六、是否适用例外规定</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1、维护国家经济安全、文化安全或者设计国防建设</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2、实现扶贫开发，救灾救助等社会目的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3、实现节约能源资源，保护生态环境的社会公益目的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4、法律行政法规规定的其他情况</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290" w:hRule="exac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不违反公平竞争审查标准。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p>
        </w:tc>
      </w:tr>
    </w:tbl>
    <w:p>
      <w:pPr>
        <w:rPr>
          <w:color w:val="auto"/>
        </w:rPr>
      </w:pPr>
    </w:p>
    <w:p>
      <w:pPr>
        <w:rPr>
          <w:color w:val="auto"/>
        </w:rPr>
      </w:pPr>
    </w:p>
    <w:p>
      <w:pPr>
        <w:rPr>
          <w:color w:val="auto"/>
        </w:rPr>
      </w:pPr>
    </w:p>
    <w:p>
      <w:pPr>
        <w:rPr>
          <w:color w:val="auto"/>
        </w:rPr>
      </w:pPr>
    </w:p>
    <w:p>
      <w:pPr>
        <w:pStyle w:val="2"/>
        <w:rPr>
          <w:color w:val="auto"/>
        </w:rPr>
      </w:pPr>
    </w:p>
    <w:p>
      <w:pPr>
        <w:rPr>
          <w:color w:val="auto"/>
        </w:rPr>
      </w:pPr>
    </w:p>
    <w:p>
      <w:pPr>
        <w:pStyle w:val="2"/>
        <w:rPr>
          <w:color w:val="auto"/>
        </w:rPr>
      </w:pPr>
    </w:p>
    <w:p/>
    <w:p>
      <w:pPr>
        <w:rPr>
          <w:color w:val="auto"/>
        </w:rPr>
      </w:pPr>
    </w:p>
    <w:p>
      <w:pPr>
        <w:rPr>
          <w:color w:val="auto"/>
        </w:rPr>
      </w:pPr>
    </w:p>
    <w:p>
      <w:pPr>
        <w:keepNext w:val="0"/>
        <w:keepLines w:val="0"/>
        <w:pageBreakBefore w:val="0"/>
        <w:widowControl w:val="0"/>
        <w:kinsoku/>
        <w:wordWrap/>
        <w:overflowPunct/>
        <w:topLinePunct w:val="0"/>
        <w:autoSpaceDE/>
        <w:autoSpaceDN/>
        <w:bidi w:val="0"/>
        <w:adjustRightInd/>
        <w:snapToGrid/>
        <w:spacing w:before="157" w:beforeLines="50" w:beforeAutospacing="0" w:after="157" w:afterLines="50" w:afterAutospacing="0" w:line="540" w:lineRule="exact"/>
        <w:ind w:right="0" w:rightChars="0"/>
        <w:jc w:val="center"/>
        <w:textAlignment w:val="auto"/>
        <w:outlineLvl w:val="0"/>
        <w:rPr>
          <w:rFonts w:hint="eastAsia" w:ascii="仿宋_GB2312" w:hAnsi="仿宋_GB2312" w:eastAsia="仿宋_GB2312" w:cs="仿宋_GB2312"/>
          <w:b w:val="0"/>
          <w:bCs/>
          <w:color w:val="auto"/>
          <w:spacing w:val="0"/>
          <w:position w:val="0"/>
          <w:sz w:val="24"/>
          <w:szCs w:val="24"/>
          <w:lang w:val="en-US" w:eastAsia="zh-CN"/>
        </w:rPr>
      </w:pPr>
      <w:bookmarkStart w:id="32" w:name="_Toc29914"/>
      <w:r>
        <w:rPr>
          <w:rFonts w:hint="eastAsia" w:ascii="黑体" w:hAnsi="黑体" w:eastAsia="黑体" w:cs="黑体"/>
          <w:b w:val="0"/>
          <w:bCs/>
          <w:color w:val="auto"/>
          <w:spacing w:val="0"/>
          <w:kern w:val="2"/>
          <w:position w:val="0"/>
          <w:sz w:val="28"/>
          <w:szCs w:val="30"/>
          <w:lang w:val="en-US" w:eastAsia="zh-CN" w:bidi="ar"/>
        </w:rPr>
        <w:t>公平竞争第三方审查表</w:t>
      </w:r>
      <w:bookmarkEnd w:id="32"/>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108" w:type="dxa"/>
          <w:bottom w:w="0" w:type="dxa"/>
          <w:right w:w="108" w:type="dxa"/>
        </w:tblCellMar>
      </w:tblPr>
      <w:tblGrid>
        <w:gridCol w:w="1101"/>
        <w:gridCol w:w="174"/>
        <w:gridCol w:w="1617"/>
        <w:gridCol w:w="4162"/>
        <w:gridCol w:w="19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auto" w:sz="4" w:space="0"/>
              <w:left w:val="single" w:color="auto" w:sz="4" w:space="0"/>
              <w:bottom w:val="single" w:color="000000" w:sz="4" w:space="0"/>
              <w:right w:val="single" w:color="auto"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文件名称</w:t>
            </w:r>
          </w:p>
        </w:tc>
        <w:tc>
          <w:tcPr>
            <w:tcW w:w="7769" w:type="dxa"/>
            <w:gridSpan w:val="3"/>
            <w:tcBorders>
              <w:top w:val="single" w:color="auto" w:sz="4" w:space="0"/>
              <w:left w:val="nil"/>
              <w:bottom w:val="single" w:color="auto"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民乐县规范农村土地经营权流转实施方案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127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文号</w:t>
            </w:r>
          </w:p>
        </w:tc>
        <w:tc>
          <w:tcPr>
            <w:tcW w:w="7769" w:type="dxa"/>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民办发〔2022〕113号</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制定机关</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民乐县人民政府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1、是否开展内部审查</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2892" w:type="dxa"/>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2、是否履行征求意见程序</w:t>
            </w:r>
          </w:p>
        </w:tc>
        <w:tc>
          <w:tcPr>
            <w:tcW w:w="615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904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竞争影响评估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一、是否违反市场准入和退出标准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1、设置不合理和歧视性的准入和退出条件</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2、未经公平竞争授予经营者特许经营权</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3、限定经营、购买、使用特定经营者提供的商品和服务</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73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4、设置没有法律法规依据的审批或者具有行政审批性质的事前备案程序</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5、对市场准入负面清单以外的行业、领域、业务设置审批程序</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二、是否违反商品要素自由流通标准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1、对外地和进口食品、服务实行歧视性价格或补贴政策</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2、限制外地和进口商品、服务进入本地市场或阻碍本地商品运出</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3、排斥或限制外地经营者参加本地招标投标活动</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4、排斥或限制外地经营者在本地投资或设立分支机构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5、对外地经营者在本地投资或设立的分支机构进行歧视性待遇</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三、是否违反影响生产经营成本标准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1、违法给予特定经营者优惠政策</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2、将财政支出安排与企业缴纳的税收或非税收入挂钩</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3、违法免除特定经营者需要缴纳的社会保险费用</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4、违法要求经营者提供各类保证金或扣留经营者保证金</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四、是否违反影响生产经营行为标准</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1、强制经营者从事《反垄断法》规定的垄断行为</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2、违法披露或者要求经营者披露生产经营敏感信息</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3、超越定价权限进行政府定价</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五、是否违反兜底条款</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1、是否无法律法规依据减损市场主体合法权益或者增加其义务</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2、是否违反《反垄断法》制定含有排除竞争内容的政策措施</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六、是否适用例外规定</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是/否</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1、维护国家经济安全、文化安全或者设计国防建设</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2、实现扶贫开发，救灾救助等社会目的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3、实现节约能源资源，保护生态环境的社会公益目的</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705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4、法律行政法规规定的其他情况</w:t>
            </w:r>
          </w:p>
        </w:tc>
        <w:tc>
          <w:tcPr>
            <w:tcW w:w="199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2330" w:hRule="exact"/>
        </w:trPr>
        <w:tc>
          <w:tcPr>
            <w:tcW w:w="11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第</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center"/>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见</w:t>
            </w:r>
          </w:p>
        </w:tc>
        <w:tc>
          <w:tcPr>
            <w:tcW w:w="7943" w:type="dxa"/>
            <w:gridSpan w:val="4"/>
            <w:tcBorders>
              <w:top w:val="single" w:color="000000" w:sz="4" w:space="0"/>
              <w:left w:val="nil"/>
              <w:bottom w:val="single" w:color="000000" w:sz="4" w:space="0"/>
              <w:right w:val="single" w:color="000000" w:sz="4" w:space="0"/>
            </w:tcBorders>
            <w:shd w:val="clear" w:color="auto" w:fill="auto"/>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eastAsia"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违反公平竞争审查细则第十六条影响生产经营行为标准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left"/>
              <w:textAlignment w:val="auto"/>
              <w:rPr>
                <w:rFonts w:hint="default" w:ascii="仿宋_GB2312" w:hAnsi="仿宋_GB2312" w:eastAsia="仿宋_GB2312" w:cs="仿宋_GB2312"/>
                <w:b w:val="0"/>
                <w:bCs/>
                <w:color w:val="auto"/>
                <w:spacing w:val="0"/>
                <w:position w:val="0"/>
                <w:sz w:val="24"/>
                <w:szCs w:val="24"/>
                <w:lang w:val="en-US" w:eastAsia="zh-CN"/>
              </w:rPr>
            </w:pPr>
            <w:r>
              <w:rPr>
                <w:rFonts w:hint="eastAsia" w:ascii="仿宋_GB2312" w:hAnsi="仿宋_GB2312" w:eastAsia="仿宋_GB2312" w:cs="仿宋_GB2312"/>
                <w:b w:val="0"/>
                <w:bCs/>
                <w:color w:val="auto"/>
                <w:spacing w:val="0"/>
                <w:position w:val="0"/>
                <w:sz w:val="24"/>
                <w:szCs w:val="24"/>
                <w:lang w:val="en-US" w:eastAsia="zh-CN"/>
              </w:rPr>
              <w:t>（一）不得强制经营者从事《中华人民共和国反垄断法》禁止的垄断行为，主要指以行政命令、行政授权、行政指导等方式或者通过行业协会、商会，强制、组织或者引导经营者达成、垄断协议、滥用市场支配地位，以及实施具有或者可能具有排除、限制竞争效果的经营者集中等行为。</w:t>
            </w:r>
          </w:p>
        </w:tc>
      </w:tr>
    </w:tbl>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00" w:lineRule="exact"/>
        <w:ind w:left="0" w:right="0"/>
        <w:jc w:val="both"/>
        <w:textAlignment w:val="auto"/>
        <w:rPr>
          <w:rFonts w:hint="eastAsia" w:ascii="仿宋_GB2312" w:hAnsi="仿宋_GB2312" w:eastAsia="仿宋_GB2312" w:cs="仿宋_GB2312"/>
          <w:b w:val="0"/>
          <w:bCs/>
          <w:color w:val="auto"/>
          <w:spacing w:val="0"/>
          <w:position w:val="0"/>
          <w:sz w:val="24"/>
          <w:szCs w:val="24"/>
          <w:lang w:val="en-US" w:eastAsia="zh-CN"/>
        </w:rPr>
      </w:pPr>
    </w:p>
    <w:sectPr>
      <w:footerReference r:id="rId3" w:type="default"/>
      <w:pgSz w:w="11906" w:h="16838"/>
      <w:pgMar w:top="2098" w:right="1474" w:bottom="1984" w:left="1587" w:header="851" w:footer="1417" w:gutter="0"/>
      <w:pgBorders>
        <w:top w:val="none" w:sz="0" w:space="0"/>
        <w:left w:val="none" w:sz="0" w:space="0"/>
        <w:bottom w:val="none" w:sz="0" w:space="0"/>
        <w:right w:val="none" w:sz="0" w:space="0"/>
      </w:pgBorders>
      <w:pgNumType w:fmt="decimal"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rPr>
                              <w:sz w:val="24"/>
                              <w:szCs w:val="24"/>
                            </w:rPr>
                          </w:pPr>
                          <w:r>
                            <w:rPr>
                              <w:sz w:val="24"/>
                              <w:szCs w:val="24"/>
                            </w:rPr>
                            <w:t xml:space="preserve">第 </w:t>
                          </w:r>
                          <w:r>
                            <w:rPr>
                              <w:sz w:val="24"/>
                              <w:szCs w:val="24"/>
                            </w:rPr>
                            <w:fldChar w:fldCharType="begin"/>
                          </w:r>
                          <w:r>
                            <w:rPr>
                              <w:sz w:val="24"/>
                              <w:szCs w:val="24"/>
                            </w:rPr>
                            <w:instrText xml:space="preserve"> PAGE  \* MERGEFORMAT </w:instrText>
                          </w:r>
                          <w:r>
                            <w:rPr>
                              <w:sz w:val="24"/>
                              <w:szCs w:val="24"/>
                            </w:rPr>
                            <w:fldChar w:fldCharType="separate"/>
                          </w:r>
                          <w:r>
                            <w:rPr>
                              <w:sz w:val="24"/>
                              <w:szCs w:val="24"/>
                            </w:rPr>
                            <w:t>2</w:t>
                          </w:r>
                          <w:r>
                            <w:rPr>
                              <w:sz w:val="24"/>
                              <w:szCs w:val="24"/>
                            </w:rPr>
                            <w:fldChar w:fldCharType="end"/>
                          </w:r>
                          <w:r>
                            <w:rPr>
                              <w:sz w:val="24"/>
                              <w:szCs w:val="24"/>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9"/>
                      <w:rPr>
                        <w:sz w:val="24"/>
                        <w:szCs w:val="24"/>
                      </w:rPr>
                    </w:pPr>
                    <w:r>
                      <w:rPr>
                        <w:sz w:val="24"/>
                        <w:szCs w:val="24"/>
                      </w:rPr>
                      <w:t xml:space="preserve">第 </w:t>
                    </w:r>
                    <w:r>
                      <w:rPr>
                        <w:sz w:val="24"/>
                        <w:szCs w:val="24"/>
                      </w:rPr>
                      <w:fldChar w:fldCharType="begin"/>
                    </w:r>
                    <w:r>
                      <w:rPr>
                        <w:sz w:val="24"/>
                        <w:szCs w:val="24"/>
                      </w:rPr>
                      <w:instrText xml:space="preserve"> PAGE  \* MERGEFORMAT </w:instrText>
                    </w:r>
                    <w:r>
                      <w:rPr>
                        <w:sz w:val="24"/>
                        <w:szCs w:val="24"/>
                      </w:rPr>
                      <w:fldChar w:fldCharType="separate"/>
                    </w:r>
                    <w:r>
                      <w:rPr>
                        <w:sz w:val="24"/>
                        <w:szCs w:val="24"/>
                      </w:rPr>
                      <w:t>2</w:t>
                    </w:r>
                    <w:r>
                      <w:rPr>
                        <w:sz w:val="24"/>
                        <w:szCs w:val="24"/>
                      </w:rPr>
                      <w:fldChar w:fldCharType="end"/>
                    </w:r>
                    <w:r>
                      <w:rPr>
                        <w:sz w:val="24"/>
                        <w:szCs w:val="24"/>
                      </w:rP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A76E9B"/>
    <w:multiLevelType w:val="singleLevel"/>
    <w:tmpl w:val="BFA76E9B"/>
    <w:lvl w:ilvl="0" w:tentative="0">
      <w:start w:val="1"/>
      <w:numFmt w:val="chineseCounting"/>
      <w:suff w:val="nothing"/>
      <w:lvlText w:val="（%1）"/>
      <w:lvlJc w:val="left"/>
      <w:rPr>
        <w:rFonts w:hint="eastAsia"/>
      </w:rPr>
    </w:lvl>
  </w:abstractNum>
  <w:abstractNum w:abstractNumId="1">
    <w:nsid w:val="11CDC06E"/>
    <w:multiLevelType w:val="singleLevel"/>
    <w:tmpl w:val="11CDC06E"/>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k0YzEzYmJkODhhM2U5ZWQyNjg4MWQxMzk0NWZiZTEifQ=="/>
  </w:docVars>
  <w:rsids>
    <w:rsidRoot w:val="00000000"/>
    <w:rsid w:val="007007DA"/>
    <w:rsid w:val="01174D10"/>
    <w:rsid w:val="01A01F91"/>
    <w:rsid w:val="03885E3A"/>
    <w:rsid w:val="07B95F26"/>
    <w:rsid w:val="085E716A"/>
    <w:rsid w:val="08BC3B45"/>
    <w:rsid w:val="0DEE0AD8"/>
    <w:rsid w:val="11877731"/>
    <w:rsid w:val="11D42C3E"/>
    <w:rsid w:val="13F13588"/>
    <w:rsid w:val="163B636A"/>
    <w:rsid w:val="16B0772A"/>
    <w:rsid w:val="16CA7569"/>
    <w:rsid w:val="19AC3F59"/>
    <w:rsid w:val="1B61135F"/>
    <w:rsid w:val="1D8B2357"/>
    <w:rsid w:val="1DE00D8E"/>
    <w:rsid w:val="1E29076E"/>
    <w:rsid w:val="1E82375A"/>
    <w:rsid w:val="215E40CC"/>
    <w:rsid w:val="24C7388A"/>
    <w:rsid w:val="26EF707D"/>
    <w:rsid w:val="2907142C"/>
    <w:rsid w:val="2A4F4A23"/>
    <w:rsid w:val="2C24476B"/>
    <w:rsid w:val="2C815051"/>
    <w:rsid w:val="31A167D9"/>
    <w:rsid w:val="34316D24"/>
    <w:rsid w:val="360016DD"/>
    <w:rsid w:val="39D54C2E"/>
    <w:rsid w:val="3D7851E1"/>
    <w:rsid w:val="3DA758BE"/>
    <w:rsid w:val="3E455BB2"/>
    <w:rsid w:val="3F8844F1"/>
    <w:rsid w:val="3FF1D284"/>
    <w:rsid w:val="4377580B"/>
    <w:rsid w:val="4813258B"/>
    <w:rsid w:val="4AEA59F8"/>
    <w:rsid w:val="4BEE077F"/>
    <w:rsid w:val="4C2B216B"/>
    <w:rsid w:val="4C68258E"/>
    <w:rsid w:val="4DDB297A"/>
    <w:rsid w:val="507A6A50"/>
    <w:rsid w:val="51234079"/>
    <w:rsid w:val="55991E18"/>
    <w:rsid w:val="55F75951"/>
    <w:rsid w:val="56242274"/>
    <w:rsid w:val="58B970B1"/>
    <w:rsid w:val="59046605"/>
    <w:rsid w:val="6338B9A5"/>
    <w:rsid w:val="655C0FC0"/>
    <w:rsid w:val="6A817639"/>
    <w:rsid w:val="6B39722C"/>
    <w:rsid w:val="6D47DBC1"/>
    <w:rsid w:val="6E1D62E9"/>
    <w:rsid w:val="6EA425E2"/>
    <w:rsid w:val="6FA505EF"/>
    <w:rsid w:val="754051A3"/>
    <w:rsid w:val="769242CB"/>
    <w:rsid w:val="771C279B"/>
    <w:rsid w:val="77559A1F"/>
    <w:rsid w:val="777959AB"/>
    <w:rsid w:val="77FF7D7A"/>
    <w:rsid w:val="791412EC"/>
    <w:rsid w:val="7B1F7A33"/>
    <w:rsid w:val="7E7C0B04"/>
    <w:rsid w:val="A7FEA45F"/>
    <w:rsid w:val="BE7102A2"/>
    <w:rsid w:val="D7FE223C"/>
    <w:rsid w:val="DFE3AA11"/>
    <w:rsid w:val="E5EB3F62"/>
    <w:rsid w:val="F7E26AF3"/>
    <w:rsid w:val="FBAF87F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14">
    <w:name w:val="Default Paragraph Font"/>
    <w:semiHidden/>
    <w:qFormat/>
    <w:uiPriority w:val="0"/>
  </w:style>
  <w:style w:type="table" w:default="1" w:styleId="12">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index 6"/>
    <w:basedOn w:val="1"/>
    <w:next w:val="1"/>
    <w:qFormat/>
    <w:uiPriority w:val="0"/>
    <w:pPr>
      <w:keepNext w:val="0"/>
      <w:keepLines w:val="0"/>
      <w:widowControl w:val="0"/>
      <w:suppressLineNumbers w:val="0"/>
      <w:spacing w:before="0" w:beforeAutospacing="0" w:after="0" w:afterAutospacing="0"/>
      <w:ind w:left="0" w:right="0"/>
      <w:jc w:val="both"/>
    </w:pPr>
    <w:rPr>
      <w:rFonts w:hint="default" w:ascii="仿宋_GB2312" w:hAnsi="宋体" w:eastAsia="仿宋_GB2312" w:cs="黑体"/>
      <w:color w:val="000000"/>
      <w:kern w:val="2"/>
      <w:sz w:val="32"/>
      <w:szCs w:val="32"/>
      <w:lang w:val="en-US" w:eastAsia="zh-CN" w:bidi="ar"/>
    </w:rPr>
  </w:style>
  <w:style w:type="paragraph" w:styleId="4">
    <w:name w:val="Normal Indent"/>
    <w:basedOn w:val="1"/>
    <w:qFormat/>
    <w:uiPriority w:val="99"/>
    <w:pPr>
      <w:ind w:firstLine="420"/>
    </w:pPr>
  </w:style>
  <w:style w:type="paragraph" w:styleId="5">
    <w:name w:val="annotation text"/>
    <w:basedOn w:val="1"/>
    <w:next w:val="6"/>
    <w:qFormat/>
    <w:uiPriority w:val="0"/>
    <w:pPr>
      <w:keepNext w:val="0"/>
      <w:keepLines w:val="0"/>
      <w:widowControl w:val="0"/>
      <w:suppressLineNumbers w:val="0"/>
      <w:spacing w:before="0" w:beforeAutospacing="0" w:after="0" w:afterAutospacing="0"/>
      <w:ind w:left="0" w:right="0"/>
      <w:jc w:val="left"/>
    </w:pPr>
    <w:rPr>
      <w:rFonts w:hint="default" w:ascii="Calibri" w:hAnsi="Calibri" w:eastAsia="宋体" w:cs="Times New Roman"/>
      <w:kern w:val="2"/>
      <w:sz w:val="21"/>
      <w:szCs w:val="21"/>
      <w:lang w:val="en-US" w:eastAsia="zh-CN" w:bidi="ar"/>
    </w:rPr>
  </w:style>
  <w:style w:type="paragraph" w:styleId="6">
    <w:name w:val="Balloon Text"/>
    <w:basedOn w:val="1"/>
    <w:qFormat/>
    <w:uiPriority w:val="0"/>
    <w:rPr>
      <w:sz w:val="18"/>
    </w:rPr>
  </w:style>
  <w:style w:type="paragraph" w:styleId="7">
    <w:name w:val="Body Text"/>
    <w:basedOn w:val="1"/>
    <w:qFormat/>
    <w:uiPriority w:val="0"/>
    <w:pPr>
      <w:keepNext w:val="0"/>
      <w:keepLines w:val="0"/>
      <w:widowControl w:val="0"/>
      <w:suppressLineNumbers w:val="0"/>
      <w:spacing w:after="120" w:afterAutospacing="0"/>
      <w:jc w:val="both"/>
    </w:pPr>
    <w:rPr>
      <w:rFonts w:hint="default" w:ascii="Calibri" w:hAnsi="Calibri" w:eastAsia="宋体" w:cs="黑体"/>
      <w:kern w:val="2"/>
      <w:sz w:val="21"/>
      <w:szCs w:val="21"/>
      <w:lang w:val="en-US" w:eastAsia="zh-CN" w:bidi="ar"/>
    </w:rPr>
  </w:style>
  <w:style w:type="paragraph" w:styleId="8">
    <w:name w:val="Body Text Indent 2"/>
    <w:basedOn w:val="1"/>
    <w:qFormat/>
    <w:uiPriority w:val="0"/>
    <w:pPr>
      <w:keepNext w:val="0"/>
      <w:keepLines w:val="0"/>
      <w:widowControl w:val="0"/>
      <w:suppressLineNumbers w:val="0"/>
      <w:spacing w:after="120" w:afterAutospacing="0" w:line="480" w:lineRule="auto"/>
      <w:ind w:left="420" w:leftChars="200"/>
      <w:jc w:val="both"/>
    </w:pPr>
    <w:rPr>
      <w:rFonts w:hint="default" w:ascii="Calibri" w:hAnsi="Calibri" w:eastAsia="宋体" w:cs="Times New Roman"/>
      <w:kern w:val="2"/>
      <w:sz w:val="21"/>
      <w:szCs w:val="21"/>
      <w:lang w:val="en-US" w:eastAsia="zh-CN" w:bidi="ar"/>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Normal (Web)"/>
    <w:basedOn w:val="1"/>
    <w:qFormat/>
    <w:uiPriority w:val="0"/>
    <w:pPr>
      <w:widowControl/>
      <w:spacing w:before="0" w:beforeAutospacing="1" w:after="0" w:afterAutospacing="1"/>
      <w:ind w:left="0" w:right="0"/>
      <w:jc w:val="left"/>
    </w:pPr>
    <w:rPr>
      <w:rFonts w:ascii="宋体" w:hAnsi="宋体" w:eastAsia="宋体" w:cs="宋体"/>
      <w:kern w:val="0"/>
      <w:sz w:val="24"/>
      <w:szCs w:val="24"/>
      <w:lang w:val="en-US" w:eastAsia="zh-CN" w:bidi="ar"/>
    </w:rPr>
  </w:style>
  <w:style w:type="table" w:styleId="13">
    <w:name w:val="Table Grid"/>
    <w:basedOn w:val="12"/>
    <w:qFormat/>
    <w:uiPriority w:val="0"/>
    <w:pPr>
      <w:keepNext w:val="0"/>
      <w:keepLines w:val="0"/>
      <w:widowControl w:val="0"/>
      <w:suppressLineNumbers w:val="0"/>
      <w:spacing w:before="0" w:beforeAutospacing="0" w:after="0" w:afterAutospacing="0"/>
      <w:ind w:left="0" w:right="0"/>
      <w:jc w:val="both"/>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customStyle="1" w:styleId="15">
    <w:name w:val="10"/>
    <w:basedOn w:val="14"/>
    <w:qFormat/>
    <w:uiPriority w:val="0"/>
    <w:rPr>
      <w:rFonts w:hint="default" w:ascii="Calibri" w:hAnsi="Calibri" w:cs="Calibri"/>
    </w:rPr>
  </w:style>
  <w:style w:type="character" w:customStyle="1" w:styleId="16">
    <w:name w:val="15"/>
    <w:basedOn w:val="14"/>
    <w:qFormat/>
    <w:uiPriority w:val="0"/>
    <w:rPr>
      <w:rFonts w:hint="default" w:ascii="Calibri" w:hAnsi="Calibri" w:cs="Times New Roman"/>
    </w:rPr>
  </w:style>
  <w:style w:type="paragraph" w:customStyle="1" w:styleId="17">
    <w:name w:val="msolistparagraph"/>
    <w:basedOn w:val="1"/>
    <w:qFormat/>
    <w:uiPriority w:val="0"/>
    <w:pPr>
      <w:keepNext w:val="0"/>
      <w:keepLines w:val="0"/>
      <w:widowControl w:val="0"/>
      <w:suppressLineNumbers w:val="0"/>
      <w:spacing w:before="66" w:beforeAutospacing="0" w:after="0" w:afterAutospacing="0"/>
      <w:ind w:left="457" w:right="0" w:hanging="358"/>
      <w:jc w:val="both"/>
    </w:pPr>
    <w:rPr>
      <w:rFonts w:hint="eastAsia" w:ascii="微软雅黑" w:hAnsi="微软雅黑" w:eastAsia="微软雅黑" w:cs="微软雅黑"/>
      <w:kern w:val="2"/>
      <w:sz w:val="21"/>
      <w:szCs w:val="21"/>
      <w:lang w:val="en-US" w:eastAsia="zh-CN" w:bidi="ar"/>
    </w:rPr>
  </w:style>
  <w:style w:type="table" w:customStyle="1" w:styleId="18">
    <w:name w:val="Table Normal"/>
    <w:basedOn w:val="12"/>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0" w:type="dxa"/>
        <w:bottom w:w="0" w:type="dxa"/>
        <w:right w:w="0" w:type="dxa"/>
      </w:tblCellMar>
    </w:tblPr>
  </w:style>
  <w:style w:type="paragraph" w:customStyle="1" w:styleId="19">
    <w:name w:val="WPSOffice手动目录 1"/>
    <w:uiPriority w:val="0"/>
    <w:pPr>
      <w:ind w:leftChars="0"/>
    </w:pPr>
    <w:rPr>
      <w:rFonts w:ascii="Times New Roman" w:hAnsi="Times New Roman" w:eastAsia="宋体" w:cs="Times New Roman"/>
      <w:sz w:val="20"/>
      <w:szCs w:val="20"/>
    </w:rPr>
  </w:style>
  <w:style w:type="paragraph" w:customStyle="1" w:styleId="20">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41</Pages>
  <Words>17329</Words>
  <Characters>17608</Characters>
  <Lines>1</Lines>
  <Paragraphs>1</Paragraphs>
  <TotalTime>0</TotalTime>
  <ScaleCrop>false</ScaleCrop>
  <LinksUpToDate>false</LinksUpToDate>
  <CharactersWithSpaces>17731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2023-03-24T04:25:00Z</dcterms:created>
  <dc:creator>笑笑妈</dc:creator>
  <cp:lastModifiedBy>盛斐</cp:lastModifiedBy>
  <dcterms:modified xsi:type="dcterms:W3CDTF">2023-06-23T08:39:20Z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B6FF31A20DEE42A39C494E6A7A372CCA</vt:lpwstr>
  </property>
</Properties>
</file>