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kern w:val="2"/>
          <w:sz w:val="21"/>
          <w:szCs w:val="24"/>
          <w:lang w:val="en-US" w:eastAsia="zh-CN" w:bidi="ar-SA"/>
        </w:rPr>
        <w:id w:val="147451586"/>
        <w15:color w:val="DBDBDB"/>
        <w:docPartObj>
          <w:docPartGallery w:val="Table of Contents"/>
          <w:docPartUnique/>
        </w:docPartObj>
      </w:sdtPr>
      <w:sdtEndPr>
        <w:rPr>
          <w:rFonts w:hint="eastAsia" w:ascii="黑体" w:hAnsi="黑体" w:eastAsia="黑体" w:cs="黑体"/>
          <w:b/>
          <w:bCs/>
          <w:color w:val="auto"/>
          <w:spacing w:val="0"/>
          <w:kern w:val="2"/>
          <w:position w:val="0"/>
          <w:sz w:val="21"/>
          <w:szCs w:val="32"/>
          <w:shd w:val="clear" w:color="auto" w:fill="auto"/>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7"/>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
              <w:bCs/>
              <w:spacing w:val="0"/>
              <w:kern w:val="2"/>
              <w:position w:val="0"/>
              <w:sz w:val="32"/>
              <w:szCs w:val="32"/>
              <w:shd w:val="clear" w:color="auto" w:fill="auto"/>
              <w:lang w:val="en-US" w:eastAsia="zh-CN" w:bidi="ar"/>
            </w:rPr>
            <w:instrText xml:space="preserve"> HYPERLINK \l _Toc615 </w:instrText>
          </w:r>
          <w:r>
            <w:rPr>
              <w:rFonts w:hint="eastAsia" w:ascii="仿宋_GB2312" w:hAnsi="仿宋_GB2312" w:eastAsia="仿宋_GB2312" w:cs="仿宋_GB2312"/>
              <w:b/>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
              <w:bCs/>
              <w:spacing w:val="0"/>
              <w:kern w:val="2"/>
              <w:position w:val="0"/>
              <w:sz w:val="32"/>
              <w:szCs w:val="32"/>
              <w:shd w:val="clear" w:color="auto" w:fill="auto"/>
              <w:lang w:val="en-US" w:eastAsia="zh-CN" w:bidi="ar"/>
            </w:rPr>
            <w:t>一、总体情况</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_Toc615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_Toc146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_Toc27660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（二）审查清理情况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_Toc27660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_Toc2460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7"/>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
              <w:bCs/>
              <w:spacing w:val="0"/>
              <w:kern w:val="2"/>
              <w:position w:val="0"/>
              <w:sz w:val="32"/>
              <w:szCs w:val="32"/>
              <w:shd w:val="clear" w:color="auto" w:fill="auto"/>
              <w:lang w:val="en-US" w:eastAsia="zh-CN" w:bidi="ar"/>
            </w:rPr>
            <w:instrText xml:space="preserve"> HYPERLINK \l _Toc6948 </w:instrText>
          </w:r>
          <w:r>
            <w:rPr>
              <w:rFonts w:hint="eastAsia" w:ascii="仿宋_GB2312" w:hAnsi="仿宋_GB2312" w:eastAsia="仿宋_GB2312" w:cs="仿宋_GB2312"/>
              <w:b/>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
              <w:bCs/>
              <w:spacing w:val="0"/>
              <w:kern w:val="2"/>
              <w:position w:val="0"/>
              <w:sz w:val="32"/>
              <w:szCs w:val="32"/>
              <w:shd w:val="clear" w:color="auto" w:fill="auto"/>
              <w:lang w:val="en-US" w:eastAsia="zh-CN" w:bidi="ar"/>
            </w:rPr>
            <w:t>二、评估结果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_Toc6948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4</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_Toc18768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（一） 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_Toc18768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_Toc29234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（二）政策措施抽样评估得分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_Toc29234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_Toc2634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（三）公平竞争审查第三方评估工作配合情况得分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_Toc2634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_Toc17148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（四）公平竞争审查第三方评估最终得分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_Toc17148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7"/>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
              <w:bCs/>
              <w:spacing w:val="0"/>
              <w:kern w:val="2"/>
              <w:position w:val="0"/>
              <w:sz w:val="32"/>
              <w:szCs w:val="32"/>
              <w:shd w:val="clear" w:color="auto" w:fill="auto"/>
              <w:lang w:val="en-US" w:eastAsia="zh-CN" w:bidi="ar"/>
            </w:rPr>
            <w:instrText xml:space="preserve"> HYPERLINK \l _Toc10853 </w:instrText>
          </w:r>
          <w:r>
            <w:rPr>
              <w:rFonts w:hint="eastAsia" w:ascii="仿宋_GB2312" w:hAnsi="仿宋_GB2312" w:eastAsia="仿宋_GB2312" w:cs="仿宋_GB2312"/>
              <w:b/>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
              <w:bCs/>
              <w:spacing w:val="0"/>
              <w:kern w:val="2"/>
              <w:position w:val="0"/>
              <w:sz w:val="32"/>
              <w:szCs w:val="32"/>
              <w:shd w:val="clear" w:color="auto" w:fill="auto"/>
              <w:lang w:val="en-US" w:eastAsia="zh-CN" w:bidi="ar"/>
            </w:rPr>
            <w:t>三、意见建议</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_Toc10853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_Toc16984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_Toc16984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_Toc18408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_Toc18408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_Toc26415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_Toc26415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Cs/>
              <w:spacing w:val="0"/>
              <w:kern w:val="2"/>
              <w:position w:val="0"/>
              <w:sz w:val="32"/>
              <w:szCs w:val="32"/>
              <w:shd w:val="clear" w:color="auto" w:fill="auto"/>
              <w:lang w:val="en-US" w:eastAsia="zh-CN" w:bidi="ar"/>
            </w:rPr>
            <w:instrText xml:space="preserve"> HYPERLINK \l _Toc28900 </w:instrText>
          </w:r>
          <w:r>
            <w:rPr>
              <w:rFonts w:hint="eastAsia" w:ascii="仿宋_GB2312" w:hAnsi="仿宋_GB2312" w:eastAsia="仿宋_GB2312" w:cs="仿宋_GB2312"/>
              <w:bCs/>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Cs/>
              <w:spacing w:val="0"/>
              <w:kern w:val="2"/>
              <w:position w:val="0"/>
              <w:sz w:val="32"/>
              <w:szCs w:val="32"/>
              <w:shd w:val="clear" w:color="auto" w:fill="auto"/>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_Toc28900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shd w:val="clear" w:color="auto" w:fill="auto"/>
              <w:lang w:val="en-US" w:eastAsia="zh-CN" w:bidi="ar"/>
            </w:rPr>
            <w:fldChar w:fldCharType="end"/>
          </w:r>
        </w:p>
        <w:p>
          <w:pPr>
            <w:pStyle w:val="17"/>
            <w:tabs>
              <w:tab w:val="right" w:leader="dot" w:pos="8845"/>
            </w:tabs>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 w:val="0"/>
              <w:bCs w:val="0"/>
              <w:spacing w:val="0"/>
              <w:kern w:val="2"/>
              <w:position w:val="0"/>
              <w:sz w:val="32"/>
              <w:szCs w:val="32"/>
              <w:shd w:val="clear" w:color="auto" w:fill="auto"/>
              <w:lang w:val="en-US" w:eastAsia="zh-CN" w:bidi="ar"/>
            </w:rPr>
            <w:instrText xml:space="preserve"> HYPERLINK \l _Toc30421 </w:instrText>
          </w:r>
          <w:r>
            <w:rPr>
              <w:rFonts w:hint="eastAsia" w:ascii="仿宋_GB2312" w:hAnsi="仿宋_GB2312" w:eastAsia="仿宋_GB2312" w:cs="仿宋_GB2312"/>
              <w:b w:val="0"/>
              <w:bCs w:val="0"/>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 w:val="0"/>
              <w:bCs w:val="0"/>
              <w:spacing w:val="0"/>
              <w:position w:val="0"/>
              <w:sz w:val="32"/>
              <w:szCs w:val="32"/>
              <w:shd w:val="clear" w:color="auto" w:fill="auto"/>
              <w:lang w:val="en-US" w:eastAsia="zh-CN"/>
            </w:rPr>
            <w:t>附件一：山丹县政策措施文件目录</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_Toc30421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10</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kern w:val="2"/>
              <w:position w:val="0"/>
              <w:sz w:val="32"/>
              <w:szCs w:val="32"/>
              <w:shd w:val="clear" w:color="auto" w:fill="auto"/>
              <w:lang w:val="en-US" w:eastAsia="zh-CN" w:bidi="ar"/>
            </w:rPr>
            <w:fldChar w:fldCharType="end"/>
          </w:r>
        </w:p>
        <w:p>
          <w:pPr>
            <w:pStyle w:val="17"/>
            <w:tabs>
              <w:tab w:val="right" w:leader="dot" w:pos="8845"/>
            </w:tabs>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kern w:val="2"/>
              <w:position w:val="0"/>
              <w:sz w:val="32"/>
              <w:szCs w:val="32"/>
              <w:shd w:val="clear" w:color="auto" w:fill="auto"/>
              <w:lang w:val="en-US" w:eastAsia="zh-CN" w:bidi="ar"/>
            </w:rPr>
            <w:fldChar w:fldCharType="begin"/>
          </w:r>
          <w:r>
            <w:rPr>
              <w:rFonts w:hint="eastAsia" w:ascii="仿宋_GB2312" w:hAnsi="仿宋_GB2312" w:eastAsia="仿宋_GB2312" w:cs="仿宋_GB2312"/>
              <w:b w:val="0"/>
              <w:bCs w:val="0"/>
              <w:spacing w:val="0"/>
              <w:kern w:val="2"/>
              <w:position w:val="0"/>
              <w:sz w:val="32"/>
              <w:szCs w:val="32"/>
              <w:shd w:val="clear" w:color="auto" w:fill="auto"/>
              <w:lang w:val="en-US" w:eastAsia="zh-CN" w:bidi="ar"/>
            </w:rPr>
            <w:instrText xml:space="preserve"> HYPERLINK \l _Toc20711 </w:instrText>
          </w:r>
          <w:r>
            <w:rPr>
              <w:rFonts w:hint="eastAsia" w:ascii="仿宋_GB2312" w:hAnsi="仿宋_GB2312" w:eastAsia="仿宋_GB2312" w:cs="仿宋_GB2312"/>
              <w:b w:val="0"/>
              <w:bCs w:val="0"/>
              <w:spacing w:val="0"/>
              <w:kern w:val="2"/>
              <w:position w:val="0"/>
              <w:sz w:val="32"/>
              <w:szCs w:val="32"/>
              <w:shd w:val="clear" w:color="auto" w:fill="auto"/>
              <w:lang w:val="en-US" w:eastAsia="zh-CN" w:bidi="ar"/>
            </w:rPr>
            <w:fldChar w:fldCharType="separate"/>
          </w:r>
          <w:r>
            <w:rPr>
              <w:rFonts w:hint="eastAsia" w:ascii="仿宋_GB2312" w:hAnsi="仿宋_GB2312" w:eastAsia="仿宋_GB2312" w:cs="仿宋_GB2312"/>
              <w:b w:val="0"/>
              <w:bCs w:val="0"/>
              <w:spacing w:val="0"/>
              <w:position w:val="0"/>
              <w:sz w:val="32"/>
              <w:szCs w:val="32"/>
              <w:shd w:val="clear" w:color="auto" w:fill="auto"/>
              <w:lang w:val="en-US" w:eastAsia="zh-CN"/>
            </w:rPr>
            <w:t>附件二：山丹县政策措施文件评估表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_Toc20711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11</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kern w:val="2"/>
              <w:position w:val="0"/>
              <w:sz w:val="32"/>
              <w:szCs w:val="32"/>
              <w:shd w:val="clear" w:color="auto" w:fill="auto"/>
              <w:lang w:val="en-US" w:eastAsia="zh-CN" w:bidi="ar"/>
            </w:rPr>
            <w:fldChar w:fldCharType="end"/>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3" w:firstLineChars="200"/>
            <w:jc w:val="both"/>
            <w:outlineLvl w:val="9"/>
            <w:rPr>
              <w:rFonts w:hint="eastAsia" w:ascii="黑体" w:hAnsi="黑体" w:eastAsia="黑体" w:cs="黑体"/>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bCs/>
              <w:color w:val="auto"/>
              <w:spacing w:val="0"/>
              <w:kern w:val="2"/>
              <w:position w:val="0"/>
              <w:sz w:val="32"/>
              <w:szCs w:val="32"/>
              <w:shd w:val="clear" w:color="auto" w:fill="auto"/>
              <w:lang w:val="en-US" w:eastAsia="zh-CN" w:bidi="ar"/>
            </w:rPr>
            <w:fldChar w:fldCharType="end"/>
          </w:r>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shd w:val="clear" w:color="auto" w:fill="auto"/>
          <w:lang w:val="en-US" w:eastAsia="zh-CN" w:bidi="ar"/>
        </w:rPr>
      </w:pPr>
      <w:bookmarkStart w:id="0" w:name="_Toc615"/>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shd w:val="clear" w:color="auto" w:fill="auto"/>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shd w:val="clear" w:color="auto" w:fill="auto"/>
          <w:lang w:val="en-US" w:eastAsia="zh-CN" w:bidi="ar"/>
        </w:rPr>
        <w:sectPr>
          <w:pgSz w:w="11906" w:h="16838"/>
          <w:pgMar w:top="2098" w:right="1474" w:bottom="1984" w:left="1587" w:header="851" w:footer="1417" w:gutter="0"/>
          <w:pgBorders>
            <w:top w:val="none" w:sz="0" w:space="0"/>
            <w:left w:val="none" w:sz="0" w:space="0"/>
            <w:bottom w:val="none" w:sz="0" w:space="0"/>
            <w:right w:val="none" w:sz="0" w:space="0"/>
          </w:pgBorders>
          <w:pgNumType w:fmt="decimal"/>
          <w:cols w:space="0" w:num="1"/>
          <w:rtlGutter w:val="0"/>
          <w:docGrid w:type="lines" w:linePitch="312" w:charSpace="0"/>
        </w:sect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shd w:val="clear" w:color="auto" w:fill="auto"/>
          <w:lang w:val="en-US" w:eastAsia="zh-CN" w:bidi="ar"/>
        </w:rPr>
      </w:pPr>
      <w:r>
        <w:rPr>
          <w:rFonts w:hint="eastAsia" w:ascii="黑体" w:hAnsi="黑体" w:eastAsia="黑体" w:cs="黑体"/>
          <w:b w:val="0"/>
          <w:bCs/>
          <w:color w:val="auto"/>
          <w:spacing w:val="0"/>
          <w:kern w:val="2"/>
          <w:position w:val="0"/>
          <w:sz w:val="32"/>
          <w:szCs w:val="32"/>
          <w:shd w:val="clear" w:color="auto" w:fill="auto"/>
          <w:lang w:val="en-US" w:eastAsia="zh-CN" w:bidi="ar"/>
        </w:rPr>
        <w:t>一、总体情况</w:t>
      </w:r>
      <w:bookmarkEnd w:id="0"/>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公平竞争是市场经济的基本原则，是市场机制高效运行的重要基础。公平竞争审查制度的建立及实施，有助于规范政府相关行为，防止出台排除限制市场竞争的政策措施。当前，随着全面深化改革战略的持续推进，全国统一市场的基本形成，公平竞争环境逐步提升。但同时也要看到，地方保护、行业壁垒等不符合建设全国统一市场和公平竞争的现象仍然存在。</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为规范政府有关行为，防止出台排除、限制竞争的政策措施，逐步清理废除妨碍全国统一市场和公平竞争的规定和做法，国务院印发了《关于在市场体系建设中建立公平竞争审查制度的意见》（国发〔2016〕34号）（下文简称《意见》），部署建立公平竞争审查制度。</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在我国公平竞争审查制度中，第三方评估被作为一项重要的机制写入基本的制度设计。2021年，市场监管总局、国家发展改革委、财政部、商务部、司法部会同有关部门修订的《公平竞争审查制度实施细则》（下文简称《实施细则》）设立专章“第三方评估”，对有关第三方评估问题予以明确，该《实施细则》第二十条规定：“政策制定机关可以根据工作实际，委托具备相应评估能力的高等院校、科研院所、专业咨询公司、律师事务所等第三方机构，对有关政策措施进行公平竞争评估，或者对公平竞争审查有关工作进行评估。各级联席会议办公室可以委托第三方机构，对本地公平竞争审查制度总体实施情况开展评估”。</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2022年3月25日，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为进一步提高张掖市公平竞争审查质量，确保审查效果，推动制度深入实施，防止出台排除、限制市场公平竞争的政策措施，张掖市公平竞争审查工作部门联席会议办公室经过询价，遴选甘肃金彤律师事务所对张掖市24个市直部门单位、6个县区和张掖市经济技术开发区公平竞争审查制度实施情况进行综合评估，出具评估报告。</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评估机构审查了山丹县提供的2021-2022年度政策措施、填写的调查表以及各项补充材料和佐证材料，系统总结了山丹县落实公平竞争审查制度、论证公平竞争制度的环境成效，梳理分析可能存在的问题和原因，提出进一步完善的意见建议。评估总体情况如下：</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pPr>
      <w:bookmarkStart w:id="1" w:name="_Toc146"/>
      <w:r>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t>（一）政策措施评估情况</w:t>
      </w:r>
      <w:bookmarkEnd w:id="1"/>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山丹县提供政策措施4份，其中2021—2022年度增量政策措施3份，增量政策措施均不违反公平竞争审查标准。</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pPr>
      <w:bookmarkStart w:id="2" w:name="_Toc27660"/>
      <w:r>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t>（二）审查清理情况</w:t>
      </w:r>
      <w:bookmarkEnd w:id="2"/>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山丹县在开展公平竞争审查工作过程中，进行了县域范围内的自查并形成了自查报告。</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对于涉及市场主体经济活动的存量政策措施，山丹县进行了内部审查和清理，形成《山丹县2022年公平竞争审查总结》、《2022年度公平竞争审查工作情况统计表》，对全县公平竞争审查工作进行了总结，但没有审查、清理与废止具体存量政策措施目录。</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pPr>
      <w:bookmarkStart w:id="3" w:name="_bookmark2"/>
      <w:bookmarkEnd w:id="3"/>
      <w:bookmarkStart w:id="4" w:name="_Toc2460"/>
      <w:r>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t>（三）工作部署落实情况</w:t>
      </w:r>
      <w:bookmarkEnd w:id="4"/>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为建立健全公平竞争审查工作机制，推动山丹县公平竞争审查工作的贯彻落实，山丹县市场监督局、山丹县发展和改革局、山丹县财政局、山丹县商务局、山丹县司法局五部门联合发布《关于印发县公平竞争审查工作联席会议2022年工作要点的通知》，认真学习《公平竞争审查制度实施细则》，制定《公平竞争审查基本流程》和《公平竞争审查表》，确定《山丹县公平竞争审查工作部门联席会议制度》、《山丹县公平竞争审查工作政策措施抽查制度（试行）》、《山丹县重大政策措施公平竞争审查会审制度（试行）》和《山丹县公平竞争审查投诉举报和处理回应制度》，并在制度中明确了人员分工。为推进公平竞争审查的学习与宣传，在全县范围内组织开展专题宣传周活动，对社会公众进行公平竞争审查内容的宣传与普及，组织人员集中学习反垄断法等法律法规，进行公平竞争审查内容的学习与培训。</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目前，山丹县的公平竞争审查制度、审查流程和审查人员配置均已完善。</w:t>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shd w:val="clear" w:color="auto" w:fill="auto"/>
          <w:lang w:val="en-US" w:eastAsia="zh-CN" w:bidi="ar"/>
        </w:rPr>
      </w:pPr>
      <w:bookmarkStart w:id="5" w:name="_Toc6948"/>
      <w:r>
        <w:rPr>
          <w:rFonts w:hint="eastAsia" w:ascii="黑体" w:hAnsi="黑体" w:eastAsia="黑体" w:cs="黑体"/>
          <w:b w:val="0"/>
          <w:bCs/>
          <w:color w:val="auto"/>
          <w:spacing w:val="0"/>
          <w:kern w:val="2"/>
          <w:position w:val="0"/>
          <w:sz w:val="32"/>
          <w:szCs w:val="32"/>
          <w:shd w:val="clear" w:color="auto" w:fill="auto"/>
          <w:lang w:val="en-US" w:eastAsia="zh-CN" w:bidi="ar"/>
        </w:rPr>
        <w:t>二、评估结果</w:t>
      </w:r>
      <w:bookmarkEnd w:id="5"/>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shd w:val="clear" w:color="auto" w:fill="auto"/>
          <w:lang w:val="en-US" w:eastAsia="zh-CN"/>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根据《甘肃省市场监管局等四部门关于进一步推进落实公平竞争审查工作的通知》（甘市监发〔2020〕291号）及《张掖市公平竞争审查工作部门联席会议办公室关于开展公平竞争审查工作第三方评估的通知》（张公竞〔2022〕10号）文件要求，山丹县</w:t>
      </w:r>
      <w:r>
        <w:rPr>
          <w:rFonts w:hint="eastAsia" w:ascii="仿宋_GB2312" w:hAnsi="仿宋_GB2312" w:eastAsia="仿宋_GB2312" w:cs="仿宋_GB2312"/>
          <w:b w:val="0"/>
          <w:bCs/>
          <w:color w:val="auto"/>
          <w:spacing w:val="0"/>
          <w:position w:val="0"/>
          <w:sz w:val="32"/>
          <w:szCs w:val="32"/>
          <w:shd w:val="clear" w:color="auto" w:fill="auto"/>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pPr>
      <w:bookmarkStart w:id="6" w:name="_Toc9063"/>
      <w:bookmarkStart w:id="7" w:name="_Toc18768"/>
      <w:r>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t>（一） 工作部署落实情况得分</w:t>
      </w:r>
      <w:bookmarkEnd w:id="6"/>
      <w:bookmarkEnd w:id="7"/>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shd w:val="clear" w:color="auto" w:fill="auto"/>
          <w:lang w:val="en-US" w:eastAsia="zh-CN" w:bidi="ar"/>
        </w:rPr>
      </w:pPr>
      <w:r>
        <w:rPr>
          <w:rFonts w:hint="eastAsia" w:ascii="黑体" w:hAnsi="黑体" w:eastAsia="黑体" w:cs="黑体"/>
          <w:b w:val="0"/>
          <w:bCs/>
          <w:color w:val="auto"/>
          <w:spacing w:val="0"/>
          <w:kern w:val="2"/>
          <w:position w:val="0"/>
          <w:sz w:val="24"/>
          <w:szCs w:val="30"/>
          <w:shd w:val="clear" w:color="auto" w:fill="auto"/>
          <w:lang w:val="en-US" w:eastAsia="zh-CN" w:bidi="ar"/>
        </w:rPr>
        <w:t>表1：公平竞争审查工作部署落实情况评分表</w:t>
      </w:r>
    </w:p>
    <w:tbl>
      <w:tblPr>
        <w:tblStyle w:val="13"/>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山丹县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指标</w:t>
            </w:r>
          </w:p>
        </w:tc>
        <w:tc>
          <w:tcPr>
            <w:tcW w:w="924"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指标</w:t>
            </w:r>
          </w:p>
        </w:tc>
        <w:tc>
          <w:tcPr>
            <w:tcW w:w="2145"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指标评价内容</w:t>
            </w:r>
          </w:p>
        </w:tc>
        <w:tc>
          <w:tcPr>
            <w:tcW w:w="4488"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评</w:t>
            </w:r>
            <w:r>
              <w:rPr>
                <w:rFonts w:hint="default" w:ascii="仿宋_GB2312" w:hAnsi="仿宋_GB2312" w:eastAsia="仿宋_GB2312" w:cs="仿宋_GB2312"/>
                <w:b w:val="0"/>
                <w:bCs/>
                <w:color w:val="auto"/>
                <w:spacing w:val="0"/>
                <w:position w:val="0"/>
                <w:sz w:val="24"/>
                <w:szCs w:val="24"/>
                <w:shd w:val="clear" w:color="auto" w:fill="auto"/>
                <w:lang w:val="en-US" w:eastAsia="zh-CN"/>
              </w:rPr>
              <w:t>分标准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工作部署落实情况（45分）</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方案</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印发公平竞争审查方案（5分）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根据是否印发建立公平竞争审查制度的实施通知/实施方案等文件进行判断。</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建立相应审查机制</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建立公平竞争审查机制（10分）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有</w:t>
            </w:r>
            <w:r>
              <w:rPr>
                <w:rFonts w:hint="default" w:ascii="仿宋_GB2312" w:hAnsi="仿宋_GB2312" w:eastAsia="仿宋_GB2312" w:cs="仿宋_GB2312"/>
                <w:b w:val="0"/>
                <w:bCs/>
                <w:color w:val="auto"/>
                <w:spacing w:val="0"/>
                <w:position w:val="0"/>
                <w:sz w:val="24"/>
                <w:szCs w:val="24"/>
                <w:shd w:val="clear" w:color="auto" w:fill="auto"/>
                <w:lang w:val="en-US" w:eastAsia="zh-CN"/>
              </w:rPr>
              <w:t>报批文件、通知文件、审批流程文件</w:t>
            </w:r>
            <w:r>
              <w:rPr>
                <w:rFonts w:hint="eastAsia" w:ascii="仿宋_GB2312" w:hAnsi="仿宋_GB2312" w:eastAsia="仿宋_GB2312" w:cs="仿宋_GB2312"/>
                <w:b w:val="0"/>
                <w:bCs/>
                <w:color w:val="auto"/>
                <w:spacing w:val="0"/>
                <w:position w:val="0"/>
                <w:sz w:val="24"/>
                <w:szCs w:val="24"/>
                <w:shd w:val="clear" w:color="auto" w:fill="auto"/>
                <w:lang w:val="en-US" w:eastAsia="zh-CN"/>
              </w:rPr>
              <w:t>或已建立的公平竞争审查制度、方案</w:t>
            </w:r>
            <w:r>
              <w:rPr>
                <w:rFonts w:hint="default" w:ascii="仿宋_GB2312" w:hAnsi="仿宋_GB2312" w:eastAsia="仿宋_GB2312" w:cs="仿宋_GB2312"/>
                <w:b w:val="0"/>
                <w:bCs/>
                <w:color w:val="auto"/>
                <w:spacing w:val="0"/>
                <w:position w:val="0"/>
                <w:sz w:val="24"/>
                <w:szCs w:val="24"/>
                <w:shd w:val="clear" w:color="auto" w:fill="auto"/>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建立投诉举报回应机制（5分）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有</w:t>
            </w:r>
            <w:r>
              <w:rPr>
                <w:rFonts w:hint="default" w:ascii="仿宋_GB2312" w:hAnsi="仿宋_GB2312" w:eastAsia="仿宋_GB2312" w:cs="仿宋_GB2312"/>
                <w:b w:val="0"/>
                <w:bCs/>
                <w:color w:val="auto"/>
                <w:spacing w:val="0"/>
                <w:position w:val="0"/>
                <w:sz w:val="24"/>
                <w:szCs w:val="24"/>
                <w:shd w:val="clear" w:color="auto" w:fill="auto"/>
                <w:lang w:val="en-US" w:eastAsia="zh-CN"/>
              </w:rPr>
              <w:t>相关文件</w:t>
            </w:r>
            <w:r>
              <w:rPr>
                <w:rFonts w:hint="eastAsia" w:ascii="仿宋_GB2312" w:hAnsi="仿宋_GB2312" w:eastAsia="仿宋_GB2312" w:cs="仿宋_GB2312"/>
                <w:b w:val="0"/>
                <w:bCs/>
                <w:color w:val="auto"/>
                <w:spacing w:val="0"/>
                <w:position w:val="0"/>
                <w:sz w:val="24"/>
                <w:szCs w:val="24"/>
                <w:shd w:val="clear" w:color="auto" w:fill="auto"/>
                <w:lang w:val="en-US" w:eastAsia="zh-CN"/>
              </w:rPr>
              <w:t>、资料</w:t>
            </w:r>
            <w:r>
              <w:rPr>
                <w:rFonts w:hint="default" w:ascii="仿宋_GB2312" w:hAnsi="仿宋_GB2312" w:eastAsia="仿宋_GB2312" w:cs="仿宋_GB2312"/>
                <w:b w:val="0"/>
                <w:bCs/>
                <w:color w:val="auto"/>
                <w:spacing w:val="0"/>
                <w:position w:val="0"/>
                <w:sz w:val="24"/>
                <w:szCs w:val="24"/>
                <w:shd w:val="clear" w:color="auto" w:fill="auto"/>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引入第三方审查机制（5分）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有</w:t>
            </w:r>
            <w:r>
              <w:rPr>
                <w:rFonts w:hint="default" w:ascii="仿宋_GB2312" w:hAnsi="仿宋_GB2312" w:eastAsia="仿宋_GB2312" w:cs="仿宋_GB2312"/>
                <w:b w:val="0"/>
                <w:bCs/>
                <w:color w:val="auto"/>
                <w:spacing w:val="0"/>
                <w:position w:val="0"/>
                <w:sz w:val="24"/>
                <w:szCs w:val="24"/>
                <w:shd w:val="clear" w:color="auto" w:fill="auto"/>
                <w:lang w:val="en-US" w:eastAsia="zh-CN"/>
              </w:rPr>
              <w:t>第三方评估报告、专家意见等文件。</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部署</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公平竞争审查人员组成及运行状况（5分）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有具体的人员组成和分工。</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公平竞争审查机制运行状况（5分）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根据公平竞争审查工作定期开展情况为依据进行判断</w:t>
            </w:r>
            <w:r>
              <w:rPr>
                <w:rFonts w:hint="eastAsia" w:ascii="仿宋_GB2312" w:hAnsi="仿宋_GB2312" w:eastAsia="仿宋_GB2312" w:cs="仿宋_GB2312"/>
                <w:b w:val="0"/>
                <w:bCs/>
                <w:color w:val="auto"/>
                <w:spacing w:val="0"/>
                <w:position w:val="0"/>
                <w:sz w:val="24"/>
                <w:szCs w:val="24"/>
                <w:shd w:val="clear" w:color="auto" w:fill="auto"/>
                <w:lang w:val="en-US" w:eastAsia="zh-CN"/>
              </w:rPr>
              <w:t>（</w:t>
            </w:r>
            <w:r>
              <w:rPr>
                <w:rFonts w:hint="default" w:ascii="仿宋_GB2312" w:hAnsi="仿宋_GB2312" w:eastAsia="仿宋_GB2312" w:cs="仿宋_GB2312"/>
                <w:b w:val="0"/>
                <w:bCs/>
                <w:color w:val="auto"/>
                <w:spacing w:val="0"/>
                <w:position w:val="0"/>
                <w:sz w:val="24"/>
                <w:szCs w:val="24"/>
                <w:shd w:val="clear" w:color="auto" w:fill="auto"/>
                <w:lang w:val="en-US" w:eastAsia="zh-CN"/>
              </w:rPr>
              <w:t>如是否形成自查报告等</w:t>
            </w:r>
            <w:r>
              <w:rPr>
                <w:rFonts w:hint="eastAsia" w:ascii="仿宋_GB2312" w:hAnsi="仿宋_GB2312" w:eastAsia="仿宋_GB2312" w:cs="仿宋_GB2312"/>
                <w:b w:val="0"/>
                <w:bCs/>
                <w:color w:val="auto"/>
                <w:spacing w:val="0"/>
                <w:position w:val="0"/>
                <w:sz w:val="24"/>
                <w:szCs w:val="24"/>
                <w:shd w:val="clear" w:color="auto" w:fill="auto"/>
                <w:lang w:val="en-US" w:eastAsia="zh-CN"/>
              </w:rPr>
              <w:t>）</w:t>
            </w:r>
            <w:r>
              <w:rPr>
                <w:rFonts w:hint="default" w:ascii="仿宋_GB2312" w:hAnsi="仿宋_GB2312" w:eastAsia="仿宋_GB2312" w:cs="仿宋_GB2312"/>
                <w:b w:val="0"/>
                <w:bCs/>
                <w:color w:val="auto"/>
                <w:spacing w:val="0"/>
                <w:position w:val="0"/>
                <w:sz w:val="24"/>
                <w:szCs w:val="24"/>
                <w:shd w:val="clear" w:color="auto" w:fill="auto"/>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宣传培训</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组织面向社会公众、市场主体的公平竞争审查宣传（5分）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根据面向社会公众、企业主体介绍公平竞争审查制度情况</w:t>
            </w:r>
            <w:r>
              <w:rPr>
                <w:rFonts w:hint="eastAsia" w:ascii="仿宋_GB2312" w:hAnsi="仿宋_GB2312" w:eastAsia="仿宋_GB2312" w:cs="仿宋_GB2312"/>
                <w:b w:val="0"/>
                <w:bCs/>
                <w:color w:val="auto"/>
                <w:spacing w:val="0"/>
                <w:position w:val="0"/>
                <w:sz w:val="24"/>
                <w:szCs w:val="24"/>
                <w:shd w:val="clear" w:color="auto" w:fill="auto"/>
                <w:lang w:val="en-US" w:eastAsia="zh-CN"/>
              </w:rPr>
              <w:t>、有组织针对性的宣传（如</w:t>
            </w:r>
            <w:r>
              <w:rPr>
                <w:rFonts w:hint="default" w:ascii="仿宋_GB2312" w:hAnsi="仿宋_GB2312" w:eastAsia="仿宋_GB2312" w:cs="仿宋_GB2312"/>
                <w:b w:val="0"/>
                <w:bCs/>
                <w:color w:val="auto"/>
                <w:spacing w:val="0"/>
                <w:position w:val="0"/>
                <w:sz w:val="24"/>
                <w:szCs w:val="24"/>
                <w:shd w:val="clear" w:color="auto" w:fill="auto"/>
                <w:lang w:val="en-US" w:eastAsia="zh-CN"/>
              </w:rPr>
              <w:t>宣传资料、活动照片</w:t>
            </w:r>
            <w:r>
              <w:rPr>
                <w:rFonts w:hint="eastAsia" w:ascii="仿宋_GB2312" w:hAnsi="仿宋_GB2312" w:eastAsia="仿宋_GB2312" w:cs="仿宋_GB2312"/>
                <w:b w:val="0"/>
                <w:bCs/>
                <w:color w:val="auto"/>
                <w:spacing w:val="0"/>
                <w:position w:val="0"/>
                <w:sz w:val="24"/>
                <w:szCs w:val="24"/>
                <w:shd w:val="clear" w:color="auto" w:fill="auto"/>
                <w:lang w:val="en-US" w:eastAsia="zh-CN"/>
              </w:rPr>
              <w:t>、公众号等</w:t>
            </w:r>
            <w:r>
              <w:rPr>
                <w:rFonts w:hint="default" w:ascii="仿宋_GB2312" w:hAnsi="仿宋_GB2312" w:eastAsia="仿宋_GB2312" w:cs="仿宋_GB2312"/>
                <w:b w:val="0"/>
                <w:bCs/>
                <w:color w:val="auto"/>
                <w:spacing w:val="0"/>
                <w:position w:val="0"/>
                <w:sz w:val="24"/>
                <w:szCs w:val="24"/>
                <w:shd w:val="clear" w:color="auto" w:fill="auto"/>
                <w:lang w:val="en-US" w:eastAsia="zh-CN"/>
              </w:rPr>
              <w:t>判定</w:t>
            </w:r>
            <w:r>
              <w:rPr>
                <w:rFonts w:hint="eastAsia" w:ascii="仿宋_GB2312" w:hAnsi="仿宋_GB2312" w:eastAsia="仿宋_GB2312" w:cs="仿宋_GB2312"/>
                <w:b w:val="0"/>
                <w:bCs/>
                <w:color w:val="auto"/>
                <w:spacing w:val="0"/>
                <w:position w:val="0"/>
                <w:sz w:val="24"/>
                <w:szCs w:val="24"/>
                <w:shd w:val="clear" w:color="auto" w:fill="auto"/>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内部举行公平竞争审查的学习培训（5分）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根据开展公平竞争审查专题培训情况进行判断，有组织针对性的学习和培训</w:t>
            </w:r>
            <w:r>
              <w:rPr>
                <w:rFonts w:hint="eastAsia" w:ascii="仿宋_GB2312" w:hAnsi="仿宋_GB2312" w:eastAsia="仿宋_GB2312" w:cs="仿宋_GB2312"/>
                <w:b w:val="0"/>
                <w:bCs/>
                <w:color w:val="auto"/>
                <w:spacing w:val="0"/>
                <w:position w:val="0"/>
                <w:sz w:val="24"/>
                <w:szCs w:val="24"/>
                <w:shd w:val="clear" w:color="auto" w:fill="auto"/>
                <w:lang w:val="en-US" w:eastAsia="zh-CN"/>
              </w:rPr>
              <w:t>（如</w:t>
            </w:r>
            <w:r>
              <w:rPr>
                <w:rFonts w:hint="default" w:ascii="仿宋_GB2312" w:hAnsi="仿宋_GB2312" w:eastAsia="仿宋_GB2312" w:cs="仿宋_GB2312"/>
                <w:b w:val="0"/>
                <w:bCs/>
                <w:color w:val="auto"/>
                <w:spacing w:val="0"/>
                <w:position w:val="0"/>
                <w:sz w:val="24"/>
                <w:szCs w:val="24"/>
                <w:shd w:val="clear" w:color="auto" w:fill="auto"/>
                <w:lang w:val="en-US" w:eastAsia="zh-CN"/>
              </w:rPr>
              <w:t>培训照片、签到表、会议记录等资料</w:t>
            </w:r>
            <w:r>
              <w:rPr>
                <w:rFonts w:hint="eastAsia" w:ascii="仿宋_GB2312" w:hAnsi="仿宋_GB2312" w:eastAsia="仿宋_GB2312" w:cs="仿宋_GB2312"/>
                <w:b w:val="0"/>
                <w:bCs/>
                <w:color w:val="auto"/>
                <w:spacing w:val="0"/>
                <w:position w:val="0"/>
                <w:sz w:val="24"/>
                <w:szCs w:val="24"/>
                <w:shd w:val="clear" w:color="auto" w:fill="auto"/>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政策措施审查清理情况（4</w:t>
            </w:r>
            <w:r>
              <w:rPr>
                <w:rFonts w:hint="eastAsia" w:ascii="仿宋_GB2312" w:hAnsi="仿宋_GB2312" w:eastAsia="仿宋_GB2312" w:cs="仿宋_GB2312"/>
                <w:b w:val="0"/>
                <w:bCs/>
                <w:color w:val="auto"/>
                <w:spacing w:val="0"/>
                <w:position w:val="0"/>
                <w:sz w:val="24"/>
                <w:szCs w:val="24"/>
                <w:shd w:val="clear" w:color="auto" w:fill="auto"/>
                <w:lang w:val="en-US" w:eastAsia="zh-CN"/>
              </w:rPr>
              <w:t>0</w:t>
            </w:r>
            <w:r>
              <w:rPr>
                <w:rFonts w:hint="default" w:ascii="仿宋_GB2312" w:hAnsi="仿宋_GB2312" w:eastAsia="仿宋_GB2312" w:cs="仿宋_GB2312"/>
                <w:b w:val="0"/>
                <w:bCs/>
                <w:color w:val="auto"/>
                <w:spacing w:val="0"/>
                <w:position w:val="0"/>
                <w:sz w:val="24"/>
                <w:szCs w:val="24"/>
                <w:shd w:val="clear" w:color="auto" w:fill="auto"/>
                <w:lang w:val="en-US" w:eastAsia="zh-CN"/>
              </w:rPr>
              <w:t>分）</w:t>
            </w: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增量措施审查情况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提供政策措施数量（10分）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各县区提供的增量政策措施数量不能少于15份，市直单位不能少于5份。</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3</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政策措施审查是否全面（10分）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以被评估单位</w:t>
            </w:r>
            <w:r>
              <w:rPr>
                <w:rFonts w:hint="eastAsia" w:ascii="仿宋_GB2312" w:hAnsi="仿宋_GB2312" w:eastAsia="仿宋_GB2312" w:cs="仿宋_GB2312"/>
                <w:b w:val="0"/>
                <w:bCs/>
                <w:color w:val="auto"/>
                <w:spacing w:val="0"/>
                <w:position w:val="0"/>
                <w:sz w:val="24"/>
                <w:szCs w:val="24"/>
                <w:shd w:val="clear" w:color="auto" w:fill="auto"/>
                <w:lang w:val="en-US" w:eastAsia="zh-CN"/>
              </w:rPr>
              <w:t>审查</w:t>
            </w:r>
            <w:r>
              <w:rPr>
                <w:rFonts w:hint="default" w:ascii="仿宋_GB2312" w:hAnsi="仿宋_GB2312" w:eastAsia="仿宋_GB2312" w:cs="仿宋_GB2312"/>
                <w:b w:val="0"/>
                <w:bCs/>
                <w:color w:val="auto"/>
                <w:spacing w:val="0"/>
                <w:position w:val="0"/>
                <w:sz w:val="24"/>
                <w:szCs w:val="24"/>
                <w:shd w:val="clear" w:color="auto" w:fill="auto"/>
                <w:lang w:val="en-US" w:eastAsia="zh-CN"/>
              </w:rPr>
              <w:t>记录为准，未形成书面审查结论出台政策措施的，视为未进行公平竞争审查</w:t>
            </w:r>
            <w:r>
              <w:rPr>
                <w:rFonts w:hint="eastAsia" w:ascii="仿宋_GB2312" w:hAnsi="仿宋_GB2312" w:eastAsia="仿宋_GB2312" w:cs="仿宋_GB2312"/>
                <w:b w:val="0"/>
                <w:bCs/>
                <w:color w:val="auto"/>
                <w:spacing w:val="0"/>
                <w:position w:val="0"/>
                <w:sz w:val="24"/>
                <w:szCs w:val="24"/>
                <w:shd w:val="clear" w:color="auto" w:fill="auto"/>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存量措施清理情况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政策措施审查是否全面（</w:t>
            </w:r>
            <w:r>
              <w:rPr>
                <w:rFonts w:hint="eastAsia" w:ascii="仿宋_GB2312" w:hAnsi="仿宋_GB2312" w:eastAsia="仿宋_GB2312" w:cs="仿宋_GB2312"/>
                <w:b w:val="0"/>
                <w:bCs/>
                <w:color w:val="auto"/>
                <w:spacing w:val="0"/>
                <w:position w:val="0"/>
                <w:sz w:val="24"/>
                <w:szCs w:val="24"/>
                <w:shd w:val="clear" w:color="auto" w:fill="auto"/>
                <w:lang w:val="en-US" w:eastAsia="zh-CN"/>
              </w:rPr>
              <w:t>10</w:t>
            </w:r>
            <w:r>
              <w:rPr>
                <w:rFonts w:hint="default" w:ascii="仿宋_GB2312" w:hAnsi="仿宋_GB2312" w:eastAsia="仿宋_GB2312" w:cs="仿宋_GB2312"/>
                <w:b w:val="0"/>
                <w:bCs/>
                <w:color w:val="auto"/>
                <w:spacing w:val="0"/>
                <w:position w:val="0"/>
                <w:sz w:val="24"/>
                <w:szCs w:val="24"/>
                <w:shd w:val="clear" w:color="auto" w:fill="auto"/>
                <w:lang w:val="en-US" w:eastAsia="zh-CN"/>
              </w:rPr>
              <w:t>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以被评估单位清理记录为准，未形成书面审查结论的，视为未进行公平竞争审查</w:t>
            </w:r>
            <w:r>
              <w:rPr>
                <w:rFonts w:hint="eastAsia" w:ascii="仿宋_GB2312" w:hAnsi="仿宋_GB2312" w:eastAsia="仿宋_GB2312" w:cs="仿宋_GB2312"/>
                <w:b w:val="0"/>
                <w:bCs/>
                <w:color w:val="auto"/>
                <w:spacing w:val="0"/>
                <w:position w:val="0"/>
                <w:sz w:val="24"/>
                <w:szCs w:val="24"/>
                <w:shd w:val="clear" w:color="auto" w:fill="auto"/>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政策措施审查是否全面、规范（5分）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根据是否有公平竞争审查工作归档记录，以及审查表、书面审查结论是否与审查文件数量一致判断</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是否形成书面审查报告（</w:t>
            </w:r>
            <w:r>
              <w:rPr>
                <w:rFonts w:hint="eastAsia" w:ascii="仿宋_GB2312" w:hAnsi="仿宋_GB2312" w:eastAsia="仿宋_GB2312" w:cs="仿宋_GB2312"/>
                <w:b w:val="0"/>
                <w:bCs/>
                <w:color w:val="auto"/>
                <w:spacing w:val="0"/>
                <w:position w:val="0"/>
                <w:sz w:val="24"/>
                <w:szCs w:val="24"/>
                <w:shd w:val="clear" w:color="auto" w:fill="auto"/>
                <w:lang w:val="en-US" w:eastAsia="zh-CN"/>
              </w:rPr>
              <w:t>5</w:t>
            </w:r>
            <w:r>
              <w:rPr>
                <w:rFonts w:hint="default" w:ascii="仿宋_GB2312" w:hAnsi="仿宋_GB2312" w:eastAsia="仿宋_GB2312" w:cs="仿宋_GB2312"/>
                <w:b w:val="0"/>
                <w:bCs/>
                <w:color w:val="auto"/>
                <w:spacing w:val="0"/>
                <w:position w:val="0"/>
                <w:sz w:val="24"/>
                <w:szCs w:val="24"/>
                <w:shd w:val="clear" w:color="auto" w:fill="auto"/>
                <w:lang w:val="en-US" w:eastAsia="zh-CN"/>
              </w:rPr>
              <w:t>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根据公平竞争审查清理工作是否形成本单位书面审查报告或年度总结报告</w:t>
            </w:r>
            <w:r>
              <w:rPr>
                <w:rFonts w:hint="eastAsia" w:ascii="仿宋_GB2312" w:hAnsi="仿宋_GB2312" w:eastAsia="仿宋_GB2312" w:cs="仿宋_GB2312"/>
                <w:b w:val="0"/>
                <w:bCs/>
                <w:color w:val="auto"/>
                <w:spacing w:val="0"/>
                <w:position w:val="0"/>
                <w:sz w:val="24"/>
                <w:szCs w:val="24"/>
                <w:shd w:val="clear" w:color="auto" w:fill="auto"/>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公平竞争审查工作落实成效（15分）</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反馈</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社会公众及市场主体对已审查通过的政策措施无负面反馈（5分）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无负面反馈得满分。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对妨碍公平竞争的政策措施是否进行整改（5分）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对妨碍公平竞争的政策措施</w:t>
            </w:r>
            <w:r>
              <w:rPr>
                <w:rFonts w:hint="eastAsia" w:ascii="仿宋_GB2312" w:hAnsi="仿宋_GB2312" w:eastAsia="仿宋_GB2312" w:cs="仿宋_GB2312"/>
                <w:b w:val="0"/>
                <w:bCs/>
                <w:color w:val="auto"/>
                <w:spacing w:val="0"/>
                <w:position w:val="0"/>
                <w:sz w:val="24"/>
                <w:szCs w:val="24"/>
                <w:shd w:val="clear" w:color="auto" w:fill="auto"/>
                <w:lang w:val="en-US" w:eastAsia="zh-CN"/>
              </w:rPr>
              <w:t>已</w:t>
            </w:r>
            <w:r>
              <w:rPr>
                <w:rFonts w:hint="default" w:ascii="仿宋_GB2312" w:hAnsi="仿宋_GB2312" w:eastAsia="仿宋_GB2312" w:cs="仿宋_GB2312"/>
                <w:b w:val="0"/>
                <w:bCs/>
                <w:color w:val="auto"/>
                <w:spacing w:val="0"/>
                <w:position w:val="0"/>
                <w:sz w:val="24"/>
                <w:szCs w:val="24"/>
                <w:shd w:val="clear" w:color="auto" w:fill="auto"/>
                <w:lang w:val="en-US" w:eastAsia="zh-CN"/>
              </w:rPr>
              <w:t>全部进行整改、废止的得满分。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924"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对妨碍公平竞争的政策措施是否及时整改（5分）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以评估开始日期为基准，若审查工作开始时已经完成整改或无需整改得满分。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default" w:ascii="仿宋_GB2312" w:hAnsi="仿宋_GB2312" w:eastAsia="仿宋_GB2312" w:cs="仿宋_GB2312"/>
                <w:b w:val="0"/>
                <w:bCs/>
                <w:color w:val="auto"/>
                <w:spacing w:val="0"/>
                <w:position w:val="0"/>
                <w:sz w:val="24"/>
                <w:szCs w:val="24"/>
                <w:shd w:val="clear" w:color="auto" w:fill="auto"/>
                <w:lang w:val="en-US" w:eastAsia="zh-CN"/>
              </w:rPr>
              <w:t>最终得分</w:t>
            </w:r>
          </w:p>
        </w:tc>
        <w:tc>
          <w:tcPr>
            <w:tcW w:w="7172" w:type="dxa"/>
            <w:gridSpan w:val="3"/>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82</w:t>
            </w:r>
          </w:p>
        </w:tc>
      </w:tr>
    </w:tbl>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bookmarkStart w:id="8" w:name="_Toc29234"/>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（二）政策措施抽样评估得分</w:t>
      </w:r>
      <w:bookmarkEnd w:id="8"/>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按照《张掖市公平竞争审查工作第三方评估执行手册》中评估指标量化打分，山丹县在政策措施抽样评估方面具体得分如表2所示：</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
          <w:bCs/>
          <w:color w:val="auto"/>
          <w:spacing w:val="0"/>
          <w:position w:val="0"/>
          <w:sz w:val="32"/>
          <w:szCs w:val="32"/>
          <w:shd w:val="clear" w:color="auto" w:fill="auto"/>
          <w:lang w:val="en-US" w:eastAsia="zh-CN"/>
        </w:rPr>
      </w:pPr>
      <w:r>
        <w:rPr>
          <w:rFonts w:hint="eastAsia" w:ascii="仿宋_GB2312" w:hAnsi="仿宋_GB2312" w:eastAsia="仿宋_GB2312" w:cs="仿宋_GB2312"/>
          <w:b/>
          <w:bCs/>
          <w:color w:val="auto"/>
          <w:spacing w:val="0"/>
          <w:position w:val="0"/>
          <w:sz w:val="32"/>
          <w:szCs w:val="32"/>
          <w:shd w:val="clear" w:color="auto" w:fill="auto"/>
          <w:lang w:val="en-US" w:eastAsia="zh-CN"/>
        </w:rPr>
        <w:t>表2政策措施评估结果统计表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3168"/>
        <w:gridCol w:w="2700"/>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37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项目</w:t>
            </w:r>
          </w:p>
        </w:tc>
        <w:tc>
          <w:tcPr>
            <w:tcW w:w="31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需要进行公平竞争审查的政策措施数量（份）</w:t>
            </w:r>
          </w:p>
        </w:tc>
        <w:tc>
          <w:tcPr>
            <w:tcW w:w="27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有违反公平竞争的政策措施数量（份）</w:t>
            </w:r>
          </w:p>
        </w:tc>
        <w:tc>
          <w:tcPr>
            <w:tcW w:w="9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差错率（%）</w:t>
            </w:r>
          </w:p>
        </w:tc>
        <w:tc>
          <w:tcPr>
            <w:tcW w:w="7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7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增量措施</w:t>
            </w:r>
          </w:p>
        </w:tc>
        <w:tc>
          <w:tcPr>
            <w:tcW w:w="31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3</w:t>
            </w:r>
          </w:p>
        </w:tc>
        <w:tc>
          <w:tcPr>
            <w:tcW w:w="27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0</w:t>
            </w:r>
          </w:p>
        </w:tc>
        <w:tc>
          <w:tcPr>
            <w:tcW w:w="9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0</w:t>
            </w:r>
          </w:p>
        </w:tc>
        <w:tc>
          <w:tcPr>
            <w:tcW w:w="7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100</w:t>
            </w:r>
          </w:p>
        </w:tc>
      </w:tr>
    </w:tbl>
    <w:p>
      <w:pPr>
        <w:keepNext w:val="0"/>
        <w:keepLines w:val="0"/>
        <w:pageBreakBefore w:val="0"/>
        <w:widowControl w:val="0"/>
        <w:numPr>
          <w:ilvl w:val="0"/>
          <w:numId w:val="0"/>
        </w:numPr>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color w:val="auto"/>
          <w:spacing w:val="0"/>
          <w:kern w:val="0"/>
          <w:position w:val="0"/>
          <w:sz w:val="32"/>
          <w:szCs w:val="32"/>
          <w:shd w:val="clear" w:color="auto" w:fill="auto"/>
          <w:lang w:val="en-US" w:eastAsia="zh-CN" w:bidi="ar"/>
        </w:rPr>
      </w:pPr>
      <w:r>
        <w:rPr>
          <w:rFonts w:hint="eastAsia" w:ascii="仿宋_GB2312" w:hAnsi="仿宋_GB2312" w:eastAsia="仿宋_GB2312" w:cs="仿宋_GB2312"/>
          <w:color w:val="auto"/>
          <w:spacing w:val="0"/>
          <w:kern w:val="0"/>
          <w:position w:val="0"/>
          <w:sz w:val="32"/>
          <w:szCs w:val="32"/>
          <w:shd w:val="clear" w:color="auto" w:fill="auto"/>
          <w:lang w:val="en-US" w:eastAsia="zh-CN" w:bidi="ar"/>
        </w:rPr>
        <w:t>评分标准及计算方案见表3：</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
          <w:bCs/>
          <w:color w:val="auto"/>
          <w:spacing w:val="0"/>
          <w:position w:val="0"/>
          <w:sz w:val="32"/>
          <w:szCs w:val="32"/>
          <w:shd w:val="clear" w:color="auto" w:fill="auto"/>
          <w:vertAlign w:val="baseline"/>
          <w:lang w:val="en-US" w:eastAsia="zh-CN"/>
        </w:rPr>
      </w:pPr>
      <w:r>
        <w:rPr>
          <w:rFonts w:hint="eastAsia" w:ascii="仿宋_GB2312" w:hAnsi="仿宋_GB2312" w:eastAsia="仿宋_GB2312" w:cs="仿宋_GB2312"/>
          <w:b/>
          <w:bCs/>
          <w:color w:val="auto"/>
          <w:spacing w:val="0"/>
          <w:position w:val="0"/>
          <w:sz w:val="32"/>
          <w:szCs w:val="32"/>
          <w:shd w:val="clear" w:color="auto" w:fill="auto"/>
          <w:vertAlign w:val="baseline"/>
          <w:lang w:val="en-US" w:eastAsia="zh-CN"/>
        </w:rPr>
        <w:t>表3政策措施评估标准及计算方法</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828"/>
        <w:gridCol w:w="1608"/>
        <w:gridCol w:w="1524"/>
        <w:gridCol w:w="1680"/>
        <w:gridCol w:w="1144"/>
        <w:gridCol w:w="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评估内容</w:t>
            </w:r>
          </w:p>
        </w:tc>
        <w:tc>
          <w:tcPr>
            <w:tcW w:w="6784" w:type="dxa"/>
            <w:gridSpan w:val="5"/>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评估标准</w:t>
            </w:r>
          </w:p>
        </w:tc>
        <w:tc>
          <w:tcPr>
            <w:tcW w:w="7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政策措施差错率</w:t>
            </w:r>
          </w:p>
        </w:tc>
        <w:tc>
          <w:tcPr>
            <w:tcW w:w="82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=0%</w:t>
            </w:r>
          </w:p>
        </w:tc>
        <w:tc>
          <w:tcPr>
            <w:tcW w:w="160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（0%，10%）</w:t>
            </w:r>
          </w:p>
        </w:tc>
        <w:tc>
          <w:tcPr>
            <w:tcW w:w="152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（10%，20%）</w:t>
            </w:r>
          </w:p>
        </w:tc>
        <w:tc>
          <w:tcPr>
            <w:tcW w:w="16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（20%，40%）</w:t>
            </w:r>
          </w:p>
        </w:tc>
        <w:tc>
          <w:tcPr>
            <w:tcW w:w="11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&gt;40%</w:t>
            </w:r>
          </w:p>
        </w:tc>
        <w:tc>
          <w:tcPr>
            <w:tcW w:w="7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对应得分</w:t>
            </w:r>
          </w:p>
        </w:tc>
        <w:tc>
          <w:tcPr>
            <w:tcW w:w="82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100</w:t>
            </w:r>
          </w:p>
        </w:tc>
        <w:tc>
          <w:tcPr>
            <w:tcW w:w="160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90</w:t>
            </w:r>
          </w:p>
        </w:tc>
        <w:tc>
          <w:tcPr>
            <w:tcW w:w="152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80</w:t>
            </w:r>
          </w:p>
        </w:tc>
        <w:tc>
          <w:tcPr>
            <w:tcW w:w="16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70</w:t>
            </w:r>
          </w:p>
        </w:tc>
        <w:tc>
          <w:tcPr>
            <w:tcW w:w="11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60</w:t>
            </w:r>
          </w:p>
        </w:tc>
        <w:tc>
          <w:tcPr>
            <w:tcW w:w="7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w:t>
            </w:r>
          </w:p>
        </w:tc>
      </w:tr>
    </w:tbl>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bookmarkStart w:id="9" w:name="_Toc2634"/>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（三）公平竞争审查第三方评估工作配合情况得分</w:t>
      </w:r>
      <w:bookmarkEnd w:id="9"/>
    </w:p>
    <w:p>
      <w:pPr>
        <w:keepNext w:val="0"/>
        <w:keepLines w:val="0"/>
        <w:pageBreakBefore w:val="0"/>
        <w:widowControl w:val="0"/>
        <w:numPr>
          <w:ilvl w:val="0"/>
          <w:numId w:val="0"/>
        </w:numPr>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color w:val="auto"/>
          <w:spacing w:val="0"/>
          <w:kern w:val="0"/>
          <w:position w:val="0"/>
          <w:sz w:val="32"/>
          <w:szCs w:val="32"/>
          <w:shd w:val="clear" w:color="auto" w:fill="auto"/>
          <w:lang w:val="en-US" w:eastAsia="zh-CN" w:bidi="ar"/>
        </w:rPr>
      </w:pPr>
      <w:r>
        <w:rPr>
          <w:rFonts w:hint="eastAsia" w:ascii="仿宋_GB2312" w:hAnsi="仿宋_GB2312" w:eastAsia="仿宋_GB2312" w:cs="仿宋_GB2312"/>
          <w:color w:val="auto"/>
          <w:spacing w:val="0"/>
          <w:kern w:val="0"/>
          <w:position w:val="0"/>
          <w:sz w:val="32"/>
          <w:szCs w:val="32"/>
          <w:shd w:val="clear" w:color="auto" w:fill="auto"/>
          <w:lang w:val="en-US" w:eastAsia="zh-CN" w:bidi="ar"/>
        </w:rPr>
        <w:t>山丹县在公平竞争审查工作第三方评估项目中积极配合，及时提交评估所需文件及佐证材料，沟通顺畅，确保了公平竞争审查第三方评估工作顺利开展，按照</w:t>
      </w:r>
      <w:r>
        <w:rPr>
          <w:rFonts w:hint="eastAsia" w:ascii="仿宋_GB2312" w:hAnsi="仿宋_GB2312" w:eastAsia="仿宋_GB2312" w:cs="仿宋_GB2312"/>
          <w:color w:val="auto"/>
          <w:spacing w:val="0"/>
          <w:kern w:val="0"/>
          <w:position w:val="0"/>
          <w:sz w:val="32"/>
          <w:szCs w:val="32"/>
          <w:highlight w:val="none"/>
          <w:shd w:val="clear" w:color="auto" w:fill="auto"/>
          <w:lang w:val="en-US" w:eastAsia="zh-CN" w:bidi="ar"/>
        </w:rPr>
        <w:t>《张掖市公平竞争审查工作第三方评估执行手册》</w:t>
      </w:r>
      <w:r>
        <w:rPr>
          <w:rFonts w:hint="eastAsia" w:ascii="仿宋_GB2312" w:hAnsi="仿宋_GB2312" w:eastAsia="仿宋_GB2312" w:cs="仿宋_GB2312"/>
          <w:color w:val="auto"/>
          <w:spacing w:val="0"/>
          <w:kern w:val="0"/>
          <w:position w:val="0"/>
          <w:sz w:val="32"/>
          <w:szCs w:val="32"/>
          <w:shd w:val="clear" w:color="auto" w:fill="auto"/>
          <w:lang w:val="en-US" w:eastAsia="zh-CN" w:bidi="ar"/>
        </w:rPr>
        <w:t>中评估指标量化打分，山丹县在工作配合情况中得100分。</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bookmarkStart w:id="10" w:name="_Toc17148"/>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（四）公平竞争审查第三方评估最终得分</w:t>
      </w:r>
      <w:bookmarkEnd w:id="10"/>
    </w:p>
    <w:p>
      <w:pPr>
        <w:keepNext w:val="0"/>
        <w:keepLines w:val="0"/>
        <w:pageBreakBefore w:val="0"/>
        <w:widowControl w:val="0"/>
        <w:numPr>
          <w:ilvl w:val="0"/>
          <w:numId w:val="0"/>
        </w:numPr>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color w:val="auto"/>
          <w:spacing w:val="0"/>
          <w:kern w:val="0"/>
          <w:position w:val="0"/>
          <w:sz w:val="32"/>
          <w:szCs w:val="32"/>
          <w:shd w:val="clear" w:color="auto" w:fill="auto"/>
          <w:lang w:val="en-US" w:eastAsia="zh-CN" w:bidi="ar"/>
        </w:rPr>
      </w:pPr>
      <w:r>
        <w:rPr>
          <w:rFonts w:hint="eastAsia" w:ascii="仿宋_GB2312" w:hAnsi="仿宋_GB2312" w:eastAsia="仿宋_GB2312" w:cs="仿宋_GB2312"/>
          <w:color w:val="auto"/>
          <w:spacing w:val="0"/>
          <w:kern w:val="0"/>
          <w:position w:val="0"/>
          <w:sz w:val="32"/>
          <w:szCs w:val="32"/>
          <w:shd w:val="clear" w:color="auto" w:fill="auto"/>
          <w:lang w:val="en-US" w:eastAsia="zh-CN" w:bidi="ar"/>
        </w:rPr>
        <w:t>根据最终得分＝工作部署落实情况评估得分×</w:t>
      </w:r>
      <w:r>
        <w:rPr>
          <w:rFonts w:hint="eastAsia" w:ascii="仿宋_GB2312" w:hAnsi="仿宋_GB2312" w:eastAsia="仿宋_GB2312" w:cs="仿宋_GB2312"/>
          <w:color w:val="auto"/>
          <w:spacing w:val="0"/>
          <w:kern w:val="0"/>
          <w:position w:val="0"/>
          <w:sz w:val="32"/>
          <w:szCs w:val="32"/>
          <w:shd w:val="clear" w:color="auto" w:fill="auto"/>
          <w:lang w:eastAsia="zh-CN" w:bidi="ar"/>
        </w:rPr>
        <w:t>5</w:t>
      </w:r>
      <w:r>
        <w:rPr>
          <w:rFonts w:hint="eastAsia" w:ascii="仿宋_GB2312" w:hAnsi="仿宋_GB2312" w:eastAsia="仿宋_GB2312" w:cs="仿宋_GB2312"/>
          <w:color w:val="auto"/>
          <w:spacing w:val="0"/>
          <w:kern w:val="0"/>
          <w:position w:val="0"/>
          <w:sz w:val="32"/>
          <w:szCs w:val="32"/>
          <w:shd w:val="clear" w:color="auto" w:fill="auto"/>
          <w:lang w:val="en-US" w:eastAsia="zh-CN" w:bidi="ar"/>
        </w:rPr>
        <w:t>0%+政策措施评估得分×</w:t>
      </w:r>
      <w:r>
        <w:rPr>
          <w:rFonts w:hint="eastAsia" w:ascii="仿宋_GB2312" w:hAnsi="仿宋_GB2312" w:eastAsia="仿宋_GB2312" w:cs="仿宋_GB2312"/>
          <w:color w:val="auto"/>
          <w:spacing w:val="0"/>
          <w:kern w:val="0"/>
          <w:position w:val="0"/>
          <w:sz w:val="32"/>
          <w:szCs w:val="32"/>
          <w:shd w:val="clear" w:color="auto" w:fill="auto"/>
          <w:lang w:eastAsia="zh-CN" w:bidi="ar"/>
        </w:rPr>
        <w:t>4</w:t>
      </w:r>
      <w:r>
        <w:rPr>
          <w:rFonts w:hint="eastAsia" w:ascii="仿宋_GB2312" w:hAnsi="仿宋_GB2312" w:eastAsia="仿宋_GB2312" w:cs="仿宋_GB2312"/>
          <w:color w:val="auto"/>
          <w:spacing w:val="0"/>
          <w:kern w:val="0"/>
          <w:position w:val="0"/>
          <w:sz w:val="32"/>
          <w:szCs w:val="32"/>
          <w:shd w:val="clear" w:color="auto" w:fill="auto"/>
          <w:lang w:val="en-US" w:eastAsia="zh-CN" w:bidi="ar"/>
        </w:rPr>
        <w:t>0%+工作配合情况得分×10%的计算公式，山丹县最终得分如表4所示：</w:t>
      </w:r>
    </w:p>
    <w:p>
      <w:pPr>
        <w:keepNext w:val="0"/>
        <w:keepLines w:val="0"/>
        <w:pageBreakBefore w:val="0"/>
        <w:widowControl w:val="0"/>
        <w:numPr>
          <w:ilvl w:val="0"/>
          <w:numId w:val="0"/>
        </w:numPr>
        <w:suppressLineNumbers w:val="0"/>
        <w:kinsoku/>
        <w:wordWrap/>
        <w:overflowPunct/>
        <w:topLinePunct/>
        <w:autoSpaceDE/>
        <w:autoSpaceDN/>
        <w:bidi w:val="0"/>
        <w:adjustRightInd/>
        <w:snapToGrid/>
        <w:spacing w:line="540" w:lineRule="exact"/>
        <w:ind w:left="0" w:leftChars="0" w:right="0" w:firstLine="643" w:firstLineChars="200"/>
        <w:jc w:val="both"/>
        <w:textAlignment w:val="auto"/>
        <w:outlineLvl w:val="9"/>
        <w:rPr>
          <w:rFonts w:hint="eastAsia" w:ascii="仿宋_GB2312" w:hAnsi="仿宋_GB2312" w:eastAsia="仿宋_GB2312" w:cs="仿宋_GB2312"/>
          <w:b/>
          <w:bCs/>
          <w:color w:val="auto"/>
          <w:spacing w:val="0"/>
          <w:kern w:val="0"/>
          <w:position w:val="0"/>
          <w:sz w:val="32"/>
          <w:szCs w:val="32"/>
          <w:shd w:val="clear" w:color="auto" w:fill="auto"/>
          <w:lang w:val="en-US" w:eastAsia="zh-CN" w:bidi="ar"/>
        </w:rPr>
      </w:pPr>
      <w:r>
        <w:rPr>
          <w:rFonts w:hint="eastAsia" w:ascii="仿宋_GB2312" w:hAnsi="仿宋_GB2312" w:eastAsia="仿宋_GB2312" w:cs="仿宋_GB2312"/>
          <w:b/>
          <w:bCs/>
          <w:color w:val="auto"/>
          <w:spacing w:val="0"/>
          <w:kern w:val="0"/>
          <w:position w:val="0"/>
          <w:sz w:val="32"/>
          <w:szCs w:val="32"/>
          <w:shd w:val="clear" w:color="auto" w:fill="auto"/>
          <w:lang w:val="en-US" w:eastAsia="zh-CN" w:bidi="ar"/>
        </w:rPr>
        <w:t>表4山丹县第三方评估最终得分</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5"/>
        <w:gridCol w:w="3037"/>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8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被评估单位</w:t>
            </w:r>
          </w:p>
        </w:tc>
        <w:tc>
          <w:tcPr>
            <w:tcW w:w="607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山丹县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8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公平竞争审查工作部署落实情况评估得分</w:t>
            </w:r>
          </w:p>
        </w:tc>
        <w:tc>
          <w:tcPr>
            <w:tcW w:w="303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公平竞争审查政策措施评估得分</w:t>
            </w:r>
          </w:p>
        </w:tc>
        <w:tc>
          <w:tcPr>
            <w:tcW w:w="303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8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82</w:t>
            </w:r>
          </w:p>
        </w:tc>
        <w:tc>
          <w:tcPr>
            <w:tcW w:w="303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100</w:t>
            </w:r>
          </w:p>
        </w:tc>
        <w:tc>
          <w:tcPr>
            <w:tcW w:w="303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8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总分计算过程</w:t>
            </w:r>
          </w:p>
        </w:tc>
        <w:tc>
          <w:tcPr>
            <w:tcW w:w="607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82×50%+100×40%+100×10%=91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8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总分</w:t>
            </w:r>
          </w:p>
        </w:tc>
        <w:tc>
          <w:tcPr>
            <w:tcW w:w="607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91</w:t>
            </w:r>
          </w:p>
        </w:tc>
      </w:tr>
    </w:tbl>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shd w:val="clear" w:color="auto" w:fill="auto"/>
          <w:lang w:val="en-US" w:eastAsia="zh-CN" w:bidi="ar"/>
        </w:rPr>
      </w:pPr>
      <w:bookmarkStart w:id="11" w:name="_bookmark4"/>
      <w:bookmarkEnd w:id="11"/>
      <w:bookmarkStart w:id="12" w:name="_bookmark3"/>
      <w:bookmarkEnd w:id="12"/>
      <w:bookmarkStart w:id="13" w:name="_Toc10853"/>
      <w:r>
        <w:rPr>
          <w:rFonts w:hint="eastAsia" w:ascii="黑体" w:hAnsi="黑体" w:eastAsia="黑体" w:cs="黑体"/>
          <w:b w:val="0"/>
          <w:bCs/>
          <w:color w:val="auto"/>
          <w:spacing w:val="0"/>
          <w:kern w:val="2"/>
          <w:position w:val="0"/>
          <w:sz w:val="32"/>
          <w:szCs w:val="32"/>
          <w:shd w:val="clear" w:color="auto" w:fill="auto"/>
          <w:lang w:val="en-US" w:eastAsia="zh-CN" w:bidi="ar"/>
        </w:rPr>
        <w:t>三、意见建议</w:t>
      </w:r>
      <w:bookmarkEnd w:id="13"/>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bookmarkStart w:id="14" w:name="_Toc16984"/>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（一）加强审查机制建设，健全审查保障机制</w:t>
      </w:r>
      <w:bookmarkEnd w:id="14"/>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涉及市场主体经营行为的政策措施如未经过公平竞争审查程序出台，在一定程度上存在碍妨统一市场建设与公平竞争的风险，因此应当从审查机制建设入手，确保公平竞争审查机制运行顺畅。</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3"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bCs w:val="0"/>
          <w:color w:val="auto"/>
          <w:spacing w:val="0"/>
          <w:kern w:val="2"/>
          <w:position w:val="0"/>
          <w:sz w:val="32"/>
          <w:szCs w:val="32"/>
          <w:shd w:val="clear" w:color="auto" w:fill="auto"/>
          <w:lang w:val="en-US" w:eastAsia="zh-CN" w:bidi="ar"/>
        </w:rPr>
        <w:t>一是坚持“谁起草、谁审查、谁担责”的原则，</w:t>
      </w: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重点落实政策措施制定机关部门的责任，涉及市场主体经营活动的政策措施需经各政策措施制定机关负责对制定的政策措施进行公平竞争审查，政策措施制定机关负责人在《公平竞争审查表》上签字后，政策措施制定机关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3"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bCs w:val="0"/>
          <w:color w:val="auto"/>
          <w:spacing w:val="0"/>
          <w:kern w:val="2"/>
          <w:position w:val="0"/>
          <w:sz w:val="32"/>
          <w:szCs w:val="32"/>
          <w:shd w:val="clear" w:color="auto" w:fill="auto"/>
          <w:lang w:val="en-US" w:eastAsia="zh-CN" w:bidi="ar"/>
        </w:rPr>
        <w:t>二是确保应纳入公平竞争审查的政策措施均进行公平竞争审查程序，</w:t>
      </w: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在严格落实“谁制定、谁审查”原则的基础上，对涉及重大公共利益、且在制定过程中被多个单位或者个人反映或者举报涉嫌排除、限制竞争的政策措施或多个部门联合制定且涉及多个部门职责的政策措施，在公平竞争审查中出现较大争议或者意见难以协调一致时，政策制定机关应提请县公平竞争联席会议协调，确保应纳入公平竞争审查的政策措施均按照公平竞争审查工作要求进行彻底审查。</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3"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bCs w:val="0"/>
          <w:color w:val="auto"/>
          <w:spacing w:val="0"/>
          <w:kern w:val="2"/>
          <w:position w:val="0"/>
          <w:sz w:val="32"/>
          <w:szCs w:val="32"/>
          <w:shd w:val="clear" w:color="auto" w:fill="auto"/>
          <w:lang w:val="en-US" w:eastAsia="zh-CN" w:bidi="ar"/>
        </w:rPr>
        <w:t>三是健全审查保障</w:t>
      </w:r>
      <w:r>
        <w:rPr>
          <w:rFonts w:hint="eastAsia" w:ascii="仿宋_GB2312" w:hAnsi="仿宋_GB2312" w:eastAsia="仿宋_GB2312" w:cs="仿宋_GB2312"/>
          <w:b/>
          <w:bCs w:val="0"/>
          <w:color w:val="auto"/>
          <w:spacing w:val="0"/>
          <w:kern w:val="2"/>
          <w:position w:val="0"/>
          <w:sz w:val="32"/>
          <w:szCs w:val="32"/>
          <w:highlight w:val="none"/>
          <w:shd w:val="clear" w:color="auto" w:fill="auto"/>
          <w:lang w:val="en-US" w:eastAsia="zh-CN" w:bidi="ar"/>
        </w:rPr>
        <w:t>机制，</w:t>
      </w:r>
      <w:r>
        <w:rPr>
          <w:rFonts w:hint="eastAsia" w:ascii="仿宋_GB2312" w:hAnsi="仿宋_GB2312" w:eastAsia="仿宋_GB2312" w:cs="仿宋_GB2312"/>
          <w:b w:val="0"/>
          <w:bCs/>
          <w:color w:val="auto"/>
          <w:spacing w:val="0"/>
          <w:kern w:val="2"/>
          <w:position w:val="0"/>
          <w:sz w:val="32"/>
          <w:szCs w:val="32"/>
          <w:highlight w:val="none"/>
          <w:shd w:val="clear" w:color="auto" w:fill="auto"/>
          <w:lang w:val="en-US" w:eastAsia="zh-CN" w:bidi="ar"/>
        </w:rPr>
        <w:t>县公</w:t>
      </w: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平竞争审查工作部门联席会议办公室可定期检查各政策措施制定机关报送公平竞争审查文件是否全面，对应纳入公平竞争审查而未进行的，要及时督促政策措施制定机关补充审查，如有违反公平竞争审查标准的，应及时建议修改或予以废止。</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bookmarkStart w:id="15" w:name="_Toc18408"/>
      <w:r>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t>（二）加强内部培训，增强审查意识</w:t>
      </w:r>
      <w:bookmarkEnd w:id="15"/>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公平竞争审查制度运行不畅、应纳入审查范围文件未进行审查等问题，很大程度上是各政策措施制定机关公平竞争审查意识不强、对公平竞争审查范围理解不到位引起的。因此应当从宣传培训入手，增强各政策措施制定机关政策制定相关人员公平竞争审查意识。</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3"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bCs w:val="0"/>
          <w:color w:val="auto"/>
          <w:spacing w:val="0"/>
          <w:kern w:val="2"/>
          <w:position w:val="0"/>
          <w:sz w:val="32"/>
          <w:szCs w:val="32"/>
          <w:shd w:val="clear" w:color="auto" w:fill="auto"/>
          <w:lang w:val="en-US" w:eastAsia="zh-CN" w:bidi="ar"/>
        </w:rPr>
        <w:t>一是加强各政策措施制定机关公平竞争审查机制与具体实施方案内容学习</w:t>
      </w: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规范公平竞争审查流程，确保政策制定人员对公平竞争审查流程有深入地了解,相关培训不仅要覆盖到各政策措施制定机关联络员，各政策措施制定机关的职能科室也要重点学习，确保各政策措施制定机关文件能够按照公平竞争审查机制进行审查。</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3"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bCs w:val="0"/>
          <w:color w:val="auto"/>
          <w:spacing w:val="0"/>
          <w:kern w:val="2"/>
          <w:position w:val="0"/>
          <w:sz w:val="32"/>
          <w:szCs w:val="32"/>
          <w:shd w:val="clear" w:color="auto" w:fill="auto"/>
          <w:lang w:val="en-US" w:eastAsia="zh-CN" w:bidi="ar"/>
        </w:rPr>
        <w:t>二是通过案例教育加深对公平竞争审查内容的理解，</w:t>
      </w: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学习本县已发现的违反公平竞争审查标准的案例，以及全省全市、其他单位典型案例，深刻理解公平竞争审查标准，此类培训既可以避免各政策措施制定机关出台违反公平竞争审查标准的文件,也利于各政策措施制定机关负责公平竞争审查的职能人员发现所制定文件是否存在违反公平竞争审查标准的文件条款。</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pPr>
      <w:bookmarkStart w:id="16" w:name="_Toc26415"/>
      <w:r>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t>（三）聘请第三方进行审查，增强审查专业性</w:t>
      </w:r>
      <w:bookmarkEnd w:id="16"/>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公平竞争审查工作涉及专业性和政策性较强，目前公平竞争审查工作主要采取各政策措施制定机关相关部门起草后，再提交本单位法规科或办公室复查的形式,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pPr>
      <w:bookmarkStart w:id="17" w:name="_Toc28900"/>
      <w:r>
        <w:rPr>
          <w:rFonts w:hint="eastAsia" w:ascii="楷体_GB2312" w:hAnsi="楷体_GB2312" w:eastAsia="楷体_GB2312" w:cs="楷体_GB2312"/>
          <w:b w:val="0"/>
          <w:bCs/>
          <w:color w:val="auto"/>
          <w:spacing w:val="0"/>
          <w:kern w:val="2"/>
          <w:position w:val="0"/>
          <w:sz w:val="32"/>
          <w:szCs w:val="32"/>
          <w:shd w:val="clear" w:color="auto" w:fill="auto"/>
          <w:lang w:val="en-US" w:eastAsia="zh-CN" w:bidi="ar"/>
        </w:rPr>
        <w:t>（四）利用好公平竞争审查投诉举报回应机制</w:t>
      </w:r>
      <w:bookmarkEnd w:id="17"/>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投诉举报回应机制的建立有助于充分发挥公平竞争审查工作中社会监督的作用,是提高公平竞争审查政策透明度的有效途径，山丹县可以通过公平竞争审查投诉举报“一站式”受理与处理机制，及时回应群众关切，发现和纠正政策措施中出现排除和限制竞争的问题。</w:t>
      </w:r>
    </w:p>
    <w:p>
      <w:pPr>
        <w:pStyle w:val="4"/>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pStyle w:val="4"/>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 xml:space="preserve">                             甘肃金彤律师事务所</w:t>
      </w:r>
    </w:p>
    <w:p>
      <w:pPr>
        <w:pStyle w:val="4"/>
        <w:rPr>
          <w:rFonts w:hint="default" w:ascii="仿宋_GB2312" w:hAnsi="仿宋_GB2312" w:eastAsia="仿宋_GB2312" w:cs="仿宋_GB2312"/>
          <w:b w:val="0"/>
          <w:bCs/>
          <w:color w:val="auto"/>
          <w:spacing w:val="0"/>
          <w:kern w:val="2"/>
          <w:position w:val="0"/>
          <w:sz w:val="32"/>
          <w:szCs w:val="32"/>
          <w:shd w:val="clear" w:color="auto" w:fill="auto"/>
          <w:lang w:val="en-US" w:eastAsia="zh-CN" w:bidi="ar"/>
        </w:rPr>
      </w:pPr>
      <w: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t xml:space="preserve">                            二零二三年四月三十日</w:t>
      </w:r>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pStyle w:val="2"/>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pStyle w:val="2"/>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pStyle w:val="2"/>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pStyle w:val="2"/>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pStyle w:val="2"/>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pStyle w:val="2"/>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rPr>
          <w:rFonts w:hint="eastAsia" w:ascii="仿宋_GB2312" w:hAnsi="仿宋_GB2312" w:eastAsia="仿宋_GB2312" w:cs="仿宋_GB2312"/>
          <w:b w:val="0"/>
          <w:bCs/>
          <w:color w:val="auto"/>
          <w:spacing w:val="0"/>
          <w:kern w:val="2"/>
          <w:position w:val="0"/>
          <w:sz w:val="32"/>
          <w:szCs w:val="32"/>
          <w:shd w:val="clear" w:color="auto" w:fill="auto"/>
          <w:lang w:val="en-US" w:eastAsia="zh-CN" w:bidi="ar"/>
        </w:rPr>
      </w:pPr>
    </w:p>
    <w:p>
      <w:pPr>
        <w:pStyle w:val="2"/>
        <w:rPr>
          <w:rFonts w:hint="eastAsia"/>
          <w:lang w:val="en-US" w:eastAsia="zh-CN"/>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2"/>
          <w:position w:val="0"/>
          <w:sz w:val="32"/>
          <w:szCs w:val="32"/>
          <w:shd w:val="clear" w:color="auto" w:fill="auto"/>
          <w:lang w:val="en-US" w:eastAsia="zh-CN" w:bidi="ar"/>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shd w:val="clear" w:color="auto" w:fill="auto"/>
          <w:lang w:val="en-US" w:eastAsia="zh-CN"/>
        </w:rPr>
      </w:pPr>
      <w:bookmarkStart w:id="18" w:name="_Toc30421"/>
      <w:r>
        <w:rPr>
          <w:rFonts w:hint="eastAsia" w:ascii="黑体" w:hAnsi="黑体" w:eastAsia="黑体" w:cs="黑体"/>
          <w:b w:val="0"/>
          <w:bCs/>
          <w:color w:val="auto"/>
          <w:spacing w:val="0"/>
          <w:position w:val="0"/>
          <w:sz w:val="32"/>
          <w:szCs w:val="32"/>
          <w:shd w:val="clear" w:color="auto" w:fill="auto"/>
          <w:lang w:val="en-US" w:eastAsia="zh-CN"/>
        </w:rPr>
        <w:t>附件一：山丹县政策措施文件目录</w:t>
      </w:r>
      <w:bookmarkEnd w:id="18"/>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黑体" w:hAnsi="黑体" w:eastAsia="黑体" w:cs="黑体"/>
          <w:b w:val="0"/>
          <w:bCs/>
          <w:color w:val="auto"/>
          <w:spacing w:val="0"/>
          <w:kern w:val="2"/>
          <w:position w:val="0"/>
          <w:sz w:val="28"/>
          <w:szCs w:val="30"/>
          <w:shd w:val="clear" w:color="auto" w:fill="auto"/>
          <w:lang w:val="en-US" w:eastAsia="zh-CN" w:bidi="ar"/>
        </w:rPr>
      </w:pPr>
      <w:bookmarkStart w:id="19" w:name="_Toc11971"/>
      <w:r>
        <w:rPr>
          <w:rFonts w:hint="eastAsia" w:ascii="黑体" w:hAnsi="黑体" w:eastAsia="黑体" w:cs="黑体"/>
          <w:b w:val="0"/>
          <w:bCs/>
          <w:color w:val="auto"/>
          <w:spacing w:val="0"/>
          <w:kern w:val="2"/>
          <w:position w:val="0"/>
          <w:sz w:val="28"/>
          <w:szCs w:val="30"/>
          <w:shd w:val="clear" w:color="auto" w:fill="auto"/>
          <w:lang w:val="en-US" w:eastAsia="zh-CN" w:bidi="ar"/>
        </w:rPr>
        <w:t>山丹县政策措施文件目录</w:t>
      </w:r>
      <w:bookmarkEnd w:id="19"/>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2"/>
          <w:position w:val="0"/>
          <w:sz w:val="32"/>
          <w:szCs w:val="32"/>
          <w:shd w:val="clear" w:color="auto" w:fill="auto"/>
        </w:rPr>
      </w:pPr>
    </w:p>
    <w:tbl>
      <w:tblPr>
        <w:tblStyle w:val="13"/>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05"/>
        <w:gridCol w:w="1926"/>
        <w:gridCol w:w="4777"/>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37" w:hRule="atLeast"/>
          <w:jc w:val="center"/>
        </w:trPr>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序号</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文号</w:t>
            </w:r>
          </w:p>
        </w:tc>
        <w:tc>
          <w:tcPr>
            <w:tcW w:w="26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文件名称</w:t>
            </w:r>
          </w:p>
        </w:tc>
        <w:tc>
          <w:tcPr>
            <w:tcW w:w="90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是否在本次审核时间范围内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6" w:hRule="atLeast"/>
          <w:jc w:val="center"/>
        </w:trPr>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1</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山政发（2019）78号</w:t>
            </w:r>
          </w:p>
        </w:tc>
        <w:tc>
          <w:tcPr>
            <w:tcW w:w="26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山丹县水权交易管理办法</w:t>
            </w:r>
          </w:p>
        </w:tc>
        <w:tc>
          <w:tcPr>
            <w:tcW w:w="90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6" w:hRule="atLeast"/>
          <w:jc w:val="center"/>
        </w:trPr>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山政发（2021）51号</w:t>
            </w:r>
          </w:p>
        </w:tc>
        <w:tc>
          <w:tcPr>
            <w:tcW w:w="26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山丹县农业末级渠系水费收缴管理办法</w:t>
            </w:r>
          </w:p>
        </w:tc>
        <w:tc>
          <w:tcPr>
            <w:tcW w:w="90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6" w:hRule="atLeast"/>
          <w:jc w:val="center"/>
        </w:trPr>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3</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县委办发（2022）45号</w:t>
            </w:r>
          </w:p>
        </w:tc>
        <w:tc>
          <w:tcPr>
            <w:tcW w:w="26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山丹县强县域行动实施方案（2022-2025）</w:t>
            </w:r>
          </w:p>
        </w:tc>
        <w:tc>
          <w:tcPr>
            <w:tcW w:w="90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2" w:hRule="atLeast"/>
          <w:jc w:val="center"/>
        </w:trPr>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4</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县政办发（2022）22号</w:t>
            </w:r>
          </w:p>
        </w:tc>
        <w:tc>
          <w:tcPr>
            <w:tcW w:w="26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山丹县“十四五”河西走廊经济带发展规划实施方案</w:t>
            </w:r>
          </w:p>
        </w:tc>
        <w:tc>
          <w:tcPr>
            <w:tcW w:w="90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r>
              <w:rPr>
                <w:rFonts w:hint="eastAsia" w:ascii="仿宋_GB2312" w:hAnsi="仿宋_GB2312" w:eastAsia="仿宋_GB2312" w:cs="仿宋_GB2312"/>
                <w:b w:val="0"/>
                <w:bCs/>
                <w:color w:val="auto"/>
                <w:spacing w:val="0"/>
                <w:position w:val="0"/>
                <w:sz w:val="24"/>
                <w:szCs w:val="24"/>
                <w:shd w:val="clear" w:color="auto" w:fill="auto"/>
                <w:lang w:val="en-US" w:eastAsia="zh-CN"/>
              </w:rPr>
              <w:t>是</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shd w:val="clear" w:color="auto" w:fill="auto"/>
          <w:lang w:val="en-US" w:eastAsia="zh-CN"/>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2"/>
          <w:position w:val="0"/>
          <w:sz w:val="32"/>
          <w:szCs w:val="32"/>
          <w:shd w:val="clear" w:color="auto" w:fill="auto"/>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2"/>
          <w:position w:val="0"/>
          <w:sz w:val="32"/>
          <w:szCs w:val="32"/>
          <w:shd w:val="clear" w:color="auto" w:fill="auto"/>
          <w:lang w:val="en-US" w:eastAsia="zh-CN" w:bidi="ar"/>
        </w:rPr>
      </w:pPr>
    </w:p>
    <w:p>
      <w:pPr>
        <w:pStyle w:val="2"/>
        <w:rPr>
          <w:rFonts w:hint="eastAsia" w:ascii="仿宋_GB2312" w:hAnsi="仿宋_GB2312" w:eastAsia="仿宋_GB2312" w:cs="仿宋_GB2312"/>
          <w:color w:val="auto"/>
          <w:spacing w:val="0"/>
          <w:kern w:val="2"/>
          <w:position w:val="0"/>
          <w:sz w:val="32"/>
          <w:szCs w:val="32"/>
          <w:shd w:val="clear" w:color="auto" w:fill="auto"/>
          <w:lang w:val="en-US" w:eastAsia="zh-CN" w:bidi="ar"/>
        </w:rPr>
      </w:pPr>
    </w:p>
    <w:p>
      <w:pPr>
        <w:rPr>
          <w:rFonts w:hint="eastAsia" w:ascii="仿宋_GB2312" w:hAnsi="仿宋_GB2312" w:eastAsia="仿宋_GB2312" w:cs="仿宋_GB2312"/>
          <w:color w:val="auto"/>
          <w:spacing w:val="0"/>
          <w:kern w:val="2"/>
          <w:position w:val="0"/>
          <w:sz w:val="32"/>
          <w:szCs w:val="32"/>
          <w:shd w:val="clear" w:color="auto" w:fill="auto"/>
          <w:lang w:val="en-US" w:eastAsia="zh-CN" w:bidi="ar"/>
        </w:rPr>
      </w:pPr>
    </w:p>
    <w:p>
      <w:pPr>
        <w:pStyle w:val="2"/>
        <w:rPr>
          <w:rFonts w:hint="eastAsia" w:ascii="仿宋_GB2312" w:hAnsi="仿宋_GB2312" w:eastAsia="仿宋_GB2312" w:cs="仿宋_GB2312"/>
          <w:color w:val="auto"/>
          <w:spacing w:val="0"/>
          <w:kern w:val="2"/>
          <w:position w:val="0"/>
          <w:sz w:val="32"/>
          <w:szCs w:val="32"/>
          <w:shd w:val="clear" w:color="auto" w:fill="auto"/>
          <w:lang w:val="en-US" w:eastAsia="zh-CN" w:bidi="ar"/>
        </w:rPr>
      </w:pPr>
    </w:p>
    <w:p>
      <w:pPr>
        <w:rPr>
          <w:rFonts w:hint="eastAsia" w:ascii="仿宋_GB2312" w:hAnsi="仿宋_GB2312" w:eastAsia="仿宋_GB2312" w:cs="仿宋_GB2312"/>
          <w:color w:val="auto"/>
          <w:spacing w:val="0"/>
          <w:kern w:val="2"/>
          <w:position w:val="0"/>
          <w:sz w:val="32"/>
          <w:szCs w:val="32"/>
          <w:shd w:val="clear" w:color="auto" w:fill="auto"/>
          <w:lang w:val="en-US" w:eastAsia="zh-CN" w:bidi="ar"/>
        </w:rPr>
      </w:pPr>
    </w:p>
    <w:p>
      <w:pPr>
        <w:pStyle w:val="2"/>
        <w:rPr>
          <w:rFonts w:hint="eastAsia"/>
          <w:lang w:val="en-US" w:eastAsia="zh-CN"/>
        </w:rPr>
      </w:pPr>
    </w:p>
    <w:p>
      <w:pPr>
        <w:pStyle w:val="4"/>
        <w:rPr>
          <w:rFonts w:hint="eastAsia" w:ascii="仿宋_GB2312" w:hAnsi="仿宋_GB2312" w:eastAsia="仿宋_GB2312" w:cs="仿宋_GB2312"/>
          <w:color w:val="auto"/>
          <w:spacing w:val="0"/>
          <w:kern w:val="2"/>
          <w:position w:val="0"/>
          <w:sz w:val="32"/>
          <w:szCs w:val="32"/>
          <w:shd w:val="clear" w:color="auto" w:fill="auto"/>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2"/>
          <w:position w:val="0"/>
          <w:sz w:val="32"/>
          <w:szCs w:val="32"/>
          <w:shd w:val="clear" w:color="auto" w:fill="auto"/>
          <w:lang w:val="en-US" w:eastAsia="zh-CN" w:bidi="ar"/>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shd w:val="clear" w:color="auto" w:fill="auto"/>
          <w:lang w:val="en-US" w:eastAsia="zh-CN"/>
        </w:rPr>
      </w:pPr>
      <w:bookmarkStart w:id="20" w:name="_Toc20711"/>
      <w:r>
        <w:rPr>
          <w:rFonts w:hint="eastAsia" w:ascii="黑体" w:hAnsi="黑体" w:eastAsia="黑体" w:cs="黑体"/>
          <w:b w:val="0"/>
          <w:bCs/>
          <w:color w:val="auto"/>
          <w:spacing w:val="0"/>
          <w:position w:val="0"/>
          <w:sz w:val="32"/>
          <w:szCs w:val="32"/>
          <w:shd w:val="clear" w:color="auto" w:fill="auto"/>
          <w:lang w:val="en-US" w:eastAsia="zh-CN"/>
        </w:rPr>
        <w:t>附件二：</w:t>
      </w:r>
      <w:bookmarkEnd w:id="20"/>
      <w:r>
        <w:rPr>
          <w:rFonts w:hint="eastAsia" w:ascii="黑体" w:hAnsi="黑体" w:eastAsia="黑体" w:cs="黑体"/>
          <w:b w:val="0"/>
          <w:bCs/>
          <w:color w:val="auto"/>
          <w:spacing w:val="0"/>
          <w:position w:val="0"/>
          <w:sz w:val="32"/>
          <w:szCs w:val="32"/>
          <w:shd w:val="clear" w:color="auto" w:fill="auto"/>
          <w:lang w:val="en-US" w:eastAsia="zh-CN"/>
        </w:rPr>
        <w:t>山丹县政策措施文件评估表</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240" w:lineRule="auto"/>
        <w:ind w:left="0" w:leftChars="0" w:right="0" w:firstLine="560" w:firstLineChars="200"/>
        <w:jc w:val="center"/>
        <w:textAlignment w:val="auto"/>
        <w:outlineLvl w:val="0"/>
        <w:rPr>
          <w:rFonts w:hint="eastAsia"/>
          <w:lang w:val="en-US" w:eastAsia="zh-CN"/>
        </w:rPr>
      </w:pPr>
      <w:bookmarkStart w:id="21" w:name="_Toc22300"/>
      <w:r>
        <w:rPr>
          <w:rFonts w:hint="eastAsia" w:ascii="黑体" w:hAnsi="黑体" w:eastAsia="黑体" w:cs="黑体"/>
          <w:b w:val="0"/>
          <w:bCs/>
          <w:color w:val="auto"/>
          <w:spacing w:val="0"/>
          <w:kern w:val="2"/>
          <w:position w:val="0"/>
          <w:sz w:val="28"/>
          <w:szCs w:val="30"/>
          <w:shd w:val="clear" w:color="auto" w:fill="auto"/>
          <w:lang w:val="en-US" w:eastAsia="zh-CN" w:bidi="ar"/>
        </w:rPr>
        <w:t>公平竞争第三方审查表</w:t>
      </w:r>
      <w:bookmarkEnd w:id="21"/>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8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文件名称</w:t>
            </w:r>
          </w:p>
        </w:tc>
        <w:tc>
          <w:tcPr>
            <w:tcW w:w="7661"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《山丹县水权交易管理办法》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文号</w:t>
            </w:r>
          </w:p>
        </w:tc>
        <w:tc>
          <w:tcPr>
            <w:tcW w:w="7661"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山政发（2019）78号</w:t>
            </w:r>
            <w:bookmarkStart w:id="25" w:name="_GoBack"/>
            <w:bookmarkEnd w:id="2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制定机关</w:t>
            </w:r>
          </w:p>
        </w:tc>
        <w:tc>
          <w:tcPr>
            <w:tcW w:w="604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山丹县人民政府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1、是否开展内部审查</w:t>
            </w:r>
          </w:p>
        </w:tc>
        <w:tc>
          <w:tcPr>
            <w:tcW w:w="604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2、是否履行征求意见程序</w:t>
            </w:r>
          </w:p>
        </w:tc>
        <w:tc>
          <w:tcPr>
            <w:tcW w:w="604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一、是否违反市场准入和退出标准</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1、设置不合理和歧视性的准入和退出条件</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2、未经公平竞争授予经营者特许经营权</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3、限定经营、购买、使用特定经营者提供的商品和服务</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4、设置没有法律法规依据的审批或者具有行政审批性质的事前备案程序</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5、对市场准入负面清单以外的行业、领域、业务设置审批程序</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二、是否违反商品要素自由流通标准</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1、对外地和进口食品、服务实行歧视性价格或补贴政策</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2、限制外地和进口商品、服务进入本地市场或阻碍本地商品运出</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3、排斥或限制外地经营者参加本地招标投标活动</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4、排斥或限制外地经营者在本地投资或设立分支机构</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5、对外地经营者在本地投资或设立的分支机构进行歧视性待遇</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三、是否违反影响生产经营成本标准</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1、违法给予特定经营者优惠政策</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2、将财政支出安排与企业缴纳的税收或非税收入挂钩</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3、违法免除特定经营者需要缴纳的社会保险费用</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4、违法要求经营者提供各类保证金或扣留经营者保证金</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四、是否违反影响生产经营行为标准</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1、强制经营者从事《反垄断法》规定的垄断行为</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2、违法披露或者要求经营者披露生产经营敏感信息</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3、超越定价权限进行政府定价</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五、是否违反兜底条款</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1、是否无法律法规依据减损市场主体合法权益或者增加其义务</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2、是否违反《反垄断法》制定含有排除竞争内容的政策措施</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六、是否适用例外规定</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1、维护国家经济安全、文化安全或者设计国防建设</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2、实现扶贫开发，救灾救助等社会目的</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3、实现节约能源资源，保护生态环境的社会公益目的</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4、法律行政法规规定的其他情况</w:t>
            </w:r>
          </w:p>
        </w:tc>
        <w:tc>
          <w:tcPr>
            <w:tcW w:w="18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见</w:t>
            </w:r>
          </w:p>
        </w:tc>
        <w:tc>
          <w:tcPr>
            <w:tcW w:w="7835"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属于自查清理范围，以自查报告为准。</w:t>
            </w: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pStyle w:val="2"/>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pStyle w:val="2"/>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pStyle w:val="2"/>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pStyle w:val="2"/>
        <w:rPr>
          <w:rFonts w:hint="eastAsia"/>
          <w:lang w:val="en-US" w:eastAsia="zh-CN"/>
        </w:rPr>
      </w:pP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240" w:lineRule="auto"/>
        <w:ind w:left="0" w:leftChars="0" w:right="0" w:firstLine="560" w:firstLineChars="200"/>
        <w:jc w:val="center"/>
        <w:textAlignment w:val="auto"/>
        <w:outlineLvl w:val="0"/>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bookmarkStart w:id="22" w:name="_Toc24397"/>
      <w:r>
        <w:rPr>
          <w:rFonts w:hint="eastAsia" w:ascii="黑体" w:hAnsi="黑体" w:eastAsia="黑体" w:cs="黑体"/>
          <w:b w:val="0"/>
          <w:bCs/>
          <w:color w:val="auto"/>
          <w:spacing w:val="0"/>
          <w:kern w:val="2"/>
          <w:position w:val="0"/>
          <w:sz w:val="28"/>
          <w:szCs w:val="30"/>
          <w:shd w:val="clear" w:color="auto" w:fill="auto"/>
          <w:lang w:val="en-US" w:eastAsia="zh-CN" w:bidi="ar"/>
        </w:rPr>
        <w:t>公平竞争第三方审查表</w:t>
      </w:r>
      <w:bookmarkEnd w:id="22"/>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8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文件名称</w:t>
            </w:r>
          </w:p>
        </w:tc>
        <w:tc>
          <w:tcPr>
            <w:tcW w:w="7673"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《山丹县农业末级渠系水费收缴管理办法》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文号</w:t>
            </w:r>
          </w:p>
        </w:tc>
        <w:tc>
          <w:tcPr>
            <w:tcW w:w="7673"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山政发（2021）51号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制定机关</w:t>
            </w:r>
          </w:p>
        </w:tc>
        <w:tc>
          <w:tcPr>
            <w:tcW w:w="605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山丹县人民政府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1、是否开展内部审查</w:t>
            </w:r>
          </w:p>
        </w:tc>
        <w:tc>
          <w:tcPr>
            <w:tcW w:w="605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2、是否履行征求意见程序</w:t>
            </w:r>
          </w:p>
        </w:tc>
        <w:tc>
          <w:tcPr>
            <w:tcW w:w="605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9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一、是否违反市场准入和退出标准</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1、设置不合理和歧视性的准入和退出条件</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2、未经公平竞争授予经营者特许经营权</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3、限定经营、购买、使用特定经营者提供的商品和服务</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77"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4、设置没有法律法规依据的审批或者具有行政审批性质的事前备案程序</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5、对市场准入负面清单以外的行业、领域、业务设置审批程序</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二、是否违反商品要素自由流通标准</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1、对外地和进口食品、服务实行歧视性价格或补贴政策</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2、限制外地和进口商品、服务进入本地市场或阻碍本地商品运出</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3、排斥或限制外地经营者参加本地招标投标活动</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4、排斥或限制外地经营者在本地投资或设立分支机构</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5、对外地经营者在本地投资或设立的分支机构进行歧视性待遇</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三、是否违反影响生产经营成本标准</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1、违法给予特定经营者优惠政策</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2、将财政支出安排与企业缴纳的税收或非税收入挂钩</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3、违法免除特定经营者需要缴纳的社会保险费用</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4、违法要求经营者提供各类保证金或扣留经营者保证金</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四、是否违反影响生产经营行为标准</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1、强制经营者从事《反垄断法》规定的垄断行为</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2、违法披露或者要求经营者披露生产经营敏感信息</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3、超越定价权限进行政府定价</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五、是否违反兜底条款</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1、是否无法律法规依据减损市场主体合法权益或者增加其义务</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2、是否违反《反垄断法》制定含有排除竞争内容的政策措施</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六、是否适用例外规定</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1、维护国家经济安全、文化安全或者设计国防建设</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2、实现扶贫开发，救灾救助等社会目的</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3、实现节约能源资源，保护生态环境的社会公益目的</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4、法律行政法规规定的其他情况</w:t>
            </w:r>
          </w:p>
        </w:tc>
        <w:tc>
          <w:tcPr>
            <w:tcW w:w="189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7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见</w:t>
            </w:r>
          </w:p>
        </w:tc>
        <w:tc>
          <w:tcPr>
            <w:tcW w:w="7847"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不违反公平竞争审查标准。</w:t>
            </w: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pStyle w:val="2"/>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pStyle w:val="2"/>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pStyle w:val="2"/>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pStyle w:val="2"/>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pStyle w:val="2"/>
        <w:rPr>
          <w:rFonts w:hint="eastAsia"/>
          <w:lang w:val="en-US" w:eastAsia="zh-CN"/>
        </w:rPr>
      </w:pP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240" w:lineRule="auto"/>
        <w:ind w:left="0" w:leftChars="0" w:right="0" w:firstLine="560" w:firstLineChars="200"/>
        <w:jc w:val="center"/>
        <w:textAlignment w:val="auto"/>
        <w:outlineLvl w:val="0"/>
        <w:rPr>
          <w:rFonts w:hint="eastAsia"/>
          <w:lang w:val="en-US" w:eastAsia="zh-CN"/>
        </w:rPr>
      </w:pPr>
      <w:bookmarkStart w:id="23" w:name="_Toc5182"/>
      <w:r>
        <w:rPr>
          <w:rFonts w:hint="eastAsia" w:ascii="黑体" w:hAnsi="黑体" w:eastAsia="黑体" w:cs="黑体"/>
          <w:b w:val="0"/>
          <w:bCs/>
          <w:color w:val="auto"/>
          <w:spacing w:val="0"/>
          <w:kern w:val="2"/>
          <w:position w:val="0"/>
          <w:sz w:val="28"/>
          <w:szCs w:val="30"/>
          <w:shd w:val="clear" w:color="auto" w:fill="auto"/>
          <w:lang w:val="en-US" w:eastAsia="zh-CN" w:bidi="ar"/>
        </w:rPr>
        <w:t>公平竞争第三方审查表</w:t>
      </w:r>
      <w:bookmarkEnd w:id="23"/>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《山丹县强县域行动实施方案（2022-2025）》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山政发（2022）45号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山丹县人民政府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15"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2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240" w:lineRule="auto"/>
        <w:ind w:left="0" w:leftChars="0" w:right="0" w:firstLine="560" w:firstLineChars="200"/>
        <w:jc w:val="center"/>
        <w:textAlignment w:val="auto"/>
        <w:rPr>
          <w:rFonts w:hint="eastAsia" w:ascii="黑体" w:hAnsi="黑体" w:eastAsia="黑体" w:cs="黑体"/>
          <w:b w:val="0"/>
          <w:bCs/>
          <w:color w:val="auto"/>
          <w:spacing w:val="0"/>
          <w:kern w:val="2"/>
          <w:position w:val="0"/>
          <w:sz w:val="28"/>
          <w:szCs w:val="30"/>
          <w:shd w:val="clear" w:color="auto" w:fill="auto"/>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240" w:lineRule="auto"/>
        <w:ind w:left="0" w:leftChars="0" w:right="0" w:firstLine="560" w:firstLineChars="200"/>
        <w:jc w:val="center"/>
        <w:textAlignment w:val="auto"/>
        <w:rPr>
          <w:rFonts w:hint="eastAsia" w:ascii="黑体" w:hAnsi="黑体" w:eastAsia="黑体" w:cs="黑体"/>
          <w:b w:val="0"/>
          <w:bCs/>
          <w:color w:val="auto"/>
          <w:spacing w:val="0"/>
          <w:kern w:val="2"/>
          <w:position w:val="0"/>
          <w:sz w:val="28"/>
          <w:szCs w:val="30"/>
          <w:shd w:val="clear" w:color="auto" w:fill="auto"/>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240" w:lineRule="auto"/>
        <w:ind w:left="0" w:leftChars="0" w:right="0" w:firstLine="560" w:firstLineChars="200"/>
        <w:jc w:val="center"/>
        <w:textAlignment w:val="auto"/>
        <w:rPr>
          <w:rFonts w:hint="eastAsia" w:ascii="黑体" w:hAnsi="黑体" w:eastAsia="黑体" w:cs="黑体"/>
          <w:b w:val="0"/>
          <w:bCs/>
          <w:color w:val="auto"/>
          <w:spacing w:val="0"/>
          <w:kern w:val="2"/>
          <w:position w:val="0"/>
          <w:sz w:val="28"/>
          <w:szCs w:val="30"/>
          <w:shd w:val="clear" w:color="auto" w:fill="auto"/>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240" w:lineRule="auto"/>
        <w:ind w:left="0" w:leftChars="0" w:right="0" w:firstLine="560" w:firstLineChars="200"/>
        <w:jc w:val="center"/>
        <w:textAlignment w:val="auto"/>
        <w:rPr>
          <w:rFonts w:hint="eastAsia" w:ascii="黑体" w:hAnsi="黑体" w:eastAsia="黑体" w:cs="黑体"/>
          <w:b w:val="0"/>
          <w:bCs/>
          <w:color w:val="auto"/>
          <w:spacing w:val="0"/>
          <w:kern w:val="2"/>
          <w:position w:val="0"/>
          <w:sz w:val="28"/>
          <w:szCs w:val="30"/>
          <w:shd w:val="clear" w:color="auto" w:fill="auto"/>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240" w:lineRule="auto"/>
        <w:ind w:left="0" w:leftChars="0" w:right="0" w:firstLine="560" w:firstLineChars="200"/>
        <w:jc w:val="center"/>
        <w:textAlignment w:val="auto"/>
        <w:rPr>
          <w:rFonts w:hint="eastAsia" w:ascii="黑体" w:hAnsi="黑体" w:eastAsia="黑体" w:cs="黑体"/>
          <w:b w:val="0"/>
          <w:bCs/>
          <w:color w:val="auto"/>
          <w:spacing w:val="0"/>
          <w:kern w:val="2"/>
          <w:position w:val="0"/>
          <w:sz w:val="28"/>
          <w:szCs w:val="30"/>
          <w:shd w:val="clear" w:color="auto" w:fill="auto"/>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240" w:lineRule="auto"/>
        <w:ind w:left="0" w:leftChars="0" w:right="0" w:firstLine="560" w:firstLineChars="200"/>
        <w:jc w:val="center"/>
        <w:textAlignment w:val="auto"/>
        <w:rPr>
          <w:rFonts w:hint="eastAsia" w:ascii="黑体" w:hAnsi="黑体" w:eastAsia="黑体" w:cs="黑体"/>
          <w:b w:val="0"/>
          <w:bCs/>
          <w:color w:val="auto"/>
          <w:spacing w:val="0"/>
          <w:kern w:val="2"/>
          <w:position w:val="0"/>
          <w:sz w:val="28"/>
          <w:szCs w:val="30"/>
          <w:shd w:val="clear" w:color="auto" w:fill="auto"/>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240" w:lineRule="auto"/>
        <w:ind w:left="0" w:leftChars="0" w:right="0" w:firstLine="560" w:firstLineChars="200"/>
        <w:jc w:val="center"/>
        <w:textAlignment w:val="auto"/>
        <w:outlineLvl w:val="0"/>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bookmarkStart w:id="24" w:name="_Toc29457"/>
      <w:r>
        <w:rPr>
          <w:rFonts w:hint="eastAsia" w:ascii="黑体" w:hAnsi="黑体" w:eastAsia="黑体" w:cs="黑体"/>
          <w:b w:val="0"/>
          <w:bCs/>
          <w:color w:val="auto"/>
          <w:spacing w:val="0"/>
          <w:kern w:val="2"/>
          <w:position w:val="0"/>
          <w:sz w:val="28"/>
          <w:szCs w:val="30"/>
          <w:shd w:val="clear" w:color="auto" w:fill="auto"/>
          <w:lang w:val="en-US" w:eastAsia="zh-CN" w:bidi="ar"/>
        </w:rPr>
        <w:t>公平竞争第三方审查表</w:t>
      </w:r>
      <w:bookmarkEnd w:id="24"/>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文件名称</w:t>
            </w:r>
          </w:p>
        </w:tc>
        <w:tc>
          <w:tcPr>
            <w:tcW w:w="7687"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《山丹县“十四五”河西走廊经济带发展规划实施方案》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文号</w:t>
            </w:r>
          </w:p>
        </w:tc>
        <w:tc>
          <w:tcPr>
            <w:tcW w:w="7687"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县委办发（2022）45号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制定机关</w:t>
            </w:r>
          </w:p>
        </w:tc>
        <w:tc>
          <w:tcPr>
            <w:tcW w:w="607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山丹县人民政府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1、是否开展内部审查</w:t>
            </w:r>
          </w:p>
        </w:tc>
        <w:tc>
          <w:tcPr>
            <w:tcW w:w="607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2、是否履行征求意见程序</w:t>
            </w:r>
          </w:p>
        </w:tc>
        <w:tc>
          <w:tcPr>
            <w:tcW w:w="607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一、是否违反市场准入和退出标准</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1、设置不合理和歧视性的准入和退出条件</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2、未经公平竞争授予经营者特许经营权</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3、限定经营、购买、使用特定经营者提供的商品和服务</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02"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4、设置没有法律法规依据的审批或者具有行政审批性质的事前备案程序</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5、对市场准入负面清单以外的行业、领域、业务设置审批程序</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二、是否违反商品要素自由流通标准</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1、对外地和进口食品、服务实行歧视性价格或补贴政策</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2、限制外地和进口商品、服务进入本地市场或阻碍本地商品运出</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3、排斥或限制外地经营者参加本地招标投标活动</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4、排斥或限制外地经营者在本地投资或设立分支机构</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5、对外地经营者在本地投资或设立的分支机构进行歧视性待遇</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三、是否违反影响生产经营成本标准</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1、违法给予特定经营者优惠政策</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2、将财政支出安排与企业缴纳的税收或非税收入挂钩</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3、违法免除特定经营者需要缴纳的社会保险费用</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4、违法要求经营者提供各类保证金或扣留经营者保证金</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四、是否违反影响生产经营行为标准</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1、强制经营者从事《反垄断法》规定的垄断行为</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2、违法披露或者要求经营者披露生产经营敏感信息</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3、超越定价权限进行政府定价</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五、是否违反兜底条款</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1、是否无法律法规依据减损市场主体合法权益或者增加其义务</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2、是否违反《反垄断法》制定含有排除竞争内容的政策措施</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六、是否适用例外规定</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1、维护国家经济安全、文化安全或者设计国防建设</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2、实现扶贫开发，救灾救助等社会目的</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3、实现节约能源资源，保护生态环境的社会公益目的</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4、法律行政法规规定的其他情况</w:t>
            </w:r>
          </w:p>
        </w:tc>
        <w:tc>
          <w:tcPr>
            <w:tcW w:w="19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87"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见</w:t>
            </w:r>
          </w:p>
        </w:tc>
        <w:tc>
          <w:tcPr>
            <w:tcW w:w="7861"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pPr>
            <w:r>
              <w:rPr>
                <w:rFonts w:hint="eastAsia" w:ascii="仿宋_GB2312" w:hAnsi="仿宋_GB2312" w:eastAsia="仿宋_GB2312" w:cs="仿宋_GB2312"/>
                <w:b w:val="0"/>
                <w:bCs/>
                <w:color w:val="auto"/>
                <w:spacing w:val="0"/>
                <w:kern w:val="2"/>
                <w:position w:val="0"/>
                <w:sz w:val="24"/>
                <w:szCs w:val="24"/>
                <w:shd w:val="clear" w:color="auto" w:fill="auto"/>
                <w:lang w:val="en-US" w:eastAsia="zh-CN" w:bidi="ar-SA"/>
              </w:rPr>
              <w:t>不违反公平竞争审查标准。</w:t>
            </w:r>
          </w:p>
        </w:tc>
      </w:tr>
    </w:tbl>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jc w:val="both"/>
        <w:textAlignment w:val="auto"/>
        <w:rPr>
          <w:rFonts w:hint="eastAsia" w:ascii="仿宋_GB2312" w:hAnsi="仿宋_GB2312" w:eastAsia="仿宋_GB2312" w:cs="仿宋_GB2312"/>
          <w:color w:val="auto"/>
          <w:spacing w:val="0"/>
          <w:position w:val="0"/>
          <w:sz w:val="32"/>
          <w:szCs w:val="32"/>
          <w:shd w:val="clear" w:color="auto" w:fill="auto"/>
        </w:rPr>
      </w:pPr>
    </w:p>
    <w:sectPr>
      <w:footerReference r:id="rId3" w:type="default"/>
      <w:pgSz w:w="11906" w:h="16838"/>
      <w:pgMar w:top="2098" w:right="1474" w:bottom="1984" w:left="1587" w:header="851" w:footer="1417"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0007A3B"/>
    <w:rsid w:val="03BD3C54"/>
    <w:rsid w:val="04AB4E85"/>
    <w:rsid w:val="08915791"/>
    <w:rsid w:val="0B6A6130"/>
    <w:rsid w:val="0BBF4ECF"/>
    <w:rsid w:val="0CF00AB1"/>
    <w:rsid w:val="10E62E3A"/>
    <w:rsid w:val="1CCB5EE5"/>
    <w:rsid w:val="1F55605F"/>
    <w:rsid w:val="22606000"/>
    <w:rsid w:val="28444C97"/>
    <w:rsid w:val="2A6A5E12"/>
    <w:rsid w:val="3A212CBA"/>
    <w:rsid w:val="3AE4385E"/>
    <w:rsid w:val="3EC93D1D"/>
    <w:rsid w:val="43726A93"/>
    <w:rsid w:val="455264CE"/>
    <w:rsid w:val="48A20511"/>
    <w:rsid w:val="4BCF0359"/>
    <w:rsid w:val="4BD86614"/>
    <w:rsid w:val="4CE048FA"/>
    <w:rsid w:val="4F754A92"/>
    <w:rsid w:val="539B0B8B"/>
    <w:rsid w:val="54DD0E1C"/>
    <w:rsid w:val="55186727"/>
    <w:rsid w:val="5AD73288"/>
    <w:rsid w:val="5B4B1E57"/>
    <w:rsid w:val="5F054D9B"/>
    <w:rsid w:val="644C27C2"/>
    <w:rsid w:val="670F7992"/>
    <w:rsid w:val="69F20B9F"/>
    <w:rsid w:val="6F9F1ABF"/>
    <w:rsid w:val="6FE96C70"/>
    <w:rsid w:val="73FF360F"/>
    <w:rsid w:val="7963017E"/>
    <w:rsid w:val="85E5445A"/>
    <w:rsid w:val="BFFEA1E5"/>
    <w:rsid w:val="FBE78459"/>
    <w:rsid w:val="FFFF76E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index 6"/>
    <w:basedOn w:val="1"/>
    <w:next w:val="1"/>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黑体"/>
      <w:color w:val="000000"/>
      <w:kern w:val="2"/>
      <w:sz w:val="32"/>
      <w:szCs w:val="32"/>
      <w:lang w:val="en-US" w:eastAsia="zh-CN" w:bidi="ar"/>
    </w:rPr>
  </w:style>
  <w:style w:type="paragraph" w:styleId="4">
    <w:name w:val="Normal Indent"/>
    <w:basedOn w:val="1"/>
    <w:qFormat/>
    <w:uiPriority w:val="99"/>
    <w:pPr>
      <w:ind w:firstLine="420"/>
    </w:pPr>
  </w:style>
  <w:style w:type="paragraph" w:styleId="5">
    <w:name w:val="annotation text"/>
    <w:basedOn w:val="1"/>
    <w:next w:val="6"/>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2"/>
      <w:sz w:val="21"/>
      <w:szCs w:val="21"/>
      <w:lang w:val="en-US" w:eastAsia="zh-CN" w:bidi="ar"/>
    </w:rPr>
  </w:style>
  <w:style w:type="paragraph" w:styleId="6">
    <w:name w:val="Balloon Text"/>
    <w:basedOn w:val="1"/>
    <w:qFormat/>
    <w:uiPriority w:val="0"/>
    <w:rPr>
      <w:sz w:val="18"/>
    </w:rPr>
  </w:style>
  <w:style w:type="paragraph" w:styleId="7">
    <w:name w:val="Body Text"/>
    <w:basedOn w:val="1"/>
    <w:qFormat/>
    <w:uiPriority w:val="1"/>
    <w:pPr>
      <w:ind w:left="100"/>
    </w:pPr>
    <w:rPr>
      <w:rFonts w:ascii="微软雅黑" w:hAnsi="微软雅黑" w:eastAsia="微软雅黑" w:cs="微软雅黑"/>
      <w:sz w:val="48"/>
      <w:szCs w:val="48"/>
      <w:lang w:val="en-US" w:eastAsia="zh-CN" w:bidi="ar-SA"/>
    </w:rPr>
  </w:style>
  <w:style w:type="paragraph" w:styleId="8">
    <w:name w:val="Body Text Indent 2"/>
    <w:basedOn w:val="1"/>
    <w:next w:val="1"/>
    <w:qFormat/>
    <w:uiPriority w:val="0"/>
    <w:pPr>
      <w:keepNext w:val="0"/>
      <w:keepLines w:val="0"/>
      <w:widowControl w:val="0"/>
      <w:suppressLineNumbers w:val="0"/>
      <w:spacing w:after="12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3">
    <w:name w:val="Table Grid"/>
    <w:basedOn w:val="1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5">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styleId="16">
    <w:name w:val="List Paragraph"/>
    <w:basedOn w:val="1"/>
    <w:qFormat/>
    <w:uiPriority w:val="1"/>
    <w:pPr>
      <w:spacing w:before="66"/>
      <w:ind w:left="457" w:hanging="358"/>
    </w:pPr>
    <w:rPr>
      <w:rFonts w:ascii="微软雅黑" w:hAnsi="微软雅黑" w:eastAsia="微软雅黑" w:cs="微软雅黑"/>
      <w:lang w:val="en-US" w:eastAsia="zh-CN" w:bidi="ar-SA"/>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19</Pages>
  <Words>7866</Words>
  <Characters>8032</Characters>
  <Lines>0</Lines>
  <Paragraphs>0</Paragraphs>
  <TotalTime>0</TotalTime>
  <ScaleCrop>false</ScaleCrop>
  <LinksUpToDate>false</LinksUpToDate>
  <CharactersWithSpaces>8141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2023-02-11T19:41:00Z</dcterms:created>
  <dc:creator>笑笑妈</dc:creator>
  <cp:lastModifiedBy>盛斐</cp:lastModifiedBy>
  <dcterms:modified xsi:type="dcterms:W3CDTF">2023-06-23T08:38:59Z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EC590A621F17491986A73113F473577C</vt:lpwstr>
  </property>
</Properties>
</file>