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autoSpaceDE/>
        <w:autoSpaceDN/>
        <w:bidi w:val="0"/>
        <w:adjustRightInd w:val="0"/>
        <w:snapToGrid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val="zh-TW" w:eastAsia="zh-CN" w:bidi="zh-TW"/>
        </w:rPr>
      </w:pPr>
      <w:bookmarkStart w:id="0" w:name="_Toc14614"/>
      <w:bookmarkStart w:id="1" w:name="_Toc2252"/>
      <w:bookmarkStart w:id="2" w:name="_Toc8376"/>
      <w:bookmarkStart w:id="3" w:name="_Toc11024"/>
      <w:bookmarkStart w:id="4" w:name="_Toc7714"/>
    </w:p>
    <w:p>
      <w:pPr>
        <w:pageBreakBefore w:val="0"/>
        <w:kinsoku/>
        <w:wordWrap/>
        <w:overflowPunct/>
        <w:topLinePunct/>
        <w:autoSpaceDE/>
        <w:autoSpaceDN/>
        <w:bidi w:val="0"/>
        <w:adjustRightInd w:val="0"/>
        <w:snapToGrid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val="zh-TW" w:eastAsia="zh-CN" w:bidi="zh-TW"/>
        </w:rPr>
      </w:pPr>
    </w:p>
    <w:p>
      <w:pPr>
        <w:pStyle w:val="3"/>
        <w:keepNext/>
        <w:keepLines/>
        <w:pageBreakBefore w:val="0"/>
        <w:kinsoku/>
        <w:wordWrap/>
        <w:overflowPunct/>
        <w:topLinePunct/>
        <w:autoSpaceDE/>
        <w:autoSpaceDN/>
        <w:bidi w:val="0"/>
        <w:spacing w:before="340" w:beforeLines="0" w:beforeAutospacing="0" w:after="330" w:afterLines="0" w:afterAutospacing="0" w:line="576" w:lineRule="auto"/>
        <w:ind w:firstLine="0" w:firstLineChars="0"/>
        <w:jc w:val="center"/>
        <w:rPr>
          <w:rFonts w:hint="eastAsia" w:ascii="方正小标宋简体" w:hAnsi="方正小标宋简体" w:eastAsia="方正小标宋简体" w:cs="方正小标宋简体"/>
          <w:b w:val="0"/>
          <w:bCs w:val="0"/>
          <w:color w:val="auto"/>
          <w:spacing w:val="0"/>
          <w:position w:val="0"/>
          <w:sz w:val="52"/>
          <w:szCs w:val="52"/>
          <w:lang w:val="zh-TW" w:eastAsia="zh-CN"/>
        </w:rPr>
      </w:pPr>
      <w:bookmarkStart w:id="5" w:name="_Toc22357"/>
      <w:r>
        <w:rPr>
          <w:rFonts w:hint="eastAsia" w:ascii="方正小标宋简体" w:hAnsi="方正小标宋简体" w:eastAsia="方正小标宋简体" w:cs="方正小标宋简体"/>
          <w:b w:val="0"/>
          <w:bCs w:val="0"/>
          <w:color w:val="auto"/>
          <w:spacing w:val="0"/>
          <w:position w:val="0"/>
          <w:sz w:val="52"/>
          <w:szCs w:val="52"/>
          <w:lang w:val="zh-TW" w:eastAsia="zh-CN"/>
        </w:rPr>
        <w:t>张掖市202</w:t>
      </w:r>
      <w:r>
        <w:rPr>
          <w:rFonts w:hint="eastAsia" w:ascii="方正小标宋简体" w:hAnsi="方正小标宋简体" w:eastAsia="方正小标宋简体" w:cs="方正小标宋简体"/>
          <w:b w:val="0"/>
          <w:bCs w:val="0"/>
          <w:color w:val="auto"/>
          <w:spacing w:val="0"/>
          <w:position w:val="0"/>
          <w:sz w:val="52"/>
          <w:szCs w:val="52"/>
          <w:lang w:val="en-US" w:eastAsia="zh-CN"/>
        </w:rPr>
        <w:t>2</w:t>
      </w:r>
      <w:r>
        <w:rPr>
          <w:rFonts w:hint="eastAsia" w:ascii="方正小标宋简体" w:hAnsi="方正小标宋简体" w:eastAsia="方正小标宋简体" w:cs="方正小标宋简体"/>
          <w:b w:val="0"/>
          <w:bCs w:val="0"/>
          <w:color w:val="auto"/>
          <w:spacing w:val="0"/>
          <w:position w:val="0"/>
          <w:sz w:val="52"/>
          <w:szCs w:val="52"/>
          <w:lang w:val="zh-TW" w:eastAsia="zh-CN"/>
        </w:rPr>
        <w:t>年公平竞争审查</w:t>
      </w:r>
      <w:bookmarkEnd w:id="5"/>
    </w:p>
    <w:p>
      <w:pPr>
        <w:pStyle w:val="3"/>
        <w:keepNext/>
        <w:keepLines/>
        <w:pageBreakBefore w:val="0"/>
        <w:kinsoku/>
        <w:wordWrap/>
        <w:overflowPunct/>
        <w:topLinePunct/>
        <w:autoSpaceDE/>
        <w:autoSpaceDN/>
        <w:bidi w:val="0"/>
        <w:spacing w:before="340" w:beforeLines="0" w:beforeAutospacing="0" w:after="330" w:afterLines="0" w:afterAutospacing="0" w:line="576" w:lineRule="auto"/>
        <w:ind w:firstLine="0" w:firstLineChars="0"/>
        <w:jc w:val="center"/>
        <w:rPr>
          <w:rFonts w:hint="eastAsia" w:ascii="方正小标宋简体" w:hAnsi="方正小标宋简体" w:eastAsia="方正小标宋简体" w:cs="方正小标宋简体"/>
          <w:b w:val="0"/>
          <w:bCs w:val="0"/>
          <w:color w:val="auto"/>
          <w:spacing w:val="0"/>
          <w:position w:val="0"/>
          <w:sz w:val="52"/>
          <w:szCs w:val="52"/>
          <w:lang w:val="zh-TW" w:eastAsia="zh-CN"/>
        </w:rPr>
      </w:pPr>
      <w:bookmarkStart w:id="6" w:name="_Toc1524"/>
      <w:r>
        <w:rPr>
          <w:rFonts w:hint="eastAsia" w:ascii="方正小标宋简体" w:hAnsi="方正小标宋简体" w:eastAsia="方正小标宋简体" w:cs="方正小标宋简体"/>
          <w:b w:val="0"/>
          <w:bCs w:val="0"/>
          <w:color w:val="auto"/>
          <w:spacing w:val="0"/>
          <w:position w:val="0"/>
          <w:sz w:val="52"/>
          <w:szCs w:val="52"/>
          <w:lang w:val="zh-TW" w:eastAsia="zh-CN"/>
        </w:rPr>
        <w:t>第三方评估总报告</w:t>
      </w:r>
      <w:bookmarkEnd w:id="6"/>
    </w:p>
    <w:p>
      <w:pPr>
        <w:pageBreakBefore w:val="0"/>
        <w:kinsoku/>
        <w:wordWrap/>
        <w:overflowPunct/>
        <w:topLinePunct/>
        <w:autoSpaceDE/>
        <w:autoSpaceDN/>
        <w:bidi w:val="0"/>
        <w:adjustRightInd w:val="0"/>
        <w:snapToGrid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val="zh-TW" w:eastAsia="zh-CN" w:bidi="zh-TW"/>
        </w:rPr>
      </w:pPr>
    </w:p>
    <w:p>
      <w:pPr>
        <w:pageBreakBefore w:val="0"/>
        <w:kinsoku/>
        <w:wordWrap/>
        <w:overflowPunct/>
        <w:topLinePunct/>
        <w:autoSpaceDE/>
        <w:autoSpaceDN/>
        <w:bidi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val="zh-TW" w:eastAsia="zh-CN" w:bidi="zh-TW"/>
        </w:rPr>
      </w:pPr>
    </w:p>
    <w:p>
      <w:pPr>
        <w:pageBreakBefore w:val="0"/>
        <w:kinsoku/>
        <w:wordWrap/>
        <w:overflowPunct/>
        <w:topLinePunct/>
        <w:autoSpaceDE/>
        <w:autoSpaceDN/>
        <w:bidi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val="zh-TW" w:eastAsia="zh-CN" w:bidi="zh-TW"/>
        </w:rPr>
      </w:pPr>
    </w:p>
    <w:p>
      <w:pPr>
        <w:pageBreakBefore w:val="0"/>
        <w:kinsoku/>
        <w:wordWrap/>
        <w:overflowPunct/>
        <w:topLinePunct/>
        <w:autoSpaceDE/>
        <w:autoSpaceDN/>
        <w:bidi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val="zh-TW" w:eastAsia="zh-CN" w:bidi="zh-TW"/>
        </w:rPr>
      </w:pPr>
    </w:p>
    <w:p>
      <w:pPr>
        <w:pageBreakBefore w:val="0"/>
        <w:kinsoku/>
        <w:wordWrap/>
        <w:overflowPunct/>
        <w:topLinePunct/>
        <w:autoSpaceDE/>
        <w:autoSpaceDN/>
        <w:bidi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val="zh-TW" w:eastAsia="zh-CN" w:bidi="zh-TW"/>
        </w:rPr>
      </w:pPr>
    </w:p>
    <w:p>
      <w:pPr>
        <w:pageBreakBefore w:val="0"/>
        <w:kinsoku/>
        <w:wordWrap/>
        <w:overflowPunct/>
        <w:topLinePunct/>
        <w:autoSpaceDE/>
        <w:autoSpaceDN/>
        <w:bidi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val="zh-TW" w:eastAsia="zh-CN" w:bidi="zh-TW"/>
        </w:rPr>
      </w:pPr>
    </w:p>
    <w:p>
      <w:pPr>
        <w:pageBreakBefore w:val="0"/>
        <w:kinsoku/>
        <w:wordWrap/>
        <w:overflowPunct/>
        <w:topLinePunct/>
        <w:autoSpaceDE/>
        <w:autoSpaceDN/>
        <w:bidi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val="zh-TW" w:eastAsia="zh-CN" w:bidi="zh-TW"/>
        </w:rPr>
      </w:pPr>
    </w:p>
    <w:p>
      <w:pPr>
        <w:pageBreakBefore w:val="0"/>
        <w:kinsoku/>
        <w:wordWrap/>
        <w:overflowPunct/>
        <w:topLinePunct/>
        <w:autoSpaceDE/>
        <w:autoSpaceDN/>
        <w:bidi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val="zh-TW" w:eastAsia="zh-CN" w:bidi="zh-TW"/>
        </w:rPr>
      </w:pPr>
    </w:p>
    <w:p>
      <w:pPr>
        <w:pageBreakBefore w:val="0"/>
        <w:kinsoku/>
        <w:wordWrap/>
        <w:overflowPunct/>
        <w:topLinePunct/>
        <w:autoSpaceDE/>
        <w:autoSpaceDN/>
        <w:bidi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val="zh-TW" w:eastAsia="zh-CN" w:bidi="zh-TW"/>
        </w:rPr>
      </w:pPr>
    </w:p>
    <w:p>
      <w:pPr>
        <w:pageBreakBefore w:val="0"/>
        <w:kinsoku/>
        <w:wordWrap/>
        <w:overflowPunct/>
        <w:topLinePunct/>
        <w:autoSpaceDE/>
        <w:autoSpaceDN/>
        <w:bidi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val="zh-TW" w:eastAsia="zh-CN" w:bidi="zh-TW"/>
        </w:rPr>
      </w:pPr>
    </w:p>
    <w:p>
      <w:pPr>
        <w:pageBreakBefore w:val="0"/>
        <w:kinsoku/>
        <w:wordWrap/>
        <w:overflowPunct/>
        <w:topLinePunct/>
        <w:autoSpaceDE/>
        <w:autoSpaceDN/>
        <w:bidi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val="zh-TW" w:eastAsia="zh-CN" w:bidi="zh-TW"/>
        </w:rPr>
      </w:pPr>
    </w:p>
    <w:p>
      <w:pPr>
        <w:pageBreakBefore w:val="0"/>
        <w:kinsoku/>
        <w:wordWrap/>
        <w:overflowPunct/>
        <w:topLinePunct/>
        <w:autoSpaceDE/>
        <w:autoSpaceDN/>
        <w:bidi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val="zh-TW" w:eastAsia="zh-CN" w:bidi="zh-TW"/>
        </w:rPr>
      </w:pPr>
    </w:p>
    <w:p>
      <w:pPr>
        <w:pageBreakBefore w:val="0"/>
        <w:kinsoku/>
        <w:wordWrap/>
        <w:overflowPunct/>
        <w:topLinePunct/>
        <w:autoSpaceDE/>
        <w:autoSpaceDN/>
        <w:bidi w:val="0"/>
        <w:spacing w:beforeAutospacing="0" w:line="540" w:lineRule="exact"/>
        <w:ind w:left="0" w:leftChars="0" w:right="0" w:firstLine="640" w:firstLineChars="200"/>
        <w:jc w:val="center"/>
        <w:rPr>
          <w:rFonts w:hint="eastAsia" w:ascii="黑体" w:hAnsi="黑体" w:eastAsia="黑体" w:cs="黑体"/>
          <w:b w:val="0"/>
          <w:bCs w:val="0"/>
          <w:color w:val="auto"/>
          <w:spacing w:val="0"/>
          <w:w w:val="100"/>
          <w:kern w:val="2"/>
          <w:position w:val="0"/>
          <w:sz w:val="32"/>
          <w:szCs w:val="32"/>
          <w:lang w:val="zh-TW" w:eastAsia="zh-CN" w:bidi="ar-SA"/>
        </w:rPr>
      </w:pPr>
      <w:r>
        <w:rPr>
          <w:rFonts w:hint="eastAsia" w:ascii="黑体" w:hAnsi="黑体" w:eastAsia="黑体" w:cs="黑体"/>
          <w:b w:val="0"/>
          <w:bCs w:val="0"/>
          <w:color w:val="auto"/>
          <w:spacing w:val="0"/>
          <w:w w:val="100"/>
          <w:kern w:val="2"/>
          <w:position w:val="0"/>
          <w:sz w:val="32"/>
          <w:szCs w:val="32"/>
          <w:lang w:val="zh-TW" w:eastAsia="zh-CN" w:bidi="ar-SA"/>
        </w:rPr>
        <w:t>甘肃金彤律师事务所</w:t>
      </w:r>
    </w:p>
    <w:p>
      <w:pPr>
        <w:pageBreakBefore w:val="0"/>
        <w:kinsoku/>
        <w:wordWrap/>
        <w:overflowPunct/>
        <w:topLinePunct/>
        <w:autoSpaceDE/>
        <w:autoSpaceDN/>
        <w:bidi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eastAsia="zh-CN" w:bidi="zh-TW"/>
        </w:rPr>
        <w:sectPr>
          <w:headerReference r:id="rId3" w:type="default"/>
          <w:footerReference r:id="rId4" w:type="default"/>
          <w:pgSz w:w="11906" w:h="16838"/>
          <w:pgMar w:top="2098" w:right="1474" w:bottom="1984" w:left="1587" w:header="851" w:footer="992" w:gutter="0"/>
          <w:pgBorders>
            <w:top w:val="none" w:sz="0" w:space="0"/>
            <w:left w:val="none" w:sz="0" w:space="0"/>
            <w:bottom w:val="none" w:sz="0" w:space="0"/>
            <w:right w:val="none" w:sz="0" w:space="0"/>
          </w:pgBorders>
          <w:pgNumType w:start="1"/>
          <w:cols w:space="425" w:num="1"/>
          <w:docGrid w:type="lines" w:linePitch="312" w:charSpace="0"/>
        </w:sectPr>
      </w:pPr>
    </w:p>
    <w:sdt>
      <w:sdtPr>
        <w:rPr>
          <w:rFonts w:hint="eastAsia" w:ascii="方正小标宋简体" w:hAnsi="方正小标宋简体" w:eastAsia="方正小标宋简体" w:cs="方正小标宋简体"/>
          <w:color w:val="000000"/>
          <w:sz w:val="36"/>
          <w:szCs w:val="36"/>
          <w:lang w:val="en-US" w:eastAsia="en-US" w:bidi="en-US"/>
        </w:rPr>
        <w:id w:val="147458376"/>
        <w15:color w:val="DBDBDB"/>
        <w:docPartObj>
          <w:docPartGallery w:val="Table of Contents"/>
          <w:docPartUnique/>
        </w:docPartObj>
      </w:sdtPr>
      <w:sdtEndPr>
        <w:rPr>
          <w:rFonts w:hint="eastAsia" w:ascii="方正小标宋简体" w:hAnsi="方正小标宋简体" w:eastAsia="方正小标宋简体" w:cs="方正小标宋简体"/>
          <w:b/>
          <w:bCs w:val="0"/>
          <w:color w:val="auto"/>
          <w:spacing w:val="0"/>
          <w:w w:val="100"/>
          <w:kern w:val="44"/>
          <w:sz w:val="36"/>
          <w:szCs w:val="36"/>
          <w:highlight w:val="none"/>
          <w:lang w:val="en-US" w:eastAsia="zh-CN" w:bidi="ar-SA"/>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36"/>
              <w:szCs w:val="36"/>
            </w:rPr>
          </w:pPr>
          <w:bookmarkStart w:id="7" w:name="_Toc101045466"/>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41"/>
            <w:tabs>
              <w:tab w:val="right" w:leader="dot" w:pos="8845"/>
            </w:tabs>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color w:val="auto"/>
              <w:spacing w:val="0"/>
              <w:w w:val="100"/>
              <w:sz w:val="32"/>
              <w:szCs w:val="32"/>
              <w:highlight w:val="none"/>
            </w:rPr>
            <w:instrText xml:space="preserve">TOC \o "1-2" \h \u </w:instrText>
          </w:r>
          <w:r>
            <w:rPr>
              <w:rFonts w:hint="eastAsia" w:ascii="仿宋_GB2312" w:hAnsi="仿宋_GB2312" w:eastAsia="仿宋_GB2312" w:cs="仿宋_GB2312"/>
              <w:b w:val="0"/>
              <w:bCs w:val="0"/>
              <w:color w:val="auto"/>
              <w:spacing w:val="0"/>
              <w:w w:val="100"/>
              <w:sz w:val="32"/>
              <w:szCs w:val="32"/>
              <w:highlight w:val="none"/>
            </w:rPr>
            <w:fldChar w:fldCharType="separate"/>
          </w: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_Toc23264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前</w:t>
          </w:r>
          <w:r>
            <w:rPr>
              <w:rFonts w:hint="eastAsia" w:ascii="仿宋_GB2312" w:hAnsi="仿宋_GB2312" w:eastAsia="仿宋_GB2312" w:cs="仿宋_GB2312"/>
              <w:b w:val="0"/>
              <w:bCs w:val="0"/>
              <w:spacing w:val="0"/>
              <w:w w:val="100"/>
              <w:sz w:val="32"/>
              <w:szCs w:val="32"/>
              <w:highlight w:val="none"/>
              <w:lang w:val="en-US" w:eastAsia="zh-CN"/>
            </w:rPr>
            <w:t xml:space="preserve">  </w:t>
          </w:r>
          <w:r>
            <w:rPr>
              <w:rFonts w:hint="eastAsia" w:ascii="仿宋_GB2312" w:hAnsi="仿宋_GB2312" w:eastAsia="仿宋_GB2312" w:cs="仿宋_GB2312"/>
              <w:b w:val="0"/>
              <w:bCs w:val="0"/>
              <w:spacing w:val="0"/>
              <w:w w:val="100"/>
              <w:sz w:val="32"/>
              <w:szCs w:val="32"/>
              <w:highlight w:val="none"/>
            </w:rPr>
            <w:t>言</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_Toc23264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spacing w:val="0"/>
              <w:w w:val="100"/>
              <w:sz w:val="32"/>
              <w:szCs w:val="32"/>
              <w:highlight w:val="none"/>
            </w:rPr>
            <w:fldChar w:fldCharType="begin"/>
          </w:r>
          <w:r>
            <w:rPr>
              <w:rFonts w:hint="eastAsia" w:ascii="仿宋_GB2312" w:hAnsi="仿宋_GB2312" w:eastAsia="仿宋_GB2312" w:cs="仿宋_GB2312"/>
              <w:b/>
              <w:bCs/>
              <w:spacing w:val="0"/>
              <w:w w:val="100"/>
              <w:sz w:val="32"/>
              <w:szCs w:val="32"/>
              <w:highlight w:val="none"/>
            </w:rPr>
            <w:instrText xml:space="preserve"> HYPERLINK \l _Toc7603 </w:instrText>
          </w:r>
          <w:r>
            <w:rPr>
              <w:rFonts w:hint="eastAsia" w:ascii="仿宋_GB2312" w:hAnsi="仿宋_GB2312" w:eastAsia="仿宋_GB2312" w:cs="仿宋_GB2312"/>
              <w:b/>
              <w:bCs/>
              <w:spacing w:val="0"/>
              <w:w w:val="100"/>
              <w:sz w:val="32"/>
              <w:szCs w:val="32"/>
              <w:highlight w:val="none"/>
            </w:rPr>
            <w:fldChar w:fldCharType="separate"/>
          </w:r>
          <w:r>
            <w:rPr>
              <w:rFonts w:hint="eastAsia" w:ascii="仿宋_GB2312" w:hAnsi="仿宋_GB2312" w:eastAsia="仿宋_GB2312" w:cs="仿宋_GB2312"/>
              <w:b/>
              <w:bCs/>
              <w:spacing w:val="0"/>
              <w:w w:val="100"/>
              <w:sz w:val="32"/>
              <w:szCs w:val="32"/>
              <w:highlight w:val="none"/>
            </w:rPr>
            <w:t>第一章</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pacing w:val="0"/>
              <w:w w:val="100"/>
              <w:sz w:val="32"/>
              <w:szCs w:val="32"/>
              <w:highlight w:val="none"/>
              <w:lang w:eastAsia="zh-CN"/>
            </w:rPr>
            <w:t>张掖市</w:t>
          </w:r>
          <w:r>
            <w:rPr>
              <w:rFonts w:hint="eastAsia" w:ascii="仿宋_GB2312" w:hAnsi="仿宋_GB2312" w:eastAsia="仿宋_GB2312" w:cs="仿宋_GB2312"/>
              <w:b/>
              <w:bCs/>
              <w:spacing w:val="0"/>
              <w:w w:val="100"/>
              <w:sz w:val="32"/>
              <w:szCs w:val="32"/>
              <w:highlight w:val="none"/>
            </w:rPr>
            <w:t>公平竞争审查第三方评估主要内容</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_Toc7603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4</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_Toc9380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第一节</w:t>
          </w:r>
          <w:r>
            <w:rPr>
              <w:rFonts w:hint="eastAsia" w:ascii="仿宋_GB2312" w:hAnsi="仿宋_GB2312" w:eastAsia="仿宋_GB2312" w:cs="仿宋_GB2312"/>
              <w:b w:val="0"/>
              <w:bCs w:val="0"/>
              <w:spacing w:val="0"/>
              <w:w w:val="100"/>
              <w:sz w:val="32"/>
              <w:szCs w:val="32"/>
              <w:highlight w:val="none"/>
              <w:lang w:val="en-US" w:eastAsia="zh-CN"/>
            </w:rPr>
            <w:t xml:space="preserve"> </w:t>
          </w:r>
          <w:r>
            <w:rPr>
              <w:rFonts w:hint="eastAsia" w:ascii="仿宋_GB2312" w:hAnsi="仿宋_GB2312" w:eastAsia="仿宋_GB2312" w:cs="仿宋_GB2312"/>
              <w:b w:val="0"/>
              <w:bCs w:val="0"/>
              <w:spacing w:val="0"/>
              <w:w w:val="100"/>
              <w:sz w:val="32"/>
              <w:szCs w:val="32"/>
              <w:highlight w:val="none"/>
            </w:rPr>
            <w:t>评估内容</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_Toc9380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_Toc9476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第二节</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pacing w:val="0"/>
              <w:w w:val="100"/>
              <w:sz w:val="32"/>
              <w:szCs w:val="32"/>
              <w:highlight w:val="none"/>
            </w:rPr>
            <w:t>评估方案</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_Toc9476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6</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_Toc6654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第三节评估标准</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_Toc6654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9</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spacing w:val="0"/>
              <w:w w:val="100"/>
              <w:sz w:val="32"/>
              <w:szCs w:val="32"/>
              <w:highlight w:val="none"/>
            </w:rPr>
            <w:fldChar w:fldCharType="begin"/>
          </w:r>
          <w:r>
            <w:rPr>
              <w:rFonts w:hint="eastAsia" w:ascii="仿宋_GB2312" w:hAnsi="仿宋_GB2312" w:eastAsia="仿宋_GB2312" w:cs="仿宋_GB2312"/>
              <w:b/>
              <w:bCs/>
              <w:spacing w:val="0"/>
              <w:w w:val="100"/>
              <w:sz w:val="32"/>
              <w:szCs w:val="32"/>
              <w:highlight w:val="none"/>
            </w:rPr>
            <w:instrText xml:space="preserve"> HYPERLINK \l _Toc30640 </w:instrText>
          </w:r>
          <w:r>
            <w:rPr>
              <w:rFonts w:hint="eastAsia" w:ascii="仿宋_GB2312" w:hAnsi="仿宋_GB2312" w:eastAsia="仿宋_GB2312" w:cs="仿宋_GB2312"/>
              <w:b/>
              <w:bCs/>
              <w:spacing w:val="0"/>
              <w:w w:val="100"/>
              <w:sz w:val="32"/>
              <w:szCs w:val="32"/>
              <w:highlight w:val="none"/>
            </w:rPr>
            <w:fldChar w:fldCharType="separate"/>
          </w:r>
          <w:r>
            <w:rPr>
              <w:rFonts w:hint="eastAsia" w:ascii="仿宋_GB2312" w:hAnsi="仿宋_GB2312" w:eastAsia="仿宋_GB2312" w:cs="仿宋_GB2312"/>
              <w:b/>
              <w:bCs/>
              <w:spacing w:val="0"/>
              <w:w w:val="100"/>
              <w:sz w:val="32"/>
              <w:szCs w:val="32"/>
              <w:highlight w:val="none"/>
            </w:rPr>
            <w:t>第二章</w:t>
          </w:r>
          <w:r>
            <w:rPr>
              <w:rFonts w:hint="eastAsia" w:ascii="仿宋_GB2312" w:hAnsi="仿宋_GB2312" w:eastAsia="仿宋_GB2312" w:cs="仿宋_GB2312"/>
              <w:b/>
              <w:bCs/>
              <w:spacing w:val="0"/>
              <w:w w:val="100"/>
              <w:sz w:val="32"/>
              <w:szCs w:val="32"/>
              <w:highlight w:val="none"/>
              <w:lang w:val="en-US" w:eastAsia="zh-CN"/>
            </w:rPr>
            <w:t xml:space="preserve"> </w:t>
          </w:r>
          <w:r>
            <w:rPr>
              <w:rFonts w:hint="eastAsia" w:ascii="仿宋_GB2312" w:hAnsi="仿宋_GB2312" w:eastAsia="仿宋_GB2312" w:cs="仿宋_GB2312"/>
              <w:b/>
              <w:bCs/>
              <w:spacing w:val="0"/>
              <w:w w:val="100"/>
              <w:sz w:val="32"/>
              <w:szCs w:val="32"/>
              <w:highlight w:val="none"/>
              <w:lang w:eastAsia="zh-CN"/>
            </w:rPr>
            <w:t>张掖市</w:t>
          </w:r>
          <w:r>
            <w:rPr>
              <w:rFonts w:hint="eastAsia" w:ascii="仿宋_GB2312" w:hAnsi="仿宋_GB2312" w:eastAsia="仿宋_GB2312" w:cs="仿宋_GB2312"/>
              <w:b/>
              <w:bCs/>
              <w:spacing w:val="0"/>
              <w:w w:val="100"/>
              <w:sz w:val="32"/>
              <w:szCs w:val="32"/>
              <w:highlight w:val="none"/>
            </w:rPr>
            <w:t>公平竞争审查制度落实情况</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_Toc30640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12</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_Toc3052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第一节</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pacing w:val="0"/>
              <w:w w:val="100"/>
              <w:sz w:val="32"/>
              <w:szCs w:val="32"/>
              <w:highlight w:val="none"/>
            </w:rPr>
            <w:t>评估的整体情况</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_Toc3052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960" w:firstLineChars="3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_Toc23982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一、评估基本数据</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_Toc23982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960" w:firstLineChars="3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_Toc14770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二、前期摸排情况</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_Toc14770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960" w:firstLineChars="3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_Toc31673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三、规范性文件评估情况</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_Toc31673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960" w:firstLineChars="3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_Toc5532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四、评估面的效果分析</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_Toc5532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_Toc16765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第二节</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pacing w:val="0"/>
              <w:w w:val="100"/>
              <w:sz w:val="32"/>
              <w:szCs w:val="32"/>
              <w:highlight w:val="none"/>
            </w:rPr>
            <w:t>评估的个体情况</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_Toc16765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13</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spacing w:val="0"/>
              <w:w w:val="100"/>
              <w:sz w:val="32"/>
              <w:szCs w:val="32"/>
              <w:highlight w:val="none"/>
            </w:rPr>
            <w:fldChar w:fldCharType="begin"/>
          </w:r>
          <w:r>
            <w:rPr>
              <w:rFonts w:hint="eastAsia" w:ascii="仿宋_GB2312" w:hAnsi="仿宋_GB2312" w:eastAsia="仿宋_GB2312" w:cs="仿宋_GB2312"/>
              <w:b/>
              <w:bCs/>
              <w:spacing w:val="0"/>
              <w:w w:val="100"/>
              <w:sz w:val="32"/>
              <w:szCs w:val="32"/>
              <w:highlight w:val="none"/>
            </w:rPr>
            <w:instrText xml:space="preserve"> HYPERLINK \l _Toc23619 </w:instrText>
          </w:r>
          <w:r>
            <w:rPr>
              <w:rFonts w:hint="eastAsia" w:ascii="仿宋_GB2312" w:hAnsi="仿宋_GB2312" w:eastAsia="仿宋_GB2312" w:cs="仿宋_GB2312"/>
              <w:b/>
              <w:bCs/>
              <w:spacing w:val="0"/>
              <w:w w:val="100"/>
              <w:sz w:val="32"/>
              <w:szCs w:val="32"/>
              <w:highlight w:val="none"/>
            </w:rPr>
            <w:fldChar w:fldCharType="separate"/>
          </w:r>
          <w:r>
            <w:rPr>
              <w:rFonts w:hint="eastAsia" w:ascii="仿宋_GB2312" w:hAnsi="仿宋_GB2312" w:eastAsia="仿宋_GB2312" w:cs="仿宋_GB2312"/>
              <w:b/>
              <w:bCs/>
              <w:spacing w:val="0"/>
              <w:w w:val="100"/>
              <w:sz w:val="32"/>
              <w:szCs w:val="32"/>
              <w:highlight w:val="none"/>
            </w:rPr>
            <w:t>第三章</w:t>
          </w:r>
          <w:r>
            <w:rPr>
              <w:rFonts w:hint="eastAsia" w:ascii="仿宋_GB2312" w:hAnsi="仿宋_GB2312" w:eastAsia="仿宋_GB2312" w:cs="仿宋_GB2312"/>
              <w:b/>
              <w:bCs/>
              <w:spacing w:val="0"/>
              <w:w w:val="100"/>
              <w:sz w:val="32"/>
              <w:szCs w:val="32"/>
              <w:highlight w:val="none"/>
              <w:lang w:val="en-US" w:eastAsia="zh-CN"/>
            </w:rPr>
            <w:t xml:space="preserve">  </w:t>
          </w:r>
          <w:r>
            <w:rPr>
              <w:rFonts w:hint="eastAsia" w:ascii="仿宋_GB2312" w:hAnsi="仿宋_GB2312" w:eastAsia="仿宋_GB2312" w:cs="仿宋_GB2312"/>
              <w:b/>
              <w:bCs/>
              <w:spacing w:val="0"/>
              <w:w w:val="100"/>
              <w:sz w:val="32"/>
              <w:szCs w:val="32"/>
              <w:highlight w:val="none"/>
            </w:rPr>
            <w:t>评估发现的问题</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_Toc23619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18</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_Toc3215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第一节</w:t>
          </w:r>
          <w:r>
            <w:rPr>
              <w:rFonts w:hint="eastAsia" w:ascii="仿宋_GB2312" w:hAnsi="仿宋_GB2312" w:eastAsia="仿宋_GB2312" w:cs="仿宋_GB2312"/>
              <w:b w:val="0"/>
              <w:bCs w:val="0"/>
              <w:spacing w:val="0"/>
              <w:w w:val="100"/>
              <w:sz w:val="32"/>
              <w:szCs w:val="32"/>
              <w:highlight w:val="none"/>
              <w:lang w:val="en-US" w:eastAsia="zh-CN"/>
            </w:rPr>
            <w:t xml:space="preserve"> </w:t>
          </w:r>
          <w:r>
            <w:rPr>
              <w:rFonts w:hint="eastAsia" w:ascii="仿宋_GB2312" w:hAnsi="仿宋_GB2312" w:eastAsia="仿宋_GB2312" w:cs="仿宋_GB2312"/>
              <w:b w:val="0"/>
              <w:bCs w:val="0"/>
              <w:spacing w:val="0"/>
              <w:w w:val="100"/>
              <w:sz w:val="32"/>
              <w:szCs w:val="32"/>
              <w:highlight w:val="none"/>
            </w:rPr>
            <w:t>审查程序不够规范</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_Toc3215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18</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_Toc9190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第二节</w:t>
          </w:r>
          <w:r>
            <w:rPr>
              <w:rFonts w:hint="eastAsia" w:ascii="仿宋_GB2312" w:hAnsi="仿宋_GB2312" w:eastAsia="仿宋_GB2312" w:cs="仿宋_GB2312"/>
              <w:b w:val="0"/>
              <w:bCs w:val="0"/>
              <w:spacing w:val="0"/>
              <w:w w:val="100"/>
              <w:sz w:val="32"/>
              <w:szCs w:val="32"/>
              <w:highlight w:val="none"/>
              <w:lang w:val="en-US" w:eastAsia="zh-CN"/>
            </w:rPr>
            <w:t xml:space="preserve"> </w:t>
          </w:r>
          <w:r>
            <w:rPr>
              <w:rFonts w:hint="eastAsia" w:ascii="仿宋_GB2312" w:hAnsi="仿宋_GB2312" w:eastAsia="仿宋_GB2312" w:cs="仿宋_GB2312"/>
              <w:b w:val="0"/>
              <w:bCs w:val="0"/>
              <w:spacing w:val="0"/>
              <w:w w:val="100"/>
              <w:sz w:val="32"/>
              <w:szCs w:val="32"/>
              <w:highlight w:val="none"/>
            </w:rPr>
            <w:t>工作部署落实不及时</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_Toc9190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18</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_Toc21791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第三节</w:t>
          </w:r>
          <w:r>
            <w:rPr>
              <w:rFonts w:hint="eastAsia" w:ascii="仿宋_GB2312" w:hAnsi="仿宋_GB2312" w:eastAsia="仿宋_GB2312" w:cs="仿宋_GB2312"/>
              <w:b w:val="0"/>
              <w:bCs w:val="0"/>
              <w:spacing w:val="0"/>
              <w:w w:val="100"/>
              <w:sz w:val="32"/>
              <w:szCs w:val="32"/>
              <w:highlight w:val="none"/>
              <w:lang w:val="en-US" w:eastAsia="zh-CN"/>
            </w:rPr>
            <w:t xml:space="preserve"> </w:t>
          </w:r>
          <w:r>
            <w:rPr>
              <w:rFonts w:hint="eastAsia" w:ascii="仿宋_GB2312" w:hAnsi="仿宋_GB2312" w:eastAsia="仿宋_GB2312" w:cs="仿宋_GB2312"/>
              <w:b w:val="0"/>
              <w:bCs w:val="0"/>
              <w:spacing w:val="0"/>
              <w:w w:val="100"/>
              <w:sz w:val="32"/>
              <w:szCs w:val="32"/>
              <w:highlight w:val="none"/>
            </w:rPr>
            <w:t>政策措施违反公平竞争审查标准</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_Toc21791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19</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spacing w:val="0"/>
              <w:w w:val="100"/>
              <w:sz w:val="32"/>
              <w:szCs w:val="32"/>
              <w:highlight w:val="none"/>
            </w:rPr>
            <w:fldChar w:fldCharType="begin"/>
          </w:r>
          <w:r>
            <w:rPr>
              <w:rFonts w:hint="eastAsia" w:ascii="仿宋_GB2312" w:hAnsi="仿宋_GB2312" w:eastAsia="仿宋_GB2312" w:cs="仿宋_GB2312"/>
              <w:b/>
              <w:bCs/>
              <w:spacing w:val="0"/>
              <w:w w:val="100"/>
              <w:sz w:val="32"/>
              <w:szCs w:val="32"/>
              <w:highlight w:val="none"/>
            </w:rPr>
            <w:instrText xml:space="preserve"> HYPERLINK \l _Toc14791 </w:instrText>
          </w:r>
          <w:r>
            <w:rPr>
              <w:rFonts w:hint="eastAsia" w:ascii="仿宋_GB2312" w:hAnsi="仿宋_GB2312" w:eastAsia="仿宋_GB2312" w:cs="仿宋_GB2312"/>
              <w:b/>
              <w:bCs/>
              <w:spacing w:val="0"/>
              <w:w w:val="100"/>
              <w:sz w:val="32"/>
              <w:szCs w:val="32"/>
              <w:highlight w:val="none"/>
            </w:rPr>
            <w:fldChar w:fldCharType="separate"/>
          </w:r>
          <w:r>
            <w:rPr>
              <w:rFonts w:hint="eastAsia" w:ascii="仿宋_GB2312" w:hAnsi="仿宋_GB2312" w:eastAsia="仿宋_GB2312" w:cs="仿宋_GB2312"/>
              <w:b/>
              <w:bCs/>
              <w:spacing w:val="0"/>
              <w:w w:val="100"/>
              <w:kern w:val="44"/>
              <w:sz w:val="32"/>
              <w:szCs w:val="32"/>
              <w:highlight w:val="none"/>
              <w:lang w:val="en-US" w:eastAsia="zh-CN" w:bidi="ar-SA"/>
            </w:rPr>
            <w:t>第四章  评估结论</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_Toc14791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45</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_Toc28261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第一节</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pacing w:val="0"/>
              <w:w w:val="100"/>
              <w:sz w:val="32"/>
              <w:szCs w:val="32"/>
              <w:highlight w:val="none"/>
            </w:rPr>
            <w:t>评估</w:t>
          </w:r>
          <w:r>
            <w:rPr>
              <w:rFonts w:hint="eastAsia" w:ascii="仿宋_GB2312" w:hAnsi="仿宋_GB2312" w:eastAsia="仿宋_GB2312" w:cs="仿宋_GB2312"/>
              <w:b w:val="0"/>
              <w:bCs w:val="0"/>
              <w:spacing w:val="0"/>
              <w:w w:val="100"/>
              <w:sz w:val="32"/>
              <w:szCs w:val="32"/>
              <w:highlight w:val="none"/>
              <w:lang w:eastAsia="zh-CN"/>
            </w:rPr>
            <w:t>最终得分</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_Toc28261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45</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_Toc26671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lang w:eastAsia="zh-CN"/>
            </w:rPr>
            <w:t>第二节</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pacing w:val="0"/>
              <w:w w:val="100"/>
              <w:sz w:val="32"/>
              <w:szCs w:val="32"/>
              <w:highlight w:val="none"/>
              <w:lang w:eastAsia="zh-CN"/>
            </w:rPr>
            <w:t>工作部署落实情况</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_Toc26671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47</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58"/>
            <w:tabs>
              <w:tab w:val="right" w:leader="dot" w:pos="8845"/>
            </w:tabs>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_Toc15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一、项目评估</w:t>
          </w:r>
          <w:r>
            <w:rPr>
              <w:rFonts w:hint="eastAsia" w:ascii="仿宋_GB2312" w:hAnsi="仿宋_GB2312" w:eastAsia="仿宋_GB2312" w:cs="仿宋_GB2312"/>
              <w:b w:val="0"/>
              <w:bCs w:val="0"/>
              <w:spacing w:val="0"/>
              <w:w w:val="100"/>
              <w:sz w:val="32"/>
              <w:szCs w:val="32"/>
              <w:highlight w:val="none"/>
              <w:lang w:eastAsia="zh-CN"/>
            </w:rPr>
            <w:t>部门</w:t>
          </w:r>
          <w:r>
            <w:rPr>
              <w:rFonts w:hint="eastAsia" w:ascii="仿宋_GB2312" w:hAnsi="仿宋_GB2312" w:eastAsia="仿宋_GB2312" w:cs="仿宋_GB2312"/>
              <w:b w:val="0"/>
              <w:bCs w:val="0"/>
              <w:spacing w:val="0"/>
              <w:w w:val="100"/>
              <w:sz w:val="32"/>
              <w:szCs w:val="32"/>
              <w:highlight w:val="none"/>
            </w:rPr>
            <w:t>工作部署落实情况</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_Toc15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47</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58"/>
            <w:tabs>
              <w:tab w:val="right" w:leader="dot" w:pos="8845"/>
            </w:tabs>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_Toc1055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二、审查清理情况</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_Toc1055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56</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58"/>
            <w:tabs>
              <w:tab w:val="right" w:leader="dot" w:pos="8845"/>
            </w:tabs>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_Toc17041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三、整改落实情况</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_Toc17041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56</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spacing w:val="0"/>
              <w:w w:val="100"/>
              <w:sz w:val="32"/>
              <w:szCs w:val="32"/>
              <w:highlight w:val="none"/>
            </w:rPr>
            <w:fldChar w:fldCharType="begin"/>
          </w:r>
          <w:r>
            <w:rPr>
              <w:rFonts w:hint="eastAsia" w:ascii="仿宋_GB2312" w:hAnsi="仿宋_GB2312" w:eastAsia="仿宋_GB2312" w:cs="仿宋_GB2312"/>
              <w:b/>
              <w:bCs/>
              <w:spacing w:val="0"/>
              <w:w w:val="100"/>
              <w:sz w:val="32"/>
              <w:szCs w:val="32"/>
              <w:highlight w:val="none"/>
            </w:rPr>
            <w:instrText xml:space="preserve"> HYPERLINK \l _Toc24138 </w:instrText>
          </w:r>
          <w:r>
            <w:rPr>
              <w:rFonts w:hint="eastAsia" w:ascii="仿宋_GB2312" w:hAnsi="仿宋_GB2312" w:eastAsia="仿宋_GB2312" w:cs="仿宋_GB2312"/>
              <w:b/>
              <w:bCs/>
              <w:spacing w:val="0"/>
              <w:w w:val="100"/>
              <w:sz w:val="32"/>
              <w:szCs w:val="32"/>
              <w:highlight w:val="none"/>
            </w:rPr>
            <w:fldChar w:fldCharType="separate"/>
          </w:r>
          <w:r>
            <w:rPr>
              <w:rFonts w:hint="eastAsia" w:ascii="仿宋_GB2312" w:hAnsi="仿宋_GB2312" w:eastAsia="仿宋_GB2312" w:cs="仿宋_GB2312"/>
              <w:b/>
              <w:bCs/>
              <w:spacing w:val="0"/>
              <w:w w:val="100"/>
              <w:kern w:val="44"/>
              <w:sz w:val="32"/>
              <w:szCs w:val="32"/>
              <w:highlight w:val="none"/>
              <w:lang w:val="en-US" w:eastAsia="zh-CN" w:bidi="ar-SA"/>
            </w:rPr>
            <w:t>第五章  整改及工作建议</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_Toc24138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57</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_Toc8488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第一节</w:t>
          </w:r>
          <w:r>
            <w:rPr>
              <w:rFonts w:hint="eastAsia" w:ascii="仿宋_GB2312" w:hAnsi="仿宋_GB2312" w:eastAsia="仿宋_GB2312" w:cs="仿宋_GB2312"/>
              <w:b w:val="0"/>
              <w:bCs w:val="0"/>
              <w:spacing w:val="0"/>
              <w:w w:val="100"/>
              <w:sz w:val="32"/>
              <w:szCs w:val="32"/>
              <w:highlight w:val="none"/>
              <w:lang w:val="en-US" w:eastAsia="zh-CN"/>
            </w:rPr>
            <w:t xml:space="preserve"> </w:t>
          </w:r>
          <w:r>
            <w:rPr>
              <w:rFonts w:hint="eastAsia" w:ascii="仿宋_GB2312" w:hAnsi="仿宋_GB2312" w:eastAsia="仿宋_GB2312" w:cs="仿宋_GB2312"/>
              <w:b w:val="0"/>
              <w:bCs w:val="0"/>
              <w:spacing w:val="0"/>
              <w:w w:val="100"/>
              <w:sz w:val="32"/>
              <w:szCs w:val="32"/>
              <w:highlight w:val="none"/>
            </w:rPr>
            <w:t>强化公平竞争审查意识</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_Toc8488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57</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_Toc1250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第二节</w:t>
          </w:r>
          <w:r>
            <w:rPr>
              <w:rFonts w:hint="eastAsia" w:ascii="仿宋_GB2312" w:hAnsi="仿宋_GB2312" w:eastAsia="仿宋_GB2312" w:cs="仿宋_GB2312"/>
              <w:b w:val="0"/>
              <w:bCs w:val="0"/>
              <w:spacing w:val="0"/>
              <w:w w:val="100"/>
              <w:sz w:val="32"/>
              <w:szCs w:val="32"/>
              <w:highlight w:val="none"/>
              <w:lang w:val="en-US" w:eastAsia="zh-CN"/>
            </w:rPr>
            <w:t xml:space="preserve"> </w:t>
          </w:r>
          <w:r>
            <w:rPr>
              <w:rFonts w:hint="eastAsia" w:ascii="仿宋_GB2312" w:hAnsi="仿宋_GB2312" w:eastAsia="仿宋_GB2312" w:cs="仿宋_GB2312"/>
              <w:b w:val="0"/>
              <w:bCs w:val="0"/>
              <w:spacing w:val="0"/>
              <w:w w:val="100"/>
              <w:sz w:val="32"/>
              <w:szCs w:val="32"/>
              <w:highlight w:val="none"/>
            </w:rPr>
            <w:t>完善公平竞争审查制度</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_Toc1250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57</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_Toc18787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第三节</w:t>
          </w:r>
          <w:r>
            <w:rPr>
              <w:rFonts w:hint="eastAsia" w:ascii="仿宋_GB2312" w:hAnsi="仿宋_GB2312" w:eastAsia="仿宋_GB2312" w:cs="仿宋_GB2312"/>
              <w:b w:val="0"/>
              <w:bCs w:val="0"/>
              <w:spacing w:val="0"/>
              <w:w w:val="100"/>
              <w:sz w:val="32"/>
              <w:szCs w:val="32"/>
              <w:highlight w:val="none"/>
              <w:lang w:val="en-US" w:eastAsia="zh-CN"/>
            </w:rPr>
            <w:t xml:space="preserve"> </w:t>
          </w:r>
          <w:r>
            <w:rPr>
              <w:rFonts w:hint="eastAsia" w:ascii="仿宋_GB2312" w:hAnsi="仿宋_GB2312" w:eastAsia="仿宋_GB2312" w:cs="仿宋_GB2312"/>
              <w:b w:val="0"/>
              <w:bCs w:val="0"/>
              <w:spacing w:val="0"/>
              <w:w w:val="100"/>
              <w:sz w:val="32"/>
              <w:szCs w:val="32"/>
              <w:highlight w:val="none"/>
            </w:rPr>
            <w:t>规范公平竞争审查实施程序</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_Toc18787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58</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_Toc3777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第四节</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pacing w:val="0"/>
              <w:w w:val="100"/>
              <w:sz w:val="32"/>
              <w:szCs w:val="32"/>
              <w:highlight w:val="none"/>
            </w:rPr>
            <w:t>提高公平竞争审查能力</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_Toc3777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59</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_Toc8244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第五节</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pacing w:val="0"/>
              <w:w w:val="100"/>
              <w:sz w:val="32"/>
              <w:szCs w:val="32"/>
              <w:highlight w:val="none"/>
            </w:rPr>
            <w:t>健全公平竞争审查保障机制</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_Toc8244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60</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spacing w:val="0"/>
              <w:w w:val="100"/>
              <w:sz w:val="32"/>
              <w:szCs w:val="32"/>
              <w:highlight w:val="none"/>
            </w:rPr>
            <w:fldChar w:fldCharType="begin"/>
          </w:r>
          <w:r>
            <w:rPr>
              <w:rFonts w:hint="eastAsia" w:ascii="仿宋_GB2312" w:hAnsi="仿宋_GB2312" w:eastAsia="仿宋_GB2312" w:cs="仿宋_GB2312"/>
              <w:b/>
              <w:bCs/>
              <w:spacing w:val="0"/>
              <w:w w:val="100"/>
              <w:sz w:val="32"/>
              <w:szCs w:val="32"/>
              <w:highlight w:val="none"/>
            </w:rPr>
            <w:instrText xml:space="preserve"> HYPERLINK \l _Toc14500 </w:instrText>
          </w:r>
          <w:r>
            <w:rPr>
              <w:rFonts w:hint="eastAsia" w:ascii="仿宋_GB2312" w:hAnsi="仿宋_GB2312" w:eastAsia="仿宋_GB2312" w:cs="仿宋_GB2312"/>
              <w:b/>
              <w:bCs/>
              <w:spacing w:val="0"/>
              <w:w w:val="100"/>
              <w:sz w:val="32"/>
              <w:szCs w:val="32"/>
              <w:highlight w:val="none"/>
            </w:rPr>
            <w:fldChar w:fldCharType="separate"/>
          </w:r>
          <w:r>
            <w:rPr>
              <w:rFonts w:hint="eastAsia" w:ascii="仿宋_GB2312" w:hAnsi="仿宋_GB2312" w:eastAsia="仿宋_GB2312" w:cs="仿宋_GB2312"/>
              <w:b/>
              <w:bCs/>
              <w:spacing w:val="0"/>
              <w:w w:val="100"/>
              <w:kern w:val="44"/>
              <w:sz w:val="32"/>
              <w:szCs w:val="32"/>
              <w:highlight w:val="none"/>
              <w:lang w:val="en-US" w:eastAsia="zh-CN" w:bidi="ar-SA"/>
            </w:rPr>
            <w:t>第六章 评估工作经验总结</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_Toc14500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60</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_Toc29870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第一节</w:t>
          </w:r>
          <w:r>
            <w:rPr>
              <w:rFonts w:hint="eastAsia" w:ascii="仿宋_GB2312" w:hAnsi="仿宋_GB2312" w:eastAsia="仿宋_GB2312" w:cs="仿宋_GB2312"/>
              <w:b w:val="0"/>
              <w:bCs w:val="0"/>
              <w:spacing w:val="0"/>
              <w:w w:val="100"/>
              <w:sz w:val="32"/>
              <w:szCs w:val="32"/>
              <w:highlight w:val="none"/>
              <w:lang w:val="en-US" w:eastAsia="zh-CN"/>
            </w:rPr>
            <w:t xml:space="preserve"> </w:t>
          </w:r>
          <w:r>
            <w:rPr>
              <w:rFonts w:hint="eastAsia" w:ascii="仿宋_GB2312" w:hAnsi="仿宋_GB2312" w:eastAsia="仿宋_GB2312" w:cs="仿宋_GB2312"/>
              <w:b w:val="0"/>
              <w:bCs w:val="0"/>
              <w:spacing w:val="0"/>
              <w:w w:val="100"/>
              <w:sz w:val="32"/>
              <w:szCs w:val="32"/>
              <w:highlight w:val="none"/>
            </w:rPr>
            <w:t>切实提高对公平竞争审查工作的重视程度</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_Toc29870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61</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_Toc11633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第二节</w:t>
          </w:r>
          <w:r>
            <w:rPr>
              <w:rFonts w:hint="eastAsia" w:ascii="仿宋_GB2312" w:hAnsi="仿宋_GB2312" w:eastAsia="仿宋_GB2312" w:cs="仿宋_GB2312"/>
              <w:b w:val="0"/>
              <w:bCs w:val="0"/>
              <w:spacing w:val="0"/>
              <w:w w:val="100"/>
              <w:sz w:val="32"/>
              <w:szCs w:val="32"/>
              <w:highlight w:val="none"/>
              <w:lang w:val="en-US" w:eastAsia="zh-CN"/>
            </w:rPr>
            <w:t xml:space="preserve"> </w:t>
          </w:r>
          <w:r>
            <w:rPr>
              <w:rFonts w:hint="eastAsia" w:ascii="仿宋_GB2312" w:hAnsi="仿宋_GB2312" w:eastAsia="仿宋_GB2312" w:cs="仿宋_GB2312"/>
              <w:b w:val="0"/>
              <w:bCs w:val="0"/>
              <w:spacing w:val="0"/>
              <w:w w:val="100"/>
              <w:sz w:val="32"/>
              <w:szCs w:val="32"/>
              <w:highlight w:val="none"/>
            </w:rPr>
            <w:t>发挥好办公室核稿把关工作的托底作用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_Toc11633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62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41"/>
            <w:tabs>
              <w:tab w:val="right" w:leader="dot" w:pos="8845"/>
            </w:tabs>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w w:val="100"/>
              <w:sz w:val="32"/>
              <w:szCs w:val="32"/>
              <w:highlight w:val="none"/>
            </w:rPr>
            <w:fldChar w:fldCharType="begin"/>
          </w:r>
          <w:r>
            <w:rPr>
              <w:rFonts w:hint="eastAsia" w:ascii="仿宋_GB2312" w:hAnsi="仿宋_GB2312" w:eastAsia="仿宋_GB2312" w:cs="仿宋_GB2312"/>
              <w:b w:val="0"/>
              <w:bCs w:val="0"/>
              <w:spacing w:val="0"/>
              <w:w w:val="100"/>
              <w:sz w:val="32"/>
              <w:szCs w:val="32"/>
              <w:highlight w:val="none"/>
            </w:rPr>
            <w:instrText xml:space="preserve"> HYPERLINK \l _Toc1462 </w:instrText>
          </w:r>
          <w:r>
            <w:rPr>
              <w:rFonts w:hint="eastAsia" w:ascii="仿宋_GB2312" w:hAnsi="仿宋_GB2312" w:eastAsia="仿宋_GB2312" w:cs="仿宋_GB2312"/>
              <w:b w:val="0"/>
              <w:bCs w:val="0"/>
              <w:spacing w:val="0"/>
              <w:w w:val="100"/>
              <w:sz w:val="32"/>
              <w:szCs w:val="32"/>
              <w:highlight w:val="none"/>
            </w:rPr>
            <w:fldChar w:fldCharType="separate"/>
          </w:r>
          <w:r>
            <w:rPr>
              <w:rFonts w:hint="eastAsia" w:ascii="仿宋_GB2312" w:hAnsi="仿宋_GB2312" w:eastAsia="仿宋_GB2312" w:cs="仿宋_GB2312"/>
              <w:b w:val="0"/>
              <w:bCs w:val="0"/>
              <w:spacing w:val="0"/>
              <w:w w:val="100"/>
              <w:sz w:val="32"/>
              <w:szCs w:val="32"/>
              <w:highlight w:val="none"/>
            </w:rPr>
            <w:t>第三节</w:t>
          </w:r>
          <w:r>
            <w:rPr>
              <w:rFonts w:hint="eastAsia" w:ascii="仿宋_GB2312" w:hAnsi="仿宋_GB2312" w:eastAsia="仿宋_GB2312" w:cs="仿宋_GB2312"/>
              <w:b w:val="0"/>
              <w:bCs w:val="0"/>
              <w:spacing w:val="0"/>
              <w:w w:val="100"/>
              <w:sz w:val="32"/>
              <w:szCs w:val="32"/>
              <w:highlight w:val="none"/>
              <w:lang w:val="en-US" w:eastAsia="zh-CN"/>
            </w:rPr>
            <w:t xml:space="preserve"> </w:t>
          </w:r>
          <w:r>
            <w:rPr>
              <w:rFonts w:hint="eastAsia" w:ascii="仿宋_GB2312" w:hAnsi="仿宋_GB2312" w:eastAsia="仿宋_GB2312" w:cs="仿宋_GB2312"/>
              <w:b w:val="0"/>
              <w:bCs w:val="0"/>
              <w:spacing w:val="0"/>
              <w:w w:val="100"/>
              <w:sz w:val="32"/>
              <w:szCs w:val="32"/>
              <w:highlight w:val="none"/>
            </w:rPr>
            <w:t>年底对增量文件公平竞争审查工作进行统一清查</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_Toc1462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63</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w w:val="100"/>
              <w:sz w:val="32"/>
              <w:szCs w:val="32"/>
              <w:highlight w:val="none"/>
            </w:rPr>
            <w:fldChar w:fldCharType="end"/>
          </w:r>
        </w:p>
        <w:p>
          <w:pPr>
            <w:pStyle w:val="3"/>
            <w:keepNext w:val="0"/>
            <w:keepLines w:val="0"/>
            <w:pageBreakBefore w:val="0"/>
            <w:widowControl w:val="0"/>
            <w:kinsoku/>
            <w:wordWrap/>
            <w:overflowPunct/>
            <w:topLinePunct/>
            <w:autoSpaceDE/>
            <w:autoSpaceDN/>
            <w:bidi w:val="0"/>
            <w:adjustRightInd w:val="0"/>
            <w:snapToGrid w:val="0"/>
            <w:spacing w:before="0" w:beforeAutospacing="0" w:after="313" w:afterLines="100" w:line="540" w:lineRule="exact"/>
            <w:ind w:left="0" w:leftChars="0" w:right="0" w:firstLine="0" w:firstLineChars="0"/>
            <w:jc w:val="center"/>
            <w:textAlignment w:val="auto"/>
            <w:outlineLvl w:val="9"/>
            <w:rPr>
              <w:rFonts w:hint="eastAsia" w:ascii="方正小标宋简体" w:hAnsi="方正小标宋简体" w:eastAsia="方正小标宋简体" w:cs="方正小标宋简体"/>
              <w:b w:val="0"/>
              <w:bCs w:val="0"/>
              <w:color w:val="auto"/>
              <w:spacing w:val="0"/>
              <w:w w:val="100"/>
              <w:sz w:val="36"/>
              <w:szCs w:val="36"/>
              <w:highlight w:val="none"/>
            </w:rPr>
          </w:pPr>
          <w:r>
            <w:rPr>
              <w:rFonts w:hint="eastAsia" w:ascii="仿宋_GB2312" w:hAnsi="仿宋_GB2312" w:eastAsia="仿宋_GB2312" w:cs="仿宋_GB2312"/>
              <w:b w:val="0"/>
              <w:bCs w:val="0"/>
              <w:color w:val="auto"/>
              <w:spacing w:val="0"/>
              <w:w w:val="100"/>
              <w:sz w:val="32"/>
              <w:szCs w:val="32"/>
              <w:highlight w:val="none"/>
            </w:rPr>
            <w:fldChar w:fldCharType="end"/>
          </w:r>
        </w:p>
      </w:sdtContent>
    </w:sdt>
    <w:p>
      <w:pPr>
        <w:pStyle w:val="3"/>
        <w:keepNext w:val="0"/>
        <w:keepLines w:val="0"/>
        <w:pageBreakBefore w:val="0"/>
        <w:widowControl w:val="0"/>
        <w:kinsoku/>
        <w:wordWrap/>
        <w:overflowPunct/>
        <w:topLinePunct/>
        <w:autoSpaceDE/>
        <w:autoSpaceDN/>
        <w:bidi w:val="0"/>
        <w:adjustRightInd w:val="0"/>
        <w:snapToGrid w:val="0"/>
        <w:spacing w:before="0" w:beforeAutospacing="0" w:after="313" w:afterLines="100" w:line="540" w:lineRule="exact"/>
        <w:ind w:left="0" w:leftChars="0" w:right="0" w:firstLine="0" w:firstLineChars="0"/>
        <w:jc w:val="center"/>
        <w:textAlignment w:val="auto"/>
        <w:rPr>
          <w:rFonts w:hint="eastAsia" w:ascii="方正小标宋简体" w:hAnsi="方正小标宋简体" w:eastAsia="方正小标宋简体" w:cs="方正小标宋简体"/>
          <w:b w:val="0"/>
          <w:bCs w:val="0"/>
          <w:color w:val="auto"/>
          <w:spacing w:val="0"/>
          <w:w w:val="100"/>
          <w:sz w:val="36"/>
          <w:szCs w:val="36"/>
          <w:highlight w:val="none"/>
        </w:rPr>
      </w:pPr>
      <w:bookmarkStart w:id="8" w:name="_Toc23264"/>
    </w:p>
    <w:p>
      <w:pPr>
        <w:pStyle w:val="3"/>
        <w:keepNext w:val="0"/>
        <w:keepLines w:val="0"/>
        <w:pageBreakBefore w:val="0"/>
        <w:widowControl w:val="0"/>
        <w:kinsoku/>
        <w:wordWrap/>
        <w:overflowPunct/>
        <w:topLinePunct/>
        <w:autoSpaceDE/>
        <w:autoSpaceDN/>
        <w:bidi w:val="0"/>
        <w:adjustRightInd w:val="0"/>
        <w:snapToGrid w:val="0"/>
        <w:spacing w:before="0" w:beforeAutospacing="0" w:after="313" w:afterLines="100" w:line="540" w:lineRule="exact"/>
        <w:ind w:left="0" w:leftChars="0" w:right="0" w:firstLine="0" w:firstLineChars="0"/>
        <w:jc w:val="center"/>
        <w:textAlignment w:val="auto"/>
        <w:rPr>
          <w:rFonts w:hint="eastAsia" w:ascii="方正小标宋简体" w:hAnsi="方正小标宋简体" w:eastAsia="方正小标宋简体" w:cs="方正小标宋简体"/>
          <w:b w:val="0"/>
          <w:bCs w:val="0"/>
          <w:color w:val="auto"/>
          <w:spacing w:val="0"/>
          <w:w w:val="100"/>
          <w:sz w:val="36"/>
          <w:szCs w:val="36"/>
          <w:highlight w:val="none"/>
        </w:rPr>
      </w:pPr>
    </w:p>
    <w:p>
      <w:pPr>
        <w:pStyle w:val="3"/>
        <w:keepNext w:val="0"/>
        <w:keepLines w:val="0"/>
        <w:pageBreakBefore w:val="0"/>
        <w:widowControl w:val="0"/>
        <w:kinsoku/>
        <w:wordWrap/>
        <w:overflowPunct/>
        <w:topLinePunct/>
        <w:autoSpaceDE/>
        <w:autoSpaceDN/>
        <w:bidi w:val="0"/>
        <w:adjustRightInd w:val="0"/>
        <w:snapToGrid w:val="0"/>
        <w:spacing w:before="0" w:beforeAutospacing="0" w:after="313" w:afterLines="100" w:line="540" w:lineRule="exact"/>
        <w:ind w:left="0" w:leftChars="0" w:right="0" w:firstLine="0" w:firstLineChars="0"/>
        <w:jc w:val="center"/>
        <w:textAlignment w:val="auto"/>
        <w:rPr>
          <w:rFonts w:hint="eastAsia" w:ascii="方正小标宋简体" w:hAnsi="方正小标宋简体" w:eastAsia="方正小标宋简体" w:cs="方正小标宋简体"/>
          <w:b w:val="0"/>
          <w:bCs w:val="0"/>
          <w:color w:val="auto"/>
          <w:spacing w:val="0"/>
          <w:w w:val="100"/>
          <w:sz w:val="36"/>
          <w:szCs w:val="36"/>
          <w:highlight w:val="none"/>
        </w:rPr>
      </w:pPr>
      <w:bookmarkStart w:id="120" w:name="_GoBack"/>
      <w:bookmarkEnd w:id="120"/>
    </w:p>
    <w:p>
      <w:pPr>
        <w:pStyle w:val="3"/>
        <w:keepNext w:val="0"/>
        <w:keepLines w:val="0"/>
        <w:pageBreakBefore w:val="0"/>
        <w:widowControl w:val="0"/>
        <w:kinsoku/>
        <w:wordWrap/>
        <w:overflowPunct/>
        <w:topLinePunct/>
        <w:autoSpaceDE/>
        <w:autoSpaceDN/>
        <w:bidi w:val="0"/>
        <w:adjustRightInd w:val="0"/>
        <w:snapToGrid w:val="0"/>
        <w:spacing w:before="0" w:beforeAutospacing="0" w:after="313" w:afterLines="100" w:line="540" w:lineRule="exact"/>
        <w:ind w:left="0" w:leftChars="0" w:right="0" w:firstLine="0" w:firstLineChars="0"/>
        <w:jc w:val="center"/>
        <w:textAlignment w:val="auto"/>
        <w:rPr>
          <w:rFonts w:hint="eastAsia" w:ascii="方正小标宋简体" w:hAnsi="方正小标宋简体" w:eastAsia="方正小标宋简体" w:cs="方正小标宋简体"/>
          <w:b w:val="0"/>
          <w:bCs w:val="0"/>
          <w:color w:val="auto"/>
          <w:spacing w:val="0"/>
          <w:w w:val="100"/>
          <w:sz w:val="36"/>
          <w:szCs w:val="36"/>
          <w:highlight w:val="none"/>
        </w:rPr>
      </w:pPr>
    </w:p>
    <w:p>
      <w:pPr>
        <w:pStyle w:val="3"/>
        <w:keepNext w:val="0"/>
        <w:keepLines w:val="0"/>
        <w:pageBreakBefore w:val="0"/>
        <w:widowControl w:val="0"/>
        <w:kinsoku/>
        <w:wordWrap/>
        <w:overflowPunct/>
        <w:topLinePunct/>
        <w:autoSpaceDE/>
        <w:autoSpaceDN/>
        <w:bidi w:val="0"/>
        <w:adjustRightInd w:val="0"/>
        <w:snapToGrid w:val="0"/>
        <w:spacing w:before="0" w:beforeAutospacing="0" w:after="313" w:afterLines="100" w:line="540" w:lineRule="exact"/>
        <w:ind w:left="0" w:leftChars="0" w:right="0" w:firstLine="0" w:firstLineChars="0"/>
        <w:jc w:val="center"/>
        <w:textAlignment w:val="auto"/>
        <w:rPr>
          <w:rFonts w:hint="eastAsia" w:ascii="方正小标宋简体" w:hAnsi="方正小标宋简体" w:eastAsia="方正小标宋简体" w:cs="方正小标宋简体"/>
          <w:b w:val="0"/>
          <w:bCs w:val="0"/>
          <w:color w:val="auto"/>
          <w:spacing w:val="0"/>
          <w:w w:val="100"/>
          <w:sz w:val="36"/>
          <w:szCs w:val="36"/>
          <w:highlight w:val="none"/>
        </w:rPr>
        <w:sectPr>
          <w:footerReference r:id="rId5" w:type="default"/>
          <w:pgSz w:w="11906" w:h="16838"/>
          <w:pgMar w:top="2098" w:right="1474" w:bottom="1984" w:left="1587"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pPr>
        <w:pStyle w:val="3"/>
        <w:keepNext w:val="0"/>
        <w:keepLines w:val="0"/>
        <w:pageBreakBefore w:val="0"/>
        <w:widowControl w:val="0"/>
        <w:kinsoku/>
        <w:wordWrap/>
        <w:overflowPunct/>
        <w:topLinePunct/>
        <w:autoSpaceDE/>
        <w:autoSpaceDN/>
        <w:bidi w:val="0"/>
        <w:adjustRightInd w:val="0"/>
        <w:snapToGrid w:val="0"/>
        <w:spacing w:before="0" w:beforeAutospacing="0" w:after="313" w:afterLines="100" w:line="540" w:lineRule="exact"/>
        <w:ind w:left="0" w:leftChars="0" w:right="0" w:firstLine="0" w:firstLineChars="0"/>
        <w:jc w:val="center"/>
        <w:textAlignment w:val="auto"/>
        <w:rPr>
          <w:rFonts w:hint="eastAsia" w:ascii="方正小标宋简体" w:hAnsi="方正小标宋简体" w:eastAsia="方正小标宋简体" w:cs="方正小标宋简体"/>
          <w:b w:val="0"/>
          <w:bCs w:val="0"/>
          <w:color w:val="auto"/>
          <w:spacing w:val="0"/>
          <w:w w:val="100"/>
          <w:sz w:val="36"/>
          <w:szCs w:val="36"/>
          <w:highlight w:val="none"/>
        </w:rPr>
      </w:pPr>
      <w:r>
        <w:rPr>
          <w:rFonts w:hint="eastAsia" w:ascii="方正小标宋简体" w:hAnsi="方正小标宋简体" w:eastAsia="方正小标宋简体" w:cs="方正小标宋简体"/>
          <w:b w:val="0"/>
          <w:bCs w:val="0"/>
          <w:color w:val="auto"/>
          <w:spacing w:val="0"/>
          <w:w w:val="100"/>
          <w:sz w:val="36"/>
          <w:szCs w:val="36"/>
          <w:highlight w:val="none"/>
        </w:rPr>
        <w:t>前</w:t>
      </w:r>
      <w:r>
        <w:rPr>
          <w:rFonts w:hint="eastAsia" w:ascii="方正小标宋简体" w:hAnsi="方正小标宋简体" w:eastAsia="方正小标宋简体" w:cs="方正小标宋简体"/>
          <w:b w:val="0"/>
          <w:bCs w:val="0"/>
          <w:color w:val="auto"/>
          <w:spacing w:val="0"/>
          <w:w w:val="100"/>
          <w:sz w:val="36"/>
          <w:szCs w:val="36"/>
          <w:highlight w:val="none"/>
          <w:lang w:val="en-US" w:eastAsia="zh-CN"/>
        </w:rPr>
        <w:t xml:space="preserve">     </w:t>
      </w:r>
      <w:r>
        <w:rPr>
          <w:rFonts w:hint="eastAsia" w:ascii="方正小标宋简体" w:hAnsi="方正小标宋简体" w:eastAsia="方正小标宋简体" w:cs="方正小标宋简体"/>
          <w:b w:val="0"/>
          <w:bCs w:val="0"/>
          <w:color w:val="auto"/>
          <w:spacing w:val="0"/>
          <w:w w:val="100"/>
          <w:sz w:val="36"/>
          <w:szCs w:val="36"/>
          <w:highlight w:val="none"/>
        </w:rPr>
        <w:t>言</w:t>
      </w:r>
      <w:bookmarkEnd w:id="7"/>
      <w:bookmarkEnd w:id="8"/>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pPr>
      <w:r>
        <w:rPr>
          <w:rFonts w:hint="eastAsia" w:ascii="仿宋_GB2312" w:hAnsi="仿宋_GB2312" w:eastAsia="仿宋_GB2312" w:cs="仿宋_GB2312"/>
          <w:b w:val="0"/>
          <w:bCs w:val="0"/>
          <w:color w:val="auto"/>
          <w:spacing w:val="0"/>
          <w:w w:val="100"/>
          <w:sz w:val="32"/>
          <w:szCs w:val="32"/>
          <w:highlight w:val="none"/>
          <w:lang w:val="zh-CN" w:eastAsia="zh-CN"/>
        </w:rPr>
        <w:t>本评估报告为张掖市公平竞争审查工作部门联席会议办公室202</w:t>
      </w:r>
      <w:r>
        <w:rPr>
          <w:rFonts w:hint="eastAsia" w:ascii="仿宋_GB2312" w:hAnsi="仿宋_GB2312" w:eastAsia="仿宋_GB2312" w:cs="仿宋_GB2312"/>
          <w:b w:val="0"/>
          <w:bCs w:val="0"/>
          <w:color w:val="auto"/>
          <w:spacing w:val="0"/>
          <w:w w:val="100"/>
          <w:sz w:val="32"/>
          <w:szCs w:val="32"/>
          <w:highlight w:val="none"/>
          <w:lang w:val="en-US" w:eastAsia="zh-CN"/>
        </w:rPr>
        <w:t>2</w:t>
      </w:r>
      <w:r>
        <w:rPr>
          <w:rFonts w:hint="eastAsia" w:ascii="仿宋_GB2312" w:hAnsi="仿宋_GB2312" w:eastAsia="仿宋_GB2312" w:cs="仿宋_GB2312"/>
          <w:b w:val="0"/>
          <w:bCs w:val="0"/>
          <w:color w:val="auto"/>
          <w:spacing w:val="0"/>
          <w:w w:val="100"/>
          <w:sz w:val="32"/>
          <w:szCs w:val="32"/>
          <w:highlight w:val="none"/>
          <w:lang w:val="zh-CN" w:eastAsia="zh-CN"/>
        </w:rPr>
        <w:t>年公平竞争审查第三方评估项目的最终报告。</w:t>
      </w:r>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CN" w:eastAsia="zh-CN"/>
        </w:rPr>
      </w:pPr>
      <w:r>
        <w:rPr>
          <w:rFonts w:hint="eastAsia" w:ascii="仿宋_GB2312" w:hAnsi="仿宋_GB2312" w:eastAsia="仿宋_GB2312" w:cs="仿宋_GB2312"/>
          <w:b w:val="0"/>
          <w:bCs w:val="0"/>
          <w:color w:val="auto"/>
          <w:spacing w:val="0"/>
          <w:w w:val="100"/>
          <w:sz w:val="32"/>
          <w:szCs w:val="32"/>
          <w:highlight w:val="none"/>
          <w:lang w:val="zh-CN" w:eastAsia="zh-CN"/>
        </w:rPr>
        <w:t>本评估旨在通过实地调研访谈、与社会人士座谈、提交材料评估、法律规范分析、召开专家研讨会等方式，对当前张掖市公平竞争审查制度落实情况进行系统梳理与全面评价，挖掘和归纳张掖市在落实和推进公平竞争审查制度过程中可以复制、推广的好的经验做法，并就可能存在的问题展开分析并提出完善对策，以期助力张掖市更高质量、更大力度推进公平竞争审查工作，强化公平竞争审查制度刚性约束，不断提高审查质量和效果，防止出台排除、限制竞争的政策措施，维护统一市场和公平竞争，打造市场化、法治化和国际化的营商环境，实现经济高质量发展。</w:t>
      </w:r>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zh-CN" w:eastAsia="zh-CN"/>
        </w:rPr>
        <w:t>公平竞争是市场经济的基本原则，是市场机制高效运行的重要基础。公平竞争审查制度的建立及实施，有助于规范政府相关行为，防止出台排除限制市场竞争的政策措施。当前，随着全面深化改革战略的持续推进，全国统一市场的基本形成，公平竞争环境逐步提升。</w:t>
      </w:r>
      <w:r>
        <w:rPr>
          <w:rFonts w:hint="eastAsia" w:ascii="仿宋_GB2312" w:hAnsi="仿宋_GB2312" w:eastAsia="仿宋_GB2312" w:cs="仿宋_GB2312"/>
          <w:b w:val="0"/>
          <w:bCs w:val="0"/>
          <w:snapToGrid w:val="0"/>
          <w:color w:val="auto"/>
          <w:spacing w:val="0"/>
          <w:w w:val="100"/>
          <w:sz w:val="32"/>
          <w:szCs w:val="32"/>
          <w:highlight w:val="none"/>
          <w:lang w:val="zh-CN" w:eastAsia="zh-CN"/>
        </w:rPr>
        <w:t>但同时也要看到，地</w:t>
      </w:r>
      <w:r>
        <w:rPr>
          <w:rFonts w:hint="eastAsia" w:ascii="仿宋_GB2312" w:hAnsi="仿宋_GB2312" w:eastAsia="仿宋_GB2312" w:cs="仿宋_GB2312"/>
          <w:b w:val="0"/>
          <w:bCs w:val="0"/>
          <w:color w:val="auto"/>
          <w:spacing w:val="0"/>
          <w:w w:val="100"/>
          <w:sz w:val="32"/>
          <w:szCs w:val="32"/>
          <w:highlight w:val="none"/>
          <w:lang w:val="zh-CN" w:eastAsia="zh-CN"/>
        </w:rPr>
        <w:t>方保护、行业壁垒等不符合建设全国统一市场和公平竞争的现象仍然存在。为规范政府有关行为，防止出台排除、限制竞争的政策措施，逐步清理废除妨碍全国统一市场和公平竞争的规定和做法，国务院印发了《关于在市场体系建设中建立公平竞争审查制度的意见》（国发〔2016〕34号）（下文简称《意见》），部署建立公平竞争审查制度。</w:t>
      </w:r>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CN" w:eastAsia="zh-CN"/>
        </w:rPr>
      </w:pPr>
      <w:r>
        <w:rPr>
          <w:rFonts w:hint="eastAsia" w:ascii="仿宋_GB2312" w:hAnsi="仿宋_GB2312" w:eastAsia="仿宋_GB2312" w:cs="仿宋_GB2312"/>
          <w:b w:val="0"/>
          <w:bCs w:val="0"/>
          <w:color w:val="auto"/>
          <w:spacing w:val="0"/>
          <w:w w:val="100"/>
          <w:sz w:val="32"/>
          <w:szCs w:val="32"/>
          <w:highlight w:val="none"/>
          <w:lang w:val="zh-CN" w:eastAsia="zh-CN"/>
        </w:rPr>
        <w:t>在我国公平竞争审查制度中，第三方评估被作为一项重要的机制写入基本的制度设计。2021年，市场监管总局、国家发展改革委、财政部、商务部、司法部会同有关部门修订的《公平竞争审查制度实施细则》（下文简称《细则》）设立专章“第三方评估”，对有关第三方评估问题予以明确，该《细则》第二十条规定：“政策制定机关可以根据工作实际，委托具备相应评估能力的高等院校、科研院所、专业咨询公司、律师事务所等第三方机构，对有关政策措施进行公平竞争评估，或者对公平竞争审查有关工作进行评估。各级联席会议办公室可以委托第三方机构，对本地公平竞争审查制度总体实施情况开展评估。”</w:t>
      </w:r>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CN" w:eastAsia="zh-CN"/>
        </w:rPr>
      </w:pPr>
      <w:r>
        <w:rPr>
          <w:rFonts w:hint="eastAsia" w:ascii="仿宋_GB2312" w:hAnsi="仿宋_GB2312" w:eastAsia="仿宋_GB2312" w:cs="仿宋_GB2312"/>
          <w:b w:val="0"/>
          <w:bCs w:val="0"/>
          <w:color w:val="auto"/>
          <w:spacing w:val="0"/>
          <w:w w:val="100"/>
          <w:sz w:val="32"/>
          <w:szCs w:val="32"/>
          <w:highlight w:val="none"/>
          <w:lang w:val="zh-CN" w:eastAsia="zh-CN"/>
        </w:rPr>
        <w:t>2022年3月25，中共中央、国务院发布</w:t>
      </w:r>
      <w:r>
        <w:rPr>
          <w:rFonts w:hint="eastAsia" w:ascii="仿宋_GB2312" w:hAnsi="仿宋_GB2312" w:eastAsia="仿宋_GB2312" w:cs="仿宋_GB2312"/>
          <w:b w:val="0"/>
          <w:bCs w:val="0"/>
          <w:snapToGrid w:val="0"/>
          <w:color w:val="auto"/>
          <w:spacing w:val="0"/>
          <w:w w:val="100"/>
          <w:sz w:val="32"/>
          <w:szCs w:val="32"/>
          <w:highlight w:val="none"/>
          <w:lang w:val="zh-CN" w:eastAsia="zh-CN"/>
        </w:rPr>
        <w:t>《关于加快建设全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CN" w:eastAsia="zh-CN"/>
        </w:rPr>
      </w:pPr>
      <w:r>
        <w:rPr>
          <w:rFonts w:hint="eastAsia" w:ascii="仿宋_GB2312" w:hAnsi="仿宋_GB2312" w:eastAsia="仿宋_GB2312" w:cs="仿宋_GB2312"/>
          <w:b w:val="0"/>
          <w:bCs w:val="0"/>
          <w:color w:val="auto"/>
          <w:spacing w:val="0"/>
          <w:w w:val="100"/>
          <w:sz w:val="32"/>
          <w:szCs w:val="32"/>
          <w:highlight w:val="none"/>
          <w:lang w:val="zh-CN" w:eastAsia="zh-CN"/>
        </w:rPr>
        <w:t>为进一步提高张掖市公平竞争审查质量，确保审查效果，推动制度深入实施，防止出台排除、限制市场公平竞争的政策措施，张掖市公平竞争审查工作部门联席会议办公室经过询价、遴选甘肃金彤律师事务所对</w:t>
      </w:r>
      <w:r>
        <w:rPr>
          <w:rFonts w:hint="eastAsia" w:ascii="仿宋_GB2312" w:hAnsi="仿宋_GB2312" w:eastAsia="仿宋_GB2312" w:cs="仿宋_GB2312"/>
          <w:b w:val="0"/>
          <w:bCs w:val="0"/>
          <w:color w:val="auto"/>
          <w:spacing w:val="0"/>
          <w:w w:val="100"/>
          <w:sz w:val="32"/>
          <w:szCs w:val="32"/>
          <w:highlight w:val="none"/>
          <w:lang w:val="en-US" w:eastAsia="zh-CN"/>
        </w:rPr>
        <w:t>22</w:t>
      </w:r>
      <w:r>
        <w:rPr>
          <w:rFonts w:hint="eastAsia" w:ascii="仿宋_GB2312" w:hAnsi="仿宋_GB2312" w:eastAsia="仿宋_GB2312" w:cs="仿宋_GB2312"/>
          <w:b w:val="0"/>
          <w:bCs w:val="0"/>
          <w:color w:val="auto"/>
          <w:spacing w:val="0"/>
          <w:w w:val="100"/>
          <w:sz w:val="32"/>
          <w:szCs w:val="32"/>
          <w:highlight w:val="none"/>
          <w:lang w:val="zh-CN" w:eastAsia="zh-CN"/>
        </w:rPr>
        <w:t>个市直部门单位、</w:t>
      </w:r>
      <w:r>
        <w:rPr>
          <w:rFonts w:hint="eastAsia" w:ascii="仿宋_GB2312" w:hAnsi="仿宋_GB2312" w:eastAsia="仿宋_GB2312" w:cs="仿宋_GB2312"/>
          <w:b w:val="0"/>
          <w:bCs w:val="0"/>
          <w:color w:val="auto"/>
          <w:spacing w:val="0"/>
          <w:w w:val="100"/>
          <w:sz w:val="32"/>
          <w:szCs w:val="32"/>
          <w:highlight w:val="none"/>
          <w:lang w:val="en-US" w:eastAsia="zh-CN"/>
        </w:rPr>
        <w:t>6个县区和1个经济技术开发区</w:t>
      </w:r>
      <w:r>
        <w:rPr>
          <w:rFonts w:hint="eastAsia" w:ascii="仿宋_GB2312" w:hAnsi="仿宋_GB2312" w:eastAsia="仿宋_GB2312" w:cs="仿宋_GB2312"/>
          <w:b w:val="0"/>
          <w:bCs w:val="0"/>
          <w:color w:val="auto"/>
          <w:spacing w:val="0"/>
          <w:w w:val="100"/>
          <w:sz w:val="32"/>
          <w:szCs w:val="32"/>
          <w:highlight w:val="none"/>
          <w:lang w:val="zh-CN" w:eastAsia="zh-CN"/>
        </w:rPr>
        <w:t>的公平竞争审查制度实施情况进行综合评估，出具评估报告，系统总结张掖市落实公平竞争审查制度、论证公平竞争制度的环境成效，梳理分析可能存在的问题和原因，提出进一步完善的意见建议。</w:t>
      </w:r>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b w:val="0"/>
          <w:bCs w:val="0"/>
          <w:color w:val="auto"/>
          <w:spacing w:val="0"/>
          <w:w w:val="100"/>
          <w:sz w:val="32"/>
          <w:szCs w:val="32"/>
        </w:rPr>
      </w:pPr>
      <w:r>
        <w:rPr>
          <w:rFonts w:hint="eastAsia" w:ascii="仿宋_GB2312" w:hAnsi="仿宋_GB2312" w:eastAsia="仿宋_GB2312" w:cs="仿宋_GB2312"/>
          <w:b w:val="0"/>
          <w:bCs w:val="0"/>
          <w:color w:val="auto"/>
          <w:spacing w:val="0"/>
          <w:w w:val="100"/>
          <w:sz w:val="32"/>
          <w:szCs w:val="32"/>
          <w:highlight w:val="none"/>
          <w:lang w:val="zh-CN" w:eastAsia="zh-CN"/>
        </w:rPr>
        <w:t>本次评估针对被评估的单位设置了评价指标体系，有</w:t>
      </w:r>
      <w:r>
        <w:rPr>
          <w:rFonts w:hint="eastAsia" w:ascii="仿宋_GB2312" w:hAnsi="仿宋_GB2312" w:eastAsia="仿宋_GB2312" w:cs="仿宋_GB2312"/>
          <w:b w:val="0"/>
          <w:bCs w:val="0"/>
          <w:color w:val="auto"/>
          <w:spacing w:val="0"/>
          <w:w w:val="100"/>
          <w:sz w:val="32"/>
          <w:szCs w:val="32"/>
          <w:highlight w:val="none"/>
          <w:lang w:eastAsia="zh-CN"/>
        </w:rPr>
        <w:t>3</w:t>
      </w:r>
      <w:r>
        <w:rPr>
          <w:rFonts w:hint="eastAsia" w:ascii="仿宋_GB2312" w:hAnsi="仿宋_GB2312" w:eastAsia="仿宋_GB2312" w:cs="仿宋_GB2312"/>
          <w:b w:val="0"/>
          <w:bCs w:val="0"/>
          <w:color w:val="auto"/>
          <w:spacing w:val="0"/>
          <w:w w:val="100"/>
          <w:sz w:val="32"/>
          <w:szCs w:val="32"/>
          <w:highlight w:val="none"/>
          <w:lang w:val="zh-CN" w:eastAsia="zh-CN"/>
        </w:rPr>
        <w:t>个总指标、</w:t>
      </w:r>
      <w:r>
        <w:rPr>
          <w:rFonts w:hint="eastAsia" w:ascii="仿宋_GB2312" w:hAnsi="仿宋_GB2312" w:eastAsia="仿宋_GB2312" w:cs="仿宋_GB2312"/>
          <w:b w:val="0"/>
          <w:bCs w:val="0"/>
          <w:color w:val="auto"/>
          <w:spacing w:val="0"/>
          <w:w w:val="100"/>
          <w:sz w:val="32"/>
          <w:szCs w:val="32"/>
          <w:highlight w:val="none"/>
          <w:lang w:eastAsia="zh-CN"/>
        </w:rPr>
        <w:t>9</w:t>
      </w:r>
      <w:r>
        <w:rPr>
          <w:rFonts w:hint="eastAsia" w:ascii="仿宋_GB2312" w:hAnsi="仿宋_GB2312" w:eastAsia="仿宋_GB2312" w:cs="仿宋_GB2312"/>
          <w:b w:val="0"/>
          <w:bCs w:val="0"/>
          <w:color w:val="auto"/>
          <w:spacing w:val="0"/>
          <w:w w:val="100"/>
          <w:sz w:val="32"/>
          <w:szCs w:val="32"/>
          <w:highlight w:val="none"/>
          <w:lang w:val="zh-CN" w:eastAsia="zh-CN"/>
        </w:rPr>
        <w:t>个一级指标和</w:t>
      </w:r>
      <w:r>
        <w:rPr>
          <w:rFonts w:hint="eastAsia" w:ascii="仿宋_GB2312" w:hAnsi="仿宋_GB2312" w:eastAsia="仿宋_GB2312" w:cs="仿宋_GB2312"/>
          <w:b w:val="0"/>
          <w:bCs w:val="0"/>
          <w:color w:val="auto"/>
          <w:spacing w:val="0"/>
          <w:w w:val="100"/>
          <w:sz w:val="32"/>
          <w:szCs w:val="32"/>
          <w:highlight w:val="none"/>
          <w:lang w:eastAsia="zh-CN"/>
        </w:rPr>
        <w:t>17个二级指标，还有若干评价标准。</w:t>
      </w:r>
      <w:r>
        <w:rPr>
          <w:rFonts w:hint="eastAsia" w:ascii="仿宋_GB2312" w:hAnsi="仿宋_GB2312" w:eastAsia="仿宋_GB2312" w:cs="仿宋_GB2312"/>
          <w:b w:val="0"/>
          <w:bCs w:val="0"/>
          <w:color w:val="auto"/>
          <w:spacing w:val="0"/>
          <w:w w:val="100"/>
          <w:sz w:val="32"/>
          <w:szCs w:val="32"/>
          <w:highlight w:val="none"/>
          <w:lang w:val="zh-CN" w:eastAsia="zh-CN"/>
        </w:rPr>
        <w:t>评估机构根据各被评估单位提供的材料，严格对照评估指标体系进行评估。</w:t>
      </w:r>
    </w:p>
    <w:p>
      <w:pPr>
        <w:pageBreakBefore w:val="0"/>
        <w:kinsoku/>
        <w:wordWrap/>
        <w:overflowPunct/>
        <w:topLinePunct/>
        <w:autoSpaceDE/>
        <w:autoSpaceDN/>
        <w:bidi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lang w:val="zh-CN"/>
        </w:rPr>
      </w:pPr>
    </w:p>
    <w:bookmarkEnd w:id="0"/>
    <w:bookmarkEnd w:id="1"/>
    <w:bookmarkEnd w:id="2"/>
    <w:bookmarkEnd w:id="3"/>
    <w:bookmarkEnd w:id="4"/>
    <w:p>
      <w:pPr>
        <w:pStyle w:val="34"/>
        <w:pageBreakBefore w:val="0"/>
        <w:kinsoku/>
        <w:wordWrap/>
        <w:overflowPunct/>
        <w:topLinePunct/>
        <w:autoSpaceDE/>
        <w:autoSpaceDN/>
        <w:bidi w:val="0"/>
        <w:adjustRightInd w:val="0"/>
        <w:snapToGrid w:val="0"/>
        <w:spacing w:beforeAutospacing="0" w:line="540" w:lineRule="exact"/>
        <w:ind w:left="0" w:leftChars="0" w:right="0" w:firstLine="600" w:firstLineChars="200"/>
        <w:jc w:val="both"/>
        <w:rPr>
          <w:rFonts w:hint="eastAsia" w:ascii="仿宋_GB2312" w:hAnsi="仿宋_GB2312" w:eastAsia="仿宋_GB2312" w:cs="仿宋_GB2312"/>
          <w:b w:val="0"/>
          <w:bCs w:val="0"/>
          <w:color w:val="auto"/>
          <w:spacing w:val="0"/>
          <w:w w:val="100"/>
          <w:sz w:val="30"/>
          <w:szCs w:val="30"/>
          <w:highlight w:val="none"/>
        </w:rPr>
        <w:sectPr>
          <w:footerReference r:id="rId6" w:type="default"/>
          <w:pgSz w:w="11906" w:h="16838"/>
          <w:pgMar w:top="2098" w:right="1474" w:bottom="1984" w:left="1587" w:header="851" w:footer="1417" w:gutter="0"/>
          <w:paperSrc/>
          <w:pgBorders>
            <w:top w:val="none" w:sz="0" w:space="0"/>
            <w:left w:val="none" w:sz="0" w:space="0"/>
            <w:bottom w:val="none" w:sz="0" w:space="0"/>
            <w:right w:val="none" w:sz="0" w:space="0"/>
          </w:pgBorders>
          <w:pgNumType w:fmt="decimal" w:start="1"/>
          <w:cols w:space="0" w:num="1"/>
          <w:rtlGutter w:val="0"/>
          <w:docGrid w:type="lines" w:linePitch="312" w:charSpace="0"/>
        </w:sectPr>
      </w:pPr>
    </w:p>
    <w:p>
      <w:pPr>
        <w:pStyle w:val="3"/>
        <w:keepNext w:val="0"/>
        <w:keepLines w:val="0"/>
        <w:pageBreakBefore w:val="0"/>
        <w:widowControl w:val="0"/>
        <w:kinsoku/>
        <w:wordWrap/>
        <w:overflowPunct/>
        <w:topLinePunct/>
        <w:autoSpaceDE/>
        <w:autoSpaceDN/>
        <w:bidi w:val="0"/>
        <w:adjustRightInd w:val="0"/>
        <w:snapToGrid w:val="0"/>
        <w:spacing w:before="0" w:beforeAutospacing="0" w:after="313" w:afterLines="100" w:line="540" w:lineRule="exact"/>
        <w:ind w:left="0" w:leftChars="0" w:right="0" w:firstLine="0" w:firstLineChars="0"/>
        <w:jc w:val="center"/>
        <w:textAlignment w:val="auto"/>
        <w:rPr>
          <w:rFonts w:hint="eastAsia" w:ascii="方正小标宋简体" w:hAnsi="方正小标宋简体" w:eastAsia="方正小标宋简体" w:cs="方正小标宋简体"/>
          <w:b w:val="0"/>
          <w:bCs w:val="0"/>
          <w:color w:val="auto"/>
          <w:spacing w:val="0"/>
          <w:w w:val="100"/>
          <w:sz w:val="36"/>
          <w:szCs w:val="36"/>
          <w:highlight w:val="none"/>
        </w:rPr>
      </w:pPr>
      <w:bookmarkStart w:id="9" w:name="_Toc101045468"/>
      <w:bookmarkStart w:id="10" w:name="_Toc7603"/>
      <w:r>
        <w:rPr>
          <w:rFonts w:hint="eastAsia" w:ascii="方正小标宋简体" w:hAnsi="方正小标宋简体" w:eastAsia="方正小标宋简体" w:cs="方正小标宋简体"/>
          <w:b w:val="0"/>
          <w:bCs w:val="0"/>
          <w:color w:val="auto"/>
          <w:spacing w:val="0"/>
          <w:w w:val="100"/>
          <w:sz w:val="36"/>
          <w:szCs w:val="36"/>
          <w:highlight w:val="none"/>
        </w:rPr>
        <w:t>第一章</w:t>
      </w:r>
      <w:r>
        <w:rPr>
          <w:rFonts w:hint="eastAsia"/>
          <w:lang w:val="en-US" w:eastAsia="zh-CN"/>
        </w:rPr>
        <w:t xml:space="preserve"> </w:t>
      </w:r>
      <w:r>
        <w:rPr>
          <w:rFonts w:hint="eastAsia" w:ascii="方正小标宋简体" w:hAnsi="方正小标宋简体" w:eastAsia="方正小标宋简体" w:cs="方正小标宋简体"/>
          <w:b w:val="0"/>
          <w:bCs w:val="0"/>
          <w:color w:val="auto"/>
          <w:spacing w:val="0"/>
          <w:w w:val="100"/>
          <w:sz w:val="36"/>
          <w:szCs w:val="36"/>
          <w:highlight w:val="none"/>
          <w:lang w:eastAsia="zh-CN"/>
        </w:rPr>
        <w:t>张掖市</w:t>
      </w:r>
      <w:r>
        <w:rPr>
          <w:rFonts w:hint="eastAsia" w:ascii="方正小标宋简体" w:hAnsi="方正小标宋简体" w:eastAsia="方正小标宋简体" w:cs="方正小标宋简体"/>
          <w:b w:val="0"/>
          <w:bCs w:val="0"/>
          <w:color w:val="auto"/>
          <w:spacing w:val="0"/>
          <w:w w:val="100"/>
          <w:sz w:val="36"/>
          <w:szCs w:val="36"/>
          <w:highlight w:val="none"/>
        </w:rPr>
        <w:t>公平竞争审查第三方</w:t>
      </w:r>
      <w:bookmarkEnd w:id="9"/>
      <w:bookmarkStart w:id="11" w:name="_Toc101045469"/>
      <w:r>
        <w:rPr>
          <w:rFonts w:hint="eastAsia" w:ascii="方正小标宋简体" w:hAnsi="方正小标宋简体" w:eastAsia="方正小标宋简体" w:cs="方正小标宋简体"/>
          <w:b w:val="0"/>
          <w:bCs w:val="0"/>
          <w:color w:val="auto"/>
          <w:spacing w:val="0"/>
          <w:w w:val="100"/>
          <w:sz w:val="36"/>
          <w:szCs w:val="36"/>
          <w:highlight w:val="none"/>
        </w:rPr>
        <w:t>评估主要内容</w:t>
      </w:r>
      <w:bookmarkEnd w:id="10"/>
      <w:bookmarkEnd w:id="11"/>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12" w:name="_Toc101045470"/>
      <w:bookmarkStart w:id="13" w:name="_Toc9380"/>
      <w:r>
        <w:rPr>
          <w:rFonts w:hint="eastAsia" w:ascii="黑体" w:hAnsi="黑体" w:eastAsia="黑体" w:cs="黑体"/>
          <w:b w:val="0"/>
          <w:bCs w:val="0"/>
          <w:color w:val="auto"/>
          <w:spacing w:val="0"/>
          <w:w w:val="100"/>
          <w:sz w:val="32"/>
          <w:szCs w:val="32"/>
          <w:highlight w:val="none"/>
        </w:rPr>
        <w:t>第一节</w:t>
      </w:r>
      <w:r>
        <w:rPr>
          <w:rFonts w:hint="eastAsia" w:ascii="黑体" w:hAnsi="黑体" w:eastAsia="黑体" w:cs="黑体"/>
          <w:b w:val="0"/>
          <w:bCs w:val="0"/>
          <w:color w:val="auto"/>
          <w:spacing w:val="0"/>
          <w:w w:val="100"/>
          <w:sz w:val="32"/>
          <w:szCs w:val="32"/>
          <w:highlight w:val="none"/>
          <w:lang w:val="en-US" w:eastAsia="zh-CN"/>
        </w:rPr>
        <w:t xml:space="preserve"> </w:t>
      </w:r>
      <w:r>
        <w:rPr>
          <w:rFonts w:hint="eastAsia" w:ascii="黑体" w:hAnsi="黑体" w:eastAsia="黑体" w:cs="黑体"/>
          <w:b w:val="0"/>
          <w:bCs w:val="0"/>
          <w:color w:val="auto"/>
          <w:spacing w:val="0"/>
          <w:w w:val="100"/>
          <w:sz w:val="32"/>
          <w:szCs w:val="32"/>
          <w:highlight w:val="none"/>
        </w:rPr>
        <w:t>评估内容</w:t>
      </w:r>
      <w:bookmarkEnd w:id="12"/>
      <w:bookmarkEnd w:id="13"/>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r>
        <w:rPr>
          <w:rFonts w:hint="eastAsia" w:ascii="黑体" w:hAnsi="黑体" w:eastAsia="黑体" w:cs="黑体"/>
          <w:b w:val="0"/>
          <w:bCs w:val="0"/>
          <w:color w:val="auto"/>
          <w:spacing w:val="0"/>
          <w:w w:val="100"/>
          <w:sz w:val="32"/>
          <w:szCs w:val="32"/>
          <w:highlight w:val="none"/>
        </w:rPr>
        <w:t>一、指导思想</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以习近平新时代中国特色社会主义思想为指导，深入贯彻党的</w:t>
      </w:r>
      <w:r>
        <w:rPr>
          <w:rFonts w:hint="eastAsia" w:ascii="仿宋_GB2312" w:hAnsi="仿宋_GB2312" w:eastAsia="仿宋_GB2312" w:cs="仿宋_GB2312"/>
          <w:b w:val="0"/>
          <w:bCs w:val="0"/>
          <w:color w:val="auto"/>
          <w:spacing w:val="0"/>
          <w:w w:val="100"/>
          <w:sz w:val="32"/>
          <w:szCs w:val="32"/>
          <w:highlight w:val="none"/>
          <w:lang w:eastAsia="zh-CN"/>
        </w:rPr>
        <w:t>二十大</w:t>
      </w:r>
      <w:r>
        <w:rPr>
          <w:rFonts w:hint="eastAsia" w:ascii="仿宋_GB2312" w:hAnsi="仿宋_GB2312" w:eastAsia="仿宋_GB2312" w:cs="仿宋_GB2312"/>
          <w:b w:val="0"/>
          <w:bCs w:val="0"/>
          <w:color w:val="auto"/>
          <w:spacing w:val="0"/>
          <w:w w:val="100"/>
          <w:sz w:val="32"/>
          <w:szCs w:val="32"/>
          <w:highlight w:val="none"/>
        </w:rPr>
        <w:t>精神，按照国家和省</w:t>
      </w:r>
      <w:r>
        <w:rPr>
          <w:rFonts w:hint="eastAsia" w:ascii="仿宋_GB2312" w:hAnsi="仿宋_GB2312" w:eastAsia="仿宋_GB2312" w:cs="仿宋_GB2312"/>
          <w:b w:val="0"/>
          <w:bCs w:val="0"/>
          <w:color w:val="auto"/>
          <w:spacing w:val="0"/>
          <w:w w:val="100"/>
          <w:sz w:val="32"/>
          <w:szCs w:val="32"/>
          <w:highlight w:val="none"/>
          <w:lang w:val="en-US" w:eastAsia="zh-CN"/>
        </w:rPr>
        <w:t>上</w:t>
      </w:r>
      <w:r>
        <w:rPr>
          <w:rFonts w:hint="eastAsia" w:ascii="仿宋_GB2312" w:hAnsi="仿宋_GB2312" w:eastAsia="仿宋_GB2312" w:cs="仿宋_GB2312"/>
          <w:b w:val="0"/>
          <w:bCs w:val="0"/>
          <w:color w:val="auto"/>
          <w:spacing w:val="0"/>
          <w:w w:val="100"/>
          <w:sz w:val="32"/>
          <w:szCs w:val="32"/>
          <w:highlight w:val="none"/>
        </w:rPr>
        <w:t>关于在市场体系建设中建立和实施公平竞争审查制度的各项要求，更高质量、更大力度推进公平竞争审查工作，强化公平竞争审查制度刚性约束，不断提高审查质量和效果，防止出台排除、限制竞争的政策措施，维护统一市场和公平竞争，打造市场化、法治化和国际化的营商环境，实现经济高质量发展。</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lang w:eastAsia="zh-CN"/>
        </w:rPr>
      </w:pPr>
      <w:r>
        <w:rPr>
          <w:rFonts w:hint="eastAsia" w:ascii="黑体" w:hAnsi="黑体" w:eastAsia="黑体" w:cs="黑体"/>
          <w:b w:val="0"/>
          <w:bCs w:val="0"/>
          <w:color w:val="auto"/>
          <w:spacing w:val="0"/>
          <w:w w:val="100"/>
          <w:sz w:val="32"/>
          <w:szCs w:val="32"/>
          <w:highlight w:val="none"/>
          <w:lang w:eastAsia="zh-CN"/>
        </w:rPr>
        <w:t>二、评估目标</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本次评估的目标是厘清</w:t>
      </w:r>
      <w:r>
        <w:rPr>
          <w:rFonts w:hint="eastAsia" w:ascii="仿宋_GB2312" w:hAnsi="仿宋_GB2312" w:eastAsia="仿宋_GB2312" w:cs="仿宋_GB2312"/>
          <w:b w:val="0"/>
          <w:bCs w:val="0"/>
          <w:color w:val="auto"/>
          <w:spacing w:val="0"/>
          <w:w w:val="100"/>
          <w:sz w:val="32"/>
          <w:szCs w:val="32"/>
          <w:highlight w:val="none"/>
          <w:lang w:eastAsia="zh-CN"/>
        </w:rPr>
        <w:t>张掖市</w:t>
      </w:r>
      <w:r>
        <w:rPr>
          <w:rFonts w:hint="eastAsia" w:ascii="仿宋_GB2312" w:hAnsi="仿宋_GB2312" w:eastAsia="仿宋_GB2312" w:cs="仿宋_GB2312"/>
          <w:b w:val="0"/>
          <w:bCs w:val="0"/>
          <w:color w:val="auto"/>
          <w:spacing w:val="0"/>
          <w:w w:val="100"/>
          <w:sz w:val="32"/>
          <w:szCs w:val="32"/>
          <w:highlight w:val="none"/>
        </w:rPr>
        <w:t>存量、增量政策措施，秉持“发现问题、提出问题、解决问题”的原则，按照《公平竞争审查制度实施细则》的规定，对</w:t>
      </w:r>
      <w:r>
        <w:rPr>
          <w:rFonts w:hint="eastAsia" w:ascii="仿宋_GB2312" w:hAnsi="仿宋_GB2312" w:eastAsia="仿宋_GB2312" w:cs="仿宋_GB2312"/>
          <w:b w:val="0"/>
          <w:bCs w:val="0"/>
          <w:color w:val="auto"/>
          <w:spacing w:val="0"/>
          <w:w w:val="100"/>
          <w:sz w:val="32"/>
          <w:szCs w:val="32"/>
          <w:highlight w:val="none"/>
          <w:lang w:eastAsia="zh-CN"/>
        </w:rPr>
        <w:t>张掖市公平竞争审查工作联席成员单位</w:t>
      </w:r>
      <w:r>
        <w:rPr>
          <w:rFonts w:hint="eastAsia" w:ascii="仿宋_GB2312" w:hAnsi="仿宋_GB2312" w:eastAsia="仿宋_GB2312" w:cs="仿宋_GB2312"/>
          <w:b w:val="0"/>
          <w:bCs w:val="0"/>
          <w:color w:val="auto"/>
          <w:spacing w:val="0"/>
          <w:w w:val="100"/>
          <w:sz w:val="32"/>
          <w:szCs w:val="32"/>
          <w:highlight w:val="none"/>
        </w:rPr>
        <w:t>存量、增量政策措施进行公平竞争审查，并根据审查情况做出评估、总结经验</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提出可复制、可推广的建议，促进</w:t>
      </w:r>
      <w:r>
        <w:rPr>
          <w:rFonts w:hint="eastAsia" w:ascii="仿宋_GB2312" w:hAnsi="仿宋_GB2312" w:eastAsia="仿宋_GB2312" w:cs="仿宋_GB2312"/>
          <w:b w:val="0"/>
          <w:bCs w:val="0"/>
          <w:color w:val="auto"/>
          <w:spacing w:val="0"/>
          <w:w w:val="100"/>
          <w:sz w:val="32"/>
          <w:szCs w:val="32"/>
          <w:highlight w:val="none"/>
          <w:lang w:eastAsia="zh-CN"/>
        </w:rPr>
        <w:t>张掖市</w:t>
      </w:r>
      <w:r>
        <w:rPr>
          <w:rFonts w:hint="eastAsia" w:ascii="仿宋_GB2312" w:hAnsi="仿宋_GB2312" w:eastAsia="仿宋_GB2312" w:cs="仿宋_GB2312"/>
          <w:b w:val="0"/>
          <w:bCs w:val="0"/>
          <w:color w:val="auto"/>
          <w:spacing w:val="0"/>
          <w:w w:val="100"/>
          <w:sz w:val="32"/>
          <w:szCs w:val="32"/>
          <w:highlight w:val="none"/>
        </w:rPr>
        <w:t>营商环境改善更上一个台阶。</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r>
        <w:rPr>
          <w:rFonts w:hint="eastAsia" w:ascii="黑体" w:hAnsi="黑体" w:eastAsia="黑体" w:cs="黑体"/>
          <w:b w:val="0"/>
          <w:bCs w:val="0"/>
          <w:color w:val="auto"/>
          <w:spacing w:val="0"/>
          <w:w w:val="100"/>
          <w:sz w:val="32"/>
          <w:szCs w:val="32"/>
          <w:highlight w:val="none"/>
          <w:lang w:eastAsia="zh-CN"/>
        </w:rPr>
        <w:t>三</w:t>
      </w:r>
      <w:r>
        <w:rPr>
          <w:rFonts w:hint="eastAsia" w:ascii="黑体" w:hAnsi="黑体" w:eastAsia="黑体" w:cs="黑体"/>
          <w:b w:val="0"/>
          <w:bCs w:val="0"/>
          <w:color w:val="auto"/>
          <w:spacing w:val="0"/>
          <w:w w:val="100"/>
          <w:sz w:val="32"/>
          <w:szCs w:val="32"/>
          <w:highlight w:val="none"/>
        </w:rPr>
        <w:t>、评估依据</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（一）《中华人民共和国反垄断法》；</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（二）《国务院关于在市场体系建设中建立公平竞争审查制度的实施意见》（国发〔2016〕34号）；</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（三）《市场监管总局等四部门关于进一步推进公平竞争审查工作的通知》（国市监反垄断〔2020〕73号）；</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（四）《公平竞争审查第三方评估实施指南》（市场监管总局公告2019年第6号）；</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（五）《公平竞争审查制度实施细则》（国市监反垄规〔2021〕2号）；</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（六）</w:t>
      </w:r>
      <w:r>
        <w:rPr>
          <w:rFonts w:hint="eastAsia" w:ascii="仿宋_GB2312" w:hAnsi="仿宋_GB2312" w:eastAsia="仿宋_GB2312" w:cs="仿宋_GB2312"/>
          <w:b w:val="0"/>
          <w:bCs w:val="0"/>
          <w:color w:val="auto"/>
          <w:spacing w:val="0"/>
          <w:w w:val="100"/>
          <w:sz w:val="32"/>
          <w:szCs w:val="32"/>
          <w:highlight w:val="none"/>
          <w:lang w:eastAsia="zh-CN"/>
        </w:rPr>
        <w:t>《</w:t>
      </w:r>
      <w:r>
        <w:rPr>
          <w:rStyle w:val="25"/>
          <w:rFonts w:hint="eastAsia" w:ascii="仿宋_GB2312" w:hAnsi="仿宋_GB2312" w:eastAsia="仿宋_GB2312" w:cs="仿宋_GB2312"/>
          <w:b w:val="0"/>
          <w:bCs w:val="0"/>
          <w:i w:val="0"/>
          <w:iCs w:val="0"/>
          <w:color w:val="auto"/>
          <w:spacing w:val="0"/>
          <w:w w:val="100"/>
          <w:sz w:val="32"/>
          <w:szCs w:val="32"/>
          <w:highlight w:val="none"/>
          <w:lang w:val="en-US" w:eastAsia="zh-CN" w:bidi="ar"/>
        </w:rPr>
        <w:t>张掖市人民政府关于在市场体系建设中建立公平竞争审查制度的实施意见</w:t>
      </w:r>
      <w:r>
        <w:rPr>
          <w:rFonts w:hint="eastAsia" w:ascii="仿宋_GB2312" w:hAnsi="仿宋_GB2312" w:eastAsia="仿宋_GB2312" w:cs="仿宋_GB2312"/>
          <w:b w:val="0"/>
          <w:bCs w:val="0"/>
          <w:color w:val="auto"/>
          <w:spacing w:val="0"/>
          <w:w w:val="100"/>
          <w:kern w:val="0"/>
          <w:sz w:val="32"/>
          <w:szCs w:val="32"/>
          <w:highlight w:val="none"/>
          <w:lang w:val="en-US" w:eastAsia="zh-CN" w:bidi="ar"/>
        </w:rPr>
        <w:t>》（张政发〔2017〕56号</w:t>
      </w:r>
      <w:r>
        <w:rPr>
          <w:rFonts w:hint="eastAsia" w:ascii="仿宋_GB2312" w:hAnsi="仿宋_GB2312" w:eastAsia="仿宋_GB2312" w:cs="仿宋_GB2312"/>
          <w:b w:val="0"/>
          <w:bCs w:val="0"/>
          <w:color w:val="auto"/>
          <w:spacing w:val="0"/>
          <w:w w:val="100"/>
          <w:sz w:val="32"/>
          <w:szCs w:val="32"/>
          <w:highlight w:val="none"/>
        </w:rPr>
        <w:t>）</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（七）中央及部委有关公平竞争审查工作的其他部署和要求。</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r>
        <w:rPr>
          <w:rFonts w:hint="eastAsia" w:ascii="黑体" w:hAnsi="黑体" w:eastAsia="黑体" w:cs="黑体"/>
          <w:b w:val="0"/>
          <w:bCs w:val="0"/>
          <w:color w:val="auto"/>
          <w:spacing w:val="0"/>
          <w:w w:val="100"/>
          <w:sz w:val="32"/>
          <w:szCs w:val="32"/>
          <w:highlight w:val="none"/>
          <w:lang w:eastAsia="zh-CN"/>
        </w:rPr>
        <w:t>四</w:t>
      </w:r>
      <w:r>
        <w:rPr>
          <w:rFonts w:hint="eastAsia" w:ascii="黑体" w:hAnsi="黑体" w:eastAsia="黑体" w:cs="黑体"/>
          <w:b w:val="0"/>
          <w:bCs w:val="0"/>
          <w:color w:val="auto"/>
          <w:spacing w:val="0"/>
          <w:w w:val="100"/>
          <w:sz w:val="32"/>
          <w:szCs w:val="32"/>
          <w:highlight w:val="none"/>
        </w:rPr>
        <w:t>、评估原则</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（一）客观公正，客观评估与主观评价相结合；</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（二）科学严谨，定性分析与定量分析相结合；</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（三）专业规范，实务调研与理论证成相结合；</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（四）公开透明，事前通知与事后通报相结合；</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（五）注重实效，问题导向与补齐短板相结合。</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r>
        <w:rPr>
          <w:rFonts w:hint="eastAsia" w:ascii="黑体" w:hAnsi="黑体" w:eastAsia="黑体" w:cs="黑体"/>
          <w:b w:val="0"/>
          <w:bCs w:val="0"/>
          <w:color w:val="auto"/>
          <w:spacing w:val="0"/>
          <w:w w:val="100"/>
          <w:sz w:val="32"/>
          <w:szCs w:val="32"/>
          <w:highlight w:val="none"/>
          <w:lang w:eastAsia="zh-CN"/>
        </w:rPr>
        <w:t>五</w:t>
      </w:r>
      <w:r>
        <w:rPr>
          <w:rFonts w:hint="eastAsia" w:ascii="黑体" w:hAnsi="黑体" w:eastAsia="黑体" w:cs="黑体"/>
          <w:b w:val="0"/>
          <w:bCs w:val="0"/>
          <w:color w:val="auto"/>
          <w:spacing w:val="0"/>
          <w:w w:val="100"/>
          <w:sz w:val="32"/>
          <w:szCs w:val="32"/>
          <w:highlight w:val="none"/>
        </w:rPr>
        <w:t>、评估方式</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综合评估在</w:t>
      </w:r>
      <w:r>
        <w:rPr>
          <w:rFonts w:hint="eastAsia" w:ascii="仿宋_GB2312" w:hAnsi="仿宋_GB2312" w:eastAsia="仿宋_GB2312" w:cs="仿宋_GB2312"/>
          <w:b w:val="0"/>
          <w:bCs w:val="0"/>
          <w:color w:val="auto"/>
          <w:spacing w:val="0"/>
          <w:w w:val="100"/>
          <w:sz w:val="32"/>
          <w:szCs w:val="32"/>
          <w:highlight w:val="none"/>
          <w:lang w:eastAsia="zh-CN"/>
        </w:rPr>
        <w:t>张掖市</w:t>
      </w:r>
      <w:r>
        <w:rPr>
          <w:rFonts w:hint="eastAsia" w:ascii="仿宋_GB2312" w:hAnsi="仿宋_GB2312" w:eastAsia="仿宋_GB2312" w:cs="仿宋_GB2312"/>
          <w:b w:val="0"/>
          <w:bCs w:val="0"/>
          <w:color w:val="auto"/>
          <w:spacing w:val="0"/>
          <w:w w:val="100"/>
          <w:sz w:val="32"/>
          <w:szCs w:val="32"/>
          <w:highlight w:val="none"/>
        </w:rPr>
        <w:t>公平竞争审查工作部门联席会议办公室的</w:t>
      </w:r>
      <w:r>
        <w:rPr>
          <w:rFonts w:hint="eastAsia" w:ascii="仿宋_GB2312" w:hAnsi="仿宋_GB2312" w:eastAsia="仿宋_GB2312" w:cs="仿宋_GB2312"/>
          <w:b w:val="0"/>
          <w:bCs w:val="0"/>
          <w:color w:val="auto"/>
          <w:spacing w:val="0"/>
          <w:w w:val="100"/>
          <w:sz w:val="32"/>
          <w:szCs w:val="32"/>
          <w:highlight w:val="none"/>
          <w:lang w:eastAsia="zh-CN"/>
        </w:rPr>
        <w:t>指导</w:t>
      </w:r>
      <w:r>
        <w:rPr>
          <w:rFonts w:hint="eastAsia" w:ascii="仿宋_GB2312" w:hAnsi="仿宋_GB2312" w:eastAsia="仿宋_GB2312" w:cs="仿宋_GB2312"/>
          <w:b w:val="0"/>
          <w:bCs w:val="0"/>
          <w:color w:val="auto"/>
          <w:spacing w:val="0"/>
          <w:w w:val="100"/>
          <w:sz w:val="32"/>
          <w:szCs w:val="32"/>
          <w:highlight w:val="none"/>
        </w:rPr>
        <w:t>下，由评估机构负责具体实施</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主要采取实地评估、自我评估、</w:t>
      </w:r>
      <w:r>
        <w:rPr>
          <w:rFonts w:hint="eastAsia" w:ascii="仿宋_GB2312" w:hAnsi="仿宋_GB2312" w:eastAsia="仿宋_GB2312" w:cs="仿宋_GB2312"/>
          <w:b w:val="0"/>
          <w:bCs w:val="0"/>
          <w:color w:val="auto"/>
          <w:spacing w:val="0"/>
          <w:w w:val="100"/>
          <w:sz w:val="32"/>
          <w:szCs w:val="32"/>
          <w:highlight w:val="none"/>
          <w:lang w:eastAsia="zh-CN"/>
        </w:rPr>
        <w:t>自我提供文件</w:t>
      </w:r>
      <w:r>
        <w:rPr>
          <w:rFonts w:hint="eastAsia" w:ascii="仿宋_GB2312" w:hAnsi="仿宋_GB2312" w:eastAsia="仿宋_GB2312" w:cs="仿宋_GB2312"/>
          <w:b w:val="0"/>
          <w:bCs w:val="0"/>
          <w:color w:val="auto"/>
          <w:spacing w:val="0"/>
          <w:w w:val="100"/>
          <w:sz w:val="32"/>
          <w:szCs w:val="32"/>
          <w:highlight w:val="none"/>
        </w:rPr>
        <w:t>评估、对照评估、座谈会、专家论证会等方式，运用定性评估、定量评估、比较分析、成本效益分析等方法对自我审查机制建立、增量</w:t>
      </w:r>
      <w:r>
        <w:rPr>
          <w:rFonts w:hint="eastAsia" w:ascii="仿宋_GB2312" w:hAnsi="仿宋_GB2312" w:eastAsia="仿宋_GB2312" w:cs="仿宋_GB2312"/>
          <w:b w:val="0"/>
          <w:bCs w:val="0"/>
          <w:color w:val="auto"/>
          <w:spacing w:val="0"/>
          <w:w w:val="100"/>
          <w:sz w:val="32"/>
          <w:szCs w:val="32"/>
          <w:highlight w:val="none"/>
          <w:lang w:eastAsia="zh-CN"/>
        </w:rPr>
        <w:t>政策措施</w:t>
      </w:r>
      <w:r>
        <w:rPr>
          <w:rFonts w:hint="eastAsia" w:ascii="仿宋_GB2312" w:hAnsi="仿宋_GB2312" w:eastAsia="仿宋_GB2312" w:cs="仿宋_GB2312"/>
          <w:b w:val="0"/>
          <w:bCs w:val="0"/>
          <w:color w:val="auto"/>
          <w:spacing w:val="0"/>
          <w:w w:val="100"/>
          <w:sz w:val="32"/>
          <w:szCs w:val="32"/>
          <w:highlight w:val="none"/>
        </w:rPr>
        <w:t>审查质量、</w:t>
      </w:r>
      <w:r>
        <w:rPr>
          <w:rFonts w:hint="eastAsia" w:ascii="仿宋_GB2312" w:hAnsi="仿宋_GB2312" w:eastAsia="仿宋_GB2312" w:cs="仿宋_GB2312"/>
          <w:b w:val="0"/>
          <w:bCs w:val="0"/>
          <w:color w:val="auto"/>
          <w:spacing w:val="0"/>
          <w:w w:val="100"/>
          <w:sz w:val="32"/>
          <w:szCs w:val="32"/>
          <w:highlight w:val="none"/>
          <w:lang w:eastAsia="zh-CN"/>
        </w:rPr>
        <w:t>存量政策措施</w:t>
      </w:r>
      <w:r>
        <w:rPr>
          <w:rFonts w:hint="eastAsia" w:ascii="仿宋_GB2312" w:hAnsi="仿宋_GB2312" w:eastAsia="仿宋_GB2312" w:cs="仿宋_GB2312"/>
          <w:b w:val="0"/>
          <w:bCs w:val="0"/>
          <w:color w:val="auto"/>
          <w:spacing w:val="0"/>
          <w:w w:val="100"/>
          <w:sz w:val="32"/>
          <w:szCs w:val="32"/>
          <w:highlight w:val="none"/>
        </w:rPr>
        <w:t>清理完成质量、相关</w:t>
      </w:r>
      <w:r>
        <w:rPr>
          <w:rFonts w:hint="eastAsia" w:ascii="仿宋_GB2312" w:hAnsi="仿宋_GB2312" w:eastAsia="仿宋_GB2312" w:cs="仿宋_GB2312"/>
          <w:b w:val="0"/>
          <w:bCs w:val="0"/>
          <w:color w:val="auto"/>
          <w:spacing w:val="0"/>
          <w:w w:val="100"/>
          <w:sz w:val="32"/>
          <w:szCs w:val="32"/>
          <w:highlight w:val="none"/>
          <w:lang w:eastAsia="zh-CN"/>
        </w:rPr>
        <w:t>部门</w:t>
      </w:r>
      <w:r>
        <w:rPr>
          <w:rFonts w:hint="eastAsia" w:ascii="仿宋_GB2312" w:hAnsi="仿宋_GB2312" w:eastAsia="仿宋_GB2312" w:cs="仿宋_GB2312"/>
          <w:b w:val="0"/>
          <w:bCs w:val="0"/>
          <w:color w:val="auto"/>
          <w:spacing w:val="0"/>
          <w:w w:val="100"/>
          <w:sz w:val="32"/>
          <w:szCs w:val="32"/>
          <w:highlight w:val="none"/>
        </w:rPr>
        <w:t>反馈情况等进行全方位的科学评估。汇总收集相关信息，广泛听取意见建议，全面了解真实情况，对</w:t>
      </w:r>
      <w:r>
        <w:rPr>
          <w:rFonts w:hint="eastAsia" w:ascii="仿宋_GB2312" w:hAnsi="仿宋_GB2312" w:eastAsia="仿宋_GB2312" w:cs="仿宋_GB2312"/>
          <w:b w:val="0"/>
          <w:bCs w:val="0"/>
          <w:color w:val="auto"/>
          <w:spacing w:val="0"/>
          <w:w w:val="100"/>
          <w:sz w:val="32"/>
          <w:szCs w:val="32"/>
          <w:highlight w:val="none"/>
          <w:lang w:eastAsia="zh-CN"/>
        </w:rPr>
        <w:t>张掖市公平竞争联席成员单位</w:t>
      </w:r>
      <w:r>
        <w:rPr>
          <w:rFonts w:hint="eastAsia" w:ascii="仿宋_GB2312" w:hAnsi="仿宋_GB2312" w:eastAsia="仿宋_GB2312" w:cs="仿宋_GB2312"/>
          <w:b w:val="0"/>
          <w:bCs w:val="0"/>
          <w:color w:val="auto"/>
          <w:spacing w:val="0"/>
          <w:w w:val="100"/>
          <w:sz w:val="32"/>
          <w:szCs w:val="32"/>
          <w:highlight w:val="none"/>
        </w:rPr>
        <w:t>实施公平竞争审查制度的情况开展评估工作并进行量化打分，最终形成评估报告。</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r>
        <w:rPr>
          <w:rFonts w:hint="eastAsia" w:ascii="黑体" w:hAnsi="黑体" w:eastAsia="黑体" w:cs="黑体"/>
          <w:b w:val="0"/>
          <w:bCs w:val="0"/>
          <w:color w:val="auto"/>
          <w:spacing w:val="0"/>
          <w:w w:val="100"/>
          <w:sz w:val="32"/>
          <w:szCs w:val="32"/>
          <w:highlight w:val="none"/>
          <w:lang w:eastAsia="zh-CN"/>
        </w:rPr>
        <w:t>六</w:t>
      </w:r>
      <w:r>
        <w:rPr>
          <w:rFonts w:hint="eastAsia" w:ascii="黑体" w:hAnsi="黑体" w:eastAsia="黑体" w:cs="黑体"/>
          <w:b w:val="0"/>
          <w:bCs w:val="0"/>
          <w:color w:val="auto"/>
          <w:spacing w:val="0"/>
          <w:w w:val="100"/>
          <w:sz w:val="32"/>
          <w:szCs w:val="32"/>
          <w:highlight w:val="none"/>
        </w:rPr>
        <w:t>、评估用途</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本次评估结论主要用于系统总结</w:t>
      </w:r>
      <w:r>
        <w:rPr>
          <w:rFonts w:hint="eastAsia" w:ascii="仿宋_GB2312" w:hAnsi="仿宋_GB2312" w:eastAsia="仿宋_GB2312" w:cs="仿宋_GB2312"/>
          <w:b w:val="0"/>
          <w:bCs w:val="0"/>
          <w:color w:val="auto"/>
          <w:spacing w:val="0"/>
          <w:w w:val="100"/>
          <w:sz w:val="32"/>
          <w:szCs w:val="32"/>
          <w:highlight w:val="none"/>
          <w:lang w:eastAsia="zh-CN"/>
        </w:rPr>
        <w:t>张掖市</w:t>
      </w:r>
      <w:r>
        <w:rPr>
          <w:rFonts w:hint="eastAsia" w:ascii="仿宋_GB2312" w:hAnsi="仿宋_GB2312" w:eastAsia="仿宋_GB2312" w:cs="仿宋_GB2312"/>
          <w:b w:val="0"/>
          <w:bCs w:val="0"/>
          <w:color w:val="auto"/>
          <w:spacing w:val="0"/>
          <w:w w:val="100"/>
          <w:sz w:val="32"/>
          <w:szCs w:val="32"/>
          <w:highlight w:val="none"/>
        </w:rPr>
        <w:t>落实公平竞争审查制度、营造公平竞争制度环境的成效与经验，发现</w:t>
      </w:r>
      <w:r>
        <w:rPr>
          <w:rFonts w:hint="eastAsia" w:ascii="仿宋_GB2312" w:hAnsi="仿宋_GB2312" w:eastAsia="仿宋_GB2312" w:cs="仿宋_GB2312"/>
          <w:b w:val="0"/>
          <w:bCs w:val="0"/>
          <w:color w:val="auto"/>
          <w:spacing w:val="0"/>
          <w:w w:val="100"/>
          <w:sz w:val="32"/>
          <w:szCs w:val="32"/>
          <w:highlight w:val="none"/>
          <w:lang w:eastAsia="zh-CN"/>
        </w:rPr>
        <w:t>各成员单位</w:t>
      </w:r>
      <w:r>
        <w:rPr>
          <w:rFonts w:hint="eastAsia" w:ascii="仿宋_GB2312" w:hAnsi="仿宋_GB2312" w:eastAsia="仿宋_GB2312" w:cs="仿宋_GB2312"/>
          <w:b w:val="0"/>
          <w:bCs w:val="0"/>
          <w:color w:val="auto"/>
          <w:spacing w:val="0"/>
          <w:w w:val="100"/>
          <w:sz w:val="32"/>
          <w:szCs w:val="32"/>
          <w:highlight w:val="none"/>
        </w:rPr>
        <w:t>在落实公平竞争审查方面存在的问题和差距，梳理分析存在的困境和原因，提出进一步完善的意见建议，以督促指导有关部门强化工作措施，加大工作力度，尽快整改问题和补齐短板，推动优化</w:t>
      </w:r>
      <w:r>
        <w:rPr>
          <w:rFonts w:hint="eastAsia" w:ascii="仿宋_GB2312" w:hAnsi="仿宋_GB2312" w:eastAsia="仿宋_GB2312" w:cs="仿宋_GB2312"/>
          <w:b w:val="0"/>
          <w:bCs w:val="0"/>
          <w:color w:val="auto"/>
          <w:spacing w:val="0"/>
          <w:w w:val="100"/>
          <w:sz w:val="32"/>
          <w:szCs w:val="32"/>
          <w:highlight w:val="none"/>
          <w:lang w:eastAsia="zh-CN"/>
        </w:rPr>
        <w:t>张掖市</w:t>
      </w:r>
      <w:r>
        <w:rPr>
          <w:rFonts w:hint="eastAsia" w:ascii="仿宋_GB2312" w:hAnsi="仿宋_GB2312" w:eastAsia="仿宋_GB2312" w:cs="仿宋_GB2312"/>
          <w:b w:val="0"/>
          <w:bCs w:val="0"/>
          <w:color w:val="auto"/>
          <w:spacing w:val="0"/>
          <w:w w:val="100"/>
          <w:sz w:val="32"/>
          <w:szCs w:val="32"/>
          <w:highlight w:val="none"/>
        </w:rPr>
        <w:t>营商环境，实现经济高质量发展。</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rPr>
        <w:t>本次评估结论将作为上级、本级有关督查检查考核中，对有关部门落实公平竞争审查制度情况、评价制度实施成效、制定工作推进方案的重要参考依据</w:t>
      </w:r>
      <w:r>
        <w:rPr>
          <w:rFonts w:hint="eastAsia" w:ascii="仿宋_GB2312" w:hAnsi="仿宋_GB2312" w:eastAsia="仿宋_GB2312" w:cs="仿宋_GB2312"/>
          <w:b w:val="0"/>
          <w:bCs w:val="0"/>
          <w:color w:val="auto"/>
          <w:spacing w:val="0"/>
          <w:w w:val="100"/>
          <w:sz w:val="32"/>
          <w:szCs w:val="32"/>
          <w:highlight w:val="none"/>
          <w:lang w:eastAsia="zh-CN"/>
        </w:rPr>
        <w:t>。</w:t>
      </w:r>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14" w:name="_Toc101045471"/>
      <w:bookmarkStart w:id="15" w:name="_Toc9476"/>
      <w:r>
        <w:rPr>
          <w:rFonts w:hint="eastAsia" w:ascii="黑体" w:hAnsi="黑体" w:eastAsia="黑体" w:cs="黑体"/>
          <w:b w:val="0"/>
          <w:bCs w:val="0"/>
          <w:color w:val="auto"/>
          <w:spacing w:val="0"/>
          <w:w w:val="100"/>
          <w:sz w:val="32"/>
          <w:szCs w:val="32"/>
          <w:highlight w:val="none"/>
        </w:rPr>
        <w:t>第二节</w:t>
      </w:r>
      <w:r>
        <w:rPr>
          <w:rFonts w:hint="eastAsia"/>
          <w:lang w:val="en-US" w:eastAsia="zh-CN"/>
        </w:rPr>
        <w:t xml:space="preserve"> </w:t>
      </w:r>
      <w:r>
        <w:rPr>
          <w:rFonts w:hint="eastAsia" w:ascii="黑体" w:hAnsi="黑体" w:eastAsia="黑体" w:cs="黑体"/>
          <w:b w:val="0"/>
          <w:bCs w:val="0"/>
          <w:color w:val="auto"/>
          <w:spacing w:val="0"/>
          <w:w w:val="100"/>
          <w:sz w:val="32"/>
          <w:szCs w:val="32"/>
          <w:highlight w:val="none"/>
        </w:rPr>
        <w:t>评估方案</w:t>
      </w:r>
      <w:bookmarkEnd w:id="14"/>
      <w:bookmarkEnd w:id="15"/>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r>
        <w:rPr>
          <w:rFonts w:hint="eastAsia" w:ascii="黑体" w:hAnsi="黑体" w:eastAsia="黑体" w:cs="黑体"/>
          <w:b w:val="0"/>
          <w:bCs w:val="0"/>
          <w:color w:val="auto"/>
          <w:spacing w:val="0"/>
          <w:w w:val="100"/>
          <w:sz w:val="32"/>
          <w:szCs w:val="32"/>
          <w:highlight w:val="none"/>
        </w:rPr>
        <w:t>一、被评估</w:t>
      </w:r>
      <w:r>
        <w:rPr>
          <w:rFonts w:hint="eastAsia" w:ascii="黑体" w:hAnsi="黑体" w:eastAsia="黑体" w:cs="黑体"/>
          <w:b w:val="0"/>
          <w:bCs w:val="0"/>
          <w:color w:val="auto"/>
          <w:spacing w:val="0"/>
          <w:w w:val="100"/>
          <w:sz w:val="32"/>
          <w:szCs w:val="32"/>
          <w:highlight w:val="none"/>
          <w:lang w:eastAsia="zh-CN"/>
        </w:rPr>
        <w:t>部门</w:t>
      </w:r>
      <w:r>
        <w:rPr>
          <w:rFonts w:hint="eastAsia" w:ascii="黑体" w:hAnsi="黑体" w:eastAsia="黑体" w:cs="黑体"/>
          <w:b w:val="0"/>
          <w:bCs w:val="0"/>
          <w:color w:val="auto"/>
          <w:spacing w:val="0"/>
          <w:w w:val="100"/>
          <w:sz w:val="32"/>
          <w:szCs w:val="32"/>
          <w:highlight w:val="none"/>
        </w:rPr>
        <w:t>名单</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lang w:val="en-US" w:eastAsia="zh-CN"/>
        </w:rPr>
        <w:t>张掖市</w:t>
      </w:r>
      <w:r>
        <w:rPr>
          <w:rFonts w:hint="eastAsia" w:ascii="仿宋_GB2312" w:hAnsi="仿宋_GB2312" w:eastAsia="仿宋_GB2312" w:cs="仿宋_GB2312"/>
          <w:b w:val="0"/>
          <w:bCs w:val="0"/>
          <w:color w:val="auto"/>
          <w:spacing w:val="0"/>
          <w:w w:val="100"/>
          <w:sz w:val="32"/>
          <w:szCs w:val="32"/>
          <w:highlight w:val="none"/>
        </w:rPr>
        <w:t>公平竞争审查工作部门联席会议办公室确定</w:t>
      </w:r>
      <w:r>
        <w:rPr>
          <w:rFonts w:hint="eastAsia" w:ascii="仿宋_GB2312" w:hAnsi="仿宋_GB2312" w:eastAsia="仿宋_GB2312" w:cs="仿宋_GB2312"/>
          <w:b w:val="0"/>
          <w:bCs w:val="0"/>
          <w:color w:val="auto"/>
          <w:spacing w:val="0"/>
          <w:w w:val="100"/>
          <w:kern w:val="2"/>
          <w:sz w:val="32"/>
          <w:szCs w:val="32"/>
          <w:highlight w:val="none"/>
          <w:lang w:val="en-US" w:eastAsia="zh-CN" w:bidi="ar"/>
        </w:rPr>
        <w:t>22个市直部门单位、6个县区和1个经济技术开发区为</w:t>
      </w:r>
      <w:r>
        <w:rPr>
          <w:rFonts w:hint="eastAsia" w:ascii="仿宋_GB2312" w:hAnsi="仿宋_GB2312" w:eastAsia="仿宋_GB2312" w:cs="仿宋_GB2312"/>
          <w:b w:val="0"/>
          <w:bCs w:val="0"/>
          <w:color w:val="auto"/>
          <w:spacing w:val="0"/>
          <w:w w:val="100"/>
          <w:sz w:val="32"/>
          <w:szCs w:val="32"/>
          <w:highlight w:val="none"/>
        </w:rPr>
        <w:t>评估对象</w:t>
      </w:r>
      <w:r>
        <w:rPr>
          <w:rFonts w:hint="eastAsia" w:ascii="仿宋_GB2312" w:hAnsi="仿宋_GB2312" w:eastAsia="仿宋_GB2312" w:cs="仿宋_GB2312"/>
          <w:b w:val="0"/>
          <w:bCs w:val="0"/>
          <w:color w:val="auto"/>
          <w:spacing w:val="0"/>
          <w:w w:val="100"/>
          <w:sz w:val="32"/>
          <w:szCs w:val="32"/>
          <w:highlight w:val="none"/>
          <w:lang w:eastAsia="zh-CN"/>
        </w:rPr>
        <w:t>：</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lang w:val="en-US" w:eastAsia="zh-CN"/>
        </w:rPr>
        <w:t>1.</w:t>
      </w:r>
      <w:r>
        <w:rPr>
          <w:rFonts w:hint="eastAsia" w:ascii="仿宋_GB2312" w:hAnsi="仿宋_GB2312" w:eastAsia="仿宋_GB2312" w:cs="仿宋_GB2312"/>
          <w:b w:val="0"/>
          <w:bCs w:val="0"/>
          <w:color w:val="auto"/>
          <w:spacing w:val="0"/>
          <w:w w:val="100"/>
          <w:sz w:val="32"/>
          <w:szCs w:val="32"/>
          <w:highlight w:val="none"/>
          <w:lang w:eastAsia="zh-CN"/>
        </w:rPr>
        <w:t>张掖市市场监督管理局（下文简称“市市场监管局”）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lang w:val="en-US" w:eastAsia="zh-CN"/>
        </w:rPr>
        <w:t>2.</w:t>
      </w:r>
      <w:r>
        <w:rPr>
          <w:rFonts w:hint="eastAsia" w:ascii="仿宋_GB2312" w:hAnsi="仿宋_GB2312" w:eastAsia="仿宋_GB2312" w:cs="仿宋_GB2312"/>
          <w:b w:val="0"/>
          <w:bCs w:val="0"/>
          <w:color w:val="auto"/>
          <w:spacing w:val="0"/>
          <w:w w:val="100"/>
          <w:sz w:val="32"/>
          <w:szCs w:val="32"/>
          <w:highlight w:val="none"/>
          <w:lang w:eastAsia="zh-CN"/>
        </w:rPr>
        <w:t>张掖市发展</w:t>
      </w:r>
      <w:r>
        <w:rPr>
          <w:rFonts w:hint="eastAsia"/>
          <w:lang w:val="en-US" w:eastAsia="zh-CN"/>
        </w:rPr>
        <w:t>和</w:t>
      </w:r>
      <w:r>
        <w:rPr>
          <w:rFonts w:hint="eastAsia" w:ascii="仿宋_GB2312" w:hAnsi="仿宋_GB2312" w:eastAsia="仿宋_GB2312" w:cs="仿宋_GB2312"/>
          <w:b w:val="0"/>
          <w:bCs w:val="0"/>
          <w:color w:val="auto"/>
          <w:spacing w:val="0"/>
          <w:w w:val="100"/>
          <w:sz w:val="32"/>
          <w:szCs w:val="32"/>
          <w:highlight w:val="none"/>
          <w:lang w:eastAsia="zh-CN"/>
        </w:rPr>
        <w:t>改革委员会（下文简称“市发展改革委”）</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lang w:val="en-US" w:eastAsia="zh-CN"/>
        </w:rPr>
        <w:t>3.</w:t>
      </w:r>
      <w:r>
        <w:rPr>
          <w:rFonts w:hint="eastAsia" w:ascii="仿宋_GB2312" w:hAnsi="仿宋_GB2312" w:eastAsia="仿宋_GB2312" w:cs="仿宋_GB2312"/>
          <w:b w:val="0"/>
          <w:bCs w:val="0"/>
          <w:color w:val="auto"/>
          <w:spacing w:val="0"/>
          <w:w w:val="100"/>
          <w:sz w:val="32"/>
          <w:szCs w:val="32"/>
          <w:highlight w:val="none"/>
          <w:lang w:eastAsia="zh-CN"/>
        </w:rPr>
        <w:t>张掖市财政局（下文简称“市财政局”）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lang w:val="en-US" w:eastAsia="zh-CN"/>
        </w:rPr>
        <w:t>4.</w:t>
      </w:r>
      <w:r>
        <w:rPr>
          <w:rFonts w:hint="eastAsia" w:ascii="仿宋_GB2312" w:hAnsi="仿宋_GB2312" w:eastAsia="仿宋_GB2312" w:cs="仿宋_GB2312"/>
          <w:b w:val="0"/>
          <w:bCs w:val="0"/>
          <w:color w:val="auto"/>
          <w:spacing w:val="0"/>
          <w:w w:val="100"/>
          <w:sz w:val="32"/>
          <w:szCs w:val="32"/>
          <w:highlight w:val="none"/>
          <w:lang w:eastAsia="zh-CN"/>
        </w:rPr>
        <w:t>张掖市</w:t>
      </w:r>
      <w:r>
        <w:rPr>
          <w:rFonts w:hint="eastAsia" w:ascii="仿宋_GB2312" w:hAnsi="仿宋_GB2312" w:eastAsia="仿宋_GB2312" w:cs="仿宋_GB2312"/>
          <w:b w:val="0"/>
          <w:bCs w:val="0"/>
          <w:color w:val="auto"/>
          <w:spacing w:val="0"/>
          <w:w w:val="100"/>
          <w:sz w:val="32"/>
          <w:szCs w:val="32"/>
          <w:highlight w:val="none"/>
        </w:rPr>
        <w:t>商务</w:t>
      </w:r>
      <w:r>
        <w:rPr>
          <w:rFonts w:hint="eastAsia" w:ascii="仿宋_GB2312" w:hAnsi="仿宋_GB2312" w:eastAsia="仿宋_GB2312" w:cs="仿宋_GB2312"/>
          <w:b w:val="0"/>
          <w:bCs w:val="0"/>
          <w:color w:val="auto"/>
          <w:spacing w:val="0"/>
          <w:w w:val="100"/>
          <w:sz w:val="32"/>
          <w:szCs w:val="32"/>
          <w:highlight w:val="none"/>
          <w:lang w:eastAsia="zh-CN"/>
        </w:rPr>
        <w:t>局（下文简称“市</w:t>
      </w:r>
      <w:r>
        <w:rPr>
          <w:rFonts w:hint="eastAsia" w:ascii="仿宋_GB2312" w:hAnsi="仿宋_GB2312" w:eastAsia="仿宋_GB2312" w:cs="仿宋_GB2312"/>
          <w:b w:val="0"/>
          <w:bCs w:val="0"/>
          <w:color w:val="auto"/>
          <w:spacing w:val="0"/>
          <w:w w:val="100"/>
          <w:sz w:val="32"/>
          <w:szCs w:val="32"/>
          <w:highlight w:val="none"/>
        </w:rPr>
        <w:t>商务</w:t>
      </w:r>
      <w:r>
        <w:rPr>
          <w:rFonts w:hint="eastAsia" w:ascii="仿宋_GB2312" w:hAnsi="仿宋_GB2312" w:eastAsia="仿宋_GB2312" w:cs="仿宋_GB2312"/>
          <w:b w:val="0"/>
          <w:bCs w:val="0"/>
          <w:color w:val="auto"/>
          <w:spacing w:val="0"/>
          <w:w w:val="100"/>
          <w:sz w:val="32"/>
          <w:szCs w:val="32"/>
          <w:highlight w:val="none"/>
          <w:lang w:eastAsia="zh-CN"/>
        </w:rPr>
        <w:t>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5.张掖市司法局（下文简称“市司法局”）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lang w:val="en-US" w:eastAsia="zh-CN"/>
        </w:rPr>
        <w:t>6.</w:t>
      </w:r>
      <w:r>
        <w:rPr>
          <w:rFonts w:hint="eastAsia" w:ascii="仿宋_GB2312" w:hAnsi="仿宋_GB2312" w:eastAsia="仿宋_GB2312" w:cs="仿宋_GB2312"/>
          <w:b w:val="0"/>
          <w:bCs w:val="0"/>
          <w:color w:val="auto"/>
          <w:spacing w:val="0"/>
          <w:w w:val="100"/>
          <w:sz w:val="32"/>
          <w:szCs w:val="32"/>
          <w:highlight w:val="none"/>
          <w:lang w:eastAsia="zh-CN"/>
        </w:rPr>
        <w:t>张掖市</w:t>
      </w:r>
      <w:r>
        <w:rPr>
          <w:rFonts w:hint="eastAsia" w:ascii="仿宋_GB2312" w:hAnsi="仿宋_GB2312" w:eastAsia="仿宋_GB2312" w:cs="仿宋_GB2312"/>
          <w:b w:val="0"/>
          <w:bCs w:val="0"/>
          <w:color w:val="auto"/>
          <w:spacing w:val="0"/>
          <w:w w:val="100"/>
          <w:sz w:val="32"/>
          <w:szCs w:val="32"/>
          <w:highlight w:val="none"/>
        </w:rPr>
        <w:t>教育</w:t>
      </w:r>
      <w:r>
        <w:rPr>
          <w:rFonts w:hint="eastAsia" w:ascii="仿宋_GB2312" w:hAnsi="仿宋_GB2312" w:eastAsia="仿宋_GB2312" w:cs="仿宋_GB2312"/>
          <w:b w:val="0"/>
          <w:bCs w:val="0"/>
          <w:color w:val="auto"/>
          <w:spacing w:val="0"/>
          <w:w w:val="100"/>
          <w:sz w:val="32"/>
          <w:szCs w:val="32"/>
          <w:highlight w:val="none"/>
          <w:lang w:eastAsia="zh-CN"/>
        </w:rPr>
        <w:t>局（下文简称“市</w:t>
      </w:r>
      <w:r>
        <w:rPr>
          <w:rFonts w:hint="eastAsia" w:ascii="仿宋_GB2312" w:hAnsi="仿宋_GB2312" w:eastAsia="仿宋_GB2312" w:cs="仿宋_GB2312"/>
          <w:b w:val="0"/>
          <w:bCs w:val="0"/>
          <w:color w:val="auto"/>
          <w:spacing w:val="0"/>
          <w:w w:val="100"/>
          <w:sz w:val="32"/>
          <w:szCs w:val="32"/>
          <w:highlight w:val="none"/>
        </w:rPr>
        <w:t>教育</w:t>
      </w:r>
      <w:r>
        <w:rPr>
          <w:rFonts w:hint="eastAsia" w:ascii="仿宋_GB2312" w:hAnsi="仿宋_GB2312" w:eastAsia="仿宋_GB2312" w:cs="仿宋_GB2312"/>
          <w:b w:val="0"/>
          <w:bCs w:val="0"/>
          <w:color w:val="auto"/>
          <w:spacing w:val="0"/>
          <w:w w:val="100"/>
          <w:sz w:val="32"/>
          <w:szCs w:val="32"/>
          <w:highlight w:val="none"/>
          <w:lang w:eastAsia="zh-CN"/>
        </w:rPr>
        <w:t>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7.张掖市科学技术局（下文简称“市科技局”）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8.张掖市工业和信息化局（下文简称“市工信局”）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9.张掖市民政局（下文简称“市民政局”）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10.张掖市自然资源局（下文简称“市自然资源局”）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11.张掖市生态环境局（下文简称“市生态环境局”）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12.张掖市住房和城乡建设局（下文简称“市住建局”）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13.张掖市交通运输局（下文简称“市交通运输局”）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14.张掖市水务局（下文简称“市水务局”）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15.张掖市农业农村局（下文简称“市农业局”）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16.张掖市林业和草原局（下文简称“市林草局”）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17.张掖市畜牧兽医局（下文简称“市畜牧局”）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18.张掖市文化广电和旅游局（下文简称“市文广旅游局”）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lang w:val="en-US" w:eastAsia="zh-CN"/>
        </w:rPr>
        <w:t>19.</w:t>
      </w:r>
      <w:r>
        <w:rPr>
          <w:rFonts w:hint="eastAsia" w:ascii="仿宋_GB2312" w:hAnsi="仿宋_GB2312" w:eastAsia="仿宋_GB2312" w:cs="仿宋_GB2312"/>
          <w:b w:val="0"/>
          <w:bCs w:val="0"/>
          <w:color w:val="auto"/>
          <w:spacing w:val="0"/>
          <w:w w:val="100"/>
          <w:sz w:val="32"/>
          <w:szCs w:val="32"/>
          <w:highlight w:val="none"/>
          <w:lang w:eastAsia="zh-CN"/>
        </w:rPr>
        <w:t>张掖市</w:t>
      </w:r>
      <w:r>
        <w:rPr>
          <w:rFonts w:hint="eastAsia" w:ascii="仿宋_GB2312" w:hAnsi="仿宋_GB2312" w:eastAsia="仿宋_GB2312" w:cs="仿宋_GB2312"/>
          <w:b w:val="0"/>
          <w:bCs w:val="0"/>
          <w:color w:val="auto"/>
          <w:spacing w:val="0"/>
          <w:w w:val="100"/>
          <w:sz w:val="32"/>
          <w:szCs w:val="32"/>
          <w:highlight w:val="none"/>
        </w:rPr>
        <w:t>卫生健康委员会</w:t>
      </w:r>
      <w:r>
        <w:rPr>
          <w:rFonts w:hint="eastAsia" w:ascii="仿宋_GB2312" w:hAnsi="仿宋_GB2312" w:eastAsia="仿宋_GB2312" w:cs="仿宋_GB2312"/>
          <w:b w:val="0"/>
          <w:bCs w:val="0"/>
          <w:color w:val="auto"/>
          <w:spacing w:val="0"/>
          <w:w w:val="100"/>
          <w:sz w:val="32"/>
          <w:szCs w:val="32"/>
          <w:highlight w:val="none"/>
          <w:lang w:eastAsia="zh-CN"/>
        </w:rPr>
        <w:t>（下文简称“市</w:t>
      </w:r>
      <w:r>
        <w:rPr>
          <w:rFonts w:hint="eastAsia" w:ascii="仿宋_GB2312" w:hAnsi="仿宋_GB2312" w:eastAsia="仿宋_GB2312" w:cs="仿宋_GB2312"/>
          <w:b w:val="0"/>
          <w:bCs w:val="0"/>
          <w:color w:val="auto"/>
          <w:spacing w:val="0"/>
          <w:w w:val="100"/>
          <w:sz w:val="32"/>
          <w:szCs w:val="32"/>
          <w:highlight w:val="none"/>
        </w:rPr>
        <w:t>卫生健康委</w:t>
      </w:r>
      <w:r>
        <w:rPr>
          <w:rFonts w:hint="eastAsia" w:ascii="仿宋_GB2312" w:hAnsi="仿宋_GB2312" w:eastAsia="仿宋_GB2312" w:cs="仿宋_GB2312"/>
          <w:b w:val="0"/>
          <w:bCs w:val="0"/>
          <w:color w:val="auto"/>
          <w:spacing w:val="0"/>
          <w:w w:val="100"/>
          <w:sz w:val="32"/>
          <w:szCs w:val="32"/>
          <w:highlight w:val="none"/>
          <w:lang w:eastAsia="zh-CN"/>
        </w:rPr>
        <w:t>”）</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lang w:val="en-US" w:eastAsia="zh-CN"/>
        </w:rPr>
        <w:t>20.</w:t>
      </w:r>
      <w:r>
        <w:rPr>
          <w:rFonts w:hint="eastAsia" w:ascii="仿宋_GB2312" w:hAnsi="仿宋_GB2312" w:eastAsia="仿宋_GB2312" w:cs="仿宋_GB2312"/>
          <w:b w:val="0"/>
          <w:bCs w:val="0"/>
          <w:color w:val="auto"/>
          <w:spacing w:val="0"/>
          <w:w w:val="100"/>
          <w:sz w:val="32"/>
          <w:szCs w:val="32"/>
          <w:highlight w:val="none"/>
        </w:rPr>
        <w:t>国家税务总局</w:t>
      </w:r>
      <w:r>
        <w:rPr>
          <w:rFonts w:hint="eastAsia" w:ascii="仿宋_GB2312" w:hAnsi="仿宋_GB2312" w:eastAsia="仿宋_GB2312" w:cs="仿宋_GB2312"/>
          <w:b w:val="0"/>
          <w:bCs w:val="0"/>
          <w:color w:val="auto"/>
          <w:spacing w:val="0"/>
          <w:w w:val="100"/>
          <w:sz w:val="32"/>
          <w:szCs w:val="32"/>
          <w:highlight w:val="none"/>
          <w:lang w:eastAsia="zh-CN"/>
        </w:rPr>
        <w:t>张掖市</w:t>
      </w:r>
      <w:r>
        <w:rPr>
          <w:rFonts w:hint="eastAsia" w:ascii="仿宋_GB2312" w:hAnsi="仿宋_GB2312" w:eastAsia="仿宋_GB2312" w:cs="仿宋_GB2312"/>
          <w:b w:val="0"/>
          <w:bCs w:val="0"/>
          <w:color w:val="auto"/>
          <w:spacing w:val="0"/>
          <w:w w:val="100"/>
          <w:sz w:val="32"/>
          <w:szCs w:val="32"/>
          <w:highlight w:val="none"/>
        </w:rPr>
        <w:t>税务局</w:t>
      </w:r>
      <w:r>
        <w:rPr>
          <w:rFonts w:hint="eastAsia" w:ascii="仿宋_GB2312" w:hAnsi="仿宋_GB2312" w:eastAsia="仿宋_GB2312" w:cs="仿宋_GB2312"/>
          <w:b w:val="0"/>
          <w:bCs w:val="0"/>
          <w:color w:val="auto"/>
          <w:spacing w:val="0"/>
          <w:w w:val="100"/>
          <w:sz w:val="32"/>
          <w:szCs w:val="32"/>
          <w:highlight w:val="none"/>
          <w:lang w:eastAsia="zh-CN"/>
        </w:rPr>
        <w:t>（下文简称“市</w:t>
      </w:r>
      <w:r>
        <w:rPr>
          <w:rFonts w:hint="eastAsia" w:ascii="仿宋_GB2312" w:hAnsi="仿宋_GB2312" w:eastAsia="仿宋_GB2312" w:cs="仿宋_GB2312"/>
          <w:b w:val="0"/>
          <w:bCs w:val="0"/>
          <w:color w:val="auto"/>
          <w:spacing w:val="0"/>
          <w:w w:val="100"/>
          <w:sz w:val="32"/>
          <w:szCs w:val="32"/>
          <w:highlight w:val="none"/>
        </w:rPr>
        <w:t>税务局</w:t>
      </w:r>
      <w:r>
        <w:rPr>
          <w:rFonts w:hint="eastAsia" w:ascii="仿宋_GB2312" w:hAnsi="仿宋_GB2312" w:eastAsia="仿宋_GB2312" w:cs="仿宋_GB2312"/>
          <w:b w:val="0"/>
          <w:bCs w:val="0"/>
          <w:color w:val="auto"/>
          <w:spacing w:val="0"/>
          <w:w w:val="100"/>
          <w:sz w:val="32"/>
          <w:szCs w:val="32"/>
          <w:highlight w:val="none"/>
          <w:lang w:eastAsia="zh-CN"/>
        </w:rPr>
        <w:t>”）</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lang w:val="en-US" w:eastAsia="zh-CN"/>
        </w:rPr>
        <w:t>21.</w:t>
      </w:r>
      <w:r>
        <w:rPr>
          <w:rFonts w:hint="eastAsia" w:ascii="仿宋_GB2312" w:hAnsi="仿宋_GB2312" w:eastAsia="仿宋_GB2312" w:cs="仿宋_GB2312"/>
          <w:b w:val="0"/>
          <w:bCs w:val="0"/>
          <w:color w:val="auto"/>
          <w:spacing w:val="0"/>
          <w:w w:val="100"/>
          <w:sz w:val="32"/>
          <w:szCs w:val="32"/>
          <w:highlight w:val="none"/>
          <w:lang w:eastAsia="zh-CN"/>
        </w:rPr>
        <w:t>张掖市医疗保障</w:t>
      </w:r>
      <w:r>
        <w:rPr>
          <w:rFonts w:hint="eastAsia" w:ascii="仿宋_GB2312" w:hAnsi="仿宋_GB2312" w:eastAsia="仿宋_GB2312" w:cs="仿宋_GB2312"/>
          <w:b w:val="0"/>
          <w:bCs w:val="0"/>
          <w:color w:val="auto"/>
          <w:spacing w:val="0"/>
          <w:w w:val="100"/>
          <w:sz w:val="32"/>
          <w:szCs w:val="32"/>
          <w:highlight w:val="none"/>
        </w:rPr>
        <w:t>局</w:t>
      </w:r>
      <w:r>
        <w:rPr>
          <w:rFonts w:hint="eastAsia" w:ascii="仿宋_GB2312" w:hAnsi="仿宋_GB2312" w:eastAsia="仿宋_GB2312" w:cs="仿宋_GB2312"/>
          <w:b w:val="0"/>
          <w:bCs w:val="0"/>
          <w:color w:val="auto"/>
          <w:spacing w:val="0"/>
          <w:w w:val="100"/>
          <w:sz w:val="32"/>
          <w:szCs w:val="32"/>
          <w:highlight w:val="none"/>
          <w:lang w:eastAsia="zh-CN"/>
        </w:rPr>
        <w:t>（下文简称“市医保</w:t>
      </w:r>
      <w:r>
        <w:rPr>
          <w:rFonts w:hint="eastAsia" w:ascii="仿宋_GB2312" w:hAnsi="仿宋_GB2312" w:eastAsia="仿宋_GB2312" w:cs="仿宋_GB2312"/>
          <w:b w:val="0"/>
          <w:bCs w:val="0"/>
          <w:color w:val="auto"/>
          <w:spacing w:val="0"/>
          <w:w w:val="100"/>
          <w:sz w:val="32"/>
          <w:szCs w:val="32"/>
          <w:highlight w:val="none"/>
        </w:rPr>
        <w:t>局</w:t>
      </w:r>
      <w:r>
        <w:rPr>
          <w:rFonts w:hint="eastAsia" w:ascii="仿宋_GB2312" w:hAnsi="仿宋_GB2312" w:eastAsia="仿宋_GB2312" w:cs="仿宋_GB2312"/>
          <w:b w:val="0"/>
          <w:bCs w:val="0"/>
          <w:color w:val="auto"/>
          <w:spacing w:val="0"/>
          <w:w w:val="100"/>
          <w:sz w:val="32"/>
          <w:szCs w:val="32"/>
          <w:highlight w:val="none"/>
          <w:lang w:eastAsia="zh-CN"/>
        </w:rPr>
        <w:t>”）</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lang w:val="en-US" w:eastAsia="zh-CN"/>
        </w:rPr>
        <w:t>22.</w:t>
      </w:r>
      <w:r>
        <w:rPr>
          <w:rFonts w:hint="eastAsia" w:ascii="仿宋_GB2312" w:hAnsi="仿宋_GB2312" w:eastAsia="仿宋_GB2312" w:cs="仿宋_GB2312"/>
          <w:b w:val="0"/>
          <w:bCs w:val="0"/>
          <w:color w:val="auto"/>
          <w:spacing w:val="0"/>
          <w:w w:val="100"/>
          <w:sz w:val="32"/>
          <w:szCs w:val="32"/>
          <w:highlight w:val="none"/>
          <w:lang w:eastAsia="zh-CN"/>
        </w:rPr>
        <w:t>张掖市政府金融办公室（下文简称“市政府金融办”）</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lang w:val="en-US" w:eastAsia="zh-CN"/>
        </w:rPr>
        <w:t>23.</w:t>
      </w:r>
      <w:r>
        <w:rPr>
          <w:rFonts w:hint="eastAsia" w:ascii="仿宋_GB2312" w:hAnsi="仿宋_GB2312" w:eastAsia="仿宋_GB2312" w:cs="仿宋_GB2312"/>
          <w:b w:val="0"/>
          <w:bCs w:val="0"/>
          <w:color w:val="auto"/>
          <w:spacing w:val="0"/>
          <w:w w:val="100"/>
          <w:sz w:val="32"/>
          <w:szCs w:val="32"/>
          <w:highlight w:val="none"/>
          <w:lang w:eastAsia="zh-CN"/>
        </w:rPr>
        <w:t>张掖市经济技术开发区（下文简称“市经开区”）</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24.甘州区</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25.临泽县</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26.高台县</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27.山丹县</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lang w:val="en-US" w:eastAsia="zh-CN"/>
        </w:rPr>
        <w:t>28.民乐县</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29.肃南裕固族自治县（下文简称“肃南县”）</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r>
        <w:rPr>
          <w:rFonts w:hint="eastAsia" w:ascii="黑体" w:hAnsi="黑体" w:eastAsia="黑体" w:cs="黑体"/>
          <w:b w:val="0"/>
          <w:bCs w:val="0"/>
          <w:color w:val="auto"/>
          <w:spacing w:val="0"/>
          <w:w w:val="100"/>
          <w:sz w:val="32"/>
          <w:szCs w:val="32"/>
          <w:highlight w:val="none"/>
        </w:rPr>
        <w:t>二、工作部署落实情况和制度实施成效评估</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楷体_GB2312" w:hAnsi="楷体_GB2312" w:eastAsia="楷体_GB2312" w:cs="楷体_GB2312"/>
          <w:b w:val="0"/>
          <w:bCs w:val="0"/>
          <w:color w:val="auto"/>
          <w:spacing w:val="0"/>
          <w:w w:val="100"/>
          <w:sz w:val="32"/>
          <w:szCs w:val="32"/>
          <w:highlight w:val="none"/>
        </w:rPr>
      </w:pPr>
      <w:r>
        <w:rPr>
          <w:rFonts w:hint="eastAsia" w:ascii="楷体_GB2312" w:hAnsi="楷体_GB2312" w:eastAsia="楷体_GB2312" w:cs="楷体_GB2312"/>
          <w:b w:val="0"/>
          <w:bCs w:val="0"/>
          <w:color w:val="auto"/>
          <w:spacing w:val="0"/>
          <w:w w:val="100"/>
          <w:sz w:val="32"/>
          <w:szCs w:val="32"/>
          <w:highlight w:val="none"/>
          <w:lang w:eastAsia="zh-CN"/>
        </w:rPr>
        <w:t>（一）</w:t>
      </w:r>
      <w:r>
        <w:rPr>
          <w:rFonts w:hint="eastAsia" w:ascii="楷体_GB2312" w:hAnsi="楷体_GB2312" w:eastAsia="楷体_GB2312" w:cs="楷体_GB2312"/>
          <w:b w:val="0"/>
          <w:bCs w:val="0"/>
          <w:color w:val="auto"/>
          <w:spacing w:val="0"/>
          <w:w w:val="100"/>
          <w:sz w:val="32"/>
          <w:szCs w:val="32"/>
          <w:highlight w:val="none"/>
        </w:rPr>
        <w:t>调研评估提纲</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rPr>
        <w:t>本次公平竞争审查制度落实情况第三方评估</w:t>
      </w:r>
      <w:r>
        <w:rPr>
          <w:rFonts w:hint="eastAsia" w:ascii="仿宋_GB2312" w:hAnsi="仿宋_GB2312" w:eastAsia="仿宋_GB2312" w:cs="仿宋_GB2312"/>
          <w:b w:val="0"/>
          <w:bCs w:val="0"/>
          <w:color w:val="auto"/>
          <w:spacing w:val="0"/>
          <w:w w:val="100"/>
          <w:sz w:val="32"/>
          <w:szCs w:val="32"/>
          <w:highlight w:val="none"/>
          <w:lang w:eastAsia="zh-CN"/>
        </w:rPr>
        <w:t>机构</w:t>
      </w:r>
      <w:r>
        <w:rPr>
          <w:rFonts w:hint="eastAsia" w:ascii="仿宋_GB2312" w:hAnsi="仿宋_GB2312" w:eastAsia="仿宋_GB2312" w:cs="仿宋_GB2312"/>
          <w:b w:val="0"/>
          <w:bCs w:val="0"/>
          <w:color w:val="auto"/>
          <w:spacing w:val="0"/>
          <w:w w:val="100"/>
          <w:sz w:val="32"/>
          <w:szCs w:val="32"/>
          <w:highlight w:val="none"/>
        </w:rPr>
        <w:t>采用线上调研和</w:t>
      </w:r>
      <w:r>
        <w:rPr>
          <w:rFonts w:hint="eastAsia" w:ascii="仿宋_GB2312" w:hAnsi="仿宋_GB2312" w:eastAsia="仿宋_GB2312" w:cs="仿宋_GB2312"/>
          <w:b w:val="0"/>
          <w:bCs w:val="0"/>
          <w:color w:val="auto"/>
          <w:spacing w:val="0"/>
          <w:w w:val="100"/>
          <w:sz w:val="32"/>
          <w:szCs w:val="32"/>
          <w:highlight w:val="none"/>
          <w:lang w:eastAsia="zh-CN"/>
        </w:rPr>
        <w:t>提交材料</w:t>
      </w:r>
      <w:r>
        <w:rPr>
          <w:rFonts w:hint="eastAsia" w:ascii="仿宋_GB2312" w:hAnsi="仿宋_GB2312" w:eastAsia="仿宋_GB2312" w:cs="仿宋_GB2312"/>
          <w:b w:val="0"/>
          <w:bCs w:val="0"/>
          <w:color w:val="auto"/>
          <w:spacing w:val="0"/>
          <w:w w:val="100"/>
          <w:sz w:val="32"/>
          <w:szCs w:val="32"/>
          <w:highlight w:val="none"/>
        </w:rPr>
        <w:t>相结合的形式。调研评估提纲包括评估</w:t>
      </w:r>
      <w:r>
        <w:rPr>
          <w:rFonts w:hint="eastAsia" w:ascii="仿宋_GB2312" w:hAnsi="仿宋_GB2312" w:eastAsia="仿宋_GB2312" w:cs="仿宋_GB2312"/>
          <w:b w:val="0"/>
          <w:bCs w:val="0"/>
          <w:color w:val="auto"/>
          <w:spacing w:val="0"/>
          <w:w w:val="100"/>
          <w:sz w:val="32"/>
          <w:szCs w:val="32"/>
          <w:highlight w:val="none"/>
          <w:lang w:eastAsia="zh-CN"/>
        </w:rPr>
        <w:t>各成员单位</w:t>
      </w:r>
      <w:r>
        <w:rPr>
          <w:rFonts w:hint="eastAsia" w:ascii="仿宋_GB2312" w:hAnsi="仿宋_GB2312" w:eastAsia="仿宋_GB2312" w:cs="仿宋_GB2312"/>
          <w:b w:val="0"/>
          <w:bCs w:val="0"/>
          <w:color w:val="auto"/>
          <w:spacing w:val="0"/>
          <w:w w:val="100"/>
          <w:sz w:val="32"/>
          <w:szCs w:val="32"/>
          <w:highlight w:val="none"/>
        </w:rPr>
        <w:t>的基本情况、公平竞争审查</w:t>
      </w:r>
      <w:r>
        <w:rPr>
          <w:rFonts w:hint="eastAsia" w:ascii="仿宋_GB2312" w:hAnsi="仿宋_GB2312" w:eastAsia="仿宋_GB2312" w:cs="仿宋_GB2312"/>
          <w:b w:val="0"/>
          <w:bCs w:val="0"/>
          <w:color w:val="auto"/>
          <w:spacing w:val="0"/>
          <w:w w:val="100"/>
          <w:sz w:val="32"/>
          <w:szCs w:val="32"/>
          <w:highlight w:val="none"/>
          <w:lang w:eastAsia="zh-CN"/>
        </w:rPr>
        <w:t>机制的建立和实施情况等，同时了解各成员单位落实公平竞争审查工作中遇到的困难和阻碍。通过调研提纲的反馈材料与评估机构前期的了解情况互为补充，以确保评估的准确、真实、有效。</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楷体_GB2312" w:hAnsi="楷体_GB2312" w:eastAsia="楷体_GB2312" w:cs="楷体_GB2312"/>
          <w:b w:val="0"/>
          <w:bCs w:val="0"/>
          <w:color w:val="auto"/>
          <w:spacing w:val="0"/>
          <w:w w:val="100"/>
          <w:sz w:val="32"/>
          <w:szCs w:val="32"/>
          <w:highlight w:val="none"/>
        </w:rPr>
      </w:pPr>
      <w:r>
        <w:rPr>
          <w:rFonts w:hint="eastAsia" w:ascii="楷体_GB2312" w:hAnsi="楷体_GB2312" w:eastAsia="楷体_GB2312" w:cs="楷体_GB2312"/>
          <w:b w:val="0"/>
          <w:bCs w:val="0"/>
          <w:color w:val="auto"/>
          <w:spacing w:val="0"/>
          <w:w w:val="100"/>
          <w:sz w:val="32"/>
          <w:szCs w:val="32"/>
          <w:highlight w:val="none"/>
          <w:lang w:eastAsia="zh-CN"/>
        </w:rPr>
        <w:t>（二）</w:t>
      </w:r>
      <w:r>
        <w:rPr>
          <w:rFonts w:hint="eastAsia" w:ascii="楷体_GB2312" w:hAnsi="楷体_GB2312" w:eastAsia="楷体_GB2312" w:cs="楷体_GB2312"/>
          <w:b w:val="0"/>
          <w:bCs w:val="0"/>
          <w:color w:val="auto"/>
          <w:spacing w:val="0"/>
          <w:w w:val="100"/>
          <w:sz w:val="32"/>
          <w:szCs w:val="32"/>
          <w:highlight w:val="none"/>
        </w:rPr>
        <w:t>现场座谈调研</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开展与</w:t>
      </w:r>
      <w:r>
        <w:rPr>
          <w:rFonts w:hint="eastAsia" w:ascii="仿宋_GB2312" w:hAnsi="仿宋_GB2312" w:eastAsia="仿宋_GB2312" w:cs="仿宋_GB2312"/>
          <w:b w:val="0"/>
          <w:bCs w:val="0"/>
          <w:color w:val="auto"/>
          <w:spacing w:val="0"/>
          <w:w w:val="100"/>
          <w:sz w:val="32"/>
          <w:szCs w:val="32"/>
          <w:highlight w:val="none"/>
          <w:lang w:eastAsia="zh-CN"/>
        </w:rPr>
        <w:t>部分成员单位</w:t>
      </w:r>
      <w:r>
        <w:rPr>
          <w:rFonts w:hint="eastAsia" w:ascii="仿宋_GB2312" w:hAnsi="仿宋_GB2312" w:eastAsia="仿宋_GB2312" w:cs="仿宋_GB2312"/>
          <w:b w:val="0"/>
          <w:bCs w:val="0"/>
          <w:color w:val="auto"/>
          <w:spacing w:val="0"/>
          <w:w w:val="100"/>
          <w:sz w:val="32"/>
          <w:szCs w:val="32"/>
          <w:highlight w:val="none"/>
        </w:rPr>
        <w:t>现场调研座谈，重点了解各</w:t>
      </w:r>
      <w:r>
        <w:rPr>
          <w:rFonts w:hint="eastAsia" w:ascii="仿宋_GB2312" w:hAnsi="仿宋_GB2312" w:eastAsia="仿宋_GB2312" w:cs="仿宋_GB2312"/>
          <w:b w:val="0"/>
          <w:bCs w:val="0"/>
          <w:color w:val="auto"/>
          <w:spacing w:val="0"/>
          <w:w w:val="100"/>
          <w:sz w:val="32"/>
          <w:szCs w:val="32"/>
          <w:highlight w:val="none"/>
          <w:lang w:eastAsia="zh-CN"/>
        </w:rPr>
        <w:t>成员单位</w:t>
      </w:r>
      <w:r>
        <w:rPr>
          <w:rFonts w:hint="eastAsia" w:ascii="仿宋_GB2312" w:hAnsi="仿宋_GB2312" w:eastAsia="仿宋_GB2312" w:cs="仿宋_GB2312"/>
          <w:b w:val="0"/>
          <w:bCs w:val="0"/>
          <w:color w:val="auto"/>
          <w:spacing w:val="0"/>
          <w:w w:val="100"/>
          <w:sz w:val="32"/>
          <w:szCs w:val="32"/>
          <w:highlight w:val="none"/>
        </w:rPr>
        <w:t>在自我审查机制建立上内部</w:t>
      </w:r>
      <w:r>
        <w:rPr>
          <w:rFonts w:hint="eastAsia" w:ascii="仿宋_GB2312" w:hAnsi="仿宋_GB2312" w:eastAsia="仿宋_GB2312" w:cs="仿宋_GB2312"/>
          <w:b w:val="0"/>
          <w:bCs w:val="0"/>
          <w:color w:val="auto"/>
          <w:spacing w:val="0"/>
          <w:w w:val="100"/>
          <w:sz w:val="32"/>
          <w:szCs w:val="32"/>
          <w:highlight w:val="none"/>
          <w:lang w:eastAsia="zh-CN"/>
        </w:rPr>
        <w:t>科</w:t>
      </w:r>
      <w:r>
        <w:rPr>
          <w:rFonts w:hint="eastAsia" w:ascii="仿宋_GB2312" w:hAnsi="仿宋_GB2312" w:eastAsia="仿宋_GB2312" w:cs="仿宋_GB2312"/>
          <w:b w:val="0"/>
          <w:bCs w:val="0"/>
          <w:color w:val="auto"/>
          <w:spacing w:val="0"/>
          <w:w w:val="100"/>
          <w:sz w:val="32"/>
          <w:szCs w:val="32"/>
          <w:highlight w:val="none"/>
        </w:rPr>
        <w:t>室的职能分工、人员分配情况，以及实施中审查工作的完成质量、整改情况和公平竞争审查制度相关内容学习情况。在调研过程中，就各评估</w:t>
      </w:r>
      <w:r>
        <w:rPr>
          <w:rFonts w:hint="eastAsia" w:ascii="仿宋_GB2312" w:hAnsi="仿宋_GB2312" w:eastAsia="仿宋_GB2312" w:cs="仿宋_GB2312"/>
          <w:b w:val="0"/>
          <w:bCs w:val="0"/>
          <w:color w:val="auto"/>
          <w:spacing w:val="0"/>
          <w:w w:val="100"/>
          <w:sz w:val="32"/>
          <w:szCs w:val="32"/>
          <w:highlight w:val="none"/>
          <w:lang w:eastAsia="zh-CN"/>
        </w:rPr>
        <w:t>单位</w:t>
      </w:r>
      <w:r>
        <w:rPr>
          <w:rFonts w:hint="eastAsia" w:ascii="仿宋_GB2312" w:hAnsi="仿宋_GB2312" w:eastAsia="仿宋_GB2312" w:cs="仿宋_GB2312"/>
          <w:b w:val="0"/>
          <w:bCs w:val="0"/>
          <w:color w:val="auto"/>
          <w:spacing w:val="0"/>
          <w:w w:val="100"/>
          <w:sz w:val="32"/>
          <w:szCs w:val="32"/>
          <w:highlight w:val="none"/>
        </w:rPr>
        <w:t>在公平竞争审查制度实施过程中存在的实际困难进行记录和沟通，争取不遗漏任何一个疑问，就好的经验做法、体制机制等进行统计和挖掘，争取不放过任何一个亮点。</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楷体_GB2312" w:hAnsi="楷体_GB2312" w:eastAsia="楷体_GB2312" w:cs="楷体_GB2312"/>
          <w:b w:val="0"/>
          <w:bCs w:val="0"/>
          <w:color w:val="auto"/>
          <w:spacing w:val="0"/>
          <w:w w:val="100"/>
          <w:sz w:val="32"/>
          <w:szCs w:val="32"/>
          <w:highlight w:val="none"/>
        </w:rPr>
      </w:pPr>
      <w:r>
        <w:rPr>
          <w:rFonts w:hint="eastAsia" w:ascii="楷体_GB2312" w:hAnsi="楷体_GB2312" w:eastAsia="楷体_GB2312" w:cs="楷体_GB2312"/>
          <w:b w:val="0"/>
          <w:bCs w:val="0"/>
          <w:color w:val="auto"/>
          <w:spacing w:val="0"/>
          <w:w w:val="100"/>
          <w:sz w:val="32"/>
          <w:szCs w:val="32"/>
          <w:highlight w:val="none"/>
          <w:lang w:eastAsia="zh-CN"/>
        </w:rPr>
        <w:t>（三）</w:t>
      </w:r>
      <w:r>
        <w:rPr>
          <w:rFonts w:hint="eastAsia" w:ascii="楷体_GB2312" w:hAnsi="楷体_GB2312" w:eastAsia="楷体_GB2312" w:cs="楷体_GB2312"/>
          <w:b w:val="0"/>
          <w:bCs w:val="0"/>
          <w:color w:val="auto"/>
          <w:spacing w:val="0"/>
          <w:w w:val="100"/>
          <w:sz w:val="32"/>
          <w:szCs w:val="32"/>
          <w:highlight w:val="none"/>
        </w:rPr>
        <w:t>社会面调查</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lang w:eastAsia="zh-CN"/>
        </w:rPr>
        <w:t>评估机构</w:t>
      </w:r>
      <w:r>
        <w:rPr>
          <w:rFonts w:hint="eastAsia" w:ascii="仿宋_GB2312" w:hAnsi="仿宋_GB2312" w:eastAsia="仿宋_GB2312" w:cs="仿宋_GB2312"/>
          <w:b w:val="0"/>
          <w:bCs w:val="0"/>
          <w:color w:val="auto"/>
          <w:spacing w:val="0"/>
          <w:w w:val="100"/>
          <w:sz w:val="32"/>
          <w:szCs w:val="32"/>
          <w:highlight w:val="none"/>
        </w:rPr>
        <w:t>通过现场调研、</w:t>
      </w:r>
      <w:r>
        <w:rPr>
          <w:rFonts w:hint="eastAsia" w:ascii="仿宋_GB2312" w:hAnsi="仿宋_GB2312" w:eastAsia="仿宋_GB2312" w:cs="仿宋_GB2312"/>
          <w:b w:val="0"/>
          <w:bCs w:val="0"/>
          <w:color w:val="auto"/>
          <w:spacing w:val="0"/>
          <w:w w:val="100"/>
          <w:sz w:val="32"/>
          <w:szCs w:val="32"/>
          <w:highlight w:val="none"/>
          <w:lang w:eastAsia="zh-CN"/>
        </w:rPr>
        <w:t>线上调研</w:t>
      </w:r>
      <w:r>
        <w:rPr>
          <w:rFonts w:hint="eastAsia" w:ascii="仿宋_GB2312" w:hAnsi="仿宋_GB2312" w:eastAsia="仿宋_GB2312" w:cs="仿宋_GB2312"/>
          <w:b w:val="0"/>
          <w:bCs w:val="0"/>
          <w:color w:val="auto"/>
          <w:spacing w:val="0"/>
          <w:w w:val="100"/>
          <w:sz w:val="32"/>
          <w:szCs w:val="32"/>
          <w:highlight w:val="none"/>
        </w:rPr>
        <w:t>、</w:t>
      </w:r>
      <w:r>
        <w:rPr>
          <w:rFonts w:hint="eastAsia" w:ascii="仿宋_GB2312" w:hAnsi="仿宋_GB2312" w:eastAsia="仿宋_GB2312" w:cs="仿宋_GB2312"/>
          <w:b w:val="0"/>
          <w:bCs w:val="0"/>
          <w:color w:val="auto"/>
          <w:spacing w:val="0"/>
          <w:w w:val="100"/>
          <w:sz w:val="32"/>
          <w:szCs w:val="32"/>
          <w:highlight w:val="none"/>
          <w:lang w:eastAsia="zh-CN"/>
        </w:rPr>
        <w:t>电话</w:t>
      </w:r>
      <w:r>
        <w:rPr>
          <w:rFonts w:hint="eastAsia" w:ascii="仿宋_GB2312" w:hAnsi="仿宋_GB2312" w:eastAsia="仿宋_GB2312" w:cs="仿宋_GB2312"/>
          <w:b w:val="0"/>
          <w:bCs w:val="0"/>
          <w:color w:val="auto"/>
          <w:spacing w:val="0"/>
          <w:w w:val="100"/>
          <w:sz w:val="32"/>
          <w:szCs w:val="32"/>
          <w:highlight w:val="none"/>
        </w:rPr>
        <w:t>等方式，围绕</w:t>
      </w:r>
      <w:r>
        <w:rPr>
          <w:rFonts w:hint="eastAsia" w:ascii="仿宋_GB2312" w:hAnsi="仿宋_GB2312" w:eastAsia="仿宋_GB2312" w:cs="仿宋_GB2312"/>
          <w:b w:val="0"/>
          <w:bCs w:val="0"/>
          <w:color w:val="auto"/>
          <w:spacing w:val="0"/>
          <w:w w:val="100"/>
          <w:sz w:val="32"/>
          <w:szCs w:val="32"/>
          <w:highlight w:val="none"/>
          <w:lang w:eastAsia="zh-CN"/>
        </w:rPr>
        <w:t>张掖市</w:t>
      </w:r>
      <w:r>
        <w:rPr>
          <w:rFonts w:hint="eastAsia" w:ascii="仿宋_GB2312" w:hAnsi="仿宋_GB2312" w:eastAsia="仿宋_GB2312" w:cs="仿宋_GB2312"/>
          <w:b w:val="0"/>
          <w:bCs w:val="0"/>
          <w:color w:val="auto"/>
          <w:spacing w:val="0"/>
          <w:w w:val="100"/>
          <w:sz w:val="32"/>
          <w:szCs w:val="32"/>
          <w:highlight w:val="none"/>
        </w:rPr>
        <w:t>公平竞争制度环境的社会获得感与公平竞争审查制度保障公平营商环境效能，对公平竞争审查制度的实施成效进行追踪调查和分析研判，并基于意见汇总情况对评估对象进行量化打分。</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楷体_GB2312" w:hAnsi="楷体_GB2312" w:eastAsia="楷体_GB2312" w:cs="楷体_GB2312"/>
          <w:b w:val="0"/>
          <w:bCs w:val="0"/>
          <w:color w:val="auto"/>
          <w:spacing w:val="0"/>
          <w:w w:val="100"/>
          <w:sz w:val="32"/>
          <w:szCs w:val="32"/>
          <w:highlight w:val="none"/>
        </w:rPr>
      </w:pPr>
      <w:r>
        <w:rPr>
          <w:rFonts w:hint="eastAsia" w:ascii="楷体_GB2312" w:hAnsi="楷体_GB2312" w:eastAsia="楷体_GB2312" w:cs="楷体_GB2312"/>
          <w:b w:val="0"/>
          <w:bCs w:val="0"/>
          <w:color w:val="auto"/>
          <w:spacing w:val="0"/>
          <w:w w:val="100"/>
          <w:sz w:val="32"/>
          <w:szCs w:val="32"/>
          <w:highlight w:val="none"/>
          <w:lang w:eastAsia="zh-CN"/>
        </w:rPr>
        <w:t>（四）</w:t>
      </w:r>
      <w:r>
        <w:rPr>
          <w:rFonts w:hint="eastAsia" w:ascii="楷体_GB2312" w:hAnsi="楷体_GB2312" w:eastAsia="楷体_GB2312" w:cs="楷体_GB2312"/>
          <w:b w:val="0"/>
          <w:bCs w:val="0"/>
          <w:color w:val="auto"/>
          <w:spacing w:val="0"/>
          <w:w w:val="100"/>
          <w:sz w:val="32"/>
          <w:szCs w:val="32"/>
          <w:highlight w:val="none"/>
        </w:rPr>
        <w:t>专家论证</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评估工作进行中，</w:t>
      </w:r>
      <w:r>
        <w:rPr>
          <w:rFonts w:hint="eastAsia" w:ascii="仿宋_GB2312" w:hAnsi="仿宋_GB2312" w:eastAsia="仿宋_GB2312" w:cs="仿宋_GB2312"/>
          <w:b w:val="0"/>
          <w:bCs w:val="0"/>
          <w:color w:val="auto"/>
          <w:spacing w:val="0"/>
          <w:w w:val="100"/>
          <w:sz w:val="32"/>
          <w:szCs w:val="32"/>
          <w:highlight w:val="none"/>
          <w:lang w:eastAsia="zh-CN"/>
        </w:rPr>
        <w:t>征询</w:t>
      </w:r>
      <w:r>
        <w:rPr>
          <w:rFonts w:hint="eastAsia" w:ascii="仿宋_GB2312" w:hAnsi="仿宋_GB2312" w:eastAsia="仿宋_GB2312" w:cs="仿宋_GB2312"/>
          <w:b w:val="0"/>
          <w:bCs w:val="0"/>
          <w:color w:val="auto"/>
          <w:spacing w:val="0"/>
          <w:w w:val="100"/>
          <w:sz w:val="32"/>
          <w:szCs w:val="32"/>
          <w:highlight w:val="none"/>
        </w:rPr>
        <w:t>法学界和实务领域专家</w:t>
      </w:r>
      <w:r>
        <w:rPr>
          <w:rFonts w:hint="eastAsia" w:ascii="仿宋_GB2312" w:hAnsi="仿宋_GB2312" w:eastAsia="仿宋_GB2312" w:cs="仿宋_GB2312"/>
          <w:b w:val="0"/>
          <w:bCs w:val="0"/>
          <w:color w:val="auto"/>
          <w:spacing w:val="0"/>
          <w:w w:val="100"/>
          <w:sz w:val="32"/>
          <w:szCs w:val="32"/>
          <w:highlight w:val="none"/>
          <w:lang w:eastAsia="zh-CN"/>
        </w:rPr>
        <w:t>意见</w:t>
      </w:r>
      <w:r>
        <w:rPr>
          <w:rFonts w:hint="eastAsia" w:ascii="仿宋_GB2312" w:hAnsi="仿宋_GB2312" w:eastAsia="仿宋_GB2312" w:cs="仿宋_GB2312"/>
          <w:b w:val="0"/>
          <w:bCs w:val="0"/>
          <w:color w:val="auto"/>
          <w:spacing w:val="0"/>
          <w:w w:val="100"/>
          <w:sz w:val="32"/>
          <w:szCs w:val="32"/>
          <w:highlight w:val="none"/>
        </w:rPr>
        <w:t>，对评估过程中发现的公平竞争审查工作部署落实情况和制度实施方面典型问题和优秀案例进行学理分析和认定论证。基于专家论证结论，对典型问题予以追根溯源并提出整改建议，对优秀案例提炼出可复制、可推广、能示范的制度性、机制性经验。</w:t>
      </w:r>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lang w:eastAsia="zh-CN"/>
        </w:rPr>
        <w:t>评估机构对各成员单位提交</w:t>
      </w:r>
      <w:r>
        <w:rPr>
          <w:rFonts w:hint="eastAsia" w:ascii="仿宋_GB2312" w:hAnsi="仿宋_GB2312" w:eastAsia="仿宋_GB2312" w:cs="仿宋_GB2312"/>
          <w:b w:val="0"/>
          <w:bCs w:val="0"/>
          <w:color w:val="auto"/>
          <w:spacing w:val="0"/>
          <w:w w:val="100"/>
          <w:sz w:val="32"/>
          <w:szCs w:val="32"/>
          <w:highlight w:val="none"/>
        </w:rPr>
        <w:t>由其起草、制定的涉及市场主体经济活动的政策措</w:t>
      </w:r>
      <w:r>
        <w:rPr>
          <w:rFonts w:hint="eastAsia" w:ascii="仿宋_GB2312" w:hAnsi="仿宋_GB2312" w:eastAsia="仿宋_GB2312" w:cs="仿宋_GB2312"/>
          <w:b w:val="0"/>
          <w:bCs w:val="0"/>
          <w:strike w:val="0"/>
          <w:dstrike w:val="0"/>
          <w:color w:val="auto"/>
          <w:spacing w:val="0"/>
          <w:w w:val="100"/>
          <w:sz w:val="32"/>
          <w:szCs w:val="32"/>
          <w:highlight w:val="none"/>
        </w:rPr>
        <w:t>施</w:t>
      </w:r>
      <w:r>
        <w:rPr>
          <w:rFonts w:hint="eastAsia" w:ascii="仿宋_GB2312" w:hAnsi="仿宋_GB2312" w:eastAsia="仿宋_GB2312" w:cs="仿宋_GB2312"/>
          <w:b w:val="0"/>
          <w:bCs w:val="0"/>
          <w:strike w:val="0"/>
          <w:dstrike w:val="0"/>
          <w:color w:val="auto"/>
          <w:spacing w:val="0"/>
          <w:w w:val="100"/>
          <w:sz w:val="32"/>
          <w:szCs w:val="32"/>
          <w:highlight w:val="none"/>
          <w:lang w:eastAsia="zh-CN"/>
        </w:rPr>
        <w:t>共</w:t>
      </w:r>
      <w:r>
        <w:rPr>
          <w:rFonts w:hint="eastAsia" w:ascii="仿宋_GB2312" w:hAnsi="仿宋_GB2312" w:eastAsia="仿宋_GB2312" w:cs="仿宋_GB2312"/>
          <w:b w:val="0"/>
          <w:bCs w:val="0"/>
          <w:strike w:val="0"/>
          <w:dstrike w:val="0"/>
          <w:color w:val="auto"/>
          <w:spacing w:val="0"/>
          <w:w w:val="100"/>
          <w:sz w:val="32"/>
          <w:szCs w:val="32"/>
          <w:highlight w:val="none"/>
          <w:lang w:val="en-US" w:eastAsia="zh-CN"/>
        </w:rPr>
        <w:t>181份</w:t>
      </w:r>
      <w:r>
        <w:rPr>
          <w:rFonts w:hint="eastAsia" w:ascii="仿宋_GB2312" w:hAnsi="仿宋_GB2312" w:eastAsia="仿宋_GB2312" w:cs="仿宋_GB2312"/>
          <w:b w:val="0"/>
          <w:bCs w:val="0"/>
          <w:strike w:val="0"/>
          <w:dstrike w:val="0"/>
          <w:color w:val="auto"/>
          <w:spacing w:val="0"/>
          <w:w w:val="100"/>
          <w:sz w:val="32"/>
          <w:szCs w:val="32"/>
          <w:highlight w:val="none"/>
          <w:lang w:eastAsia="zh-CN"/>
        </w:rPr>
        <w:t>，</w:t>
      </w:r>
      <w:r>
        <w:rPr>
          <w:rFonts w:hint="eastAsia" w:ascii="仿宋_GB2312" w:hAnsi="仿宋_GB2312" w:eastAsia="仿宋_GB2312" w:cs="仿宋_GB2312"/>
          <w:b w:val="0"/>
          <w:bCs w:val="0"/>
          <w:strike w:val="0"/>
          <w:dstrike w:val="0"/>
          <w:color w:val="auto"/>
          <w:spacing w:val="0"/>
          <w:w w:val="100"/>
          <w:sz w:val="32"/>
          <w:szCs w:val="32"/>
          <w:highlight w:val="none"/>
        </w:rPr>
        <w:t>其中202</w:t>
      </w:r>
      <w:r>
        <w:rPr>
          <w:rFonts w:hint="eastAsia" w:ascii="仿宋_GB2312" w:hAnsi="仿宋_GB2312" w:eastAsia="仿宋_GB2312" w:cs="仿宋_GB2312"/>
          <w:b w:val="0"/>
          <w:bCs w:val="0"/>
          <w:strike w:val="0"/>
          <w:dstrike w:val="0"/>
          <w:color w:val="auto"/>
          <w:spacing w:val="0"/>
          <w:w w:val="100"/>
          <w:sz w:val="32"/>
          <w:szCs w:val="32"/>
          <w:highlight w:val="none"/>
          <w:lang w:val="en-US" w:eastAsia="zh-CN"/>
        </w:rPr>
        <w:t>1-2022</w:t>
      </w:r>
      <w:r>
        <w:rPr>
          <w:rFonts w:hint="eastAsia" w:ascii="仿宋_GB2312" w:hAnsi="仿宋_GB2312" w:eastAsia="仿宋_GB2312" w:cs="仿宋_GB2312"/>
          <w:b w:val="0"/>
          <w:bCs w:val="0"/>
          <w:strike w:val="0"/>
          <w:dstrike w:val="0"/>
          <w:color w:val="auto"/>
          <w:spacing w:val="0"/>
          <w:w w:val="100"/>
          <w:sz w:val="32"/>
          <w:szCs w:val="32"/>
          <w:highlight w:val="none"/>
        </w:rPr>
        <w:t>年</w:t>
      </w:r>
      <w:r>
        <w:rPr>
          <w:rFonts w:hint="eastAsia" w:ascii="仿宋_GB2312" w:hAnsi="仿宋_GB2312" w:eastAsia="仿宋_GB2312" w:cs="仿宋_GB2312"/>
          <w:b w:val="0"/>
          <w:bCs w:val="0"/>
          <w:strike w:val="0"/>
          <w:dstrike w:val="0"/>
          <w:color w:val="auto"/>
          <w:spacing w:val="0"/>
          <w:w w:val="100"/>
          <w:sz w:val="32"/>
          <w:szCs w:val="32"/>
          <w:highlight w:val="none"/>
          <w:lang w:eastAsia="zh-CN"/>
        </w:rPr>
        <w:t>度</w:t>
      </w:r>
      <w:r>
        <w:rPr>
          <w:rFonts w:hint="eastAsia" w:ascii="仿宋_GB2312" w:hAnsi="仿宋_GB2312" w:eastAsia="仿宋_GB2312" w:cs="仿宋_GB2312"/>
          <w:b w:val="0"/>
          <w:bCs w:val="0"/>
          <w:strike w:val="0"/>
          <w:dstrike w:val="0"/>
          <w:color w:val="auto"/>
          <w:spacing w:val="0"/>
          <w:w w:val="100"/>
          <w:sz w:val="32"/>
          <w:szCs w:val="32"/>
          <w:highlight w:val="none"/>
        </w:rPr>
        <w:t>出台的</w:t>
      </w:r>
      <w:r>
        <w:rPr>
          <w:rFonts w:hint="eastAsia" w:ascii="仿宋_GB2312" w:hAnsi="仿宋_GB2312" w:eastAsia="仿宋_GB2312" w:cs="仿宋_GB2312"/>
          <w:b w:val="0"/>
          <w:bCs w:val="0"/>
          <w:strike w:val="0"/>
          <w:dstrike w:val="0"/>
          <w:color w:val="auto"/>
          <w:spacing w:val="0"/>
          <w:w w:val="100"/>
          <w:sz w:val="32"/>
          <w:szCs w:val="32"/>
          <w:highlight w:val="none"/>
          <w:lang w:eastAsia="zh-CN"/>
        </w:rPr>
        <w:t>增</w:t>
      </w:r>
      <w:r>
        <w:rPr>
          <w:rFonts w:hint="eastAsia" w:ascii="仿宋_GB2312" w:hAnsi="仿宋_GB2312" w:eastAsia="仿宋_GB2312" w:cs="仿宋_GB2312"/>
          <w:b w:val="0"/>
          <w:bCs w:val="0"/>
          <w:strike w:val="0"/>
          <w:dstrike w:val="0"/>
          <w:color w:val="auto"/>
          <w:spacing w:val="0"/>
          <w:w w:val="100"/>
          <w:sz w:val="32"/>
          <w:szCs w:val="32"/>
          <w:highlight w:val="none"/>
        </w:rPr>
        <w:t>量政策措施</w:t>
      </w:r>
      <w:r>
        <w:rPr>
          <w:rFonts w:hint="eastAsia" w:ascii="仿宋_GB2312" w:hAnsi="仿宋_GB2312" w:eastAsia="仿宋_GB2312" w:cs="仿宋_GB2312"/>
          <w:b w:val="0"/>
          <w:bCs w:val="0"/>
          <w:strike w:val="0"/>
          <w:dstrike w:val="0"/>
          <w:color w:val="auto"/>
          <w:spacing w:val="0"/>
          <w:w w:val="100"/>
          <w:sz w:val="32"/>
          <w:szCs w:val="32"/>
          <w:highlight w:val="none"/>
          <w:lang w:val="en-US" w:eastAsia="zh-CN"/>
        </w:rPr>
        <w:t>139</w:t>
      </w:r>
      <w:r>
        <w:rPr>
          <w:rFonts w:hint="eastAsia" w:ascii="仿宋_GB2312" w:hAnsi="仿宋_GB2312" w:eastAsia="仿宋_GB2312" w:cs="仿宋_GB2312"/>
          <w:b w:val="0"/>
          <w:bCs w:val="0"/>
          <w:strike w:val="0"/>
          <w:dstrike w:val="0"/>
          <w:color w:val="auto"/>
          <w:spacing w:val="0"/>
          <w:w w:val="100"/>
          <w:sz w:val="32"/>
          <w:szCs w:val="32"/>
          <w:highlight w:val="none"/>
        </w:rPr>
        <w:t>份</w:t>
      </w:r>
      <w:r>
        <w:rPr>
          <w:rFonts w:hint="eastAsia" w:ascii="仿宋_GB2312" w:hAnsi="仿宋_GB2312" w:eastAsia="仿宋_GB2312" w:cs="仿宋_GB2312"/>
          <w:b w:val="0"/>
          <w:bCs w:val="0"/>
          <w:strike w:val="0"/>
          <w:dstrike w:val="0"/>
          <w:color w:val="auto"/>
          <w:spacing w:val="0"/>
          <w:w w:val="100"/>
          <w:sz w:val="32"/>
          <w:szCs w:val="32"/>
          <w:highlight w:val="none"/>
          <w:lang w:eastAsia="zh-CN"/>
        </w:rPr>
        <w:t>，</w:t>
      </w:r>
      <w:r>
        <w:rPr>
          <w:rFonts w:hint="eastAsia" w:ascii="仿宋_GB2312" w:hAnsi="仿宋_GB2312" w:eastAsia="仿宋_GB2312" w:cs="仿宋_GB2312"/>
          <w:b w:val="0"/>
          <w:bCs w:val="0"/>
          <w:strike w:val="0"/>
          <w:dstrike w:val="0"/>
          <w:color w:val="auto"/>
          <w:spacing w:val="0"/>
          <w:w w:val="100"/>
          <w:sz w:val="32"/>
          <w:szCs w:val="32"/>
          <w:highlight w:val="none"/>
        </w:rPr>
        <w:t>并就</w:t>
      </w:r>
      <w:r>
        <w:rPr>
          <w:rFonts w:hint="eastAsia" w:ascii="仿宋_GB2312" w:hAnsi="仿宋_GB2312" w:eastAsia="仿宋_GB2312" w:cs="仿宋_GB2312"/>
          <w:b w:val="0"/>
          <w:bCs w:val="0"/>
          <w:strike w:val="0"/>
          <w:dstrike w:val="0"/>
          <w:color w:val="auto"/>
          <w:spacing w:val="0"/>
          <w:w w:val="100"/>
          <w:sz w:val="32"/>
          <w:szCs w:val="32"/>
          <w:highlight w:val="none"/>
          <w:lang w:eastAsia="zh-CN"/>
        </w:rPr>
        <w:t>提供的</w:t>
      </w:r>
      <w:r>
        <w:rPr>
          <w:rFonts w:hint="eastAsia" w:ascii="仿宋_GB2312" w:hAnsi="仿宋_GB2312" w:eastAsia="仿宋_GB2312" w:cs="仿宋_GB2312"/>
          <w:b w:val="0"/>
          <w:bCs w:val="0"/>
          <w:strike w:val="0"/>
          <w:dstrike w:val="0"/>
          <w:color w:val="auto"/>
          <w:spacing w:val="0"/>
          <w:w w:val="100"/>
          <w:sz w:val="32"/>
          <w:szCs w:val="32"/>
          <w:highlight w:val="none"/>
        </w:rPr>
        <w:t>规范性文件单独出具公平竞争审查意见。</w:t>
      </w:r>
      <w:r>
        <w:rPr>
          <w:rFonts w:hint="eastAsia" w:ascii="仿宋_GB2312" w:hAnsi="仿宋_GB2312" w:eastAsia="仿宋_GB2312" w:cs="仿宋_GB2312"/>
          <w:b w:val="0"/>
          <w:bCs w:val="0"/>
          <w:strike w:val="0"/>
          <w:dstrike w:val="0"/>
          <w:color w:val="auto"/>
          <w:spacing w:val="0"/>
          <w:w w:val="100"/>
          <w:sz w:val="32"/>
          <w:szCs w:val="32"/>
          <w:highlight w:val="none"/>
          <w:lang w:eastAsia="zh-CN"/>
        </w:rPr>
        <w:t>经过</w:t>
      </w:r>
      <w:r>
        <w:rPr>
          <w:rFonts w:hint="eastAsia" w:ascii="仿宋_GB2312" w:hAnsi="仿宋_GB2312" w:eastAsia="仿宋_GB2312" w:cs="仿宋_GB2312"/>
          <w:b w:val="0"/>
          <w:bCs w:val="0"/>
          <w:strike w:val="0"/>
          <w:dstrike w:val="0"/>
          <w:color w:val="auto"/>
          <w:spacing w:val="0"/>
          <w:w w:val="100"/>
          <w:sz w:val="32"/>
          <w:szCs w:val="32"/>
          <w:highlight w:val="none"/>
          <w:lang w:val="en-US" w:eastAsia="zh-CN"/>
        </w:rPr>
        <w:t>审查</w:t>
      </w:r>
      <w:r>
        <w:rPr>
          <w:rFonts w:hint="eastAsia" w:ascii="仿宋_GB2312" w:hAnsi="仿宋_GB2312" w:eastAsia="仿宋_GB2312" w:cs="仿宋_GB2312"/>
          <w:b w:val="0"/>
          <w:bCs w:val="0"/>
          <w:strike w:val="0"/>
          <w:dstrike w:val="0"/>
          <w:color w:val="auto"/>
          <w:spacing w:val="0"/>
          <w:w w:val="100"/>
          <w:sz w:val="32"/>
          <w:szCs w:val="32"/>
          <w:highlight w:val="none"/>
        </w:rPr>
        <w:t>，</w:t>
      </w:r>
      <w:r>
        <w:rPr>
          <w:rFonts w:hint="eastAsia" w:ascii="仿宋_GB2312" w:hAnsi="仿宋_GB2312" w:eastAsia="仿宋_GB2312" w:cs="仿宋_GB2312"/>
          <w:b w:val="0"/>
          <w:bCs w:val="0"/>
          <w:strike w:val="0"/>
          <w:dstrike w:val="0"/>
          <w:color w:val="auto"/>
          <w:spacing w:val="0"/>
          <w:w w:val="100"/>
          <w:sz w:val="32"/>
          <w:szCs w:val="32"/>
          <w:highlight w:val="none"/>
          <w:lang w:val="zh-CN" w:eastAsia="zh-CN"/>
        </w:rPr>
        <w:t>共排查出</w:t>
      </w:r>
      <w:r>
        <w:rPr>
          <w:rFonts w:hint="eastAsia" w:ascii="仿宋_GB2312" w:hAnsi="仿宋_GB2312" w:eastAsia="仿宋_GB2312" w:cs="仿宋_GB2312"/>
          <w:b w:val="0"/>
          <w:bCs w:val="0"/>
          <w:strike w:val="0"/>
          <w:dstrike w:val="0"/>
          <w:color w:val="auto"/>
          <w:spacing w:val="0"/>
          <w:w w:val="100"/>
          <w:sz w:val="32"/>
          <w:szCs w:val="32"/>
          <w:highlight w:val="none"/>
          <w:lang w:val="en-US" w:eastAsia="zh-CN"/>
        </w:rPr>
        <w:t>26</w:t>
      </w:r>
      <w:r>
        <w:rPr>
          <w:rFonts w:hint="eastAsia" w:ascii="仿宋_GB2312" w:hAnsi="仿宋_GB2312" w:eastAsia="仿宋_GB2312" w:cs="仿宋_GB2312"/>
          <w:b w:val="0"/>
          <w:bCs w:val="0"/>
          <w:strike w:val="0"/>
          <w:dstrike w:val="0"/>
          <w:color w:val="auto"/>
          <w:spacing w:val="0"/>
          <w:w w:val="100"/>
          <w:sz w:val="32"/>
          <w:szCs w:val="32"/>
          <w:highlight w:val="none"/>
          <w:lang w:val="zh-CN" w:eastAsia="zh-CN"/>
        </w:rPr>
        <w:t>份</w:t>
      </w:r>
      <w:r>
        <w:rPr>
          <w:rFonts w:hint="eastAsia" w:ascii="仿宋_GB2312" w:hAnsi="仿宋_GB2312" w:eastAsia="仿宋_GB2312" w:cs="仿宋_GB2312"/>
          <w:b w:val="0"/>
          <w:bCs w:val="0"/>
          <w:color w:val="auto"/>
          <w:spacing w:val="0"/>
          <w:w w:val="100"/>
          <w:sz w:val="32"/>
          <w:szCs w:val="32"/>
          <w:highlight w:val="none"/>
          <w:lang w:val="zh-CN" w:eastAsia="zh-CN"/>
        </w:rPr>
        <w:t>违反公平竞争审查的问题文件。</w:t>
      </w:r>
      <w:r>
        <w:rPr>
          <w:rFonts w:hint="eastAsia" w:ascii="仿宋_GB2312" w:hAnsi="仿宋_GB2312" w:eastAsia="仿宋_GB2312" w:cs="仿宋_GB2312"/>
          <w:b w:val="0"/>
          <w:bCs w:val="0"/>
          <w:color w:val="auto"/>
          <w:spacing w:val="0"/>
          <w:w w:val="100"/>
          <w:sz w:val="32"/>
          <w:szCs w:val="32"/>
          <w:highlight w:val="none"/>
        </w:rPr>
        <w:t>各</w:t>
      </w:r>
      <w:r>
        <w:rPr>
          <w:rFonts w:hint="eastAsia" w:ascii="仿宋_GB2312" w:hAnsi="仿宋_GB2312" w:eastAsia="仿宋_GB2312" w:cs="仿宋_GB2312"/>
          <w:b w:val="0"/>
          <w:bCs w:val="0"/>
          <w:color w:val="auto"/>
          <w:spacing w:val="0"/>
          <w:w w:val="100"/>
          <w:sz w:val="32"/>
          <w:szCs w:val="32"/>
          <w:highlight w:val="none"/>
          <w:lang w:eastAsia="zh-CN"/>
        </w:rPr>
        <w:t>被</w:t>
      </w:r>
      <w:r>
        <w:rPr>
          <w:rFonts w:hint="eastAsia" w:ascii="仿宋_GB2312" w:hAnsi="仿宋_GB2312" w:eastAsia="仿宋_GB2312" w:cs="仿宋_GB2312"/>
          <w:b w:val="0"/>
          <w:bCs w:val="0"/>
          <w:color w:val="auto"/>
          <w:spacing w:val="0"/>
          <w:w w:val="100"/>
          <w:sz w:val="32"/>
          <w:szCs w:val="32"/>
          <w:highlight w:val="none"/>
        </w:rPr>
        <w:t>评估</w:t>
      </w:r>
      <w:r>
        <w:rPr>
          <w:rFonts w:hint="eastAsia" w:ascii="仿宋_GB2312" w:hAnsi="仿宋_GB2312" w:eastAsia="仿宋_GB2312" w:cs="仿宋_GB2312"/>
          <w:b w:val="0"/>
          <w:bCs w:val="0"/>
          <w:color w:val="auto"/>
          <w:spacing w:val="0"/>
          <w:w w:val="100"/>
          <w:sz w:val="32"/>
          <w:szCs w:val="32"/>
          <w:highlight w:val="none"/>
          <w:lang w:eastAsia="zh-CN"/>
        </w:rPr>
        <w:t>部门出具承诺函</w:t>
      </w:r>
      <w:r>
        <w:rPr>
          <w:rFonts w:hint="eastAsia" w:ascii="仿宋_GB2312" w:hAnsi="仿宋_GB2312" w:eastAsia="仿宋_GB2312" w:cs="仿宋_GB2312"/>
          <w:b w:val="0"/>
          <w:bCs w:val="0"/>
          <w:color w:val="auto"/>
          <w:spacing w:val="0"/>
          <w:w w:val="100"/>
          <w:sz w:val="32"/>
          <w:szCs w:val="32"/>
          <w:highlight w:val="none"/>
          <w:lang w:val="en-US" w:eastAsia="zh-CN"/>
        </w:rPr>
        <w:t>对</w:t>
      </w:r>
      <w:r>
        <w:rPr>
          <w:rFonts w:hint="eastAsia" w:ascii="仿宋_GB2312" w:hAnsi="仿宋_GB2312" w:eastAsia="仿宋_GB2312" w:cs="仿宋_GB2312"/>
          <w:b w:val="0"/>
          <w:bCs w:val="0"/>
          <w:color w:val="auto"/>
          <w:spacing w:val="0"/>
          <w:w w:val="100"/>
          <w:sz w:val="32"/>
          <w:szCs w:val="32"/>
          <w:highlight w:val="none"/>
        </w:rPr>
        <w:t>本</w:t>
      </w:r>
      <w:r>
        <w:rPr>
          <w:rFonts w:hint="eastAsia" w:ascii="仿宋_GB2312" w:hAnsi="仿宋_GB2312" w:eastAsia="仿宋_GB2312" w:cs="仿宋_GB2312"/>
          <w:b w:val="0"/>
          <w:bCs w:val="0"/>
          <w:color w:val="auto"/>
          <w:spacing w:val="0"/>
          <w:w w:val="100"/>
          <w:sz w:val="32"/>
          <w:szCs w:val="32"/>
          <w:highlight w:val="none"/>
          <w:lang w:eastAsia="zh-CN"/>
        </w:rPr>
        <w:t>部门</w:t>
      </w:r>
      <w:r>
        <w:rPr>
          <w:rFonts w:hint="eastAsia" w:ascii="仿宋_GB2312" w:hAnsi="仿宋_GB2312" w:eastAsia="仿宋_GB2312" w:cs="仿宋_GB2312"/>
          <w:b w:val="0"/>
          <w:bCs w:val="0"/>
          <w:color w:val="auto"/>
          <w:spacing w:val="0"/>
          <w:w w:val="100"/>
          <w:sz w:val="32"/>
          <w:szCs w:val="32"/>
          <w:highlight w:val="none"/>
        </w:rPr>
        <w:t>所提交的文件清单真实性、准确性、全面性负责。</w:t>
      </w:r>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16" w:name="_Toc101045472"/>
      <w:bookmarkStart w:id="17" w:name="_Toc6654"/>
      <w:r>
        <w:rPr>
          <w:rFonts w:hint="eastAsia" w:ascii="黑体" w:hAnsi="黑体" w:eastAsia="黑体" w:cs="黑体"/>
          <w:b w:val="0"/>
          <w:bCs w:val="0"/>
          <w:color w:val="auto"/>
          <w:spacing w:val="0"/>
          <w:w w:val="100"/>
          <w:sz w:val="32"/>
          <w:szCs w:val="32"/>
          <w:highlight w:val="none"/>
        </w:rPr>
        <w:t>第三节评估标准</w:t>
      </w:r>
      <w:bookmarkEnd w:id="16"/>
      <w:bookmarkEnd w:id="17"/>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根据《公平竞争审查制度实施细则》（国市监反垄规〔2021〕2号）明确的基本分析框架和审查标准，本</w:t>
      </w:r>
      <w:r>
        <w:rPr>
          <w:rFonts w:hint="eastAsia" w:ascii="仿宋_GB2312" w:hAnsi="仿宋_GB2312" w:eastAsia="仿宋_GB2312" w:cs="仿宋_GB2312"/>
          <w:b w:val="0"/>
          <w:bCs w:val="0"/>
          <w:color w:val="auto"/>
          <w:spacing w:val="0"/>
          <w:w w:val="100"/>
          <w:sz w:val="32"/>
          <w:szCs w:val="32"/>
          <w:highlight w:val="none"/>
          <w:lang w:eastAsia="zh-CN"/>
        </w:rPr>
        <w:t>次评估</w:t>
      </w:r>
      <w:r>
        <w:rPr>
          <w:rFonts w:hint="eastAsia" w:ascii="仿宋_GB2312" w:hAnsi="仿宋_GB2312" w:eastAsia="仿宋_GB2312" w:cs="仿宋_GB2312"/>
          <w:b w:val="0"/>
          <w:bCs w:val="0"/>
          <w:color w:val="auto"/>
          <w:spacing w:val="0"/>
          <w:w w:val="100"/>
          <w:sz w:val="32"/>
          <w:szCs w:val="32"/>
          <w:highlight w:val="none"/>
        </w:rPr>
        <w:t>按照以下标准开展公平竞争审查第三方评估：</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r>
        <w:rPr>
          <w:rFonts w:hint="eastAsia" w:ascii="黑体" w:hAnsi="黑体" w:eastAsia="黑体" w:cs="黑体"/>
          <w:b w:val="0"/>
          <w:bCs w:val="0"/>
          <w:color w:val="auto"/>
          <w:spacing w:val="0"/>
          <w:w w:val="100"/>
          <w:sz w:val="32"/>
          <w:szCs w:val="32"/>
          <w:highlight w:val="none"/>
        </w:rPr>
        <w:t>一、市场准入和退出标准</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（一）不得设置不合理或者歧视性的准入和退出条件；</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（二）未经公平竞争不得授予经营者特许经营权；</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（三）不得限定经营、购买、使用特定经营者提供的商品和服务；</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（四）不得设置没有法律、行政法规或者国务院规定依据的审批或者具有行政审批性质的事前备案程序；</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五）不得对市场准入负面清单以外的行业、领域、业务等设置审批程序，主要指没有法律、行政法规或者国务院规定依据，采取禁止进入、限制市场主体资质、限制股权比例、限制经营范围和商业模式等方式，限制或者变相限制市场准入。</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r>
        <w:rPr>
          <w:rFonts w:hint="eastAsia" w:ascii="黑体" w:hAnsi="黑体" w:eastAsia="黑体" w:cs="黑体"/>
          <w:b w:val="0"/>
          <w:bCs w:val="0"/>
          <w:color w:val="auto"/>
          <w:spacing w:val="0"/>
          <w:w w:val="100"/>
          <w:sz w:val="32"/>
          <w:szCs w:val="32"/>
          <w:highlight w:val="none"/>
        </w:rPr>
        <w:t>二、商品和要素自由流动标准</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（一）不得对外地和进口商品、服务实行歧视性价格和歧视性补贴政策；</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（二）不得限制外地和进口商品、服务进入本地市场或者阻碍本地商品运出、服务输出；</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（三）不得排斥或者限制外地经营者参加本地招标投标活动；</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（四）不得排斥、限制或者强制外地经营者在本地投资或者设立分支机构；</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（五）不得对外地经营者在本地的投资或者设立的分支机构实行歧视性待遇，侵害其合法权益。</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r>
        <w:rPr>
          <w:rFonts w:hint="eastAsia" w:ascii="黑体" w:hAnsi="黑体" w:eastAsia="黑体" w:cs="黑体"/>
          <w:b w:val="0"/>
          <w:bCs w:val="0"/>
          <w:color w:val="auto"/>
          <w:spacing w:val="0"/>
          <w:w w:val="100"/>
          <w:sz w:val="32"/>
          <w:szCs w:val="32"/>
          <w:highlight w:val="none"/>
        </w:rPr>
        <w:t>三、影响生产经营成本标准</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（一）不得违法给予特定经营者优惠政策；</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二）安排财政支出一般不得与特定经营者缴纳的税收或非税收入挂钩，主要指根据特定经营者缴纳的税收或者非税收入情况，采取列收列支或者违法违规采取先征后返、即征即退等形式，对特定经营者进行返还，或者给予特定经营者财政奖励或补贴、减免土地等自然资源有偿使用收入等优惠政策；</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三）不得违法违规减免或者缓征特定经营者应当缴纳的社会保险费用，主要指没有法律、行政法规或者国务院规定依据，根据经营者规模、所有制形式、组织形式、地区等因素，减免或者缓征特定经营者需要缴纳的基本养老保险费、基本医疗保险费、失业保险费、工伤保险费、生育保险费等。</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（四）不得在法律规定之外要求经营者提供或扣留经营者各类保证金。</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r>
        <w:rPr>
          <w:rFonts w:hint="eastAsia" w:ascii="黑体" w:hAnsi="黑体" w:eastAsia="黑体" w:cs="黑体"/>
          <w:b w:val="0"/>
          <w:bCs w:val="0"/>
          <w:color w:val="auto"/>
          <w:spacing w:val="0"/>
          <w:w w:val="100"/>
          <w:sz w:val="32"/>
          <w:szCs w:val="32"/>
          <w:highlight w:val="none"/>
        </w:rPr>
        <w:t>四、影响生产经营行为标准</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（一）不得强制经营者从事《中华人民共和国反垄断法》禁止的垄断行为，</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主要指以行政命令、行政授权、行政指导等方式或者通过行业协会商会，强制、组织或者引导经营者达成垄断协议、滥用市场支配地位，以及实施具有或者可能具有排除、限制竞争效果的经营者集中等行为；</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二）不得违法披露或者违法要求经营者披露生产经营敏感信息，为经营者实施垄断行为提供便利条件。生产经营敏感信息是指除依据法律、行政法规或者国务院规定需要公开之外，生产经营者未主动公开，通过公开渠道无法采集的生产经营数据。主要包括：拟定价格、成本、营业收入、利润、生产数量、销售数量、生产销售计划、进出口数量、经销商信息、终端客户信息等；</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（三）不得超越定价权限进行政府定价；</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left"/>
        <w:rPr>
          <w:rFonts w:hint="eastAsia" w:ascii="仿宋_GB2312" w:hAnsi="仿宋_GB2312" w:eastAsia="仿宋_GB2312" w:cs="仿宋_GB2312"/>
          <w:b w:val="0"/>
          <w:bCs w:val="0"/>
          <w:color w:val="auto"/>
          <w:spacing w:val="23"/>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（四）不得</w:t>
      </w:r>
      <w:r>
        <w:rPr>
          <w:rFonts w:hint="eastAsia" w:ascii="仿宋_GB2312" w:hAnsi="仿宋_GB2312" w:eastAsia="仿宋_GB2312" w:cs="仿宋_GB2312"/>
          <w:b w:val="0"/>
          <w:bCs w:val="0"/>
          <w:color w:val="auto"/>
          <w:spacing w:val="23"/>
          <w:w w:val="100"/>
          <w:sz w:val="32"/>
          <w:szCs w:val="32"/>
          <w:highlight w:val="none"/>
        </w:rPr>
        <w:t>违法干预实行市场调节价的商品和服务的价格水平。</w:t>
      </w:r>
    </w:p>
    <w:p>
      <w:pPr>
        <w:pStyle w:val="3"/>
        <w:pageBreakBefore w:val="0"/>
        <w:kinsoku/>
        <w:wordWrap/>
        <w:overflowPunct/>
        <w:topLinePunct/>
        <w:autoSpaceDE/>
        <w:autoSpaceDN/>
        <w:bidi w:val="0"/>
        <w:adjustRightInd w:val="0"/>
        <w:snapToGrid w:val="0"/>
        <w:spacing w:before="0" w:beforeAutospacing="0" w:after="0" w:line="540" w:lineRule="exact"/>
        <w:ind w:left="0" w:leftChars="0" w:right="0" w:firstLine="640" w:firstLineChars="200"/>
        <w:jc w:val="left"/>
        <w:outlineLvl w:val="9"/>
        <w:rPr>
          <w:rFonts w:hint="eastAsia" w:ascii="仿宋_GB2312" w:hAnsi="仿宋_GB2312" w:eastAsia="仿宋_GB2312" w:cs="仿宋_GB2312"/>
          <w:b w:val="0"/>
          <w:bCs w:val="0"/>
          <w:color w:val="auto"/>
          <w:spacing w:val="0"/>
          <w:w w:val="100"/>
          <w:sz w:val="32"/>
          <w:szCs w:val="32"/>
          <w:highlight w:val="none"/>
        </w:rPr>
        <w:sectPr>
          <w:footerReference r:id="rId7" w:type="default"/>
          <w:pgSz w:w="11906" w:h="16838"/>
          <w:pgMar w:top="2098" w:right="1474" w:bottom="1984" w:left="1587" w:header="851" w:footer="992" w:gutter="0"/>
          <w:pgBorders>
            <w:top w:val="none" w:sz="0" w:space="0"/>
            <w:left w:val="none" w:sz="0" w:space="0"/>
            <w:bottom w:val="none" w:sz="0" w:space="0"/>
            <w:right w:val="none" w:sz="0" w:space="0"/>
          </w:pgBorders>
          <w:pgNumType w:fmt="decimal"/>
          <w:cols w:space="425" w:num="1"/>
          <w:docGrid w:type="lines" w:linePitch="312" w:charSpace="0"/>
        </w:sectPr>
      </w:pPr>
      <w:bookmarkStart w:id="18" w:name="_Toc30721"/>
      <w:bookmarkStart w:id="19" w:name="_Toc6835"/>
      <w:bookmarkStart w:id="20" w:name="_Toc2324"/>
    </w:p>
    <w:p>
      <w:pPr>
        <w:pStyle w:val="3"/>
        <w:keepNext w:val="0"/>
        <w:keepLines w:val="0"/>
        <w:pageBreakBefore w:val="0"/>
        <w:widowControl w:val="0"/>
        <w:kinsoku/>
        <w:wordWrap/>
        <w:overflowPunct/>
        <w:topLinePunct/>
        <w:autoSpaceDE/>
        <w:autoSpaceDN/>
        <w:bidi w:val="0"/>
        <w:adjustRightInd w:val="0"/>
        <w:snapToGrid w:val="0"/>
        <w:spacing w:before="0" w:beforeAutospacing="0" w:after="313" w:afterLines="100" w:line="540" w:lineRule="exact"/>
        <w:ind w:left="0" w:leftChars="0" w:right="0" w:firstLine="0" w:firstLineChars="0"/>
        <w:jc w:val="center"/>
        <w:textAlignment w:val="auto"/>
        <w:rPr>
          <w:rFonts w:hint="eastAsia" w:ascii="方正小标宋简体" w:hAnsi="方正小标宋简体" w:eastAsia="方正小标宋简体" w:cs="方正小标宋简体"/>
          <w:b w:val="0"/>
          <w:bCs w:val="0"/>
          <w:color w:val="auto"/>
          <w:spacing w:val="0"/>
          <w:w w:val="100"/>
          <w:sz w:val="36"/>
          <w:szCs w:val="36"/>
          <w:highlight w:val="none"/>
        </w:rPr>
      </w:pPr>
      <w:bookmarkStart w:id="21" w:name="_Toc101045473"/>
      <w:bookmarkStart w:id="22" w:name="_Toc30640"/>
      <w:r>
        <w:rPr>
          <w:rFonts w:hint="eastAsia" w:ascii="方正小标宋简体" w:hAnsi="方正小标宋简体" w:eastAsia="方正小标宋简体" w:cs="方正小标宋简体"/>
          <w:b w:val="0"/>
          <w:bCs w:val="0"/>
          <w:color w:val="auto"/>
          <w:spacing w:val="0"/>
          <w:w w:val="100"/>
          <w:sz w:val="36"/>
          <w:szCs w:val="36"/>
          <w:highlight w:val="none"/>
        </w:rPr>
        <w:t>第二章</w:t>
      </w:r>
      <w:r>
        <w:rPr>
          <w:rFonts w:hint="eastAsia" w:ascii="方正小标宋简体" w:hAnsi="方正小标宋简体" w:eastAsia="方正小标宋简体" w:cs="方正小标宋简体"/>
          <w:b w:val="0"/>
          <w:bCs w:val="0"/>
          <w:color w:val="auto"/>
          <w:spacing w:val="0"/>
          <w:w w:val="100"/>
          <w:sz w:val="36"/>
          <w:szCs w:val="36"/>
          <w:highlight w:val="none"/>
          <w:lang w:val="en-US" w:eastAsia="zh-CN"/>
        </w:rPr>
        <w:t xml:space="preserve"> </w:t>
      </w:r>
      <w:r>
        <w:rPr>
          <w:rFonts w:hint="eastAsia" w:ascii="方正小标宋简体" w:hAnsi="方正小标宋简体" w:eastAsia="方正小标宋简体" w:cs="方正小标宋简体"/>
          <w:b w:val="0"/>
          <w:bCs w:val="0"/>
          <w:color w:val="auto"/>
          <w:spacing w:val="0"/>
          <w:w w:val="100"/>
          <w:sz w:val="36"/>
          <w:szCs w:val="36"/>
          <w:highlight w:val="none"/>
          <w:lang w:eastAsia="zh-CN"/>
        </w:rPr>
        <w:t>张掖市</w:t>
      </w:r>
      <w:r>
        <w:rPr>
          <w:rFonts w:hint="eastAsia" w:ascii="方正小标宋简体" w:hAnsi="方正小标宋简体" w:eastAsia="方正小标宋简体" w:cs="方正小标宋简体"/>
          <w:b w:val="0"/>
          <w:bCs w:val="0"/>
          <w:color w:val="auto"/>
          <w:spacing w:val="0"/>
          <w:w w:val="100"/>
          <w:sz w:val="36"/>
          <w:szCs w:val="36"/>
          <w:highlight w:val="none"/>
        </w:rPr>
        <w:t>公平竞争审查制度落实情况</w:t>
      </w:r>
      <w:bookmarkEnd w:id="21"/>
      <w:bookmarkEnd w:id="22"/>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23" w:name="_Toc101045474"/>
      <w:bookmarkStart w:id="24" w:name="_Toc3052"/>
      <w:r>
        <w:rPr>
          <w:rFonts w:hint="eastAsia" w:ascii="黑体" w:hAnsi="黑体" w:eastAsia="黑体" w:cs="黑体"/>
          <w:b w:val="0"/>
          <w:bCs w:val="0"/>
          <w:color w:val="auto"/>
          <w:spacing w:val="0"/>
          <w:w w:val="100"/>
          <w:sz w:val="32"/>
          <w:szCs w:val="32"/>
          <w:highlight w:val="none"/>
        </w:rPr>
        <w:t>第一节</w:t>
      </w:r>
      <w:r>
        <w:rPr>
          <w:rFonts w:hint="eastAsia"/>
          <w:lang w:val="en-US" w:eastAsia="zh-CN"/>
        </w:rPr>
        <w:t xml:space="preserve"> </w:t>
      </w:r>
      <w:r>
        <w:rPr>
          <w:rFonts w:hint="eastAsia" w:ascii="黑体" w:hAnsi="黑体" w:eastAsia="黑体" w:cs="黑体"/>
          <w:b w:val="0"/>
          <w:bCs w:val="0"/>
          <w:color w:val="auto"/>
          <w:spacing w:val="0"/>
          <w:w w:val="100"/>
          <w:sz w:val="32"/>
          <w:szCs w:val="32"/>
          <w:highlight w:val="none"/>
        </w:rPr>
        <w:t>评估的整体情况</w:t>
      </w:r>
      <w:bookmarkEnd w:id="23"/>
      <w:bookmarkEnd w:id="24"/>
    </w:p>
    <w:p>
      <w:pPr>
        <w:pStyle w:val="3"/>
        <w:pageBreakBefore w:val="0"/>
        <w:kinsoku/>
        <w:wordWrap/>
        <w:overflowPunct/>
        <w:topLinePunct/>
        <w:autoSpaceDE/>
        <w:autoSpaceDN/>
        <w:bidi w:val="0"/>
        <w:adjustRightInd w:val="0"/>
        <w:snapToGrid w:val="0"/>
        <w:spacing w:before="0" w:beforeAutospacing="0" w:after="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bookmarkStart w:id="25" w:name="_Toc101045475"/>
      <w:bookmarkStart w:id="26" w:name="_Toc23982"/>
      <w:r>
        <w:rPr>
          <w:rFonts w:hint="eastAsia" w:ascii="黑体" w:hAnsi="黑体" w:eastAsia="黑体" w:cs="黑体"/>
          <w:b w:val="0"/>
          <w:bCs w:val="0"/>
          <w:color w:val="auto"/>
          <w:spacing w:val="0"/>
          <w:w w:val="100"/>
          <w:sz w:val="32"/>
          <w:szCs w:val="32"/>
          <w:highlight w:val="none"/>
        </w:rPr>
        <w:t>一、评估基本数据</w:t>
      </w:r>
      <w:bookmarkEnd w:id="25"/>
      <w:bookmarkEnd w:id="26"/>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strike w:val="0"/>
          <w:dstrike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本次评估工作中，</w:t>
      </w:r>
      <w:r>
        <w:rPr>
          <w:rFonts w:hint="eastAsia" w:ascii="仿宋_GB2312" w:hAnsi="仿宋_GB2312" w:eastAsia="仿宋_GB2312" w:cs="仿宋_GB2312"/>
          <w:b w:val="0"/>
          <w:bCs w:val="0"/>
          <w:color w:val="auto"/>
          <w:spacing w:val="0"/>
          <w:w w:val="100"/>
          <w:sz w:val="32"/>
          <w:szCs w:val="32"/>
          <w:highlight w:val="none"/>
          <w:lang w:val="en-US" w:eastAsia="zh-CN"/>
        </w:rPr>
        <w:t>29</w:t>
      </w:r>
      <w:r>
        <w:rPr>
          <w:rFonts w:hint="eastAsia" w:ascii="仿宋_GB2312" w:hAnsi="仿宋_GB2312" w:eastAsia="仿宋_GB2312" w:cs="仿宋_GB2312"/>
          <w:b w:val="0"/>
          <w:bCs w:val="0"/>
          <w:color w:val="auto"/>
          <w:spacing w:val="0"/>
          <w:w w:val="100"/>
          <w:sz w:val="32"/>
          <w:szCs w:val="32"/>
          <w:highlight w:val="none"/>
        </w:rPr>
        <w:t>个</w:t>
      </w:r>
      <w:r>
        <w:rPr>
          <w:rFonts w:hint="eastAsia" w:ascii="仿宋_GB2312" w:hAnsi="仿宋_GB2312" w:eastAsia="仿宋_GB2312" w:cs="仿宋_GB2312"/>
          <w:b w:val="0"/>
          <w:bCs w:val="0"/>
          <w:color w:val="auto"/>
          <w:spacing w:val="0"/>
          <w:w w:val="100"/>
          <w:sz w:val="32"/>
          <w:szCs w:val="32"/>
          <w:highlight w:val="none"/>
          <w:lang w:eastAsia="zh-CN"/>
        </w:rPr>
        <w:t>被</w:t>
      </w:r>
      <w:r>
        <w:rPr>
          <w:rFonts w:hint="eastAsia" w:ascii="仿宋_GB2312" w:hAnsi="仿宋_GB2312" w:eastAsia="仿宋_GB2312" w:cs="仿宋_GB2312"/>
          <w:b w:val="0"/>
          <w:bCs w:val="0"/>
          <w:color w:val="auto"/>
          <w:spacing w:val="0"/>
          <w:w w:val="100"/>
          <w:sz w:val="32"/>
          <w:szCs w:val="32"/>
          <w:highlight w:val="none"/>
        </w:rPr>
        <w:t>评估对象共计</w:t>
      </w:r>
      <w:r>
        <w:rPr>
          <w:rFonts w:hint="eastAsia" w:ascii="仿宋_GB2312" w:hAnsi="仿宋_GB2312" w:eastAsia="仿宋_GB2312" w:cs="仿宋_GB2312"/>
          <w:b w:val="0"/>
          <w:bCs w:val="0"/>
          <w:color w:val="auto"/>
          <w:spacing w:val="0"/>
          <w:w w:val="100"/>
          <w:sz w:val="32"/>
          <w:szCs w:val="32"/>
          <w:highlight w:val="none"/>
          <w:lang w:eastAsia="zh-CN"/>
        </w:rPr>
        <w:t>提交</w:t>
      </w:r>
      <w:r>
        <w:rPr>
          <w:rFonts w:hint="eastAsia" w:ascii="仿宋_GB2312" w:hAnsi="仿宋_GB2312" w:eastAsia="仿宋_GB2312" w:cs="仿宋_GB2312"/>
          <w:b w:val="0"/>
          <w:bCs w:val="0"/>
          <w:color w:val="auto"/>
          <w:spacing w:val="0"/>
          <w:w w:val="100"/>
          <w:sz w:val="32"/>
          <w:szCs w:val="32"/>
          <w:highlight w:val="none"/>
        </w:rPr>
        <w:t>文</w:t>
      </w:r>
      <w:r>
        <w:rPr>
          <w:rFonts w:hint="eastAsia" w:ascii="仿宋_GB2312" w:hAnsi="仿宋_GB2312" w:eastAsia="仿宋_GB2312" w:cs="仿宋_GB2312"/>
          <w:b w:val="0"/>
          <w:bCs w:val="0"/>
          <w:strike w:val="0"/>
          <w:dstrike w:val="0"/>
          <w:color w:val="auto"/>
          <w:spacing w:val="0"/>
          <w:w w:val="100"/>
          <w:sz w:val="32"/>
          <w:szCs w:val="32"/>
          <w:highlight w:val="none"/>
        </w:rPr>
        <w:t>件</w:t>
      </w:r>
      <w:r>
        <w:rPr>
          <w:rFonts w:hint="eastAsia" w:ascii="仿宋_GB2312" w:hAnsi="仿宋_GB2312" w:eastAsia="仿宋_GB2312" w:cs="仿宋_GB2312"/>
          <w:b w:val="0"/>
          <w:bCs w:val="0"/>
          <w:strike w:val="0"/>
          <w:dstrike w:val="0"/>
          <w:color w:val="auto"/>
          <w:spacing w:val="0"/>
          <w:w w:val="100"/>
          <w:sz w:val="32"/>
          <w:szCs w:val="32"/>
          <w:highlight w:val="none"/>
          <w:lang w:val="en-US" w:eastAsia="zh-CN"/>
        </w:rPr>
        <w:t>181</w:t>
      </w:r>
      <w:r>
        <w:rPr>
          <w:rFonts w:hint="eastAsia" w:ascii="仿宋_GB2312" w:hAnsi="仿宋_GB2312" w:eastAsia="仿宋_GB2312" w:cs="仿宋_GB2312"/>
          <w:b w:val="0"/>
          <w:bCs w:val="0"/>
          <w:strike w:val="0"/>
          <w:dstrike w:val="0"/>
          <w:color w:val="auto"/>
          <w:spacing w:val="0"/>
          <w:w w:val="100"/>
          <w:sz w:val="32"/>
          <w:szCs w:val="32"/>
          <w:highlight w:val="none"/>
        </w:rPr>
        <w:t>份，经过筛选</w:t>
      </w:r>
      <w:r>
        <w:rPr>
          <w:rFonts w:hint="eastAsia" w:ascii="仿宋_GB2312" w:hAnsi="仿宋_GB2312" w:eastAsia="仿宋_GB2312" w:cs="仿宋_GB2312"/>
          <w:b w:val="0"/>
          <w:bCs w:val="0"/>
          <w:strike w:val="0"/>
          <w:dstrike w:val="0"/>
          <w:color w:val="auto"/>
          <w:spacing w:val="0"/>
          <w:w w:val="100"/>
          <w:sz w:val="32"/>
          <w:szCs w:val="32"/>
          <w:highlight w:val="none"/>
          <w:lang w:val="en-US" w:eastAsia="zh-CN"/>
        </w:rPr>
        <w:t>对</w:t>
      </w:r>
      <w:r>
        <w:rPr>
          <w:rFonts w:hint="eastAsia" w:ascii="仿宋_GB2312" w:hAnsi="仿宋_GB2312" w:eastAsia="仿宋_GB2312" w:cs="仿宋_GB2312"/>
          <w:b w:val="0"/>
          <w:bCs w:val="0"/>
          <w:strike w:val="0"/>
          <w:dstrike w:val="0"/>
          <w:color w:val="auto"/>
          <w:spacing w:val="0"/>
          <w:w w:val="100"/>
          <w:sz w:val="32"/>
          <w:szCs w:val="32"/>
          <w:highlight w:val="none"/>
        </w:rPr>
        <w:t>符合</w:t>
      </w:r>
      <w:r>
        <w:rPr>
          <w:rFonts w:hint="eastAsia" w:ascii="仿宋_GB2312" w:hAnsi="仿宋_GB2312" w:eastAsia="仿宋_GB2312" w:cs="仿宋_GB2312"/>
          <w:b w:val="0"/>
          <w:bCs w:val="0"/>
          <w:strike w:val="0"/>
          <w:dstrike w:val="0"/>
          <w:color w:val="auto"/>
          <w:spacing w:val="0"/>
          <w:w w:val="100"/>
          <w:sz w:val="32"/>
          <w:szCs w:val="32"/>
          <w:highlight w:val="none"/>
          <w:lang w:eastAsia="zh-CN"/>
        </w:rPr>
        <w:t>增量</w:t>
      </w:r>
      <w:r>
        <w:rPr>
          <w:rFonts w:hint="eastAsia" w:ascii="仿宋_GB2312" w:hAnsi="仿宋_GB2312" w:eastAsia="仿宋_GB2312" w:cs="仿宋_GB2312"/>
          <w:b w:val="0"/>
          <w:bCs w:val="0"/>
          <w:strike w:val="0"/>
          <w:dstrike w:val="0"/>
          <w:color w:val="auto"/>
          <w:spacing w:val="0"/>
          <w:w w:val="100"/>
          <w:sz w:val="32"/>
          <w:szCs w:val="32"/>
          <w:highlight w:val="none"/>
        </w:rPr>
        <w:t>政策措施</w:t>
      </w:r>
      <w:r>
        <w:rPr>
          <w:rFonts w:hint="eastAsia" w:ascii="仿宋_GB2312" w:hAnsi="仿宋_GB2312" w:eastAsia="仿宋_GB2312" w:cs="仿宋_GB2312"/>
          <w:b w:val="0"/>
          <w:bCs w:val="0"/>
          <w:strike w:val="0"/>
          <w:dstrike w:val="0"/>
          <w:color w:val="auto"/>
          <w:spacing w:val="0"/>
          <w:w w:val="100"/>
          <w:sz w:val="32"/>
          <w:szCs w:val="32"/>
          <w:highlight w:val="none"/>
          <w:lang w:eastAsia="zh-CN"/>
        </w:rPr>
        <w:t>的</w:t>
      </w:r>
      <w:r>
        <w:rPr>
          <w:rFonts w:hint="eastAsia" w:ascii="仿宋_GB2312" w:hAnsi="仿宋_GB2312" w:eastAsia="仿宋_GB2312" w:cs="仿宋_GB2312"/>
          <w:b w:val="0"/>
          <w:bCs w:val="0"/>
          <w:strike w:val="0"/>
          <w:dstrike w:val="0"/>
          <w:color w:val="auto"/>
          <w:spacing w:val="0"/>
          <w:w w:val="100"/>
          <w:sz w:val="32"/>
          <w:szCs w:val="32"/>
          <w:highlight w:val="none"/>
          <w:lang w:val="en-US" w:eastAsia="zh-CN"/>
        </w:rPr>
        <w:t>139</w:t>
      </w:r>
      <w:r>
        <w:rPr>
          <w:rFonts w:hint="eastAsia" w:ascii="仿宋_GB2312" w:hAnsi="仿宋_GB2312" w:eastAsia="仿宋_GB2312" w:cs="仿宋_GB2312"/>
          <w:b w:val="0"/>
          <w:bCs w:val="0"/>
          <w:strike w:val="0"/>
          <w:dstrike w:val="0"/>
          <w:color w:val="auto"/>
          <w:spacing w:val="0"/>
          <w:w w:val="100"/>
          <w:sz w:val="32"/>
          <w:szCs w:val="32"/>
          <w:highlight w:val="none"/>
        </w:rPr>
        <w:t>份进行公平竞争审查</w:t>
      </w:r>
      <w:r>
        <w:rPr>
          <w:rFonts w:hint="eastAsia" w:ascii="仿宋_GB2312" w:hAnsi="仿宋_GB2312" w:eastAsia="仿宋_GB2312" w:cs="仿宋_GB2312"/>
          <w:b w:val="0"/>
          <w:bCs w:val="0"/>
          <w:strike w:val="0"/>
          <w:dstrike w:val="0"/>
          <w:color w:val="auto"/>
          <w:spacing w:val="0"/>
          <w:w w:val="100"/>
          <w:sz w:val="32"/>
          <w:szCs w:val="32"/>
          <w:highlight w:val="none"/>
          <w:lang w:eastAsia="zh-CN"/>
        </w:rPr>
        <w:t>，</w:t>
      </w:r>
      <w:r>
        <w:rPr>
          <w:rFonts w:hint="eastAsia" w:ascii="仿宋_GB2312" w:hAnsi="仿宋_GB2312" w:eastAsia="仿宋_GB2312" w:cs="仿宋_GB2312"/>
          <w:b w:val="0"/>
          <w:bCs w:val="0"/>
          <w:strike w:val="0"/>
          <w:dstrike w:val="0"/>
          <w:color w:val="auto"/>
          <w:spacing w:val="0"/>
          <w:w w:val="100"/>
          <w:sz w:val="32"/>
          <w:szCs w:val="32"/>
          <w:highlight w:val="none"/>
        </w:rPr>
        <w:t>审查文件的总比重约为</w:t>
      </w:r>
      <w:r>
        <w:rPr>
          <w:rFonts w:hint="eastAsia" w:ascii="仿宋_GB2312" w:hAnsi="仿宋_GB2312" w:eastAsia="仿宋_GB2312" w:cs="仿宋_GB2312"/>
          <w:b w:val="0"/>
          <w:bCs w:val="0"/>
          <w:strike w:val="0"/>
          <w:dstrike w:val="0"/>
          <w:color w:val="auto"/>
          <w:spacing w:val="0"/>
          <w:w w:val="100"/>
          <w:sz w:val="32"/>
          <w:szCs w:val="32"/>
          <w:highlight w:val="none"/>
          <w:lang w:val="en-US" w:eastAsia="zh-CN"/>
        </w:rPr>
        <w:t>76.8</w:t>
      </w:r>
      <w:r>
        <w:rPr>
          <w:rFonts w:hint="eastAsia" w:ascii="仿宋_GB2312" w:hAnsi="仿宋_GB2312" w:eastAsia="仿宋_GB2312" w:cs="仿宋_GB2312"/>
          <w:b w:val="0"/>
          <w:bCs w:val="0"/>
          <w:strike w:val="0"/>
          <w:dstrike w:val="0"/>
          <w:color w:val="auto"/>
          <w:spacing w:val="0"/>
          <w:w w:val="100"/>
          <w:sz w:val="32"/>
          <w:szCs w:val="32"/>
          <w:highlight w:val="none"/>
        </w:rPr>
        <w:t>%。</w:t>
      </w:r>
    </w:p>
    <w:p>
      <w:pPr>
        <w:pStyle w:val="3"/>
        <w:pageBreakBefore w:val="0"/>
        <w:kinsoku/>
        <w:wordWrap/>
        <w:overflowPunct/>
        <w:topLinePunct/>
        <w:autoSpaceDE/>
        <w:autoSpaceDN/>
        <w:bidi w:val="0"/>
        <w:adjustRightInd w:val="0"/>
        <w:snapToGrid w:val="0"/>
        <w:spacing w:before="0" w:beforeAutospacing="0" w:after="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bookmarkStart w:id="27" w:name="_Toc101045476"/>
      <w:bookmarkStart w:id="28" w:name="_Toc14770"/>
      <w:r>
        <w:rPr>
          <w:rFonts w:hint="eastAsia" w:ascii="黑体" w:hAnsi="黑体" w:eastAsia="黑体" w:cs="黑体"/>
          <w:b w:val="0"/>
          <w:bCs w:val="0"/>
          <w:color w:val="auto"/>
          <w:spacing w:val="0"/>
          <w:w w:val="100"/>
          <w:sz w:val="32"/>
          <w:szCs w:val="32"/>
          <w:highlight w:val="none"/>
        </w:rPr>
        <w:t>二、前期摸排情况</w:t>
      </w:r>
      <w:bookmarkEnd w:id="27"/>
      <w:bookmarkEnd w:id="28"/>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u w:val="none"/>
        </w:rPr>
      </w:pPr>
      <w:r>
        <w:rPr>
          <w:rFonts w:hint="eastAsia" w:ascii="仿宋_GB2312" w:hAnsi="仿宋_GB2312" w:eastAsia="仿宋_GB2312" w:cs="仿宋_GB2312"/>
          <w:b w:val="0"/>
          <w:bCs w:val="0"/>
          <w:color w:val="auto"/>
          <w:spacing w:val="0"/>
          <w:w w:val="100"/>
          <w:sz w:val="32"/>
          <w:szCs w:val="32"/>
          <w:highlight w:val="none"/>
          <w:u w:val="none"/>
        </w:rPr>
        <w:t>根据既定评估的议程安排，</w:t>
      </w:r>
      <w:r>
        <w:rPr>
          <w:rFonts w:hint="eastAsia" w:ascii="仿宋_GB2312" w:hAnsi="仿宋_GB2312" w:eastAsia="仿宋_GB2312" w:cs="仿宋_GB2312"/>
          <w:b w:val="0"/>
          <w:bCs w:val="0"/>
          <w:color w:val="auto"/>
          <w:spacing w:val="0"/>
          <w:w w:val="100"/>
          <w:sz w:val="32"/>
          <w:szCs w:val="32"/>
          <w:highlight w:val="none"/>
          <w:u w:val="none"/>
          <w:lang w:eastAsia="zh-CN"/>
        </w:rPr>
        <w:t>评估机构</w:t>
      </w:r>
      <w:r>
        <w:rPr>
          <w:rFonts w:hint="eastAsia" w:ascii="仿宋_GB2312" w:hAnsi="仿宋_GB2312" w:eastAsia="仿宋_GB2312" w:cs="仿宋_GB2312"/>
          <w:b w:val="0"/>
          <w:bCs w:val="0"/>
          <w:color w:val="auto"/>
          <w:spacing w:val="0"/>
          <w:w w:val="100"/>
          <w:sz w:val="32"/>
          <w:szCs w:val="32"/>
          <w:highlight w:val="none"/>
          <w:u w:val="none"/>
        </w:rPr>
        <w:t>在1</w:t>
      </w:r>
      <w:r>
        <w:rPr>
          <w:rFonts w:hint="eastAsia" w:ascii="仿宋_GB2312" w:hAnsi="仿宋_GB2312" w:eastAsia="仿宋_GB2312" w:cs="仿宋_GB2312"/>
          <w:b w:val="0"/>
          <w:bCs w:val="0"/>
          <w:color w:val="auto"/>
          <w:spacing w:val="0"/>
          <w:w w:val="100"/>
          <w:sz w:val="32"/>
          <w:szCs w:val="32"/>
          <w:highlight w:val="none"/>
          <w:u w:val="none"/>
          <w:lang w:val="en-US" w:eastAsia="zh-CN"/>
        </w:rPr>
        <w:t>1</w:t>
      </w:r>
      <w:r>
        <w:rPr>
          <w:rFonts w:hint="eastAsia" w:ascii="仿宋_GB2312" w:hAnsi="仿宋_GB2312" w:eastAsia="仿宋_GB2312" w:cs="仿宋_GB2312"/>
          <w:b w:val="0"/>
          <w:bCs w:val="0"/>
          <w:color w:val="auto"/>
          <w:spacing w:val="0"/>
          <w:w w:val="100"/>
          <w:sz w:val="32"/>
          <w:szCs w:val="32"/>
          <w:highlight w:val="none"/>
          <w:u w:val="none"/>
        </w:rPr>
        <w:t>月</w:t>
      </w:r>
      <w:r>
        <w:rPr>
          <w:rFonts w:hint="eastAsia" w:ascii="仿宋_GB2312" w:hAnsi="仿宋_GB2312" w:eastAsia="仿宋_GB2312" w:cs="仿宋_GB2312"/>
          <w:b w:val="0"/>
          <w:bCs w:val="0"/>
          <w:color w:val="auto"/>
          <w:spacing w:val="0"/>
          <w:w w:val="100"/>
          <w:sz w:val="32"/>
          <w:szCs w:val="32"/>
          <w:highlight w:val="none"/>
          <w:u w:val="none"/>
          <w:lang w:val="en-US" w:eastAsia="zh-CN"/>
        </w:rPr>
        <w:t>1</w:t>
      </w:r>
      <w:r>
        <w:rPr>
          <w:rFonts w:hint="eastAsia" w:ascii="仿宋_GB2312" w:hAnsi="仿宋_GB2312" w:eastAsia="仿宋_GB2312" w:cs="仿宋_GB2312"/>
          <w:b w:val="0"/>
          <w:bCs w:val="0"/>
          <w:color w:val="auto"/>
          <w:spacing w:val="0"/>
          <w:w w:val="100"/>
          <w:sz w:val="32"/>
          <w:szCs w:val="32"/>
          <w:highlight w:val="none"/>
          <w:u w:val="none"/>
        </w:rPr>
        <w:t>8日建立评估团队</w:t>
      </w:r>
      <w:r>
        <w:rPr>
          <w:rFonts w:hint="eastAsia" w:ascii="仿宋_GB2312" w:hAnsi="仿宋_GB2312" w:eastAsia="仿宋_GB2312" w:cs="仿宋_GB2312"/>
          <w:b w:val="0"/>
          <w:bCs w:val="0"/>
          <w:color w:val="auto"/>
          <w:spacing w:val="0"/>
          <w:w w:val="100"/>
          <w:sz w:val="32"/>
          <w:szCs w:val="32"/>
          <w:highlight w:val="none"/>
          <w:u w:val="none"/>
          <w:lang w:eastAsia="zh-CN"/>
        </w:rPr>
        <w:t>，</w:t>
      </w:r>
      <w:r>
        <w:rPr>
          <w:rFonts w:hint="eastAsia" w:ascii="仿宋_GB2312" w:hAnsi="仿宋_GB2312" w:eastAsia="仿宋_GB2312" w:cs="仿宋_GB2312"/>
          <w:b w:val="0"/>
          <w:bCs w:val="0"/>
          <w:color w:val="auto"/>
          <w:spacing w:val="0"/>
          <w:w w:val="100"/>
          <w:sz w:val="32"/>
          <w:szCs w:val="32"/>
          <w:highlight w:val="none"/>
          <w:u w:val="none"/>
        </w:rPr>
        <w:t>开展公平竞争审查第三方评估摸排工作，逐步掌握评估对象的基本信息，为后续的线下调研、面对面沟通奠定了坚实基础。</w:t>
      </w:r>
    </w:p>
    <w:p>
      <w:pPr>
        <w:pStyle w:val="3"/>
        <w:pageBreakBefore w:val="0"/>
        <w:kinsoku/>
        <w:wordWrap/>
        <w:overflowPunct/>
        <w:topLinePunct/>
        <w:autoSpaceDE/>
        <w:autoSpaceDN/>
        <w:bidi w:val="0"/>
        <w:adjustRightInd w:val="0"/>
        <w:snapToGrid w:val="0"/>
        <w:spacing w:before="0" w:beforeAutospacing="0" w:after="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u w:val="none"/>
        </w:rPr>
      </w:pPr>
      <w:bookmarkStart w:id="29" w:name="_Toc101045477"/>
      <w:bookmarkStart w:id="30" w:name="_Toc31673"/>
      <w:r>
        <w:rPr>
          <w:rFonts w:hint="eastAsia" w:ascii="黑体" w:hAnsi="黑体" w:eastAsia="黑体" w:cs="黑体"/>
          <w:b w:val="0"/>
          <w:bCs w:val="0"/>
          <w:color w:val="auto"/>
          <w:spacing w:val="0"/>
          <w:w w:val="100"/>
          <w:sz w:val="32"/>
          <w:szCs w:val="32"/>
          <w:highlight w:val="none"/>
          <w:u w:val="none"/>
        </w:rPr>
        <w:t>三、规范性文件评估情况</w:t>
      </w:r>
      <w:bookmarkEnd w:id="29"/>
      <w:bookmarkEnd w:id="30"/>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yellow"/>
          <w:u w:val="none"/>
        </w:rPr>
      </w:pPr>
      <w:r>
        <w:rPr>
          <w:rFonts w:hint="eastAsia" w:ascii="仿宋_GB2312" w:hAnsi="仿宋_GB2312" w:eastAsia="仿宋_GB2312" w:cs="仿宋_GB2312"/>
          <w:b w:val="0"/>
          <w:bCs w:val="0"/>
          <w:color w:val="auto"/>
          <w:spacing w:val="0"/>
          <w:w w:val="100"/>
          <w:sz w:val="32"/>
          <w:szCs w:val="32"/>
          <w:highlight w:val="none"/>
          <w:u w:val="none"/>
        </w:rPr>
        <w:t>本次评估工作</w:t>
      </w:r>
      <w:r>
        <w:rPr>
          <w:rFonts w:hint="eastAsia" w:ascii="仿宋_GB2312" w:hAnsi="仿宋_GB2312" w:eastAsia="仿宋_GB2312" w:cs="仿宋_GB2312"/>
          <w:b w:val="0"/>
          <w:bCs w:val="0"/>
          <w:color w:val="auto"/>
          <w:spacing w:val="0"/>
          <w:w w:val="100"/>
          <w:sz w:val="32"/>
          <w:szCs w:val="32"/>
          <w:highlight w:val="none"/>
          <w:u w:val="none"/>
          <w:lang w:eastAsia="zh-CN"/>
        </w:rPr>
        <w:t>符合增量政策措施的</w:t>
      </w:r>
      <w:r>
        <w:rPr>
          <w:rFonts w:hint="eastAsia" w:ascii="仿宋_GB2312" w:hAnsi="仿宋_GB2312" w:eastAsia="仿宋_GB2312" w:cs="仿宋_GB2312"/>
          <w:b w:val="0"/>
          <w:bCs w:val="0"/>
          <w:color w:val="auto"/>
          <w:spacing w:val="0"/>
          <w:w w:val="100"/>
          <w:sz w:val="32"/>
          <w:szCs w:val="32"/>
          <w:highlight w:val="none"/>
          <w:u w:val="none"/>
          <w:lang w:val="en-US" w:eastAsia="zh-CN"/>
        </w:rPr>
        <w:t>139</w:t>
      </w:r>
      <w:r>
        <w:rPr>
          <w:rFonts w:hint="eastAsia" w:ascii="仿宋_GB2312" w:hAnsi="仿宋_GB2312" w:eastAsia="仿宋_GB2312" w:cs="仿宋_GB2312"/>
          <w:b w:val="0"/>
          <w:bCs w:val="0"/>
          <w:color w:val="auto"/>
          <w:spacing w:val="0"/>
          <w:w w:val="100"/>
          <w:sz w:val="32"/>
          <w:szCs w:val="32"/>
          <w:highlight w:val="none"/>
          <w:u w:val="none"/>
        </w:rPr>
        <w:t>份，经评估论证发现问题文件共计</w:t>
      </w:r>
      <w:r>
        <w:rPr>
          <w:rFonts w:hint="eastAsia" w:ascii="仿宋_GB2312" w:hAnsi="仿宋_GB2312" w:eastAsia="仿宋_GB2312" w:cs="仿宋_GB2312"/>
          <w:b w:val="0"/>
          <w:bCs w:val="0"/>
          <w:color w:val="auto"/>
          <w:spacing w:val="0"/>
          <w:w w:val="100"/>
          <w:sz w:val="32"/>
          <w:szCs w:val="32"/>
          <w:highlight w:val="none"/>
          <w:u w:val="none"/>
          <w:lang w:val="en-US" w:eastAsia="zh-CN"/>
        </w:rPr>
        <w:t>26</w:t>
      </w:r>
      <w:r>
        <w:rPr>
          <w:rFonts w:hint="eastAsia" w:ascii="仿宋_GB2312" w:hAnsi="仿宋_GB2312" w:eastAsia="仿宋_GB2312" w:cs="仿宋_GB2312"/>
          <w:b w:val="0"/>
          <w:bCs w:val="0"/>
          <w:color w:val="auto"/>
          <w:spacing w:val="0"/>
          <w:w w:val="100"/>
          <w:sz w:val="32"/>
          <w:szCs w:val="32"/>
          <w:highlight w:val="none"/>
          <w:u w:val="none"/>
        </w:rPr>
        <w:t>份，主要涉及违反“影响生产经营成本标准”</w:t>
      </w:r>
      <w:r>
        <w:rPr>
          <w:rFonts w:hint="eastAsia" w:ascii="仿宋_GB2312" w:hAnsi="仿宋_GB2312" w:eastAsia="仿宋_GB2312" w:cs="仿宋_GB2312"/>
          <w:b w:val="0"/>
          <w:bCs w:val="0"/>
          <w:color w:val="auto"/>
          <w:spacing w:val="0"/>
          <w:w w:val="100"/>
          <w:sz w:val="32"/>
          <w:szCs w:val="32"/>
          <w:highlight w:val="none"/>
          <w:u w:val="none"/>
          <w:lang w:eastAsia="zh-CN"/>
        </w:rPr>
        <w:t>、</w:t>
      </w:r>
      <w:r>
        <w:rPr>
          <w:rFonts w:hint="eastAsia" w:ascii="仿宋_GB2312" w:hAnsi="仿宋_GB2312" w:eastAsia="仿宋_GB2312" w:cs="仿宋_GB2312"/>
          <w:b w:val="0"/>
          <w:bCs w:val="0"/>
          <w:color w:val="auto"/>
          <w:spacing w:val="0"/>
          <w:w w:val="100"/>
          <w:sz w:val="32"/>
          <w:szCs w:val="32"/>
          <w:highlight w:val="none"/>
          <w:u w:val="none"/>
        </w:rPr>
        <w:t>“市场准入和退出标准”和“影响生产经营行为标准”，特别是在违规发放财政补贴、招商引资等领域违规文件较多，而违反“商品和要素自由流动标准”的文件较少。</w:t>
      </w:r>
    </w:p>
    <w:p>
      <w:pPr>
        <w:pStyle w:val="3"/>
        <w:pageBreakBefore w:val="0"/>
        <w:kinsoku/>
        <w:wordWrap/>
        <w:overflowPunct/>
        <w:topLinePunct/>
        <w:autoSpaceDE/>
        <w:autoSpaceDN/>
        <w:bidi w:val="0"/>
        <w:adjustRightInd w:val="0"/>
        <w:snapToGrid w:val="0"/>
        <w:spacing w:before="0" w:beforeAutospacing="0" w:after="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bookmarkStart w:id="31" w:name="_Toc101045478"/>
      <w:bookmarkStart w:id="32" w:name="_Toc5532"/>
      <w:r>
        <w:rPr>
          <w:rFonts w:hint="eastAsia" w:ascii="黑体" w:hAnsi="黑体" w:eastAsia="黑体" w:cs="黑体"/>
          <w:b w:val="0"/>
          <w:bCs w:val="0"/>
          <w:color w:val="auto"/>
          <w:spacing w:val="0"/>
          <w:w w:val="100"/>
          <w:sz w:val="32"/>
          <w:szCs w:val="32"/>
          <w:highlight w:val="none"/>
        </w:rPr>
        <w:t>四、评估面的效果分析</w:t>
      </w:r>
      <w:bookmarkEnd w:id="31"/>
      <w:bookmarkEnd w:id="32"/>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从评估的整体结果看，</w:t>
      </w:r>
      <w:r>
        <w:rPr>
          <w:rFonts w:hint="eastAsia" w:ascii="仿宋_GB2312" w:hAnsi="仿宋_GB2312" w:eastAsia="仿宋_GB2312" w:cs="仿宋_GB2312"/>
          <w:b w:val="0"/>
          <w:bCs w:val="0"/>
          <w:color w:val="auto"/>
          <w:spacing w:val="0"/>
          <w:w w:val="100"/>
          <w:sz w:val="32"/>
          <w:szCs w:val="32"/>
          <w:highlight w:val="none"/>
          <w:lang w:eastAsia="zh-CN"/>
        </w:rPr>
        <w:t>张掖市</w:t>
      </w:r>
      <w:r>
        <w:rPr>
          <w:rFonts w:hint="eastAsia" w:ascii="仿宋_GB2312" w:hAnsi="仿宋_GB2312" w:eastAsia="仿宋_GB2312" w:cs="仿宋_GB2312"/>
          <w:b w:val="0"/>
          <w:bCs w:val="0"/>
          <w:color w:val="auto"/>
          <w:spacing w:val="0"/>
          <w:w w:val="100"/>
          <w:sz w:val="32"/>
          <w:szCs w:val="32"/>
          <w:highlight w:val="none"/>
        </w:rPr>
        <w:t>被评估对象整体效果较好。从内部看，特别是在加强组织领导、完善制度建设、统筹审查机制、强化监督指导、抓好宣传培训等方面均有很多的特色做法和工作经验，非常值得推介和展示（详见本报告第六章）。从数值导向分析看，本次评估结果与当地经济发展程度呈正相关。</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从学理上分析，一个地区经济越发达越需要健康的公平竞争来保障，一个</w:t>
      </w:r>
      <w:r>
        <w:rPr>
          <w:rFonts w:hint="eastAsia" w:ascii="仿宋_GB2312" w:hAnsi="仿宋_GB2312" w:eastAsia="仿宋_GB2312" w:cs="仿宋_GB2312"/>
          <w:b w:val="0"/>
          <w:bCs w:val="0"/>
          <w:color w:val="auto"/>
          <w:spacing w:val="0"/>
          <w:w w:val="100"/>
          <w:sz w:val="32"/>
          <w:szCs w:val="32"/>
          <w:highlight w:val="none"/>
          <w:lang w:eastAsia="zh-CN"/>
        </w:rPr>
        <w:t>越</w:t>
      </w:r>
      <w:r>
        <w:rPr>
          <w:rFonts w:hint="eastAsia" w:ascii="仿宋_GB2312" w:hAnsi="仿宋_GB2312" w:eastAsia="仿宋_GB2312" w:cs="仿宋_GB2312"/>
          <w:b w:val="0"/>
          <w:bCs w:val="0"/>
          <w:color w:val="auto"/>
          <w:spacing w:val="0"/>
          <w:w w:val="100"/>
          <w:sz w:val="32"/>
          <w:szCs w:val="32"/>
          <w:highlight w:val="none"/>
        </w:rPr>
        <w:t>优良的营商环境越能促进一个地区的经济发展和社会进步，本次评估结果也验证了这一点。</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本次评估对象</w:t>
      </w:r>
      <w:r>
        <w:rPr>
          <w:rFonts w:hint="eastAsia" w:ascii="仿宋_GB2312" w:hAnsi="仿宋_GB2312" w:eastAsia="仿宋_GB2312" w:cs="仿宋_GB2312"/>
          <w:b w:val="0"/>
          <w:bCs w:val="0"/>
          <w:color w:val="auto"/>
          <w:spacing w:val="0"/>
          <w:w w:val="100"/>
          <w:sz w:val="32"/>
          <w:szCs w:val="32"/>
          <w:highlight w:val="none"/>
          <w:lang w:eastAsia="zh-CN"/>
        </w:rPr>
        <w:t>中</w:t>
      </w:r>
      <w:r>
        <w:rPr>
          <w:rFonts w:hint="eastAsia" w:ascii="仿宋_GB2312" w:hAnsi="仿宋_GB2312" w:eastAsia="仿宋_GB2312" w:cs="仿宋_GB2312"/>
          <w:b w:val="0"/>
          <w:bCs w:val="0"/>
          <w:color w:val="auto"/>
          <w:spacing w:val="0"/>
          <w:w w:val="100"/>
          <w:sz w:val="32"/>
          <w:szCs w:val="32"/>
          <w:highlight w:val="none"/>
          <w:lang w:val="en-US" w:eastAsia="zh-CN"/>
        </w:rPr>
        <w:t>22</w:t>
      </w:r>
      <w:r>
        <w:rPr>
          <w:rFonts w:hint="eastAsia" w:ascii="仿宋_GB2312" w:hAnsi="仿宋_GB2312" w:eastAsia="仿宋_GB2312" w:cs="仿宋_GB2312"/>
          <w:b w:val="0"/>
          <w:bCs w:val="0"/>
          <w:color w:val="auto"/>
          <w:spacing w:val="0"/>
          <w:w w:val="100"/>
          <w:sz w:val="32"/>
          <w:szCs w:val="32"/>
          <w:highlight w:val="none"/>
        </w:rPr>
        <w:t>个</w:t>
      </w:r>
      <w:r>
        <w:rPr>
          <w:rFonts w:hint="eastAsia" w:ascii="仿宋_GB2312" w:hAnsi="仿宋_GB2312" w:eastAsia="仿宋_GB2312" w:cs="仿宋_GB2312"/>
          <w:b w:val="0"/>
          <w:bCs w:val="0"/>
          <w:color w:val="auto"/>
          <w:spacing w:val="0"/>
          <w:w w:val="100"/>
          <w:sz w:val="32"/>
          <w:szCs w:val="32"/>
          <w:highlight w:val="none"/>
          <w:lang w:eastAsia="zh-CN"/>
        </w:rPr>
        <w:t>市</w:t>
      </w:r>
      <w:r>
        <w:rPr>
          <w:rFonts w:hint="eastAsia" w:ascii="仿宋_GB2312" w:hAnsi="仿宋_GB2312" w:eastAsia="仿宋_GB2312" w:cs="仿宋_GB2312"/>
          <w:b w:val="0"/>
          <w:bCs w:val="0"/>
          <w:color w:val="auto"/>
          <w:spacing w:val="0"/>
          <w:w w:val="100"/>
          <w:sz w:val="32"/>
          <w:szCs w:val="32"/>
          <w:highlight w:val="none"/>
        </w:rPr>
        <w:t>直部门</w:t>
      </w:r>
      <w:r>
        <w:rPr>
          <w:rFonts w:hint="eastAsia" w:ascii="仿宋_GB2312" w:hAnsi="仿宋_GB2312" w:eastAsia="仿宋_GB2312" w:cs="仿宋_GB2312"/>
          <w:b w:val="0"/>
          <w:bCs w:val="0"/>
          <w:color w:val="auto"/>
          <w:spacing w:val="0"/>
          <w:w w:val="100"/>
          <w:sz w:val="32"/>
          <w:szCs w:val="32"/>
          <w:highlight w:val="none"/>
          <w:lang w:eastAsia="zh-CN"/>
        </w:rPr>
        <w:t>单位</w:t>
      </w:r>
      <w:r>
        <w:rPr>
          <w:rFonts w:hint="eastAsia" w:ascii="仿宋_GB2312" w:hAnsi="仿宋_GB2312" w:eastAsia="仿宋_GB2312" w:cs="仿宋_GB2312"/>
          <w:b w:val="0"/>
          <w:bCs w:val="0"/>
          <w:color w:val="auto"/>
          <w:spacing w:val="0"/>
          <w:w w:val="100"/>
          <w:sz w:val="32"/>
          <w:szCs w:val="32"/>
          <w:highlight w:val="none"/>
        </w:rPr>
        <w:t>，因与主管公平竞争审查工作的</w:t>
      </w:r>
      <w:r>
        <w:rPr>
          <w:rFonts w:hint="eastAsia" w:ascii="仿宋_GB2312" w:hAnsi="仿宋_GB2312" w:eastAsia="仿宋_GB2312" w:cs="仿宋_GB2312"/>
          <w:b w:val="0"/>
          <w:bCs w:val="0"/>
          <w:color w:val="auto"/>
          <w:spacing w:val="0"/>
          <w:w w:val="100"/>
          <w:sz w:val="32"/>
          <w:szCs w:val="32"/>
          <w:highlight w:val="none"/>
          <w:lang w:eastAsia="zh-CN"/>
        </w:rPr>
        <w:t>市</w:t>
      </w:r>
      <w:r>
        <w:rPr>
          <w:rFonts w:hint="eastAsia" w:ascii="仿宋_GB2312" w:hAnsi="仿宋_GB2312" w:eastAsia="仿宋_GB2312" w:cs="仿宋_GB2312"/>
          <w:b w:val="0"/>
          <w:bCs w:val="0"/>
          <w:color w:val="auto"/>
          <w:spacing w:val="0"/>
          <w:w w:val="100"/>
          <w:sz w:val="32"/>
          <w:szCs w:val="32"/>
          <w:highlight w:val="none"/>
        </w:rPr>
        <w:t>市场监督管理部门在行政隶属上为平级，相互制约较少，工作虽有密切配合，但材料的充盈度存在不足。</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基层政府是落实大量公平竞争审查工作的主力军，因此6个县区提供的材料不论是从数量，还是从类别上比较</w:t>
      </w:r>
      <w:r>
        <w:rPr>
          <w:rFonts w:hint="eastAsia" w:ascii="仿宋_GB2312" w:hAnsi="仿宋_GB2312" w:eastAsia="仿宋_GB2312" w:cs="仿宋_GB2312"/>
          <w:b w:val="0"/>
          <w:bCs w:val="0"/>
          <w:color w:val="auto"/>
          <w:spacing w:val="0"/>
          <w:w w:val="100"/>
          <w:sz w:val="32"/>
          <w:szCs w:val="32"/>
          <w:highlight w:val="none"/>
        </w:rPr>
        <w:t>充盈</w:t>
      </w:r>
      <w:r>
        <w:rPr>
          <w:rFonts w:hint="eastAsia" w:ascii="仿宋_GB2312" w:hAnsi="仿宋_GB2312" w:eastAsia="仿宋_GB2312" w:cs="仿宋_GB2312"/>
          <w:b w:val="0"/>
          <w:bCs w:val="0"/>
          <w:color w:val="auto"/>
          <w:spacing w:val="0"/>
          <w:w w:val="100"/>
          <w:sz w:val="32"/>
          <w:szCs w:val="32"/>
          <w:highlight w:val="none"/>
          <w:lang w:val="en-US" w:eastAsia="zh-CN"/>
        </w:rPr>
        <w:t>，但是</w:t>
      </w:r>
      <w:r>
        <w:rPr>
          <w:rFonts w:hint="eastAsia" w:ascii="仿宋_GB2312" w:hAnsi="仿宋_GB2312" w:eastAsia="仿宋_GB2312" w:cs="仿宋_GB2312"/>
          <w:b w:val="0"/>
          <w:bCs w:val="0"/>
          <w:color w:val="auto"/>
          <w:spacing w:val="0"/>
          <w:w w:val="100"/>
          <w:sz w:val="32"/>
          <w:szCs w:val="32"/>
          <w:highlight w:val="none"/>
        </w:rPr>
        <w:t>在公平竞争审查日常工作过程中，</w:t>
      </w:r>
      <w:r>
        <w:rPr>
          <w:rFonts w:hint="eastAsia" w:ascii="仿宋_GB2312" w:hAnsi="仿宋_GB2312" w:eastAsia="仿宋_GB2312" w:cs="仿宋_GB2312"/>
          <w:b w:val="0"/>
          <w:bCs w:val="0"/>
          <w:color w:val="auto"/>
          <w:spacing w:val="0"/>
          <w:w w:val="100"/>
          <w:sz w:val="32"/>
          <w:szCs w:val="32"/>
          <w:highlight w:val="none"/>
          <w:lang w:eastAsia="zh-CN"/>
        </w:rPr>
        <w:t>对</w:t>
      </w:r>
      <w:r>
        <w:rPr>
          <w:rFonts w:hint="eastAsia" w:ascii="仿宋_GB2312" w:hAnsi="仿宋_GB2312" w:eastAsia="仿宋_GB2312" w:cs="仿宋_GB2312"/>
          <w:b w:val="0"/>
          <w:bCs w:val="0"/>
          <w:color w:val="auto"/>
          <w:spacing w:val="0"/>
          <w:w w:val="100"/>
          <w:sz w:val="32"/>
          <w:szCs w:val="32"/>
          <w:highlight w:val="none"/>
        </w:rPr>
        <w:t>判断是否涉及市场主体经营、是否应纳入公平竞争审查范围的工作</w:t>
      </w:r>
      <w:r>
        <w:rPr>
          <w:rFonts w:hint="eastAsia" w:ascii="仿宋_GB2312" w:hAnsi="仿宋_GB2312" w:eastAsia="仿宋_GB2312" w:cs="仿宋_GB2312"/>
          <w:b w:val="0"/>
          <w:bCs w:val="0"/>
          <w:color w:val="auto"/>
          <w:spacing w:val="0"/>
          <w:w w:val="100"/>
          <w:sz w:val="32"/>
          <w:szCs w:val="32"/>
          <w:highlight w:val="none"/>
          <w:lang w:eastAsia="zh-CN"/>
        </w:rPr>
        <w:t>认识比较模糊，且出台涉嫌违反公平竞争的政策措施的比例</w:t>
      </w:r>
      <w:r>
        <w:rPr>
          <w:rFonts w:hint="eastAsia" w:ascii="仿宋_GB2312" w:hAnsi="仿宋_GB2312" w:eastAsia="仿宋_GB2312" w:cs="仿宋_GB2312"/>
          <w:b w:val="0"/>
          <w:bCs w:val="0"/>
          <w:color w:val="auto"/>
          <w:spacing w:val="0"/>
          <w:w w:val="100"/>
          <w:sz w:val="32"/>
          <w:szCs w:val="32"/>
          <w:highlight w:val="none"/>
          <w:lang w:val="en-US" w:eastAsia="zh-CN"/>
        </w:rPr>
        <w:t>也较高。</w:t>
      </w:r>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33" w:name="_Toc101045479"/>
      <w:bookmarkStart w:id="34" w:name="_Toc16765"/>
      <w:r>
        <w:rPr>
          <w:rFonts w:hint="eastAsia" w:ascii="黑体" w:hAnsi="黑体" w:eastAsia="黑体" w:cs="黑体"/>
          <w:b w:val="0"/>
          <w:bCs w:val="0"/>
          <w:color w:val="auto"/>
          <w:spacing w:val="0"/>
          <w:w w:val="100"/>
          <w:sz w:val="32"/>
          <w:szCs w:val="32"/>
          <w:highlight w:val="none"/>
        </w:rPr>
        <w:t>第二节</w:t>
      </w:r>
      <w:r>
        <w:rPr>
          <w:rFonts w:hint="eastAsia"/>
          <w:lang w:val="en-US" w:eastAsia="zh-CN"/>
        </w:rPr>
        <w:t xml:space="preserve"> </w:t>
      </w:r>
      <w:r>
        <w:rPr>
          <w:rFonts w:hint="eastAsia" w:ascii="黑体" w:hAnsi="黑体" w:eastAsia="黑体" w:cs="黑体"/>
          <w:b w:val="0"/>
          <w:bCs w:val="0"/>
          <w:color w:val="auto"/>
          <w:spacing w:val="0"/>
          <w:w w:val="100"/>
          <w:sz w:val="32"/>
          <w:szCs w:val="32"/>
          <w:highlight w:val="none"/>
        </w:rPr>
        <w:t>评估的个体情况</w:t>
      </w:r>
      <w:bookmarkEnd w:id="33"/>
      <w:bookmarkEnd w:id="34"/>
    </w:p>
    <w:bookmarkEnd w:id="18"/>
    <w:bookmarkEnd w:id="19"/>
    <w:bookmarkEnd w:id="20"/>
    <w:p>
      <w:pPr>
        <w:pStyle w:val="4"/>
        <w:pageBreakBefore w:val="0"/>
        <w:kinsoku/>
        <w:wordWrap/>
        <w:overflowPunct/>
        <w:topLinePunct/>
        <w:autoSpaceDE/>
        <w:autoSpaceDN/>
        <w:bidi w:val="0"/>
        <w:adjustRightInd w:val="0"/>
        <w:snapToGrid w:val="0"/>
        <w:spacing w:before="0" w:beforeAutospacing="0" w:after="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lang w:eastAsia="zh-CN"/>
        </w:rPr>
      </w:pPr>
      <w:bookmarkStart w:id="35" w:name="_Toc18856"/>
      <w:bookmarkStart w:id="36" w:name="_Toc23488"/>
      <w:bookmarkStart w:id="37" w:name="_Toc101045480"/>
      <w:bookmarkStart w:id="38" w:name="_Toc17646"/>
      <w:r>
        <w:rPr>
          <w:rFonts w:hint="eastAsia" w:ascii="黑体" w:hAnsi="黑体" w:eastAsia="黑体" w:cs="黑体"/>
          <w:b w:val="0"/>
          <w:bCs w:val="0"/>
          <w:color w:val="auto"/>
          <w:spacing w:val="0"/>
          <w:w w:val="100"/>
          <w:sz w:val="32"/>
          <w:szCs w:val="32"/>
          <w:highlight w:val="none"/>
        </w:rPr>
        <w:t>一、</w:t>
      </w:r>
      <w:bookmarkEnd w:id="35"/>
      <w:bookmarkEnd w:id="36"/>
      <w:bookmarkEnd w:id="37"/>
      <w:r>
        <w:rPr>
          <w:rFonts w:hint="eastAsia" w:ascii="黑体" w:hAnsi="黑体" w:eastAsia="黑体" w:cs="黑体"/>
          <w:b w:val="0"/>
          <w:bCs w:val="0"/>
          <w:color w:val="auto"/>
          <w:spacing w:val="0"/>
          <w:w w:val="100"/>
          <w:sz w:val="32"/>
          <w:szCs w:val="32"/>
          <w:highlight w:val="none"/>
          <w:lang w:eastAsia="zh-CN"/>
        </w:rPr>
        <w:t>市市场监管局</w:t>
      </w:r>
      <w:bookmarkEnd w:id="38"/>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bookmarkStart w:id="39" w:name="bookmark0"/>
      <w:bookmarkEnd w:id="39"/>
      <w:r>
        <w:rPr>
          <w:rFonts w:hint="eastAsia" w:ascii="仿宋_GB2312" w:hAnsi="仿宋_GB2312" w:eastAsia="仿宋_GB2312" w:cs="仿宋_GB2312"/>
          <w:b w:val="0"/>
          <w:bCs w:val="0"/>
          <w:color w:val="auto"/>
          <w:spacing w:val="0"/>
          <w:w w:val="100"/>
          <w:kern w:val="0"/>
          <w:sz w:val="32"/>
          <w:szCs w:val="32"/>
          <w:highlight w:val="none"/>
          <w:lang w:eastAsia="zh-CN"/>
        </w:rPr>
        <w:t>市市场监管局提供其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起草、制定的涉及市场主体经济活动的政策措施1份，</w:t>
      </w:r>
      <w:r>
        <w:rPr>
          <w:rFonts w:hint="eastAsia" w:ascii="仿宋_GB2312" w:hAnsi="仿宋_GB2312" w:eastAsia="仿宋_GB2312" w:cs="仿宋_GB2312"/>
          <w:b w:val="0"/>
          <w:bCs w:val="0"/>
          <w:color w:val="auto"/>
          <w:spacing w:val="0"/>
          <w:w w:val="100"/>
          <w:kern w:val="0"/>
          <w:sz w:val="32"/>
          <w:szCs w:val="32"/>
          <w:highlight w:val="none"/>
          <w:lang w:eastAsia="zh-CN"/>
        </w:rPr>
        <w:t>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1份，</w:t>
      </w:r>
      <w:r>
        <w:rPr>
          <w:rFonts w:hint="eastAsia" w:ascii="仿宋_GB2312" w:hAnsi="仿宋_GB2312" w:eastAsia="仿宋_GB2312" w:cs="仿宋_GB2312"/>
          <w:b w:val="0"/>
          <w:bCs w:val="0"/>
          <w:color w:val="auto"/>
          <w:spacing w:val="0"/>
          <w:w w:val="100"/>
          <w:kern w:val="0"/>
          <w:sz w:val="32"/>
          <w:szCs w:val="32"/>
          <w:highlight w:val="none"/>
        </w:rPr>
        <w:t>经评估</w:t>
      </w:r>
      <w:r>
        <w:rPr>
          <w:rFonts w:hint="eastAsia" w:ascii="仿宋_GB2312" w:hAnsi="仿宋_GB2312" w:eastAsia="仿宋_GB2312" w:cs="仿宋_GB2312"/>
          <w:b w:val="0"/>
          <w:bCs w:val="0"/>
          <w:color w:val="auto"/>
          <w:spacing w:val="0"/>
          <w:w w:val="100"/>
          <w:kern w:val="0"/>
          <w:sz w:val="32"/>
          <w:szCs w:val="32"/>
          <w:highlight w:val="none"/>
          <w:lang w:eastAsia="zh-CN"/>
        </w:rPr>
        <w:t>涉嫌违反公平竞争的政策措施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0份，</w:t>
      </w:r>
      <w:r>
        <w:rPr>
          <w:rFonts w:hint="eastAsia" w:ascii="仿宋_GB2312" w:hAnsi="仿宋_GB2312" w:eastAsia="仿宋_GB2312" w:cs="仿宋_GB2312"/>
          <w:b w:val="0"/>
          <w:bCs w:val="0"/>
          <w:color w:val="auto"/>
          <w:spacing w:val="0"/>
          <w:w w:val="100"/>
          <w:kern w:val="0"/>
          <w:sz w:val="32"/>
          <w:szCs w:val="32"/>
          <w:highlight w:val="none"/>
        </w:rPr>
        <w:t>差错率为0</w:t>
      </w:r>
      <w:r>
        <w:rPr>
          <w:rFonts w:hint="eastAsia" w:ascii="仿宋_GB2312" w:hAnsi="仿宋_GB2312" w:eastAsia="仿宋_GB2312" w:cs="仿宋_GB2312"/>
          <w:b w:val="0"/>
          <w:bCs w:val="0"/>
          <w:color w:val="auto"/>
          <w:spacing w:val="0"/>
          <w:w w:val="100"/>
          <w:kern w:val="0"/>
          <w:sz w:val="32"/>
          <w:szCs w:val="32"/>
          <w:highlight w:val="none"/>
          <w:lang w:val="en-US" w:eastAsia="zh-CN"/>
        </w:rPr>
        <w:t>%</w:t>
      </w:r>
      <w:r>
        <w:rPr>
          <w:rFonts w:hint="eastAsia" w:ascii="仿宋_GB2312" w:hAnsi="仿宋_GB2312" w:eastAsia="仿宋_GB2312" w:cs="仿宋_GB2312"/>
          <w:b w:val="0"/>
          <w:bCs w:val="0"/>
          <w:color w:val="auto"/>
          <w:spacing w:val="0"/>
          <w:w w:val="100"/>
          <w:kern w:val="0"/>
          <w:sz w:val="32"/>
          <w:szCs w:val="32"/>
          <w:highlight w:val="none"/>
        </w:rPr>
        <w:t>。</w:t>
      </w:r>
    </w:p>
    <w:p>
      <w:pPr>
        <w:pStyle w:val="5"/>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lang w:val="zh-CN"/>
        </w:rPr>
      </w:pPr>
      <w:r>
        <w:rPr>
          <w:rFonts w:hint="eastAsia" w:ascii="黑体" w:hAnsi="黑体" w:eastAsia="黑体" w:cs="黑体"/>
          <w:b w:val="0"/>
          <w:bCs w:val="0"/>
          <w:color w:val="auto"/>
          <w:spacing w:val="0"/>
          <w:w w:val="100"/>
          <w:sz w:val="32"/>
          <w:szCs w:val="32"/>
          <w:highlight w:val="none"/>
          <w:lang w:val="zh-CN"/>
        </w:rPr>
        <w:t>二、市发展改革委</w:t>
      </w:r>
    </w:p>
    <w:p>
      <w:pPr>
        <w:pStyle w:val="5"/>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lang w:eastAsia="zh-CN"/>
        </w:rPr>
        <w:t>市发展改革委提供的政策措施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0份。</w:t>
      </w:r>
    </w:p>
    <w:p>
      <w:pPr>
        <w:pStyle w:val="5"/>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lang w:val="zh-CN"/>
        </w:rPr>
      </w:pPr>
      <w:r>
        <w:rPr>
          <w:rFonts w:hint="eastAsia" w:ascii="黑体" w:hAnsi="黑体" w:eastAsia="黑体" w:cs="黑体"/>
          <w:b w:val="0"/>
          <w:bCs w:val="0"/>
          <w:color w:val="auto"/>
          <w:spacing w:val="0"/>
          <w:w w:val="100"/>
          <w:sz w:val="32"/>
          <w:szCs w:val="32"/>
          <w:highlight w:val="none"/>
          <w:lang w:val="zh-CN"/>
        </w:rPr>
        <w:t>三、市财政局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lang w:eastAsia="zh-CN"/>
        </w:rPr>
        <w:t>市财政局提供其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4</w:t>
      </w:r>
      <w:r>
        <w:rPr>
          <w:rFonts w:hint="eastAsia" w:ascii="仿宋_GB2312" w:hAnsi="仿宋_GB2312" w:eastAsia="仿宋_GB2312" w:cs="仿宋_GB2312"/>
          <w:b w:val="0"/>
          <w:bCs w:val="0"/>
          <w:color w:val="auto"/>
          <w:spacing w:val="0"/>
          <w:w w:val="100"/>
          <w:kern w:val="0"/>
          <w:sz w:val="32"/>
          <w:szCs w:val="32"/>
          <w:highlight w:val="none"/>
        </w:rPr>
        <w:t>份，其中增量政策措施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4</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经评估涉嫌违反公平竞争</w:t>
      </w:r>
      <w:r>
        <w:rPr>
          <w:rFonts w:hint="eastAsia" w:ascii="仿宋_GB2312" w:hAnsi="仿宋_GB2312" w:eastAsia="仿宋_GB2312" w:cs="仿宋_GB2312"/>
          <w:b w:val="0"/>
          <w:bCs w:val="0"/>
          <w:color w:val="auto"/>
          <w:spacing w:val="0"/>
          <w:w w:val="100"/>
          <w:kern w:val="0"/>
          <w:sz w:val="32"/>
          <w:szCs w:val="32"/>
          <w:highlight w:val="none"/>
          <w:lang w:eastAsia="zh-CN"/>
        </w:rPr>
        <w:t>的</w:t>
      </w:r>
      <w:r>
        <w:rPr>
          <w:rFonts w:hint="eastAsia" w:ascii="仿宋_GB2312" w:hAnsi="仿宋_GB2312" w:eastAsia="仿宋_GB2312" w:cs="仿宋_GB2312"/>
          <w:b w:val="0"/>
          <w:bCs w:val="0"/>
          <w:color w:val="auto"/>
          <w:spacing w:val="0"/>
          <w:w w:val="100"/>
          <w:kern w:val="0"/>
          <w:sz w:val="32"/>
          <w:szCs w:val="32"/>
          <w:highlight w:val="none"/>
        </w:rPr>
        <w:t>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w:t>
      </w:r>
      <w:r>
        <w:rPr>
          <w:rFonts w:hint="eastAsia" w:ascii="仿宋_GB2312" w:hAnsi="仿宋_GB2312" w:eastAsia="仿宋_GB2312" w:cs="仿宋_GB2312"/>
          <w:b w:val="0"/>
          <w:bCs w:val="0"/>
          <w:color w:val="auto"/>
          <w:spacing w:val="0"/>
          <w:w w:val="100"/>
          <w:kern w:val="0"/>
          <w:sz w:val="32"/>
          <w:szCs w:val="32"/>
          <w:highlight w:val="none"/>
        </w:rPr>
        <w:t>份，差错率为0%。</w:t>
      </w:r>
    </w:p>
    <w:p>
      <w:pPr>
        <w:pStyle w:val="5"/>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lang w:val="zh-CN"/>
        </w:rPr>
      </w:pPr>
      <w:r>
        <w:rPr>
          <w:rFonts w:hint="eastAsia" w:ascii="黑体" w:hAnsi="黑体" w:eastAsia="黑体" w:cs="黑体"/>
          <w:b w:val="0"/>
          <w:bCs w:val="0"/>
          <w:color w:val="auto"/>
          <w:spacing w:val="0"/>
          <w:w w:val="100"/>
          <w:sz w:val="32"/>
          <w:szCs w:val="32"/>
          <w:highlight w:val="none"/>
          <w:lang w:val="zh-CN"/>
        </w:rPr>
        <w:t>四、市商务局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市商务局提供其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1</w:t>
      </w:r>
      <w:r>
        <w:rPr>
          <w:rFonts w:hint="eastAsia" w:ascii="仿宋_GB2312" w:hAnsi="仿宋_GB2312" w:eastAsia="仿宋_GB2312" w:cs="仿宋_GB2312"/>
          <w:b w:val="0"/>
          <w:bCs w:val="0"/>
          <w:color w:val="auto"/>
          <w:spacing w:val="0"/>
          <w:w w:val="100"/>
          <w:kern w:val="0"/>
          <w:sz w:val="32"/>
          <w:szCs w:val="32"/>
          <w:highlight w:val="none"/>
        </w:rPr>
        <w:t>份，其中增量政策措施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bookmarkStart w:id="40" w:name="_Toc27901"/>
    </w:p>
    <w:bookmarkEnd w:id="40"/>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sz w:val="32"/>
          <w:szCs w:val="32"/>
          <w:highlight w:val="none"/>
          <w:lang w:val="zh-CN"/>
        </w:rPr>
      </w:pPr>
      <w:r>
        <w:rPr>
          <w:rFonts w:hint="eastAsia" w:ascii="黑体" w:hAnsi="黑体" w:eastAsia="黑体" w:cs="黑体"/>
          <w:b w:val="0"/>
          <w:bCs w:val="0"/>
          <w:color w:val="auto"/>
          <w:spacing w:val="0"/>
          <w:w w:val="100"/>
          <w:kern w:val="2"/>
          <w:sz w:val="32"/>
          <w:szCs w:val="32"/>
          <w:lang w:val="zh-CN" w:eastAsia="zh-TW" w:bidi="zh-TW"/>
        </w:rPr>
        <w:t>五、</w:t>
      </w:r>
      <w:r>
        <w:rPr>
          <w:rFonts w:hint="eastAsia" w:ascii="黑体" w:hAnsi="黑体" w:eastAsia="黑体" w:cs="黑体"/>
          <w:b w:val="0"/>
          <w:bCs w:val="0"/>
          <w:color w:val="auto"/>
          <w:spacing w:val="0"/>
          <w:w w:val="100"/>
          <w:sz w:val="32"/>
          <w:szCs w:val="32"/>
          <w:highlight w:val="none"/>
          <w:lang w:val="zh-CN"/>
        </w:rPr>
        <w:t>市司法局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lang w:eastAsia="zh-CN"/>
        </w:rPr>
        <w:t>市司法局提供其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3</w:t>
      </w:r>
      <w:r>
        <w:rPr>
          <w:rFonts w:hint="eastAsia" w:ascii="仿宋_GB2312" w:hAnsi="仿宋_GB2312" w:eastAsia="仿宋_GB2312" w:cs="仿宋_GB2312"/>
          <w:b w:val="0"/>
          <w:bCs w:val="0"/>
          <w:color w:val="auto"/>
          <w:spacing w:val="0"/>
          <w:w w:val="100"/>
          <w:kern w:val="0"/>
          <w:sz w:val="32"/>
          <w:szCs w:val="32"/>
          <w:highlight w:val="none"/>
        </w:rPr>
        <w:t>份，其中增量政策措施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3</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经评估</w:t>
      </w:r>
      <w:r>
        <w:rPr>
          <w:rFonts w:hint="eastAsia" w:ascii="仿宋_GB2312" w:hAnsi="仿宋_GB2312" w:eastAsia="仿宋_GB2312" w:cs="仿宋_GB2312"/>
          <w:b w:val="0"/>
          <w:bCs w:val="0"/>
          <w:color w:val="auto"/>
          <w:spacing w:val="0"/>
          <w:w w:val="100"/>
          <w:kern w:val="0"/>
          <w:sz w:val="32"/>
          <w:szCs w:val="32"/>
          <w:highlight w:val="none"/>
          <w:lang w:eastAsia="zh-CN"/>
        </w:rPr>
        <w:t>涉嫌违反公平竞争政策的措施</w:t>
      </w:r>
      <w:r>
        <w:rPr>
          <w:rFonts w:hint="eastAsia" w:ascii="仿宋_GB2312" w:hAnsi="仿宋_GB2312" w:eastAsia="仿宋_GB2312" w:cs="仿宋_GB2312"/>
          <w:b w:val="0"/>
          <w:bCs w:val="0"/>
          <w:color w:val="auto"/>
          <w:spacing w:val="0"/>
          <w:w w:val="100"/>
          <w:kern w:val="0"/>
          <w:sz w:val="32"/>
          <w:szCs w:val="32"/>
          <w:highlight w:val="none"/>
          <w:lang w:val="en-US" w:eastAsia="zh-CN"/>
        </w:rPr>
        <w:t>0份，</w:t>
      </w:r>
      <w:r>
        <w:rPr>
          <w:rFonts w:hint="eastAsia" w:ascii="仿宋_GB2312" w:hAnsi="仿宋_GB2312" w:eastAsia="仿宋_GB2312" w:cs="仿宋_GB2312"/>
          <w:b w:val="0"/>
          <w:bCs w:val="0"/>
          <w:color w:val="auto"/>
          <w:spacing w:val="0"/>
          <w:w w:val="100"/>
          <w:kern w:val="0"/>
          <w:sz w:val="32"/>
          <w:szCs w:val="32"/>
          <w:highlight w:val="none"/>
        </w:rPr>
        <w:t>差错率为0</w:t>
      </w:r>
      <w:r>
        <w:rPr>
          <w:rFonts w:hint="eastAsia" w:ascii="仿宋_GB2312" w:hAnsi="仿宋_GB2312" w:eastAsia="仿宋_GB2312" w:cs="仿宋_GB2312"/>
          <w:b w:val="0"/>
          <w:bCs w:val="0"/>
          <w:color w:val="auto"/>
          <w:spacing w:val="0"/>
          <w:w w:val="100"/>
          <w:kern w:val="0"/>
          <w:sz w:val="32"/>
          <w:szCs w:val="32"/>
          <w:highlight w:val="none"/>
          <w:lang w:val="en-US" w:eastAsia="zh-CN"/>
        </w:rPr>
        <w:t>%</w:t>
      </w:r>
      <w:r>
        <w:rPr>
          <w:rFonts w:hint="eastAsia" w:ascii="仿宋_GB2312" w:hAnsi="仿宋_GB2312" w:eastAsia="仿宋_GB2312" w:cs="仿宋_GB2312"/>
          <w:b w:val="0"/>
          <w:bCs w:val="0"/>
          <w:color w:val="auto"/>
          <w:spacing w:val="0"/>
          <w:w w:val="100"/>
          <w:kern w:val="0"/>
          <w:sz w:val="32"/>
          <w:szCs w:val="32"/>
          <w:highlight w:val="none"/>
        </w:rPr>
        <w:t>。</w:t>
      </w:r>
      <w:bookmarkStart w:id="41" w:name="_Toc30340"/>
    </w:p>
    <w:p>
      <w:pPr>
        <w:pStyle w:val="5"/>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lang w:val="zh-CN"/>
        </w:rPr>
      </w:pPr>
      <w:r>
        <w:rPr>
          <w:rFonts w:hint="eastAsia" w:ascii="黑体" w:hAnsi="黑体" w:eastAsia="黑体" w:cs="黑体"/>
          <w:b w:val="0"/>
          <w:bCs w:val="0"/>
          <w:color w:val="auto"/>
          <w:spacing w:val="0"/>
          <w:w w:val="100"/>
          <w:sz w:val="32"/>
          <w:szCs w:val="32"/>
          <w:highlight w:val="none"/>
          <w:lang w:val="zh-CN"/>
        </w:rPr>
        <w:t>六、市教育局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lang w:eastAsia="zh-CN"/>
        </w:rPr>
        <w:t>市教育局提供的政策措施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0份。</w:t>
      </w:r>
    </w:p>
    <w:p>
      <w:pPr>
        <w:pStyle w:val="5"/>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r>
        <w:rPr>
          <w:rFonts w:hint="eastAsia" w:ascii="黑体" w:hAnsi="黑体" w:eastAsia="黑体" w:cs="黑体"/>
          <w:b w:val="0"/>
          <w:bCs w:val="0"/>
          <w:color w:val="auto"/>
          <w:spacing w:val="0"/>
          <w:w w:val="100"/>
          <w:sz w:val="32"/>
          <w:szCs w:val="32"/>
          <w:highlight w:val="none"/>
          <w:lang w:val="zh-CN"/>
        </w:rPr>
        <w:t>七、</w:t>
      </w:r>
      <w:bookmarkEnd w:id="41"/>
      <w:r>
        <w:rPr>
          <w:rFonts w:hint="eastAsia" w:ascii="黑体" w:hAnsi="黑体" w:eastAsia="黑体" w:cs="黑体"/>
          <w:b w:val="0"/>
          <w:bCs w:val="0"/>
          <w:color w:val="auto"/>
          <w:spacing w:val="0"/>
          <w:w w:val="100"/>
          <w:sz w:val="32"/>
          <w:szCs w:val="32"/>
          <w:highlight w:val="none"/>
          <w:lang w:val="zh-CN"/>
        </w:rPr>
        <w:t>市科技局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lang w:eastAsia="zh-CN"/>
        </w:rPr>
        <w:t>市科技局提供其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2</w:t>
      </w:r>
      <w:r>
        <w:rPr>
          <w:rFonts w:hint="eastAsia" w:ascii="仿宋_GB2312" w:hAnsi="仿宋_GB2312" w:eastAsia="仿宋_GB2312" w:cs="仿宋_GB2312"/>
          <w:b w:val="0"/>
          <w:bCs w:val="0"/>
          <w:color w:val="auto"/>
          <w:spacing w:val="0"/>
          <w:w w:val="100"/>
          <w:kern w:val="0"/>
          <w:sz w:val="32"/>
          <w:szCs w:val="32"/>
          <w:highlight w:val="none"/>
        </w:rPr>
        <w:t>份，经评估</w:t>
      </w:r>
      <w:r>
        <w:rPr>
          <w:rFonts w:hint="eastAsia" w:ascii="仿宋_GB2312" w:hAnsi="仿宋_GB2312" w:eastAsia="仿宋_GB2312" w:cs="仿宋_GB2312"/>
          <w:b w:val="0"/>
          <w:bCs w:val="0"/>
          <w:color w:val="auto"/>
          <w:spacing w:val="0"/>
          <w:w w:val="100"/>
          <w:kern w:val="0"/>
          <w:sz w:val="32"/>
          <w:szCs w:val="32"/>
          <w:highlight w:val="none"/>
          <w:lang w:eastAsia="zh-CN"/>
        </w:rPr>
        <w:t>涉嫌违反公平竞争政策的措施</w:t>
      </w:r>
      <w:r>
        <w:rPr>
          <w:rFonts w:hint="eastAsia" w:ascii="仿宋_GB2312" w:hAnsi="仿宋_GB2312" w:eastAsia="仿宋_GB2312" w:cs="仿宋_GB2312"/>
          <w:b w:val="0"/>
          <w:bCs w:val="0"/>
          <w:color w:val="auto"/>
          <w:spacing w:val="0"/>
          <w:w w:val="100"/>
          <w:kern w:val="0"/>
          <w:sz w:val="32"/>
          <w:szCs w:val="32"/>
          <w:highlight w:val="none"/>
          <w:lang w:val="en-US" w:eastAsia="zh-CN"/>
        </w:rPr>
        <w:t>0份，</w:t>
      </w:r>
      <w:r>
        <w:rPr>
          <w:rFonts w:hint="eastAsia" w:ascii="仿宋_GB2312" w:hAnsi="仿宋_GB2312" w:eastAsia="仿宋_GB2312" w:cs="仿宋_GB2312"/>
          <w:b w:val="0"/>
          <w:bCs w:val="0"/>
          <w:color w:val="auto"/>
          <w:spacing w:val="0"/>
          <w:w w:val="100"/>
          <w:kern w:val="0"/>
          <w:sz w:val="32"/>
          <w:szCs w:val="32"/>
          <w:highlight w:val="none"/>
        </w:rPr>
        <w:t>差错率为0</w:t>
      </w:r>
      <w:r>
        <w:rPr>
          <w:rFonts w:hint="eastAsia" w:ascii="仿宋_GB2312" w:hAnsi="仿宋_GB2312" w:eastAsia="仿宋_GB2312" w:cs="仿宋_GB2312"/>
          <w:b w:val="0"/>
          <w:bCs w:val="0"/>
          <w:color w:val="auto"/>
          <w:spacing w:val="0"/>
          <w:w w:val="100"/>
          <w:kern w:val="0"/>
          <w:sz w:val="32"/>
          <w:szCs w:val="32"/>
          <w:highlight w:val="none"/>
          <w:lang w:val="en-US" w:eastAsia="zh-CN"/>
        </w:rPr>
        <w:t>%</w:t>
      </w:r>
      <w:r>
        <w:rPr>
          <w:rFonts w:hint="eastAsia" w:ascii="仿宋_GB2312" w:hAnsi="仿宋_GB2312" w:eastAsia="仿宋_GB2312" w:cs="仿宋_GB2312"/>
          <w:b w:val="0"/>
          <w:bCs w:val="0"/>
          <w:color w:val="auto"/>
          <w:spacing w:val="0"/>
          <w:w w:val="100"/>
          <w:kern w:val="0"/>
          <w:sz w:val="32"/>
          <w:szCs w:val="32"/>
          <w:highlight w:val="none"/>
        </w:rPr>
        <w:t>。</w:t>
      </w:r>
    </w:p>
    <w:p>
      <w:pPr>
        <w:pStyle w:val="5"/>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lang w:val="zh-CN"/>
        </w:rPr>
      </w:pPr>
      <w:r>
        <w:rPr>
          <w:rFonts w:hint="eastAsia" w:ascii="黑体" w:hAnsi="黑体" w:eastAsia="黑体" w:cs="黑体"/>
          <w:b w:val="0"/>
          <w:bCs w:val="0"/>
          <w:color w:val="auto"/>
          <w:spacing w:val="0"/>
          <w:w w:val="100"/>
          <w:sz w:val="32"/>
          <w:szCs w:val="32"/>
          <w:highlight w:val="none"/>
          <w:lang w:val="zh-CN"/>
        </w:rPr>
        <w:t>八、市工信局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lang w:eastAsia="zh-CN"/>
        </w:rPr>
        <w:t>市工信局提供其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1</w:t>
      </w:r>
      <w:r>
        <w:rPr>
          <w:rFonts w:hint="eastAsia" w:ascii="仿宋_GB2312" w:hAnsi="仿宋_GB2312" w:eastAsia="仿宋_GB2312" w:cs="仿宋_GB2312"/>
          <w:b w:val="0"/>
          <w:bCs w:val="0"/>
          <w:color w:val="auto"/>
          <w:spacing w:val="0"/>
          <w:w w:val="100"/>
          <w:kern w:val="0"/>
          <w:sz w:val="32"/>
          <w:szCs w:val="32"/>
          <w:highlight w:val="none"/>
        </w:rPr>
        <w:t>份，经评估</w:t>
      </w:r>
      <w:r>
        <w:rPr>
          <w:rFonts w:hint="eastAsia" w:ascii="仿宋_GB2312" w:hAnsi="仿宋_GB2312" w:eastAsia="仿宋_GB2312" w:cs="仿宋_GB2312"/>
          <w:b w:val="0"/>
          <w:bCs w:val="0"/>
          <w:color w:val="auto"/>
          <w:spacing w:val="0"/>
          <w:w w:val="100"/>
          <w:kern w:val="0"/>
          <w:sz w:val="32"/>
          <w:szCs w:val="32"/>
          <w:highlight w:val="none"/>
          <w:lang w:eastAsia="zh-CN"/>
        </w:rPr>
        <w:t>涉嫌违反公平竞争的政策措施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0份，</w:t>
      </w:r>
      <w:r>
        <w:rPr>
          <w:rFonts w:hint="eastAsia" w:ascii="仿宋_GB2312" w:hAnsi="仿宋_GB2312" w:eastAsia="仿宋_GB2312" w:cs="仿宋_GB2312"/>
          <w:b w:val="0"/>
          <w:bCs w:val="0"/>
          <w:color w:val="auto"/>
          <w:spacing w:val="0"/>
          <w:w w:val="100"/>
          <w:kern w:val="0"/>
          <w:sz w:val="32"/>
          <w:szCs w:val="32"/>
          <w:highlight w:val="none"/>
        </w:rPr>
        <w:t>差错率为0</w:t>
      </w:r>
      <w:r>
        <w:rPr>
          <w:rFonts w:hint="eastAsia" w:ascii="仿宋_GB2312" w:hAnsi="仿宋_GB2312" w:eastAsia="仿宋_GB2312" w:cs="仿宋_GB2312"/>
          <w:b w:val="0"/>
          <w:bCs w:val="0"/>
          <w:color w:val="auto"/>
          <w:spacing w:val="0"/>
          <w:w w:val="100"/>
          <w:kern w:val="0"/>
          <w:sz w:val="32"/>
          <w:szCs w:val="32"/>
          <w:highlight w:val="none"/>
          <w:lang w:val="en-US" w:eastAsia="zh-CN"/>
        </w:rPr>
        <w:t>%</w:t>
      </w:r>
      <w:r>
        <w:rPr>
          <w:rFonts w:hint="eastAsia" w:ascii="仿宋_GB2312" w:hAnsi="仿宋_GB2312" w:eastAsia="仿宋_GB2312" w:cs="仿宋_GB2312"/>
          <w:b w:val="0"/>
          <w:bCs w:val="0"/>
          <w:color w:val="auto"/>
          <w:spacing w:val="0"/>
          <w:w w:val="100"/>
          <w:kern w:val="0"/>
          <w:sz w:val="32"/>
          <w:szCs w:val="32"/>
          <w:highlight w:val="none"/>
        </w:rPr>
        <w:t>。</w:t>
      </w:r>
    </w:p>
    <w:p>
      <w:pPr>
        <w:pStyle w:val="5"/>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lang w:val="zh-CN"/>
        </w:rPr>
      </w:pPr>
      <w:r>
        <w:rPr>
          <w:rFonts w:hint="eastAsia" w:ascii="黑体" w:hAnsi="黑体" w:eastAsia="黑体" w:cs="黑体"/>
          <w:b w:val="0"/>
          <w:bCs w:val="0"/>
          <w:color w:val="auto"/>
          <w:spacing w:val="0"/>
          <w:w w:val="100"/>
          <w:sz w:val="32"/>
          <w:szCs w:val="32"/>
          <w:highlight w:val="none"/>
          <w:lang w:val="zh-CN"/>
        </w:rPr>
        <w:t>九、市民政局</w:t>
      </w:r>
    </w:p>
    <w:p>
      <w:pPr>
        <w:pStyle w:val="5"/>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bookmarkStart w:id="42" w:name="_Hlk92200566"/>
      <w:r>
        <w:rPr>
          <w:rFonts w:hint="eastAsia" w:ascii="仿宋_GB2312" w:hAnsi="仿宋_GB2312" w:eastAsia="仿宋_GB2312" w:cs="仿宋_GB2312"/>
          <w:b w:val="0"/>
          <w:bCs w:val="0"/>
          <w:color w:val="auto"/>
          <w:spacing w:val="0"/>
          <w:w w:val="100"/>
          <w:kern w:val="0"/>
          <w:sz w:val="32"/>
          <w:szCs w:val="32"/>
          <w:highlight w:val="none"/>
          <w:lang w:eastAsia="zh-CN"/>
        </w:rPr>
        <w:t>市民政局提供的政策措施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0份。</w:t>
      </w:r>
    </w:p>
    <w:p>
      <w:pPr>
        <w:pStyle w:val="5"/>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lang w:val="zh-CN"/>
        </w:rPr>
      </w:pPr>
      <w:r>
        <w:rPr>
          <w:rFonts w:hint="eastAsia" w:ascii="黑体" w:hAnsi="黑体" w:eastAsia="黑体" w:cs="黑体"/>
          <w:b w:val="0"/>
          <w:bCs w:val="0"/>
          <w:color w:val="auto"/>
          <w:spacing w:val="0"/>
          <w:w w:val="100"/>
          <w:sz w:val="32"/>
          <w:szCs w:val="32"/>
          <w:highlight w:val="none"/>
          <w:lang w:val="zh-CN"/>
        </w:rPr>
        <w:t>十、市自然资源局</w:t>
      </w:r>
    </w:p>
    <w:bookmarkEnd w:id="42"/>
    <w:p>
      <w:pPr>
        <w:pStyle w:val="3"/>
        <w:pageBreakBefore w:val="0"/>
        <w:kinsoku/>
        <w:wordWrap/>
        <w:overflowPunct/>
        <w:topLinePunct/>
        <w:autoSpaceDE/>
        <w:autoSpaceDN/>
        <w:bidi w:val="0"/>
        <w:adjustRightInd w:val="0"/>
        <w:snapToGrid w:val="0"/>
        <w:spacing w:before="0" w:beforeAutospacing="0" w:after="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bookmarkStart w:id="43" w:name="_Toc2639"/>
      <w:r>
        <w:rPr>
          <w:rFonts w:hint="eastAsia" w:ascii="仿宋_GB2312" w:hAnsi="仿宋_GB2312" w:eastAsia="仿宋_GB2312" w:cs="仿宋_GB2312"/>
          <w:b w:val="0"/>
          <w:bCs w:val="0"/>
          <w:color w:val="auto"/>
          <w:spacing w:val="0"/>
          <w:w w:val="100"/>
          <w:kern w:val="0"/>
          <w:sz w:val="32"/>
          <w:szCs w:val="32"/>
          <w:highlight w:val="none"/>
          <w:lang w:eastAsia="zh-CN"/>
        </w:rPr>
        <w:t>市自然资源局提供的政策措施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0份。</w:t>
      </w:r>
      <w:bookmarkEnd w:id="43"/>
      <w:bookmarkStart w:id="44" w:name="_Toc101045481"/>
      <w:bookmarkStart w:id="45" w:name="_Toc23336"/>
      <w:bookmarkStart w:id="46" w:name="_Toc14069"/>
      <w:bookmarkStart w:id="47" w:name="_Toc15318"/>
    </w:p>
    <w:p>
      <w:pPr>
        <w:pageBreakBefore w:val="0"/>
        <w:kinsoku/>
        <w:wordWrap/>
        <w:overflowPunct/>
        <w:topLinePunct/>
        <w:autoSpaceDE/>
        <w:autoSpaceDN/>
        <w:bidi w:val="0"/>
        <w:spacing w:beforeAutospacing="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lang w:val="en-US" w:eastAsia="zh-CN" w:bidi="ar-SA"/>
        </w:rPr>
      </w:pPr>
      <w:r>
        <w:rPr>
          <w:rFonts w:hint="eastAsia" w:ascii="黑体" w:hAnsi="黑体" w:eastAsia="黑体" w:cs="黑体"/>
          <w:b w:val="0"/>
          <w:bCs w:val="0"/>
          <w:color w:val="auto"/>
          <w:spacing w:val="0"/>
          <w:w w:val="100"/>
          <w:sz w:val="32"/>
          <w:szCs w:val="32"/>
          <w:highlight w:val="none"/>
          <w:lang w:val="en-US" w:eastAsia="zh-CN" w:bidi="ar-SA"/>
        </w:rPr>
        <w:t>十一、市生态环境局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lang w:eastAsia="zh-CN"/>
        </w:rPr>
        <w:t>市生态环境局提供其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13</w:t>
      </w:r>
      <w:r>
        <w:rPr>
          <w:rFonts w:hint="eastAsia" w:ascii="仿宋_GB2312" w:hAnsi="仿宋_GB2312" w:eastAsia="仿宋_GB2312" w:cs="仿宋_GB2312"/>
          <w:b w:val="0"/>
          <w:bCs w:val="0"/>
          <w:color w:val="auto"/>
          <w:spacing w:val="0"/>
          <w:w w:val="100"/>
          <w:kern w:val="0"/>
          <w:sz w:val="32"/>
          <w:szCs w:val="32"/>
          <w:highlight w:val="none"/>
        </w:rPr>
        <w:t>份，其中增量政策措施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8</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经评估涉嫌违反公平竞争</w:t>
      </w:r>
      <w:r>
        <w:rPr>
          <w:rFonts w:hint="eastAsia" w:ascii="仿宋_GB2312" w:hAnsi="仿宋_GB2312" w:eastAsia="仿宋_GB2312" w:cs="仿宋_GB2312"/>
          <w:b w:val="0"/>
          <w:bCs w:val="0"/>
          <w:color w:val="auto"/>
          <w:spacing w:val="0"/>
          <w:w w:val="100"/>
          <w:kern w:val="0"/>
          <w:sz w:val="32"/>
          <w:szCs w:val="32"/>
          <w:highlight w:val="none"/>
          <w:lang w:eastAsia="zh-CN"/>
        </w:rPr>
        <w:t>的</w:t>
      </w:r>
      <w:r>
        <w:rPr>
          <w:rFonts w:hint="eastAsia" w:ascii="仿宋_GB2312" w:hAnsi="仿宋_GB2312" w:eastAsia="仿宋_GB2312" w:cs="仿宋_GB2312"/>
          <w:b w:val="0"/>
          <w:bCs w:val="0"/>
          <w:color w:val="auto"/>
          <w:spacing w:val="0"/>
          <w:w w:val="100"/>
          <w:kern w:val="0"/>
          <w:sz w:val="32"/>
          <w:szCs w:val="32"/>
          <w:highlight w:val="none"/>
        </w:rPr>
        <w:t>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w:t>
      </w:r>
      <w:r>
        <w:rPr>
          <w:rFonts w:hint="eastAsia" w:ascii="仿宋_GB2312" w:hAnsi="仿宋_GB2312" w:eastAsia="仿宋_GB2312" w:cs="仿宋_GB2312"/>
          <w:b w:val="0"/>
          <w:bCs w:val="0"/>
          <w:color w:val="auto"/>
          <w:spacing w:val="0"/>
          <w:w w:val="100"/>
          <w:kern w:val="0"/>
          <w:sz w:val="32"/>
          <w:szCs w:val="32"/>
          <w:highlight w:val="none"/>
        </w:rPr>
        <w:t>份，差错率为0%。</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eastAsia="zh-CN"/>
        </w:rPr>
      </w:pPr>
      <w:r>
        <w:rPr>
          <w:rFonts w:hint="eastAsia" w:ascii="黑体" w:hAnsi="黑体" w:eastAsia="黑体" w:cs="黑体"/>
          <w:b w:val="0"/>
          <w:bCs w:val="0"/>
          <w:color w:val="auto"/>
          <w:spacing w:val="0"/>
          <w:w w:val="100"/>
          <w:kern w:val="0"/>
          <w:sz w:val="32"/>
          <w:szCs w:val="32"/>
          <w:lang w:val="zh-TW" w:eastAsia="zh-CN" w:bidi="zh-TW"/>
        </w:rPr>
        <w:t>十二、</w:t>
      </w:r>
      <w:r>
        <w:rPr>
          <w:rFonts w:hint="eastAsia" w:ascii="黑体" w:hAnsi="黑体" w:eastAsia="黑体" w:cs="黑体"/>
          <w:b w:val="0"/>
          <w:bCs w:val="0"/>
          <w:color w:val="auto"/>
          <w:spacing w:val="0"/>
          <w:w w:val="100"/>
          <w:kern w:val="0"/>
          <w:sz w:val="32"/>
          <w:szCs w:val="32"/>
          <w:highlight w:val="none"/>
          <w:lang w:eastAsia="zh-CN"/>
        </w:rPr>
        <w:t>市住建局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市住建局提供其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19</w:t>
      </w:r>
      <w:r>
        <w:rPr>
          <w:rFonts w:hint="eastAsia" w:ascii="仿宋_GB2312" w:hAnsi="仿宋_GB2312" w:eastAsia="仿宋_GB2312" w:cs="仿宋_GB2312"/>
          <w:b w:val="0"/>
          <w:bCs w:val="0"/>
          <w:color w:val="auto"/>
          <w:spacing w:val="0"/>
          <w:w w:val="100"/>
          <w:kern w:val="0"/>
          <w:sz w:val="32"/>
          <w:szCs w:val="32"/>
          <w:highlight w:val="none"/>
        </w:rPr>
        <w:t>份，其中增量政策措施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9</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经评估涉嫌违反公平竞争</w:t>
      </w:r>
      <w:r>
        <w:rPr>
          <w:rFonts w:hint="eastAsia" w:ascii="仿宋_GB2312" w:hAnsi="仿宋_GB2312" w:eastAsia="仿宋_GB2312" w:cs="仿宋_GB2312"/>
          <w:b w:val="0"/>
          <w:bCs w:val="0"/>
          <w:color w:val="auto"/>
          <w:spacing w:val="0"/>
          <w:w w:val="100"/>
          <w:kern w:val="0"/>
          <w:sz w:val="32"/>
          <w:szCs w:val="32"/>
          <w:highlight w:val="none"/>
          <w:lang w:eastAsia="zh-CN"/>
        </w:rPr>
        <w:t>的</w:t>
      </w:r>
      <w:r>
        <w:rPr>
          <w:rFonts w:hint="eastAsia" w:ascii="仿宋_GB2312" w:hAnsi="仿宋_GB2312" w:eastAsia="仿宋_GB2312" w:cs="仿宋_GB2312"/>
          <w:b w:val="0"/>
          <w:bCs w:val="0"/>
          <w:color w:val="auto"/>
          <w:spacing w:val="0"/>
          <w:w w:val="100"/>
          <w:kern w:val="0"/>
          <w:sz w:val="32"/>
          <w:szCs w:val="32"/>
          <w:highlight w:val="none"/>
        </w:rPr>
        <w:t>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w:t>
      </w:r>
      <w:r>
        <w:rPr>
          <w:rFonts w:hint="eastAsia" w:ascii="仿宋_GB2312" w:hAnsi="仿宋_GB2312" w:eastAsia="仿宋_GB2312" w:cs="仿宋_GB2312"/>
          <w:b w:val="0"/>
          <w:bCs w:val="0"/>
          <w:color w:val="auto"/>
          <w:spacing w:val="0"/>
          <w:w w:val="100"/>
          <w:kern w:val="0"/>
          <w:sz w:val="32"/>
          <w:szCs w:val="32"/>
          <w:highlight w:val="none"/>
        </w:rPr>
        <w:t>份，差错率为0%。</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eastAsia="zh-CN"/>
        </w:rPr>
      </w:pPr>
      <w:r>
        <w:rPr>
          <w:rFonts w:hint="eastAsia" w:ascii="黑体" w:hAnsi="黑体" w:eastAsia="黑体" w:cs="黑体"/>
          <w:b w:val="0"/>
          <w:bCs w:val="0"/>
          <w:color w:val="auto"/>
          <w:spacing w:val="0"/>
          <w:w w:val="100"/>
          <w:kern w:val="0"/>
          <w:sz w:val="32"/>
          <w:szCs w:val="32"/>
          <w:lang w:val="zh-TW" w:eastAsia="zh-CN" w:bidi="zh-TW"/>
        </w:rPr>
        <w:t>十三、</w:t>
      </w:r>
      <w:r>
        <w:rPr>
          <w:rFonts w:hint="eastAsia" w:ascii="黑体" w:hAnsi="黑体" w:eastAsia="黑体" w:cs="黑体"/>
          <w:b w:val="0"/>
          <w:bCs w:val="0"/>
          <w:color w:val="auto"/>
          <w:spacing w:val="0"/>
          <w:w w:val="100"/>
          <w:kern w:val="0"/>
          <w:sz w:val="32"/>
          <w:szCs w:val="32"/>
          <w:highlight w:val="none"/>
          <w:lang w:eastAsia="zh-CN"/>
        </w:rPr>
        <w:t>市交通运输局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市交通运输局提供其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3</w:t>
      </w:r>
      <w:r>
        <w:rPr>
          <w:rFonts w:hint="eastAsia" w:ascii="仿宋_GB2312" w:hAnsi="仿宋_GB2312" w:eastAsia="仿宋_GB2312" w:cs="仿宋_GB2312"/>
          <w:b w:val="0"/>
          <w:bCs w:val="0"/>
          <w:color w:val="auto"/>
          <w:spacing w:val="0"/>
          <w:w w:val="100"/>
          <w:kern w:val="0"/>
          <w:sz w:val="32"/>
          <w:szCs w:val="32"/>
          <w:highlight w:val="none"/>
        </w:rPr>
        <w:t>份，其中增量政策措施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3</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经评估涉嫌违反公平竞争</w:t>
      </w:r>
      <w:r>
        <w:rPr>
          <w:rFonts w:hint="eastAsia" w:ascii="仿宋_GB2312" w:hAnsi="仿宋_GB2312" w:eastAsia="仿宋_GB2312" w:cs="仿宋_GB2312"/>
          <w:b w:val="0"/>
          <w:bCs w:val="0"/>
          <w:color w:val="auto"/>
          <w:spacing w:val="0"/>
          <w:w w:val="100"/>
          <w:kern w:val="0"/>
          <w:sz w:val="32"/>
          <w:szCs w:val="32"/>
          <w:highlight w:val="none"/>
          <w:lang w:eastAsia="zh-CN"/>
        </w:rPr>
        <w:t>的</w:t>
      </w:r>
      <w:r>
        <w:rPr>
          <w:rFonts w:hint="eastAsia" w:ascii="仿宋_GB2312" w:hAnsi="仿宋_GB2312" w:eastAsia="仿宋_GB2312" w:cs="仿宋_GB2312"/>
          <w:b w:val="0"/>
          <w:bCs w:val="0"/>
          <w:color w:val="auto"/>
          <w:spacing w:val="0"/>
          <w:w w:val="100"/>
          <w:kern w:val="0"/>
          <w:sz w:val="32"/>
          <w:szCs w:val="32"/>
          <w:highlight w:val="none"/>
        </w:rPr>
        <w:t>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w:t>
      </w:r>
      <w:r>
        <w:rPr>
          <w:rFonts w:hint="eastAsia" w:ascii="仿宋_GB2312" w:hAnsi="仿宋_GB2312" w:eastAsia="仿宋_GB2312" w:cs="仿宋_GB2312"/>
          <w:b w:val="0"/>
          <w:bCs w:val="0"/>
          <w:color w:val="auto"/>
          <w:spacing w:val="0"/>
          <w:w w:val="100"/>
          <w:kern w:val="0"/>
          <w:sz w:val="32"/>
          <w:szCs w:val="32"/>
          <w:highlight w:val="none"/>
        </w:rPr>
        <w:t>份，差错率为0%。</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eastAsia="zh-CN"/>
        </w:rPr>
      </w:pPr>
      <w:r>
        <w:rPr>
          <w:rFonts w:hint="eastAsia" w:ascii="黑体" w:hAnsi="黑体" w:eastAsia="黑体" w:cs="黑体"/>
          <w:b w:val="0"/>
          <w:bCs w:val="0"/>
          <w:color w:val="auto"/>
          <w:spacing w:val="0"/>
          <w:w w:val="100"/>
          <w:kern w:val="0"/>
          <w:sz w:val="32"/>
          <w:szCs w:val="32"/>
          <w:lang w:val="zh-TW" w:eastAsia="zh-CN" w:bidi="zh-TW"/>
        </w:rPr>
        <w:t>十四、</w:t>
      </w:r>
      <w:r>
        <w:rPr>
          <w:rFonts w:hint="eastAsia" w:ascii="黑体" w:hAnsi="黑体" w:eastAsia="黑体" w:cs="黑体"/>
          <w:b w:val="0"/>
          <w:bCs w:val="0"/>
          <w:color w:val="auto"/>
          <w:spacing w:val="0"/>
          <w:w w:val="100"/>
          <w:kern w:val="0"/>
          <w:sz w:val="32"/>
          <w:szCs w:val="32"/>
          <w:highlight w:val="none"/>
          <w:lang w:eastAsia="zh-CN"/>
        </w:rPr>
        <w:t>市水务局</w:t>
      </w:r>
    </w:p>
    <w:p>
      <w:pPr>
        <w:pageBreakBefore w:val="0"/>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lang w:eastAsia="zh-CN"/>
        </w:rPr>
        <w:t>市水务局提供其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1</w:t>
      </w:r>
      <w:r>
        <w:rPr>
          <w:rFonts w:hint="eastAsia" w:ascii="仿宋_GB2312" w:hAnsi="仿宋_GB2312" w:eastAsia="仿宋_GB2312" w:cs="仿宋_GB2312"/>
          <w:b w:val="0"/>
          <w:bCs w:val="0"/>
          <w:color w:val="auto"/>
          <w:spacing w:val="0"/>
          <w:w w:val="100"/>
          <w:kern w:val="0"/>
          <w:sz w:val="32"/>
          <w:szCs w:val="32"/>
          <w:highlight w:val="none"/>
        </w:rPr>
        <w:t>份，其中增量政策措施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1</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经评估涉嫌违反公平竞争</w:t>
      </w:r>
      <w:r>
        <w:rPr>
          <w:rFonts w:hint="eastAsia" w:ascii="仿宋_GB2312" w:hAnsi="仿宋_GB2312" w:eastAsia="仿宋_GB2312" w:cs="仿宋_GB2312"/>
          <w:b w:val="0"/>
          <w:bCs w:val="0"/>
          <w:color w:val="auto"/>
          <w:spacing w:val="0"/>
          <w:w w:val="100"/>
          <w:kern w:val="0"/>
          <w:sz w:val="32"/>
          <w:szCs w:val="32"/>
          <w:highlight w:val="none"/>
          <w:lang w:eastAsia="zh-CN"/>
        </w:rPr>
        <w:t>的</w:t>
      </w:r>
      <w:r>
        <w:rPr>
          <w:rFonts w:hint="eastAsia" w:ascii="仿宋_GB2312" w:hAnsi="仿宋_GB2312" w:eastAsia="仿宋_GB2312" w:cs="仿宋_GB2312"/>
          <w:b w:val="0"/>
          <w:bCs w:val="0"/>
          <w:color w:val="auto"/>
          <w:spacing w:val="0"/>
          <w:w w:val="100"/>
          <w:kern w:val="0"/>
          <w:sz w:val="32"/>
          <w:szCs w:val="32"/>
          <w:highlight w:val="none"/>
        </w:rPr>
        <w:t>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w:t>
      </w:r>
      <w:r>
        <w:rPr>
          <w:rFonts w:hint="eastAsia" w:ascii="仿宋_GB2312" w:hAnsi="仿宋_GB2312" w:eastAsia="仿宋_GB2312" w:cs="仿宋_GB2312"/>
          <w:b w:val="0"/>
          <w:bCs w:val="0"/>
          <w:color w:val="auto"/>
          <w:spacing w:val="0"/>
          <w:w w:val="100"/>
          <w:kern w:val="0"/>
          <w:sz w:val="32"/>
          <w:szCs w:val="32"/>
          <w:highlight w:val="none"/>
        </w:rPr>
        <w:t>份，差错率为0%。</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val="en-US" w:eastAsia="zh-CN"/>
        </w:rPr>
      </w:pPr>
      <w:r>
        <w:rPr>
          <w:rFonts w:hint="eastAsia" w:ascii="黑体" w:hAnsi="黑体" w:eastAsia="黑体" w:cs="黑体"/>
          <w:b w:val="0"/>
          <w:bCs w:val="0"/>
          <w:color w:val="auto"/>
          <w:spacing w:val="0"/>
          <w:w w:val="100"/>
          <w:kern w:val="0"/>
          <w:sz w:val="32"/>
          <w:szCs w:val="32"/>
          <w:lang w:val="en-US" w:eastAsia="zh-CN" w:bidi="en-US"/>
        </w:rPr>
        <w:t>十五、</w:t>
      </w:r>
      <w:r>
        <w:rPr>
          <w:rFonts w:hint="eastAsia" w:ascii="黑体" w:hAnsi="黑体" w:eastAsia="黑体" w:cs="黑体"/>
          <w:b w:val="0"/>
          <w:bCs w:val="0"/>
          <w:color w:val="auto"/>
          <w:spacing w:val="0"/>
          <w:w w:val="100"/>
          <w:kern w:val="0"/>
          <w:sz w:val="32"/>
          <w:szCs w:val="32"/>
          <w:highlight w:val="none"/>
          <w:lang w:val="en-US" w:eastAsia="zh-CN"/>
        </w:rPr>
        <w:t>市农业局</w:t>
      </w:r>
    </w:p>
    <w:p>
      <w:pPr>
        <w:pageBreakBefore w:val="0"/>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市农业局提供其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3</w:t>
      </w:r>
      <w:r>
        <w:rPr>
          <w:rFonts w:hint="eastAsia" w:ascii="仿宋_GB2312" w:hAnsi="仿宋_GB2312" w:eastAsia="仿宋_GB2312" w:cs="仿宋_GB2312"/>
          <w:b w:val="0"/>
          <w:bCs w:val="0"/>
          <w:color w:val="auto"/>
          <w:spacing w:val="0"/>
          <w:w w:val="100"/>
          <w:kern w:val="0"/>
          <w:sz w:val="32"/>
          <w:szCs w:val="32"/>
          <w:highlight w:val="none"/>
        </w:rPr>
        <w:t>份，其中增量政策措施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3</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经评估涉嫌违反公平竞争</w:t>
      </w:r>
      <w:r>
        <w:rPr>
          <w:rFonts w:hint="eastAsia" w:ascii="仿宋_GB2312" w:hAnsi="仿宋_GB2312" w:eastAsia="仿宋_GB2312" w:cs="仿宋_GB2312"/>
          <w:b w:val="0"/>
          <w:bCs w:val="0"/>
          <w:color w:val="auto"/>
          <w:spacing w:val="0"/>
          <w:w w:val="100"/>
          <w:kern w:val="0"/>
          <w:sz w:val="32"/>
          <w:szCs w:val="32"/>
          <w:highlight w:val="none"/>
          <w:lang w:eastAsia="zh-CN"/>
        </w:rPr>
        <w:t>的</w:t>
      </w:r>
      <w:r>
        <w:rPr>
          <w:rFonts w:hint="eastAsia" w:ascii="仿宋_GB2312" w:hAnsi="仿宋_GB2312" w:eastAsia="仿宋_GB2312" w:cs="仿宋_GB2312"/>
          <w:b w:val="0"/>
          <w:bCs w:val="0"/>
          <w:color w:val="auto"/>
          <w:spacing w:val="0"/>
          <w:w w:val="100"/>
          <w:kern w:val="0"/>
          <w:sz w:val="32"/>
          <w:szCs w:val="32"/>
          <w:highlight w:val="none"/>
        </w:rPr>
        <w:t>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w:t>
      </w:r>
      <w:r>
        <w:rPr>
          <w:rFonts w:hint="eastAsia" w:ascii="仿宋_GB2312" w:hAnsi="仿宋_GB2312" w:eastAsia="仿宋_GB2312" w:cs="仿宋_GB2312"/>
          <w:b w:val="0"/>
          <w:bCs w:val="0"/>
          <w:color w:val="auto"/>
          <w:spacing w:val="0"/>
          <w:w w:val="100"/>
          <w:kern w:val="0"/>
          <w:sz w:val="32"/>
          <w:szCs w:val="32"/>
          <w:highlight w:val="none"/>
        </w:rPr>
        <w:t>份，差错率为0%。</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val="en-US" w:eastAsia="zh-CN"/>
        </w:rPr>
      </w:pPr>
      <w:r>
        <w:rPr>
          <w:rFonts w:hint="eastAsia" w:ascii="黑体" w:hAnsi="黑体" w:eastAsia="黑体" w:cs="黑体"/>
          <w:b w:val="0"/>
          <w:bCs w:val="0"/>
          <w:color w:val="auto"/>
          <w:spacing w:val="0"/>
          <w:w w:val="100"/>
          <w:kern w:val="0"/>
          <w:sz w:val="32"/>
          <w:szCs w:val="32"/>
          <w:lang w:val="en-US" w:eastAsia="zh-CN" w:bidi="en-US"/>
        </w:rPr>
        <w:t>十六、</w:t>
      </w:r>
      <w:r>
        <w:rPr>
          <w:rFonts w:hint="eastAsia" w:ascii="黑体" w:hAnsi="黑体" w:eastAsia="黑体" w:cs="黑体"/>
          <w:b w:val="0"/>
          <w:bCs w:val="0"/>
          <w:color w:val="auto"/>
          <w:spacing w:val="0"/>
          <w:w w:val="100"/>
          <w:kern w:val="0"/>
          <w:sz w:val="32"/>
          <w:szCs w:val="32"/>
          <w:highlight w:val="none"/>
          <w:lang w:val="en-US" w:eastAsia="zh-CN"/>
        </w:rPr>
        <w:t>市林草局</w:t>
      </w:r>
    </w:p>
    <w:p>
      <w:pPr>
        <w:pageBreakBefore w:val="0"/>
        <w:numPr>
          <w:ilvl w:val="0"/>
          <w:numId w:val="0"/>
        </w:numPr>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市林草局提供的政策措施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0份。</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val="en-US" w:eastAsia="zh-CN"/>
        </w:rPr>
      </w:pPr>
      <w:r>
        <w:rPr>
          <w:rFonts w:hint="eastAsia" w:ascii="黑体" w:hAnsi="黑体" w:eastAsia="黑体" w:cs="黑体"/>
          <w:b w:val="0"/>
          <w:bCs w:val="0"/>
          <w:color w:val="auto"/>
          <w:spacing w:val="0"/>
          <w:w w:val="100"/>
          <w:kern w:val="0"/>
          <w:sz w:val="32"/>
          <w:szCs w:val="32"/>
          <w:lang w:val="en-US" w:eastAsia="zh-CN" w:bidi="en-US"/>
        </w:rPr>
        <w:t>十七、</w:t>
      </w:r>
      <w:r>
        <w:rPr>
          <w:rFonts w:hint="eastAsia" w:ascii="黑体" w:hAnsi="黑体" w:eastAsia="黑体" w:cs="黑体"/>
          <w:b w:val="0"/>
          <w:bCs w:val="0"/>
          <w:color w:val="auto"/>
          <w:spacing w:val="0"/>
          <w:w w:val="100"/>
          <w:kern w:val="0"/>
          <w:sz w:val="32"/>
          <w:szCs w:val="32"/>
          <w:highlight w:val="none"/>
          <w:lang w:val="en-US" w:eastAsia="zh-CN"/>
        </w:rPr>
        <w:t>市畜牧局</w:t>
      </w:r>
    </w:p>
    <w:p>
      <w:pPr>
        <w:pageBreakBefore w:val="0"/>
        <w:numPr>
          <w:ilvl w:val="0"/>
          <w:numId w:val="0"/>
        </w:numPr>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市畜牧局提供的政策措施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0份。</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val="en-US" w:eastAsia="zh-CN"/>
        </w:rPr>
      </w:pPr>
      <w:r>
        <w:rPr>
          <w:rFonts w:hint="eastAsia" w:ascii="黑体" w:hAnsi="黑体" w:eastAsia="黑体" w:cs="黑体"/>
          <w:b w:val="0"/>
          <w:bCs w:val="0"/>
          <w:color w:val="auto"/>
          <w:spacing w:val="0"/>
          <w:w w:val="100"/>
          <w:kern w:val="0"/>
          <w:sz w:val="32"/>
          <w:szCs w:val="32"/>
          <w:lang w:val="en-US" w:eastAsia="zh-CN" w:bidi="en-US"/>
        </w:rPr>
        <w:t>十八、</w:t>
      </w:r>
      <w:r>
        <w:rPr>
          <w:rFonts w:hint="eastAsia" w:ascii="黑体" w:hAnsi="黑体" w:eastAsia="黑体" w:cs="黑体"/>
          <w:b w:val="0"/>
          <w:bCs w:val="0"/>
          <w:color w:val="auto"/>
          <w:spacing w:val="0"/>
          <w:w w:val="100"/>
          <w:kern w:val="0"/>
          <w:sz w:val="32"/>
          <w:szCs w:val="32"/>
          <w:highlight w:val="none"/>
          <w:lang w:val="en-US" w:eastAsia="zh-CN"/>
        </w:rPr>
        <w:t>市文广旅游局</w:t>
      </w:r>
    </w:p>
    <w:p>
      <w:pPr>
        <w:pageBreakBefore w:val="0"/>
        <w:numPr>
          <w:ilvl w:val="0"/>
          <w:numId w:val="0"/>
        </w:numPr>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市文广旅游局提供的政策措施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12份，</w:t>
      </w:r>
      <w:r>
        <w:rPr>
          <w:rFonts w:hint="eastAsia" w:ascii="仿宋_GB2312" w:hAnsi="仿宋_GB2312" w:eastAsia="仿宋_GB2312" w:cs="仿宋_GB2312"/>
          <w:b w:val="0"/>
          <w:bCs w:val="0"/>
          <w:color w:val="auto"/>
          <w:spacing w:val="0"/>
          <w:w w:val="100"/>
          <w:kern w:val="0"/>
          <w:sz w:val="32"/>
          <w:szCs w:val="32"/>
          <w:highlight w:val="none"/>
        </w:rPr>
        <w:t>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2</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经评估涉嫌违反公平竞争</w:t>
      </w:r>
      <w:r>
        <w:rPr>
          <w:rFonts w:hint="eastAsia" w:ascii="仿宋_GB2312" w:hAnsi="仿宋_GB2312" w:eastAsia="仿宋_GB2312" w:cs="仿宋_GB2312"/>
          <w:b w:val="0"/>
          <w:bCs w:val="0"/>
          <w:color w:val="auto"/>
          <w:spacing w:val="0"/>
          <w:w w:val="100"/>
          <w:kern w:val="0"/>
          <w:sz w:val="32"/>
          <w:szCs w:val="32"/>
          <w:highlight w:val="none"/>
          <w:lang w:eastAsia="zh-CN"/>
        </w:rPr>
        <w:t>的</w:t>
      </w:r>
      <w:r>
        <w:rPr>
          <w:rFonts w:hint="eastAsia" w:ascii="仿宋_GB2312" w:hAnsi="仿宋_GB2312" w:eastAsia="仿宋_GB2312" w:cs="仿宋_GB2312"/>
          <w:b w:val="0"/>
          <w:bCs w:val="0"/>
          <w:color w:val="auto"/>
          <w:spacing w:val="0"/>
          <w:w w:val="100"/>
          <w:kern w:val="0"/>
          <w:sz w:val="32"/>
          <w:szCs w:val="32"/>
          <w:highlight w:val="none"/>
        </w:rPr>
        <w:t>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2</w:t>
      </w:r>
      <w:r>
        <w:rPr>
          <w:rFonts w:hint="eastAsia" w:ascii="仿宋_GB2312" w:hAnsi="仿宋_GB2312" w:eastAsia="仿宋_GB2312" w:cs="仿宋_GB2312"/>
          <w:b w:val="0"/>
          <w:bCs w:val="0"/>
          <w:color w:val="auto"/>
          <w:spacing w:val="0"/>
          <w:w w:val="100"/>
          <w:kern w:val="0"/>
          <w:sz w:val="32"/>
          <w:szCs w:val="32"/>
          <w:highlight w:val="none"/>
        </w:rPr>
        <w:t>份，差错率为</w:t>
      </w:r>
      <w:r>
        <w:rPr>
          <w:rFonts w:hint="eastAsia" w:ascii="仿宋_GB2312" w:hAnsi="仿宋_GB2312" w:eastAsia="仿宋_GB2312" w:cs="仿宋_GB2312"/>
          <w:b w:val="0"/>
          <w:bCs w:val="0"/>
          <w:color w:val="auto"/>
          <w:spacing w:val="0"/>
          <w:w w:val="100"/>
          <w:kern w:val="0"/>
          <w:sz w:val="32"/>
          <w:szCs w:val="32"/>
          <w:highlight w:val="none"/>
          <w:lang w:val="en-US" w:eastAsia="zh-CN"/>
        </w:rPr>
        <w:t>16.66</w:t>
      </w:r>
      <w:r>
        <w:rPr>
          <w:rFonts w:hint="eastAsia" w:ascii="仿宋_GB2312" w:hAnsi="仿宋_GB2312" w:eastAsia="仿宋_GB2312" w:cs="仿宋_GB2312"/>
          <w:b w:val="0"/>
          <w:bCs w:val="0"/>
          <w:color w:val="auto"/>
          <w:spacing w:val="0"/>
          <w:w w:val="100"/>
          <w:kern w:val="0"/>
          <w:sz w:val="32"/>
          <w:szCs w:val="32"/>
          <w:highlight w:val="none"/>
        </w:rPr>
        <w:t>%。</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val="en-US" w:eastAsia="zh-CN"/>
        </w:rPr>
      </w:pPr>
      <w:r>
        <w:rPr>
          <w:rFonts w:hint="eastAsia" w:ascii="黑体" w:hAnsi="黑体" w:eastAsia="黑体" w:cs="黑体"/>
          <w:b w:val="0"/>
          <w:bCs w:val="0"/>
          <w:color w:val="auto"/>
          <w:spacing w:val="0"/>
          <w:w w:val="100"/>
          <w:kern w:val="0"/>
          <w:sz w:val="32"/>
          <w:szCs w:val="32"/>
          <w:lang w:val="en-US" w:eastAsia="zh-CN" w:bidi="en-US"/>
        </w:rPr>
        <w:t>十九、</w:t>
      </w:r>
      <w:r>
        <w:rPr>
          <w:rFonts w:hint="eastAsia" w:ascii="黑体" w:hAnsi="黑体" w:eastAsia="黑体" w:cs="黑体"/>
          <w:b w:val="0"/>
          <w:bCs w:val="0"/>
          <w:color w:val="auto"/>
          <w:spacing w:val="0"/>
          <w:w w:val="100"/>
          <w:kern w:val="0"/>
          <w:sz w:val="32"/>
          <w:szCs w:val="32"/>
          <w:highlight w:val="none"/>
          <w:lang w:val="en-US" w:eastAsia="zh-CN"/>
        </w:rPr>
        <w:t>市卫生健康委</w:t>
      </w:r>
    </w:p>
    <w:p>
      <w:pPr>
        <w:pageBreakBefore w:val="0"/>
        <w:numPr>
          <w:ilvl w:val="0"/>
          <w:numId w:val="0"/>
        </w:numPr>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市卫生健康委提供的政策措施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0份。</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val="en-US" w:eastAsia="zh-CN"/>
        </w:rPr>
      </w:pPr>
      <w:r>
        <w:rPr>
          <w:rFonts w:hint="eastAsia" w:ascii="黑体" w:hAnsi="黑体" w:eastAsia="黑体" w:cs="黑体"/>
          <w:b w:val="0"/>
          <w:bCs w:val="0"/>
          <w:color w:val="auto"/>
          <w:spacing w:val="0"/>
          <w:w w:val="100"/>
          <w:kern w:val="0"/>
          <w:sz w:val="32"/>
          <w:szCs w:val="32"/>
          <w:lang w:val="en-US" w:eastAsia="zh-CN" w:bidi="en-US"/>
        </w:rPr>
        <w:t>二十、</w:t>
      </w:r>
      <w:r>
        <w:rPr>
          <w:rFonts w:hint="eastAsia" w:ascii="黑体" w:hAnsi="黑体" w:eastAsia="黑体" w:cs="黑体"/>
          <w:b w:val="0"/>
          <w:bCs w:val="0"/>
          <w:color w:val="auto"/>
          <w:spacing w:val="0"/>
          <w:w w:val="100"/>
          <w:kern w:val="0"/>
          <w:sz w:val="32"/>
          <w:szCs w:val="32"/>
          <w:highlight w:val="none"/>
          <w:lang w:val="en-US" w:eastAsia="zh-CN"/>
        </w:rPr>
        <w:t>市税务局</w:t>
      </w:r>
    </w:p>
    <w:p>
      <w:pPr>
        <w:pageBreakBefore w:val="0"/>
        <w:numPr>
          <w:ilvl w:val="0"/>
          <w:numId w:val="0"/>
        </w:numPr>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市税务局提供的政策措施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0份。</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val="en-US" w:eastAsia="zh-CN"/>
        </w:rPr>
      </w:pPr>
      <w:r>
        <w:rPr>
          <w:rFonts w:hint="eastAsia" w:ascii="黑体" w:hAnsi="黑体" w:eastAsia="黑体" w:cs="黑体"/>
          <w:b w:val="0"/>
          <w:bCs w:val="0"/>
          <w:color w:val="auto"/>
          <w:spacing w:val="0"/>
          <w:w w:val="100"/>
          <w:kern w:val="0"/>
          <w:sz w:val="32"/>
          <w:szCs w:val="32"/>
          <w:lang w:val="en-US" w:eastAsia="zh-CN" w:bidi="en-US"/>
        </w:rPr>
        <w:t>二十一、</w:t>
      </w:r>
      <w:r>
        <w:rPr>
          <w:rFonts w:hint="eastAsia" w:ascii="黑体" w:hAnsi="黑体" w:eastAsia="黑体" w:cs="黑体"/>
          <w:b w:val="0"/>
          <w:bCs w:val="0"/>
          <w:color w:val="auto"/>
          <w:spacing w:val="0"/>
          <w:w w:val="100"/>
          <w:kern w:val="0"/>
          <w:sz w:val="32"/>
          <w:szCs w:val="32"/>
          <w:highlight w:val="none"/>
          <w:lang w:val="en-US" w:eastAsia="zh-CN"/>
        </w:rPr>
        <w:t>市医保局</w:t>
      </w:r>
    </w:p>
    <w:p>
      <w:pPr>
        <w:pageBreakBefore w:val="0"/>
        <w:numPr>
          <w:ilvl w:val="0"/>
          <w:numId w:val="0"/>
        </w:numPr>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市医保局提供的政策措施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0份。</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val="en-US" w:eastAsia="zh-CN"/>
        </w:rPr>
      </w:pPr>
      <w:r>
        <w:rPr>
          <w:rFonts w:hint="eastAsia" w:ascii="黑体" w:hAnsi="黑体" w:eastAsia="黑体" w:cs="黑体"/>
          <w:b w:val="0"/>
          <w:bCs w:val="0"/>
          <w:color w:val="auto"/>
          <w:spacing w:val="0"/>
          <w:w w:val="100"/>
          <w:kern w:val="0"/>
          <w:sz w:val="32"/>
          <w:szCs w:val="32"/>
          <w:lang w:val="en-US" w:eastAsia="zh-CN" w:bidi="en-US"/>
        </w:rPr>
        <w:t>二十二、</w:t>
      </w:r>
      <w:r>
        <w:rPr>
          <w:rFonts w:hint="eastAsia" w:ascii="黑体" w:hAnsi="黑体" w:eastAsia="黑体" w:cs="黑体"/>
          <w:b w:val="0"/>
          <w:bCs w:val="0"/>
          <w:color w:val="auto"/>
          <w:spacing w:val="0"/>
          <w:w w:val="100"/>
          <w:kern w:val="0"/>
          <w:sz w:val="32"/>
          <w:szCs w:val="32"/>
          <w:highlight w:val="none"/>
          <w:lang w:val="en-US" w:eastAsia="zh-CN"/>
        </w:rPr>
        <w:t>市政府金融办</w:t>
      </w:r>
    </w:p>
    <w:p>
      <w:pPr>
        <w:pageBreakBefore w:val="0"/>
        <w:numPr>
          <w:ilvl w:val="0"/>
          <w:numId w:val="0"/>
        </w:numPr>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市政府金融办提供的政策措施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0份。</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val="en-US" w:eastAsia="zh-CN"/>
        </w:rPr>
      </w:pPr>
      <w:r>
        <w:rPr>
          <w:rFonts w:hint="eastAsia" w:ascii="黑体" w:hAnsi="黑体" w:eastAsia="黑体" w:cs="黑体"/>
          <w:b w:val="0"/>
          <w:bCs w:val="0"/>
          <w:color w:val="auto"/>
          <w:spacing w:val="0"/>
          <w:w w:val="100"/>
          <w:kern w:val="0"/>
          <w:sz w:val="32"/>
          <w:szCs w:val="32"/>
          <w:lang w:val="en-US" w:eastAsia="zh-CN" w:bidi="en-US"/>
        </w:rPr>
        <w:t>二十三、</w:t>
      </w:r>
      <w:r>
        <w:rPr>
          <w:rFonts w:hint="eastAsia" w:ascii="黑体" w:hAnsi="黑体" w:eastAsia="黑体" w:cs="黑体"/>
          <w:b w:val="0"/>
          <w:bCs w:val="0"/>
          <w:color w:val="auto"/>
          <w:spacing w:val="0"/>
          <w:w w:val="100"/>
          <w:kern w:val="0"/>
          <w:sz w:val="32"/>
          <w:szCs w:val="32"/>
          <w:highlight w:val="none"/>
          <w:lang w:val="en-US" w:eastAsia="zh-CN"/>
        </w:rPr>
        <w:t>市经开区</w:t>
      </w:r>
    </w:p>
    <w:p>
      <w:pPr>
        <w:pageBreakBefore w:val="0"/>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市经开区提供其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6</w:t>
      </w:r>
      <w:r>
        <w:rPr>
          <w:rFonts w:hint="eastAsia" w:ascii="仿宋_GB2312" w:hAnsi="仿宋_GB2312" w:eastAsia="仿宋_GB2312" w:cs="仿宋_GB2312"/>
          <w:b w:val="0"/>
          <w:bCs w:val="0"/>
          <w:color w:val="auto"/>
          <w:spacing w:val="0"/>
          <w:w w:val="100"/>
          <w:kern w:val="0"/>
          <w:sz w:val="32"/>
          <w:szCs w:val="32"/>
          <w:highlight w:val="none"/>
        </w:rPr>
        <w:t>份，其中增量政策措施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6</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经评估涉嫌违反公平竞争</w:t>
      </w:r>
      <w:r>
        <w:rPr>
          <w:rFonts w:hint="eastAsia" w:ascii="仿宋_GB2312" w:hAnsi="仿宋_GB2312" w:eastAsia="仿宋_GB2312" w:cs="仿宋_GB2312"/>
          <w:b w:val="0"/>
          <w:bCs w:val="0"/>
          <w:color w:val="auto"/>
          <w:spacing w:val="0"/>
          <w:w w:val="100"/>
          <w:kern w:val="0"/>
          <w:sz w:val="32"/>
          <w:szCs w:val="32"/>
          <w:highlight w:val="none"/>
          <w:lang w:eastAsia="zh-CN"/>
        </w:rPr>
        <w:t>的</w:t>
      </w:r>
      <w:r>
        <w:rPr>
          <w:rFonts w:hint="eastAsia" w:ascii="仿宋_GB2312" w:hAnsi="仿宋_GB2312" w:eastAsia="仿宋_GB2312" w:cs="仿宋_GB2312"/>
          <w:b w:val="0"/>
          <w:bCs w:val="0"/>
          <w:color w:val="auto"/>
          <w:spacing w:val="0"/>
          <w:w w:val="100"/>
          <w:kern w:val="0"/>
          <w:sz w:val="32"/>
          <w:szCs w:val="32"/>
          <w:highlight w:val="none"/>
        </w:rPr>
        <w:t>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1</w:t>
      </w:r>
      <w:r>
        <w:rPr>
          <w:rFonts w:hint="eastAsia" w:ascii="仿宋_GB2312" w:hAnsi="仿宋_GB2312" w:eastAsia="仿宋_GB2312" w:cs="仿宋_GB2312"/>
          <w:b w:val="0"/>
          <w:bCs w:val="0"/>
          <w:color w:val="auto"/>
          <w:spacing w:val="0"/>
          <w:w w:val="100"/>
          <w:kern w:val="0"/>
          <w:sz w:val="32"/>
          <w:szCs w:val="32"/>
          <w:highlight w:val="none"/>
        </w:rPr>
        <w:t>份，差错率为</w:t>
      </w:r>
      <w:r>
        <w:rPr>
          <w:rFonts w:hint="eastAsia" w:ascii="仿宋_GB2312" w:hAnsi="仿宋_GB2312" w:eastAsia="仿宋_GB2312" w:cs="仿宋_GB2312"/>
          <w:b w:val="0"/>
          <w:bCs w:val="0"/>
          <w:color w:val="auto"/>
          <w:spacing w:val="0"/>
          <w:w w:val="100"/>
          <w:kern w:val="0"/>
          <w:sz w:val="32"/>
          <w:szCs w:val="32"/>
          <w:highlight w:val="none"/>
          <w:lang w:val="en-US" w:eastAsia="zh-CN"/>
        </w:rPr>
        <w:t>16.66</w:t>
      </w:r>
      <w:r>
        <w:rPr>
          <w:rFonts w:hint="eastAsia" w:ascii="仿宋_GB2312" w:hAnsi="仿宋_GB2312" w:eastAsia="仿宋_GB2312" w:cs="仿宋_GB2312"/>
          <w:b w:val="0"/>
          <w:bCs w:val="0"/>
          <w:color w:val="auto"/>
          <w:spacing w:val="0"/>
          <w:w w:val="100"/>
          <w:kern w:val="0"/>
          <w:sz w:val="32"/>
          <w:szCs w:val="32"/>
          <w:highlight w:val="none"/>
        </w:rPr>
        <w:t>%。</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val="en-US" w:eastAsia="zh-CN"/>
        </w:rPr>
      </w:pPr>
      <w:r>
        <w:rPr>
          <w:rFonts w:hint="eastAsia" w:ascii="黑体" w:hAnsi="黑体" w:eastAsia="黑体" w:cs="黑体"/>
          <w:b w:val="0"/>
          <w:bCs w:val="0"/>
          <w:color w:val="auto"/>
          <w:spacing w:val="0"/>
          <w:w w:val="100"/>
          <w:kern w:val="0"/>
          <w:sz w:val="32"/>
          <w:szCs w:val="32"/>
          <w:lang w:val="en-US" w:eastAsia="zh-CN" w:bidi="en-US"/>
        </w:rPr>
        <w:t>二十四、</w:t>
      </w:r>
      <w:r>
        <w:rPr>
          <w:rFonts w:hint="eastAsia" w:ascii="黑体" w:hAnsi="黑体" w:eastAsia="黑体" w:cs="黑体"/>
          <w:b w:val="0"/>
          <w:bCs w:val="0"/>
          <w:color w:val="auto"/>
          <w:spacing w:val="0"/>
          <w:w w:val="100"/>
          <w:kern w:val="0"/>
          <w:sz w:val="32"/>
          <w:szCs w:val="32"/>
          <w:highlight w:val="none"/>
          <w:lang w:val="en-US" w:eastAsia="zh-CN"/>
        </w:rPr>
        <w:t>甘州区</w:t>
      </w:r>
    </w:p>
    <w:p>
      <w:pPr>
        <w:pageBreakBefore w:val="0"/>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甘州区提供其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16</w:t>
      </w:r>
      <w:r>
        <w:rPr>
          <w:rFonts w:hint="eastAsia" w:ascii="仿宋_GB2312" w:hAnsi="仿宋_GB2312" w:eastAsia="仿宋_GB2312" w:cs="仿宋_GB2312"/>
          <w:b w:val="0"/>
          <w:bCs w:val="0"/>
          <w:color w:val="auto"/>
          <w:spacing w:val="0"/>
          <w:w w:val="100"/>
          <w:kern w:val="0"/>
          <w:sz w:val="32"/>
          <w:szCs w:val="32"/>
          <w:highlight w:val="none"/>
        </w:rPr>
        <w:t>份，其中增量政策措施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10</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经评估涉嫌违反公平竞争</w:t>
      </w:r>
      <w:r>
        <w:rPr>
          <w:rFonts w:hint="eastAsia" w:ascii="仿宋_GB2312" w:hAnsi="仿宋_GB2312" w:eastAsia="仿宋_GB2312" w:cs="仿宋_GB2312"/>
          <w:b w:val="0"/>
          <w:bCs w:val="0"/>
          <w:color w:val="auto"/>
          <w:spacing w:val="0"/>
          <w:w w:val="100"/>
          <w:kern w:val="0"/>
          <w:sz w:val="32"/>
          <w:szCs w:val="32"/>
          <w:highlight w:val="none"/>
          <w:lang w:eastAsia="zh-CN"/>
        </w:rPr>
        <w:t>的</w:t>
      </w:r>
      <w:r>
        <w:rPr>
          <w:rFonts w:hint="eastAsia" w:ascii="仿宋_GB2312" w:hAnsi="仿宋_GB2312" w:eastAsia="仿宋_GB2312" w:cs="仿宋_GB2312"/>
          <w:b w:val="0"/>
          <w:bCs w:val="0"/>
          <w:color w:val="auto"/>
          <w:spacing w:val="0"/>
          <w:w w:val="100"/>
          <w:kern w:val="0"/>
          <w:sz w:val="32"/>
          <w:szCs w:val="32"/>
          <w:highlight w:val="none"/>
        </w:rPr>
        <w:t>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1</w:t>
      </w:r>
      <w:r>
        <w:rPr>
          <w:rFonts w:hint="eastAsia" w:ascii="仿宋_GB2312" w:hAnsi="仿宋_GB2312" w:eastAsia="仿宋_GB2312" w:cs="仿宋_GB2312"/>
          <w:b w:val="0"/>
          <w:bCs w:val="0"/>
          <w:color w:val="auto"/>
          <w:spacing w:val="0"/>
          <w:w w:val="100"/>
          <w:kern w:val="0"/>
          <w:sz w:val="32"/>
          <w:szCs w:val="32"/>
          <w:highlight w:val="none"/>
        </w:rPr>
        <w:t>份，差错率为</w:t>
      </w:r>
      <w:r>
        <w:rPr>
          <w:rFonts w:hint="eastAsia" w:ascii="仿宋_GB2312" w:hAnsi="仿宋_GB2312" w:eastAsia="仿宋_GB2312" w:cs="仿宋_GB2312"/>
          <w:b w:val="0"/>
          <w:bCs w:val="0"/>
          <w:color w:val="auto"/>
          <w:spacing w:val="0"/>
          <w:w w:val="100"/>
          <w:kern w:val="0"/>
          <w:sz w:val="32"/>
          <w:szCs w:val="32"/>
          <w:highlight w:val="none"/>
          <w:lang w:val="en-US" w:eastAsia="zh-CN"/>
        </w:rPr>
        <w:t>1</w:t>
      </w:r>
      <w:r>
        <w:rPr>
          <w:rFonts w:hint="eastAsia" w:ascii="仿宋_GB2312" w:hAnsi="仿宋_GB2312" w:eastAsia="仿宋_GB2312" w:cs="仿宋_GB2312"/>
          <w:b w:val="0"/>
          <w:bCs w:val="0"/>
          <w:color w:val="auto"/>
          <w:spacing w:val="0"/>
          <w:w w:val="100"/>
          <w:kern w:val="0"/>
          <w:sz w:val="32"/>
          <w:szCs w:val="32"/>
          <w:highlight w:val="none"/>
        </w:rPr>
        <w:t>0%。</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val="en-US" w:eastAsia="zh-CN"/>
        </w:rPr>
      </w:pPr>
      <w:r>
        <w:rPr>
          <w:rFonts w:hint="eastAsia" w:ascii="黑体" w:hAnsi="黑体" w:eastAsia="黑体" w:cs="黑体"/>
          <w:b w:val="0"/>
          <w:bCs w:val="0"/>
          <w:color w:val="auto"/>
          <w:spacing w:val="0"/>
          <w:w w:val="100"/>
          <w:kern w:val="0"/>
          <w:sz w:val="32"/>
          <w:szCs w:val="32"/>
          <w:lang w:val="en-US" w:eastAsia="zh-CN" w:bidi="en-US"/>
        </w:rPr>
        <w:t>二十五、</w:t>
      </w:r>
      <w:r>
        <w:rPr>
          <w:rFonts w:hint="eastAsia" w:ascii="黑体" w:hAnsi="黑体" w:eastAsia="黑体" w:cs="黑体"/>
          <w:b w:val="0"/>
          <w:bCs w:val="0"/>
          <w:color w:val="auto"/>
          <w:spacing w:val="0"/>
          <w:w w:val="100"/>
          <w:kern w:val="0"/>
          <w:sz w:val="32"/>
          <w:szCs w:val="32"/>
          <w:highlight w:val="none"/>
          <w:lang w:val="en-US" w:eastAsia="zh-CN"/>
        </w:rPr>
        <w:t>临泽县</w:t>
      </w:r>
    </w:p>
    <w:p>
      <w:pPr>
        <w:pageBreakBefore w:val="0"/>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临泽县提供其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41</w:t>
      </w:r>
      <w:r>
        <w:rPr>
          <w:rFonts w:hint="eastAsia" w:ascii="仿宋_GB2312" w:hAnsi="仿宋_GB2312" w:eastAsia="仿宋_GB2312" w:cs="仿宋_GB2312"/>
          <w:b w:val="0"/>
          <w:bCs w:val="0"/>
          <w:color w:val="auto"/>
          <w:spacing w:val="0"/>
          <w:w w:val="100"/>
          <w:kern w:val="0"/>
          <w:sz w:val="32"/>
          <w:szCs w:val="32"/>
          <w:highlight w:val="none"/>
        </w:rPr>
        <w:t>份，其中增量政策措施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35</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经评估涉嫌违反公平竞争</w:t>
      </w:r>
      <w:r>
        <w:rPr>
          <w:rFonts w:hint="eastAsia" w:ascii="仿宋_GB2312" w:hAnsi="仿宋_GB2312" w:eastAsia="仿宋_GB2312" w:cs="仿宋_GB2312"/>
          <w:b w:val="0"/>
          <w:bCs w:val="0"/>
          <w:color w:val="auto"/>
          <w:spacing w:val="0"/>
          <w:w w:val="100"/>
          <w:kern w:val="0"/>
          <w:sz w:val="32"/>
          <w:szCs w:val="32"/>
          <w:highlight w:val="none"/>
          <w:lang w:eastAsia="zh-CN"/>
        </w:rPr>
        <w:t>的</w:t>
      </w:r>
      <w:r>
        <w:rPr>
          <w:rFonts w:hint="eastAsia" w:ascii="仿宋_GB2312" w:hAnsi="仿宋_GB2312" w:eastAsia="仿宋_GB2312" w:cs="仿宋_GB2312"/>
          <w:b w:val="0"/>
          <w:bCs w:val="0"/>
          <w:color w:val="auto"/>
          <w:spacing w:val="0"/>
          <w:w w:val="100"/>
          <w:kern w:val="0"/>
          <w:sz w:val="32"/>
          <w:szCs w:val="32"/>
          <w:highlight w:val="none"/>
        </w:rPr>
        <w:t>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6</w:t>
      </w:r>
      <w:r>
        <w:rPr>
          <w:rFonts w:hint="eastAsia" w:ascii="仿宋_GB2312" w:hAnsi="仿宋_GB2312" w:eastAsia="仿宋_GB2312" w:cs="仿宋_GB2312"/>
          <w:b w:val="0"/>
          <w:bCs w:val="0"/>
          <w:color w:val="auto"/>
          <w:spacing w:val="0"/>
          <w:w w:val="100"/>
          <w:kern w:val="0"/>
          <w:sz w:val="32"/>
          <w:szCs w:val="32"/>
          <w:highlight w:val="none"/>
        </w:rPr>
        <w:t>份，差错率为</w:t>
      </w:r>
      <w:r>
        <w:rPr>
          <w:rFonts w:hint="eastAsia" w:ascii="仿宋_GB2312" w:hAnsi="仿宋_GB2312" w:eastAsia="仿宋_GB2312" w:cs="仿宋_GB2312"/>
          <w:b w:val="0"/>
          <w:bCs w:val="0"/>
          <w:color w:val="auto"/>
          <w:spacing w:val="0"/>
          <w:w w:val="100"/>
          <w:kern w:val="0"/>
          <w:sz w:val="32"/>
          <w:szCs w:val="32"/>
          <w:highlight w:val="none"/>
          <w:lang w:val="en-US" w:eastAsia="zh-CN"/>
        </w:rPr>
        <w:t>17.14</w:t>
      </w:r>
      <w:r>
        <w:rPr>
          <w:rFonts w:hint="eastAsia" w:ascii="仿宋_GB2312" w:hAnsi="仿宋_GB2312" w:eastAsia="仿宋_GB2312" w:cs="仿宋_GB2312"/>
          <w:b w:val="0"/>
          <w:bCs w:val="0"/>
          <w:color w:val="auto"/>
          <w:spacing w:val="0"/>
          <w:w w:val="100"/>
          <w:kern w:val="0"/>
          <w:sz w:val="32"/>
          <w:szCs w:val="32"/>
          <w:highlight w:val="none"/>
        </w:rPr>
        <w:t>%。</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val="en-US" w:eastAsia="zh-CN"/>
        </w:rPr>
      </w:pPr>
      <w:r>
        <w:rPr>
          <w:rFonts w:hint="eastAsia" w:ascii="黑体" w:hAnsi="黑体" w:eastAsia="黑体" w:cs="黑体"/>
          <w:b w:val="0"/>
          <w:bCs w:val="0"/>
          <w:color w:val="auto"/>
          <w:spacing w:val="0"/>
          <w:w w:val="100"/>
          <w:kern w:val="0"/>
          <w:sz w:val="32"/>
          <w:szCs w:val="32"/>
          <w:lang w:val="en-US" w:eastAsia="zh-CN" w:bidi="en-US"/>
        </w:rPr>
        <w:t>二十六、</w:t>
      </w:r>
      <w:r>
        <w:rPr>
          <w:rFonts w:hint="eastAsia" w:ascii="黑体" w:hAnsi="黑体" w:eastAsia="黑体" w:cs="黑体"/>
          <w:b w:val="0"/>
          <w:bCs w:val="0"/>
          <w:color w:val="auto"/>
          <w:spacing w:val="0"/>
          <w:w w:val="100"/>
          <w:kern w:val="0"/>
          <w:sz w:val="32"/>
          <w:szCs w:val="32"/>
          <w:highlight w:val="none"/>
          <w:lang w:val="en-US" w:eastAsia="zh-CN"/>
        </w:rPr>
        <w:t>高台县</w:t>
      </w:r>
    </w:p>
    <w:p>
      <w:pPr>
        <w:pageBreakBefore w:val="0"/>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高台县提供其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30</w:t>
      </w:r>
      <w:r>
        <w:rPr>
          <w:rFonts w:hint="eastAsia" w:ascii="仿宋_GB2312" w:hAnsi="仿宋_GB2312" w:eastAsia="仿宋_GB2312" w:cs="仿宋_GB2312"/>
          <w:b w:val="0"/>
          <w:bCs w:val="0"/>
          <w:color w:val="auto"/>
          <w:spacing w:val="0"/>
          <w:w w:val="100"/>
          <w:kern w:val="0"/>
          <w:sz w:val="32"/>
          <w:szCs w:val="32"/>
          <w:highlight w:val="none"/>
        </w:rPr>
        <w:t>份，其中增量政策措施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30</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经评估涉嫌违反公平竞争</w:t>
      </w:r>
      <w:r>
        <w:rPr>
          <w:rFonts w:hint="eastAsia" w:ascii="仿宋_GB2312" w:hAnsi="仿宋_GB2312" w:eastAsia="仿宋_GB2312" w:cs="仿宋_GB2312"/>
          <w:b w:val="0"/>
          <w:bCs w:val="0"/>
          <w:color w:val="auto"/>
          <w:spacing w:val="0"/>
          <w:w w:val="100"/>
          <w:kern w:val="0"/>
          <w:sz w:val="32"/>
          <w:szCs w:val="32"/>
          <w:highlight w:val="none"/>
          <w:lang w:eastAsia="zh-CN"/>
        </w:rPr>
        <w:t>的</w:t>
      </w:r>
      <w:r>
        <w:rPr>
          <w:rFonts w:hint="eastAsia" w:ascii="仿宋_GB2312" w:hAnsi="仿宋_GB2312" w:eastAsia="仿宋_GB2312" w:cs="仿宋_GB2312"/>
          <w:b w:val="0"/>
          <w:bCs w:val="0"/>
          <w:color w:val="auto"/>
          <w:spacing w:val="0"/>
          <w:w w:val="100"/>
          <w:kern w:val="0"/>
          <w:sz w:val="32"/>
          <w:szCs w:val="32"/>
          <w:highlight w:val="none"/>
        </w:rPr>
        <w:t>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11</w:t>
      </w:r>
      <w:r>
        <w:rPr>
          <w:rFonts w:hint="eastAsia" w:ascii="仿宋_GB2312" w:hAnsi="仿宋_GB2312" w:eastAsia="仿宋_GB2312" w:cs="仿宋_GB2312"/>
          <w:b w:val="0"/>
          <w:bCs w:val="0"/>
          <w:color w:val="auto"/>
          <w:spacing w:val="0"/>
          <w:w w:val="100"/>
          <w:kern w:val="0"/>
          <w:sz w:val="32"/>
          <w:szCs w:val="32"/>
          <w:highlight w:val="none"/>
        </w:rPr>
        <w:t>份，差错率为</w:t>
      </w:r>
      <w:r>
        <w:rPr>
          <w:rFonts w:hint="eastAsia" w:ascii="仿宋_GB2312" w:hAnsi="仿宋_GB2312" w:eastAsia="仿宋_GB2312" w:cs="仿宋_GB2312"/>
          <w:b w:val="0"/>
          <w:bCs w:val="0"/>
          <w:color w:val="auto"/>
          <w:spacing w:val="0"/>
          <w:w w:val="100"/>
          <w:kern w:val="0"/>
          <w:sz w:val="32"/>
          <w:szCs w:val="32"/>
          <w:highlight w:val="none"/>
          <w:lang w:val="en-US" w:eastAsia="zh-CN"/>
        </w:rPr>
        <w:t>36.66</w:t>
      </w:r>
      <w:r>
        <w:rPr>
          <w:rFonts w:hint="eastAsia" w:ascii="仿宋_GB2312" w:hAnsi="仿宋_GB2312" w:eastAsia="仿宋_GB2312" w:cs="仿宋_GB2312"/>
          <w:b w:val="0"/>
          <w:bCs w:val="0"/>
          <w:color w:val="auto"/>
          <w:spacing w:val="0"/>
          <w:w w:val="100"/>
          <w:kern w:val="0"/>
          <w:sz w:val="32"/>
          <w:szCs w:val="32"/>
          <w:highlight w:val="none"/>
        </w:rPr>
        <w:t>%。</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val="en-US" w:eastAsia="zh-CN"/>
        </w:rPr>
      </w:pPr>
      <w:r>
        <w:rPr>
          <w:rFonts w:hint="eastAsia" w:ascii="黑体" w:hAnsi="黑体" w:eastAsia="黑体" w:cs="黑体"/>
          <w:b w:val="0"/>
          <w:bCs w:val="0"/>
          <w:color w:val="auto"/>
          <w:spacing w:val="0"/>
          <w:w w:val="100"/>
          <w:kern w:val="0"/>
          <w:sz w:val="32"/>
          <w:szCs w:val="32"/>
          <w:lang w:val="en-US" w:eastAsia="zh-CN" w:bidi="en-US"/>
        </w:rPr>
        <w:t>二十七、</w:t>
      </w:r>
      <w:r>
        <w:rPr>
          <w:rFonts w:hint="eastAsia" w:ascii="黑体" w:hAnsi="黑体" w:eastAsia="黑体" w:cs="黑体"/>
          <w:b w:val="0"/>
          <w:bCs w:val="0"/>
          <w:color w:val="auto"/>
          <w:spacing w:val="0"/>
          <w:w w:val="100"/>
          <w:kern w:val="0"/>
          <w:sz w:val="32"/>
          <w:szCs w:val="32"/>
          <w:highlight w:val="none"/>
          <w:lang w:val="en-US" w:eastAsia="zh-CN"/>
        </w:rPr>
        <w:t>山丹县</w:t>
      </w:r>
    </w:p>
    <w:p>
      <w:pPr>
        <w:pageBreakBefore w:val="0"/>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山丹县提供其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4</w:t>
      </w:r>
      <w:r>
        <w:rPr>
          <w:rFonts w:hint="eastAsia" w:ascii="仿宋_GB2312" w:hAnsi="仿宋_GB2312" w:eastAsia="仿宋_GB2312" w:cs="仿宋_GB2312"/>
          <w:b w:val="0"/>
          <w:bCs w:val="0"/>
          <w:color w:val="auto"/>
          <w:spacing w:val="0"/>
          <w:w w:val="100"/>
          <w:kern w:val="0"/>
          <w:sz w:val="32"/>
          <w:szCs w:val="32"/>
          <w:highlight w:val="none"/>
        </w:rPr>
        <w:t>份，其中增量政策措施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3</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经评估涉嫌违反公平竞争</w:t>
      </w:r>
      <w:r>
        <w:rPr>
          <w:rFonts w:hint="eastAsia" w:ascii="仿宋_GB2312" w:hAnsi="仿宋_GB2312" w:eastAsia="仿宋_GB2312" w:cs="仿宋_GB2312"/>
          <w:b w:val="0"/>
          <w:bCs w:val="0"/>
          <w:color w:val="auto"/>
          <w:spacing w:val="0"/>
          <w:w w:val="100"/>
          <w:kern w:val="0"/>
          <w:sz w:val="32"/>
          <w:szCs w:val="32"/>
          <w:highlight w:val="none"/>
          <w:lang w:eastAsia="zh-CN"/>
        </w:rPr>
        <w:t>的</w:t>
      </w:r>
      <w:r>
        <w:rPr>
          <w:rFonts w:hint="eastAsia" w:ascii="仿宋_GB2312" w:hAnsi="仿宋_GB2312" w:eastAsia="仿宋_GB2312" w:cs="仿宋_GB2312"/>
          <w:b w:val="0"/>
          <w:bCs w:val="0"/>
          <w:color w:val="auto"/>
          <w:spacing w:val="0"/>
          <w:w w:val="100"/>
          <w:kern w:val="0"/>
          <w:sz w:val="32"/>
          <w:szCs w:val="32"/>
          <w:highlight w:val="none"/>
        </w:rPr>
        <w:t>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w:t>
      </w:r>
      <w:r>
        <w:rPr>
          <w:rFonts w:hint="eastAsia" w:ascii="仿宋_GB2312" w:hAnsi="仿宋_GB2312" w:eastAsia="仿宋_GB2312" w:cs="仿宋_GB2312"/>
          <w:b w:val="0"/>
          <w:bCs w:val="0"/>
          <w:color w:val="auto"/>
          <w:spacing w:val="0"/>
          <w:w w:val="100"/>
          <w:kern w:val="0"/>
          <w:sz w:val="32"/>
          <w:szCs w:val="32"/>
          <w:highlight w:val="none"/>
        </w:rPr>
        <w:t>份，差错率为0%。</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val="en-US" w:eastAsia="zh-CN"/>
        </w:rPr>
      </w:pPr>
      <w:r>
        <w:rPr>
          <w:rFonts w:hint="eastAsia" w:ascii="黑体" w:hAnsi="黑体" w:eastAsia="黑体" w:cs="黑体"/>
          <w:b w:val="0"/>
          <w:bCs w:val="0"/>
          <w:color w:val="auto"/>
          <w:spacing w:val="0"/>
          <w:w w:val="100"/>
          <w:kern w:val="0"/>
          <w:sz w:val="32"/>
          <w:szCs w:val="32"/>
          <w:lang w:val="en-US" w:eastAsia="zh-CN" w:bidi="en-US"/>
        </w:rPr>
        <w:t>二十八、</w:t>
      </w:r>
      <w:r>
        <w:rPr>
          <w:rFonts w:hint="eastAsia" w:ascii="黑体" w:hAnsi="黑体" w:eastAsia="黑体" w:cs="黑体"/>
          <w:b w:val="0"/>
          <w:bCs w:val="0"/>
          <w:color w:val="auto"/>
          <w:spacing w:val="0"/>
          <w:w w:val="100"/>
          <w:kern w:val="0"/>
          <w:sz w:val="32"/>
          <w:szCs w:val="32"/>
          <w:highlight w:val="none"/>
          <w:lang w:val="en-US" w:eastAsia="zh-CN"/>
        </w:rPr>
        <w:t>民乐县</w:t>
      </w:r>
    </w:p>
    <w:p>
      <w:pPr>
        <w:pageBreakBefore w:val="0"/>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民乐县提供其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13</w:t>
      </w:r>
      <w:r>
        <w:rPr>
          <w:rFonts w:hint="eastAsia" w:ascii="仿宋_GB2312" w:hAnsi="仿宋_GB2312" w:eastAsia="仿宋_GB2312" w:cs="仿宋_GB2312"/>
          <w:b w:val="0"/>
          <w:bCs w:val="0"/>
          <w:color w:val="auto"/>
          <w:spacing w:val="0"/>
          <w:w w:val="100"/>
          <w:kern w:val="0"/>
          <w:sz w:val="32"/>
          <w:szCs w:val="32"/>
          <w:highlight w:val="none"/>
        </w:rPr>
        <w:t>份，其中增量政策措施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13</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经评估涉嫌违反公平竞争</w:t>
      </w:r>
      <w:r>
        <w:rPr>
          <w:rFonts w:hint="eastAsia" w:ascii="仿宋_GB2312" w:hAnsi="仿宋_GB2312" w:eastAsia="仿宋_GB2312" w:cs="仿宋_GB2312"/>
          <w:b w:val="0"/>
          <w:bCs w:val="0"/>
          <w:color w:val="auto"/>
          <w:spacing w:val="0"/>
          <w:w w:val="100"/>
          <w:kern w:val="0"/>
          <w:sz w:val="32"/>
          <w:szCs w:val="32"/>
          <w:highlight w:val="none"/>
          <w:lang w:eastAsia="zh-CN"/>
        </w:rPr>
        <w:t>的</w:t>
      </w:r>
      <w:r>
        <w:rPr>
          <w:rFonts w:hint="eastAsia" w:ascii="仿宋_GB2312" w:hAnsi="仿宋_GB2312" w:eastAsia="仿宋_GB2312" w:cs="仿宋_GB2312"/>
          <w:b w:val="0"/>
          <w:bCs w:val="0"/>
          <w:color w:val="auto"/>
          <w:spacing w:val="0"/>
          <w:w w:val="100"/>
          <w:kern w:val="0"/>
          <w:sz w:val="32"/>
          <w:szCs w:val="32"/>
          <w:highlight w:val="none"/>
        </w:rPr>
        <w:t>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5</w:t>
      </w:r>
      <w:r>
        <w:rPr>
          <w:rFonts w:hint="eastAsia" w:ascii="仿宋_GB2312" w:hAnsi="仿宋_GB2312" w:eastAsia="仿宋_GB2312" w:cs="仿宋_GB2312"/>
          <w:b w:val="0"/>
          <w:bCs w:val="0"/>
          <w:color w:val="auto"/>
          <w:spacing w:val="0"/>
          <w:w w:val="100"/>
          <w:kern w:val="0"/>
          <w:sz w:val="32"/>
          <w:szCs w:val="32"/>
          <w:highlight w:val="none"/>
        </w:rPr>
        <w:t>份，差错率为</w:t>
      </w:r>
      <w:r>
        <w:rPr>
          <w:rFonts w:hint="eastAsia" w:ascii="仿宋_GB2312" w:hAnsi="仿宋_GB2312" w:eastAsia="仿宋_GB2312" w:cs="仿宋_GB2312"/>
          <w:b w:val="0"/>
          <w:bCs w:val="0"/>
          <w:color w:val="auto"/>
          <w:spacing w:val="0"/>
          <w:w w:val="100"/>
          <w:kern w:val="0"/>
          <w:sz w:val="32"/>
          <w:szCs w:val="32"/>
          <w:highlight w:val="none"/>
          <w:lang w:val="en-US" w:eastAsia="zh-CN"/>
        </w:rPr>
        <w:t>38.46</w:t>
      </w:r>
      <w:r>
        <w:rPr>
          <w:rFonts w:hint="eastAsia" w:ascii="仿宋_GB2312" w:hAnsi="仿宋_GB2312" w:eastAsia="仿宋_GB2312" w:cs="仿宋_GB2312"/>
          <w:b w:val="0"/>
          <w:bCs w:val="0"/>
          <w:color w:val="auto"/>
          <w:spacing w:val="0"/>
          <w:w w:val="100"/>
          <w:kern w:val="0"/>
          <w:sz w:val="32"/>
          <w:szCs w:val="32"/>
          <w:highlight w:val="none"/>
        </w:rPr>
        <w:t>%。</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rPr>
          <w:rFonts w:hint="eastAsia" w:ascii="黑体" w:hAnsi="黑体" w:eastAsia="黑体" w:cs="黑体"/>
          <w:b w:val="0"/>
          <w:bCs w:val="0"/>
          <w:color w:val="auto"/>
          <w:spacing w:val="0"/>
          <w:w w:val="100"/>
          <w:kern w:val="0"/>
          <w:sz w:val="32"/>
          <w:szCs w:val="32"/>
          <w:highlight w:val="none"/>
          <w:lang w:val="en-US" w:eastAsia="zh-CN"/>
        </w:rPr>
      </w:pPr>
      <w:r>
        <w:rPr>
          <w:rFonts w:hint="eastAsia" w:ascii="黑体" w:hAnsi="黑体" w:eastAsia="黑体" w:cs="黑体"/>
          <w:b w:val="0"/>
          <w:bCs w:val="0"/>
          <w:color w:val="auto"/>
          <w:spacing w:val="0"/>
          <w:w w:val="100"/>
          <w:kern w:val="0"/>
          <w:sz w:val="32"/>
          <w:szCs w:val="32"/>
          <w:lang w:val="en-US" w:eastAsia="zh-CN" w:bidi="en-US"/>
        </w:rPr>
        <w:t>二十九、</w:t>
      </w:r>
      <w:r>
        <w:rPr>
          <w:rFonts w:hint="eastAsia" w:ascii="黑体" w:hAnsi="黑体" w:eastAsia="黑体" w:cs="黑体"/>
          <w:b w:val="0"/>
          <w:bCs w:val="0"/>
          <w:color w:val="auto"/>
          <w:spacing w:val="0"/>
          <w:w w:val="100"/>
          <w:kern w:val="0"/>
          <w:sz w:val="32"/>
          <w:szCs w:val="32"/>
          <w:highlight w:val="none"/>
          <w:lang w:val="en-US" w:eastAsia="zh-CN"/>
        </w:rPr>
        <w:t>肃南县</w:t>
      </w:r>
    </w:p>
    <w:p>
      <w:pPr>
        <w:pageBreakBefore w:val="0"/>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lang w:eastAsia="zh-CN"/>
        </w:rPr>
        <w:t>肃南县提供其</w:t>
      </w:r>
      <w:r>
        <w:rPr>
          <w:rFonts w:hint="eastAsia" w:ascii="仿宋_GB2312" w:hAnsi="仿宋_GB2312" w:eastAsia="仿宋_GB2312" w:cs="仿宋_GB2312"/>
          <w:b w:val="0"/>
          <w:bCs w:val="0"/>
          <w:color w:val="auto"/>
          <w:spacing w:val="0"/>
          <w:w w:val="100"/>
          <w:kern w:val="0"/>
          <w:sz w:val="32"/>
          <w:szCs w:val="32"/>
          <w:highlight w:val="none"/>
        </w:rPr>
        <w:t>起草、制定的涉及市场主体经济活动的政策措施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8</w:t>
      </w:r>
      <w:r>
        <w:rPr>
          <w:rFonts w:hint="eastAsia" w:ascii="仿宋_GB2312" w:hAnsi="仿宋_GB2312" w:eastAsia="仿宋_GB2312" w:cs="仿宋_GB2312"/>
          <w:b w:val="0"/>
          <w:bCs w:val="0"/>
          <w:color w:val="auto"/>
          <w:spacing w:val="0"/>
          <w:w w:val="100"/>
          <w:kern w:val="0"/>
          <w:sz w:val="32"/>
          <w:szCs w:val="32"/>
          <w:highlight w:val="none"/>
        </w:rPr>
        <w:t>份，其中增量政策措施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5</w:t>
      </w:r>
      <w:r>
        <w:rPr>
          <w:rFonts w:hint="eastAsia" w:ascii="仿宋_GB2312" w:hAnsi="仿宋_GB2312" w:eastAsia="仿宋_GB2312" w:cs="仿宋_GB2312"/>
          <w:b w:val="0"/>
          <w:bCs w:val="0"/>
          <w:color w:val="auto"/>
          <w:spacing w:val="0"/>
          <w:w w:val="100"/>
          <w:kern w:val="0"/>
          <w:sz w:val="32"/>
          <w:szCs w:val="32"/>
          <w:highlight w:val="none"/>
        </w:rPr>
        <w:t>份</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经评估涉嫌违反公平竞争</w:t>
      </w:r>
      <w:r>
        <w:rPr>
          <w:rFonts w:hint="eastAsia" w:ascii="仿宋_GB2312" w:hAnsi="仿宋_GB2312" w:eastAsia="仿宋_GB2312" w:cs="仿宋_GB2312"/>
          <w:b w:val="0"/>
          <w:bCs w:val="0"/>
          <w:color w:val="auto"/>
          <w:spacing w:val="0"/>
          <w:w w:val="100"/>
          <w:kern w:val="0"/>
          <w:sz w:val="32"/>
          <w:szCs w:val="32"/>
          <w:highlight w:val="none"/>
          <w:lang w:eastAsia="zh-CN"/>
        </w:rPr>
        <w:t>的</w:t>
      </w:r>
      <w:r>
        <w:rPr>
          <w:rFonts w:hint="eastAsia" w:ascii="仿宋_GB2312" w:hAnsi="仿宋_GB2312" w:eastAsia="仿宋_GB2312" w:cs="仿宋_GB2312"/>
          <w:b w:val="0"/>
          <w:bCs w:val="0"/>
          <w:color w:val="auto"/>
          <w:spacing w:val="0"/>
          <w:w w:val="100"/>
          <w:kern w:val="0"/>
          <w:sz w:val="32"/>
          <w:szCs w:val="32"/>
          <w:highlight w:val="none"/>
        </w:rPr>
        <w:t>政策措施</w:t>
      </w:r>
      <w:r>
        <w:rPr>
          <w:rFonts w:hint="eastAsia" w:ascii="仿宋_GB2312" w:hAnsi="仿宋_GB2312" w:eastAsia="仿宋_GB2312" w:cs="仿宋_GB2312"/>
          <w:b w:val="0"/>
          <w:bCs w:val="0"/>
          <w:color w:val="auto"/>
          <w:spacing w:val="0"/>
          <w:w w:val="100"/>
          <w:kern w:val="0"/>
          <w:sz w:val="32"/>
          <w:szCs w:val="32"/>
          <w:highlight w:val="none"/>
          <w:lang w:val="en-US" w:eastAsia="zh-CN"/>
        </w:rPr>
        <w:t>0</w:t>
      </w:r>
      <w:r>
        <w:rPr>
          <w:rFonts w:hint="eastAsia" w:ascii="仿宋_GB2312" w:hAnsi="仿宋_GB2312" w:eastAsia="仿宋_GB2312" w:cs="仿宋_GB2312"/>
          <w:b w:val="0"/>
          <w:bCs w:val="0"/>
          <w:color w:val="auto"/>
          <w:spacing w:val="0"/>
          <w:w w:val="100"/>
          <w:kern w:val="0"/>
          <w:sz w:val="32"/>
          <w:szCs w:val="32"/>
          <w:highlight w:val="none"/>
        </w:rPr>
        <w:t>份，差错率为0%。</w:t>
      </w:r>
    </w:p>
    <w:p>
      <w:pPr>
        <w:pStyle w:val="2"/>
        <w:pageBreakBefore w:val="0"/>
        <w:kinsoku/>
        <w:wordWrap/>
        <w:overflowPunct/>
        <w:topLinePunct/>
        <w:autoSpaceDE/>
        <w:autoSpaceDN/>
        <w:bidi w:val="0"/>
        <w:rPr>
          <w:rFonts w:hint="eastAsia" w:ascii="仿宋_GB2312" w:hAnsi="仿宋_GB2312" w:eastAsia="仿宋_GB2312" w:cs="仿宋_GB2312"/>
          <w:b w:val="0"/>
          <w:bCs w:val="0"/>
          <w:color w:val="auto"/>
          <w:spacing w:val="0"/>
          <w:w w:val="100"/>
          <w:kern w:val="0"/>
          <w:sz w:val="32"/>
          <w:szCs w:val="32"/>
          <w:highlight w:val="none"/>
        </w:rPr>
      </w:pPr>
    </w:p>
    <w:p>
      <w:pPr>
        <w:pageBreakBefore w:val="0"/>
        <w:kinsoku/>
        <w:wordWrap/>
        <w:overflowPunct/>
        <w:topLinePunct/>
        <w:autoSpaceDE/>
        <w:autoSpaceDN/>
        <w:bidi w:val="0"/>
        <w:rPr>
          <w:rFonts w:hint="eastAsia" w:ascii="仿宋_GB2312" w:hAnsi="仿宋_GB2312" w:eastAsia="仿宋_GB2312" w:cs="仿宋_GB2312"/>
          <w:b w:val="0"/>
          <w:bCs w:val="0"/>
          <w:color w:val="auto"/>
          <w:spacing w:val="0"/>
          <w:w w:val="100"/>
          <w:kern w:val="0"/>
          <w:sz w:val="32"/>
          <w:szCs w:val="32"/>
          <w:highlight w:val="none"/>
        </w:rPr>
      </w:pPr>
    </w:p>
    <w:p>
      <w:pPr>
        <w:pStyle w:val="2"/>
        <w:pageBreakBefore w:val="0"/>
        <w:kinsoku/>
        <w:wordWrap/>
        <w:overflowPunct/>
        <w:topLinePunct/>
        <w:autoSpaceDE/>
        <w:autoSpaceDN/>
        <w:bidi w:val="0"/>
        <w:rPr>
          <w:rFonts w:hint="eastAsia" w:ascii="仿宋_GB2312" w:hAnsi="仿宋_GB2312" w:eastAsia="仿宋_GB2312" w:cs="仿宋_GB2312"/>
          <w:b w:val="0"/>
          <w:bCs w:val="0"/>
          <w:color w:val="auto"/>
          <w:spacing w:val="0"/>
          <w:w w:val="100"/>
          <w:kern w:val="0"/>
          <w:sz w:val="32"/>
          <w:szCs w:val="32"/>
          <w:highlight w:val="none"/>
        </w:rPr>
      </w:pPr>
    </w:p>
    <w:p>
      <w:pPr>
        <w:pageBreakBefore w:val="0"/>
        <w:kinsoku/>
        <w:wordWrap/>
        <w:overflowPunct/>
        <w:topLinePunct/>
        <w:autoSpaceDE/>
        <w:autoSpaceDN/>
        <w:bidi w:val="0"/>
        <w:rPr>
          <w:rFonts w:hint="eastAsia" w:ascii="仿宋_GB2312" w:hAnsi="仿宋_GB2312" w:eastAsia="仿宋_GB2312" w:cs="仿宋_GB2312"/>
          <w:b w:val="0"/>
          <w:bCs w:val="0"/>
          <w:color w:val="auto"/>
          <w:spacing w:val="0"/>
          <w:w w:val="100"/>
          <w:kern w:val="0"/>
          <w:sz w:val="32"/>
          <w:szCs w:val="32"/>
          <w:highlight w:val="none"/>
        </w:rPr>
      </w:pPr>
    </w:p>
    <w:p>
      <w:pPr>
        <w:pStyle w:val="2"/>
        <w:pageBreakBefore w:val="0"/>
        <w:kinsoku/>
        <w:wordWrap/>
        <w:overflowPunct/>
        <w:topLinePunct/>
        <w:autoSpaceDE/>
        <w:autoSpaceDN/>
        <w:bidi w:val="0"/>
        <w:rPr>
          <w:rFonts w:hint="eastAsia" w:ascii="仿宋_GB2312" w:hAnsi="仿宋_GB2312" w:eastAsia="仿宋_GB2312" w:cs="仿宋_GB2312"/>
          <w:b w:val="0"/>
          <w:bCs w:val="0"/>
          <w:color w:val="auto"/>
          <w:spacing w:val="0"/>
          <w:w w:val="100"/>
          <w:kern w:val="0"/>
          <w:sz w:val="32"/>
          <w:szCs w:val="32"/>
          <w:highlight w:val="none"/>
        </w:rPr>
      </w:pPr>
    </w:p>
    <w:p>
      <w:pPr>
        <w:pageBreakBefore w:val="0"/>
        <w:kinsoku/>
        <w:wordWrap/>
        <w:overflowPunct/>
        <w:topLinePunct/>
        <w:autoSpaceDE/>
        <w:autoSpaceDN/>
        <w:bidi w:val="0"/>
        <w:rPr>
          <w:rFonts w:hint="eastAsia" w:ascii="仿宋_GB2312" w:hAnsi="仿宋_GB2312" w:eastAsia="仿宋_GB2312" w:cs="仿宋_GB2312"/>
          <w:b w:val="0"/>
          <w:bCs w:val="0"/>
          <w:color w:val="auto"/>
          <w:spacing w:val="0"/>
          <w:w w:val="100"/>
          <w:kern w:val="0"/>
          <w:sz w:val="32"/>
          <w:szCs w:val="32"/>
          <w:highlight w:val="none"/>
        </w:rPr>
      </w:pPr>
    </w:p>
    <w:p>
      <w:pPr>
        <w:pStyle w:val="3"/>
        <w:keepNext w:val="0"/>
        <w:keepLines w:val="0"/>
        <w:pageBreakBefore w:val="0"/>
        <w:widowControl w:val="0"/>
        <w:kinsoku/>
        <w:wordWrap/>
        <w:overflowPunct/>
        <w:topLinePunct/>
        <w:autoSpaceDE/>
        <w:autoSpaceDN/>
        <w:bidi w:val="0"/>
        <w:adjustRightInd w:val="0"/>
        <w:snapToGrid w:val="0"/>
        <w:spacing w:before="0" w:beforeAutospacing="0" w:after="313" w:afterLines="100" w:line="540" w:lineRule="exact"/>
        <w:ind w:left="0" w:leftChars="0" w:right="0" w:firstLine="0" w:firstLineChars="0"/>
        <w:jc w:val="center"/>
        <w:textAlignment w:val="auto"/>
        <w:rPr>
          <w:rFonts w:hint="eastAsia" w:ascii="方正小标宋简体" w:hAnsi="方正小标宋简体" w:eastAsia="方正小标宋简体" w:cs="方正小标宋简体"/>
          <w:b w:val="0"/>
          <w:bCs w:val="0"/>
          <w:color w:val="auto"/>
          <w:spacing w:val="0"/>
          <w:w w:val="100"/>
          <w:sz w:val="36"/>
          <w:szCs w:val="36"/>
          <w:highlight w:val="none"/>
        </w:rPr>
      </w:pPr>
      <w:bookmarkStart w:id="48" w:name="_Toc23619"/>
      <w:r>
        <w:rPr>
          <w:rFonts w:hint="eastAsia" w:ascii="方正小标宋简体" w:hAnsi="方正小标宋简体" w:eastAsia="方正小标宋简体" w:cs="方正小标宋简体"/>
          <w:b w:val="0"/>
          <w:bCs w:val="0"/>
          <w:color w:val="auto"/>
          <w:spacing w:val="0"/>
          <w:w w:val="100"/>
          <w:sz w:val="36"/>
          <w:szCs w:val="36"/>
          <w:highlight w:val="none"/>
        </w:rPr>
        <w:t>第三章</w:t>
      </w:r>
      <w:r>
        <w:rPr>
          <w:rFonts w:hint="eastAsia" w:ascii="方正小标宋简体" w:hAnsi="方正小标宋简体" w:eastAsia="方正小标宋简体" w:cs="方正小标宋简体"/>
          <w:b w:val="0"/>
          <w:bCs w:val="0"/>
          <w:color w:val="auto"/>
          <w:spacing w:val="0"/>
          <w:w w:val="100"/>
          <w:sz w:val="36"/>
          <w:szCs w:val="36"/>
          <w:highlight w:val="none"/>
          <w:lang w:val="en-US" w:eastAsia="zh-CN"/>
        </w:rPr>
        <w:t xml:space="preserve">  </w:t>
      </w:r>
      <w:r>
        <w:rPr>
          <w:rFonts w:hint="eastAsia" w:ascii="方正小标宋简体" w:hAnsi="方正小标宋简体" w:eastAsia="方正小标宋简体" w:cs="方正小标宋简体"/>
          <w:b w:val="0"/>
          <w:bCs w:val="0"/>
          <w:color w:val="auto"/>
          <w:spacing w:val="0"/>
          <w:w w:val="100"/>
          <w:sz w:val="36"/>
          <w:szCs w:val="36"/>
          <w:highlight w:val="none"/>
        </w:rPr>
        <w:t>评估发现的问题</w:t>
      </w:r>
      <w:bookmarkEnd w:id="44"/>
      <w:bookmarkEnd w:id="45"/>
      <w:bookmarkEnd w:id="46"/>
      <w:bookmarkEnd w:id="47"/>
      <w:bookmarkEnd w:id="48"/>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49" w:name="_Toc30905"/>
      <w:bookmarkStart w:id="50" w:name="_Toc101045482"/>
      <w:bookmarkStart w:id="51" w:name="_Toc9085"/>
      <w:bookmarkStart w:id="52" w:name="_Toc3215"/>
      <w:r>
        <w:rPr>
          <w:rFonts w:hint="eastAsia" w:ascii="黑体" w:hAnsi="黑体" w:eastAsia="黑体" w:cs="黑体"/>
          <w:b w:val="0"/>
          <w:bCs w:val="0"/>
          <w:color w:val="auto"/>
          <w:spacing w:val="0"/>
          <w:w w:val="100"/>
          <w:sz w:val="32"/>
          <w:szCs w:val="32"/>
          <w:highlight w:val="none"/>
        </w:rPr>
        <w:t>第一节</w:t>
      </w:r>
      <w:r>
        <w:rPr>
          <w:rFonts w:hint="eastAsia" w:ascii="黑体" w:hAnsi="黑体" w:eastAsia="黑体" w:cs="黑体"/>
          <w:b w:val="0"/>
          <w:bCs w:val="0"/>
          <w:color w:val="auto"/>
          <w:spacing w:val="0"/>
          <w:w w:val="100"/>
          <w:sz w:val="32"/>
          <w:szCs w:val="32"/>
          <w:highlight w:val="none"/>
          <w:lang w:val="en-US" w:eastAsia="zh-CN"/>
        </w:rPr>
        <w:t xml:space="preserve"> </w:t>
      </w:r>
      <w:r>
        <w:rPr>
          <w:rFonts w:hint="eastAsia" w:ascii="黑体" w:hAnsi="黑体" w:eastAsia="黑体" w:cs="黑体"/>
          <w:b w:val="0"/>
          <w:bCs w:val="0"/>
          <w:color w:val="auto"/>
          <w:spacing w:val="0"/>
          <w:w w:val="100"/>
          <w:sz w:val="32"/>
          <w:szCs w:val="32"/>
          <w:highlight w:val="none"/>
        </w:rPr>
        <w:t>审查程序不够规范</w:t>
      </w:r>
      <w:bookmarkEnd w:id="49"/>
      <w:bookmarkEnd w:id="50"/>
      <w:bookmarkEnd w:id="51"/>
      <w:bookmarkEnd w:id="52"/>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根据《实施细则》（国市监反垄断〔2021〕2号）公平竞争审查基本流程，政策措施制定、起草</w:t>
      </w:r>
      <w:r>
        <w:rPr>
          <w:rFonts w:hint="eastAsia" w:ascii="仿宋_GB2312" w:hAnsi="仿宋_GB2312" w:eastAsia="仿宋_GB2312" w:cs="仿宋_GB2312"/>
          <w:b w:val="0"/>
          <w:bCs w:val="0"/>
          <w:color w:val="auto"/>
          <w:spacing w:val="0"/>
          <w:w w:val="100"/>
          <w:sz w:val="32"/>
          <w:szCs w:val="32"/>
          <w:highlight w:val="none"/>
          <w:lang w:eastAsia="zh-CN"/>
        </w:rPr>
        <w:t>部门</w:t>
      </w:r>
      <w:r>
        <w:rPr>
          <w:rFonts w:hint="eastAsia" w:ascii="仿宋_GB2312" w:hAnsi="仿宋_GB2312" w:eastAsia="仿宋_GB2312" w:cs="仿宋_GB2312"/>
          <w:b w:val="0"/>
          <w:bCs w:val="0"/>
          <w:color w:val="auto"/>
          <w:spacing w:val="0"/>
          <w:w w:val="100"/>
          <w:sz w:val="32"/>
          <w:szCs w:val="32"/>
          <w:highlight w:val="none"/>
        </w:rPr>
        <w:t>在进行公平竞争审查时应先判断政策措施是否涉及市场主体活动，对现行有效的涉及市场主体经济活动的一切政策措施都应该纳入公平竞争审查范围</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此外，进行审查后的文件，应附有《公平竞争审查表》，做到审查留痕。</w:t>
      </w:r>
      <w:r>
        <w:rPr>
          <w:rFonts w:hint="eastAsia" w:ascii="仿宋_GB2312" w:hAnsi="仿宋_GB2312" w:eastAsia="仿宋_GB2312" w:cs="仿宋_GB2312"/>
          <w:b w:val="0"/>
          <w:bCs w:val="0"/>
          <w:color w:val="auto"/>
          <w:spacing w:val="0"/>
          <w:w w:val="100"/>
          <w:sz w:val="32"/>
          <w:szCs w:val="32"/>
          <w:highlight w:val="none"/>
          <w:lang w:eastAsia="zh-CN"/>
        </w:rPr>
        <w:t>有些部门和单位</w:t>
      </w:r>
      <w:r>
        <w:rPr>
          <w:rFonts w:hint="eastAsia" w:ascii="仿宋_GB2312" w:hAnsi="仿宋_GB2312" w:eastAsia="仿宋_GB2312" w:cs="仿宋_GB2312"/>
          <w:b w:val="0"/>
          <w:bCs w:val="0"/>
          <w:color w:val="auto"/>
          <w:spacing w:val="0"/>
          <w:w w:val="100"/>
          <w:sz w:val="32"/>
          <w:szCs w:val="32"/>
          <w:highlight w:val="none"/>
        </w:rPr>
        <w:t>在开展审查工作过程中，部分政策措施未严格按照《实施细则》规定的公平竞争审查基本流程开展审查，或未附有《公平竞争审查表》。</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造成以上问题的主要原因是对公平竞争审查范围把握不到位，导致对</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谁起草，谁审查</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的原则执行不到位，部分政策</w:t>
      </w:r>
      <w:r>
        <w:rPr>
          <w:rFonts w:hint="eastAsia" w:ascii="仿宋_GB2312" w:hAnsi="仿宋_GB2312" w:eastAsia="仿宋_GB2312" w:cs="仿宋_GB2312"/>
          <w:b w:val="0"/>
          <w:bCs w:val="0"/>
          <w:color w:val="auto"/>
          <w:spacing w:val="0"/>
          <w:w w:val="100"/>
          <w:sz w:val="32"/>
          <w:szCs w:val="32"/>
          <w:highlight w:val="none"/>
          <w:lang w:eastAsia="zh-CN"/>
        </w:rPr>
        <w:t>措施</w:t>
      </w:r>
      <w:r>
        <w:rPr>
          <w:rFonts w:hint="eastAsia" w:ascii="仿宋_GB2312" w:hAnsi="仿宋_GB2312" w:eastAsia="仿宋_GB2312" w:cs="仿宋_GB2312"/>
          <w:b w:val="0"/>
          <w:bCs w:val="0"/>
          <w:color w:val="auto"/>
          <w:spacing w:val="0"/>
          <w:w w:val="100"/>
          <w:sz w:val="32"/>
          <w:szCs w:val="32"/>
          <w:highlight w:val="none"/>
        </w:rPr>
        <w:t>出台前未经过公平竞争审查程序或审查程序不规范。部分</w:t>
      </w:r>
      <w:r>
        <w:rPr>
          <w:rFonts w:hint="eastAsia" w:ascii="仿宋_GB2312" w:hAnsi="仿宋_GB2312" w:eastAsia="仿宋_GB2312" w:cs="仿宋_GB2312"/>
          <w:b w:val="0"/>
          <w:bCs w:val="0"/>
          <w:color w:val="auto"/>
          <w:spacing w:val="0"/>
          <w:w w:val="100"/>
          <w:sz w:val="32"/>
          <w:szCs w:val="32"/>
          <w:highlight w:val="none"/>
          <w:lang w:eastAsia="zh-CN"/>
        </w:rPr>
        <w:t>单位</w:t>
      </w:r>
      <w:r>
        <w:rPr>
          <w:rFonts w:hint="eastAsia" w:ascii="仿宋_GB2312" w:hAnsi="仿宋_GB2312" w:eastAsia="仿宋_GB2312" w:cs="仿宋_GB2312"/>
          <w:b w:val="0"/>
          <w:bCs w:val="0"/>
          <w:color w:val="auto"/>
          <w:spacing w:val="0"/>
          <w:w w:val="100"/>
          <w:sz w:val="32"/>
          <w:szCs w:val="32"/>
          <w:highlight w:val="none"/>
        </w:rPr>
        <w:t>在公平竞争审查日常工作过程中，将判断是否涉及市场主体经营、是否应纳入公平竞争审查范围的工作交由具体政策制定</w:t>
      </w:r>
      <w:r>
        <w:rPr>
          <w:rFonts w:hint="eastAsia" w:ascii="仿宋_GB2312" w:hAnsi="仿宋_GB2312" w:eastAsia="仿宋_GB2312" w:cs="仿宋_GB2312"/>
          <w:b w:val="0"/>
          <w:bCs w:val="0"/>
          <w:color w:val="auto"/>
          <w:spacing w:val="0"/>
          <w:w w:val="100"/>
          <w:sz w:val="32"/>
          <w:szCs w:val="32"/>
          <w:highlight w:val="none"/>
          <w:lang w:eastAsia="zh-CN"/>
        </w:rPr>
        <w:t>科</w:t>
      </w:r>
      <w:r>
        <w:rPr>
          <w:rFonts w:hint="eastAsia" w:ascii="仿宋_GB2312" w:hAnsi="仿宋_GB2312" w:eastAsia="仿宋_GB2312" w:cs="仿宋_GB2312"/>
          <w:b w:val="0"/>
          <w:bCs w:val="0"/>
          <w:color w:val="auto"/>
          <w:spacing w:val="0"/>
          <w:w w:val="100"/>
          <w:sz w:val="32"/>
          <w:szCs w:val="32"/>
          <w:highlight w:val="none"/>
        </w:rPr>
        <w:t>室而非法规</w:t>
      </w:r>
      <w:r>
        <w:rPr>
          <w:rFonts w:hint="eastAsia" w:ascii="仿宋_GB2312" w:hAnsi="仿宋_GB2312" w:eastAsia="仿宋_GB2312" w:cs="仿宋_GB2312"/>
          <w:b w:val="0"/>
          <w:bCs w:val="0"/>
          <w:color w:val="auto"/>
          <w:spacing w:val="0"/>
          <w:w w:val="100"/>
          <w:sz w:val="32"/>
          <w:szCs w:val="32"/>
          <w:highlight w:val="none"/>
          <w:lang w:eastAsia="zh-CN"/>
        </w:rPr>
        <w:t>科</w:t>
      </w:r>
      <w:r>
        <w:rPr>
          <w:rFonts w:hint="eastAsia" w:ascii="仿宋_GB2312" w:hAnsi="仿宋_GB2312" w:eastAsia="仿宋_GB2312" w:cs="仿宋_GB2312"/>
          <w:b w:val="0"/>
          <w:bCs w:val="0"/>
          <w:color w:val="auto"/>
          <w:spacing w:val="0"/>
          <w:w w:val="100"/>
          <w:sz w:val="32"/>
          <w:szCs w:val="32"/>
          <w:highlight w:val="none"/>
        </w:rPr>
        <w:t>进行，而各</w:t>
      </w:r>
      <w:r>
        <w:rPr>
          <w:rFonts w:hint="eastAsia" w:ascii="仿宋_GB2312" w:hAnsi="仿宋_GB2312" w:eastAsia="仿宋_GB2312" w:cs="仿宋_GB2312"/>
          <w:b w:val="0"/>
          <w:bCs w:val="0"/>
          <w:color w:val="auto"/>
          <w:spacing w:val="0"/>
          <w:w w:val="100"/>
          <w:sz w:val="32"/>
          <w:szCs w:val="32"/>
          <w:highlight w:val="none"/>
          <w:lang w:eastAsia="zh-CN"/>
        </w:rPr>
        <w:t>科</w:t>
      </w:r>
      <w:r>
        <w:rPr>
          <w:rFonts w:hint="eastAsia" w:ascii="仿宋_GB2312" w:hAnsi="仿宋_GB2312" w:eastAsia="仿宋_GB2312" w:cs="仿宋_GB2312"/>
          <w:b w:val="0"/>
          <w:bCs w:val="0"/>
          <w:color w:val="auto"/>
          <w:spacing w:val="0"/>
          <w:w w:val="100"/>
          <w:sz w:val="32"/>
          <w:szCs w:val="32"/>
          <w:highlight w:val="none"/>
        </w:rPr>
        <w:t>室对公平竞争审查范围理解不精确，导致部分应纳入公平竞争审查的政策</w:t>
      </w:r>
      <w:r>
        <w:rPr>
          <w:rFonts w:hint="eastAsia" w:ascii="仿宋_GB2312" w:hAnsi="仿宋_GB2312" w:eastAsia="仿宋_GB2312" w:cs="仿宋_GB2312"/>
          <w:b w:val="0"/>
          <w:bCs w:val="0"/>
          <w:color w:val="auto"/>
          <w:spacing w:val="0"/>
          <w:w w:val="100"/>
          <w:sz w:val="32"/>
          <w:szCs w:val="32"/>
          <w:highlight w:val="none"/>
          <w:lang w:eastAsia="zh-CN"/>
        </w:rPr>
        <w:t>措施</w:t>
      </w:r>
      <w:r>
        <w:rPr>
          <w:rFonts w:hint="eastAsia" w:ascii="仿宋_GB2312" w:hAnsi="仿宋_GB2312" w:eastAsia="仿宋_GB2312" w:cs="仿宋_GB2312"/>
          <w:b w:val="0"/>
          <w:bCs w:val="0"/>
          <w:color w:val="auto"/>
          <w:spacing w:val="0"/>
          <w:w w:val="100"/>
          <w:sz w:val="32"/>
          <w:szCs w:val="32"/>
          <w:highlight w:val="none"/>
        </w:rPr>
        <w:t>并未进行公平竞争审查</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或在政策</w:t>
      </w:r>
      <w:r>
        <w:rPr>
          <w:rFonts w:hint="eastAsia" w:ascii="仿宋_GB2312" w:hAnsi="仿宋_GB2312" w:eastAsia="仿宋_GB2312" w:cs="仿宋_GB2312"/>
          <w:b w:val="0"/>
          <w:bCs w:val="0"/>
          <w:color w:val="auto"/>
          <w:spacing w:val="0"/>
          <w:w w:val="100"/>
          <w:sz w:val="32"/>
          <w:szCs w:val="32"/>
          <w:highlight w:val="none"/>
          <w:lang w:eastAsia="zh-CN"/>
        </w:rPr>
        <w:t>措施</w:t>
      </w:r>
      <w:r>
        <w:rPr>
          <w:rFonts w:hint="eastAsia" w:ascii="仿宋_GB2312" w:hAnsi="仿宋_GB2312" w:eastAsia="仿宋_GB2312" w:cs="仿宋_GB2312"/>
          <w:b w:val="0"/>
          <w:bCs w:val="0"/>
          <w:color w:val="auto"/>
          <w:spacing w:val="0"/>
          <w:w w:val="100"/>
          <w:sz w:val="32"/>
          <w:szCs w:val="32"/>
          <w:highlight w:val="none"/>
        </w:rPr>
        <w:t>出台后再进行公平竞争审查。</w:t>
      </w:r>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53" w:name="_Toc101045483"/>
      <w:bookmarkStart w:id="54" w:name="_Toc9190"/>
      <w:r>
        <w:rPr>
          <w:rFonts w:hint="eastAsia" w:ascii="黑体" w:hAnsi="黑体" w:eastAsia="黑体" w:cs="黑体"/>
          <w:b w:val="0"/>
          <w:bCs w:val="0"/>
          <w:color w:val="auto"/>
          <w:spacing w:val="0"/>
          <w:w w:val="100"/>
          <w:sz w:val="32"/>
          <w:szCs w:val="32"/>
          <w:highlight w:val="none"/>
        </w:rPr>
        <w:t>第二节</w:t>
      </w:r>
      <w:r>
        <w:rPr>
          <w:rFonts w:hint="eastAsia" w:ascii="黑体" w:hAnsi="黑体" w:eastAsia="黑体" w:cs="黑体"/>
          <w:b w:val="0"/>
          <w:bCs w:val="0"/>
          <w:color w:val="auto"/>
          <w:spacing w:val="0"/>
          <w:w w:val="100"/>
          <w:sz w:val="32"/>
          <w:szCs w:val="32"/>
          <w:highlight w:val="none"/>
          <w:lang w:val="en-US" w:eastAsia="zh-CN"/>
        </w:rPr>
        <w:t xml:space="preserve"> </w:t>
      </w:r>
      <w:r>
        <w:rPr>
          <w:rFonts w:hint="eastAsia" w:ascii="黑体" w:hAnsi="黑体" w:eastAsia="黑体" w:cs="黑体"/>
          <w:b w:val="0"/>
          <w:bCs w:val="0"/>
          <w:color w:val="auto"/>
          <w:spacing w:val="0"/>
          <w:w w:val="100"/>
          <w:sz w:val="32"/>
          <w:szCs w:val="32"/>
          <w:highlight w:val="none"/>
        </w:rPr>
        <w:t>工作部署落实不及时</w:t>
      </w:r>
      <w:bookmarkEnd w:id="53"/>
      <w:bookmarkEnd w:id="54"/>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根据《国务院关于在市场体系建设中建立公平竞争审查制度的意见》（国发〔2016〕34号）</w:t>
      </w:r>
      <w:r>
        <w:rPr>
          <w:rFonts w:hint="eastAsia" w:ascii="仿宋_GB2312" w:hAnsi="仿宋_GB2312" w:eastAsia="仿宋_GB2312" w:cs="仿宋_GB2312"/>
          <w:b w:val="0"/>
          <w:bCs w:val="0"/>
          <w:color w:val="auto"/>
          <w:spacing w:val="0"/>
          <w:w w:val="100"/>
          <w:sz w:val="32"/>
          <w:szCs w:val="32"/>
          <w:highlight w:val="none"/>
          <w:lang w:eastAsia="zh-CN"/>
        </w:rPr>
        <w:t>《</w:t>
      </w:r>
      <w:r>
        <w:rPr>
          <w:rStyle w:val="25"/>
          <w:rFonts w:hint="eastAsia" w:ascii="仿宋_GB2312" w:hAnsi="仿宋_GB2312" w:eastAsia="仿宋_GB2312" w:cs="仿宋_GB2312"/>
          <w:b w:val="0"/>
          <w:bCs w:val="0"/>
          <w:i w:val="0"/>
          <w:iCs w:val="0"/>
          <w:color w:val="auto"/>
          <w:spacing w:val="0"/>
          <w:w w:val="100"/>
          <w:sz w:val="32"/>
          <w:szCs w:val="32"/>
          <w:highlight w:val="none"/>
          <w:lang w:val="en-US" w:eastAsia="zh-CN" w:bidi="ar"/>
        </w:rPr>
        <w:t>张掖市人民政府关于在市场体系建设中建立公平竞争审查制度的实施意见</w:t>
      </w:r>
      <w:r>
        <w:rPr>
          <w:rFonts w:hint="eastAsia" w:ascii="仿宋_GB2312" w:hAnsi="仿宋_GB2312" w:eastAsia="仿宋_GB2312" w:cs="仿宋_GB2312"/>
          <w:b w:val="0"/>
          <w:bCs w:val="0"/>
          <w:color w:val="auto"/>
          <w:spacing w:val="0"/>
          <w:w w:val="100"/>
          <w:kern w:val="0"/>
          <w:sz w:val="32"/>
          <w:szCs w:val="32"/>
          <w:highlight w:val="none"/>
          <w:lang w:val="en-US" w:eastAsia="zh-CN" w:bidi="ar"/>
        </w:rPr>
        <w:t>》（张政发〔2017〕56号</w:t>
      </w:r>
      <w:r>
        <w:rPr>
          <w:rFonts w:hint="eastAsia" w:ascii="仿宋_GB2312" w:hAnsi="仿宋_GB2312" w:eastAsia="仿宋_GB2312" w:cs="仿宋_GB2312"/>
          <w:b w:val="0"/>
          <w:bCs w:val="0"/>
          <w:color w:val="auto"/>
          <w:spacing w:val="0"/>
          <w:w w:val="100"/>
          <w:sz w:val="32"/>
          <w:szCs w:val="32"/>
          <w:highlight w:val="none"/>
        </w:rPr>
        <w:t>）等相关文件要求，各</w:t>
      </w:r>
      <w:r>
        <w:rPr>
          <w:rFonts w:hint="eastAsia" w:ascii="仿宋_GB2312" w:hAnsi="仿宋_GB2312" w:eastAsia="仿宋_GB2312" w:cs="仿宋_GB2312"/>
          <w:b w:val="0"/>
          <w:bCs w:val="0"/>
          <w:color w:val="auto"/>
          <w:spacing w:val="0"/>
          <w:w w:val="100"/>
          <w:sz w:val="32"/>
          <w:szCs w:val="32"/>
          <w:highlight w:val="none"/>
          <w:lang w:eastAsia="zh-CN"/>
        </w:rPr>
        <w:t>单位</w:t>
      </w:r>
      <w:r>
        <w:rPr>
          <w:rFonts w:hint="eastAsia" w:ascii="仿宋_GB2312" w:hAnsi="仿宋_GB2312" w:eastAsia="仿宋_GB2312" w:cs="仿宋_GB2312"/>
          <w:b w:val="0"/>
          <w:bCs w:val="0"/>
          <w:color w:val="auto"/>
          <w:spacing w:val="0"/>
          <w:w w:val="100"/>
          <w:sz w:val="32"/>
          <w:szCs w:val="32"/>
          <w:highlight w:val="none"/>
        </w:rPr>
        <w:t>需要进行公平竞争审查的培训和宣传，认真组织培训学习，深刻领会制度精神，熟悉掌握审查标准，精准开展公平竞争审查工作。本次纳入公平竞争第三方审查工作的</w:t>
      </w:r>
      <w:r>
        <w:rPr>
          <w:rFonts w:hint="eastAsia" w:ascii="仿宋_GB2312" w:hAnsi="仿宋_GB2312" w:eastAsia="仿宋_GB2312" w:cs="仿宋_GB2312"/>
          <w:b w:val="0"/>
          <w:bCs w:val="0"/>
          <w:color w:val="auto"/>
          <w:spacing w:val="0"/>
          <w:w w:val="100"/>
          <w:sz w:val="32"/>
          <w:szCs w:val="32"/>
          <w:highlight w:val="none"/>
          <w:lang w:eastAsia="zh-CN"/>
        </w:rPr>
        <w:t>评估对象</w:t>
      </w:r>
      <w:r>
        <w:rPr>
          <w:rFonts w:hint="eastAsia" w:ascii="仿宋_GB2312" w:hAnsi="仿宋_GB2312" w:eastAsia="仿宋_GB2312" w:cs="仿宋_GB2312"/>
          <w:b w:val="0"/>
          <w:bCs w:val="0"/>
          <w:color w:val="auto"/>
          <w:spacing w:val="0"/>
          <w:w w:val="100"/>
          <w:sz w:val="32"/>
          <w:szCs w:val="32"/>
          <w:highlight w:val="none"/>
        </w:rPr>
        <w:t>，部分</w:t>
      </w:r>
      <w:r>
        <w:rPr>
          <w:rFonts w:hint="eastAsia" w:ascii="仿宋_GB2312" w:hAnsi="仿宋_GB2312" w:eastAsia="仿宋_GB2312" w:cs="仿宋_GB2312"/>
          <w:b w:val="0"/>
          <w:bCs w:val="0"/>
          <w:color w:val="auto"/>
          <w:spacing w:val="0"/>
          <w:w w:val="100"/>
          <w:sz w:val="32"/>
          <w:szCs w:val="32"/>
          <w:highlight w:val="none"/>
          <w:lang w:eastAsia="zh-CN"/>
        </w:rPr>
        <w:t>单位</w:t>
      </w:r>
      <w:r>
        <w:rPr>
          <w:rFonts w:hint="eastAsia" w:ascii="仿宋_GB2312" w:hAnsi="仿宋_GB2312" w:eastAsia="仿宋_GB2312" w:cs="仿宋_GB2312"/>
          <w:b w:val="0"/>
          <w:bCs w:val="0"/>
          <w:color w:val="auto"/>
          <w:spacing w:val="0"/>
          <w:w w:val="100"/>
          <w:sz w:val="32"/>
          <w:szCs w:val="32"/>
          <w:highlight w:val="none"/>
        </w:rPr>
        <w:t>仅进行了公平竞争培训工作而缺少宣传佐证材料，部分</w:t>
      </w:r>
      <w:r>
        <w:rPr>
          <w:rFonts w:hint="eastAsia" w:ascii="仿宋_GB2312" w:hAnsi="仿宋_GB2312" w:eastAsia="仿宋_GB2312" w:cs="仿宋_GB2312"/>
          <w:b w:val="0"/>
          <w:bCs w:val="0"/>
          <w:color w:val="auto"/>
          <w:spacing w:val="0"/>
          <w:w w:val="100"/>
          <w:sz w:val="32"/>
          <w:szCs w:val="32"/>
          <w:highlight w:val="none"/>
          <w:lang w:eastAsia="zh-CN"/>
        </w:rPr>
        <w:t>单位</w:t>
      </w:r>
      <w:r>
        <w:rPr>
          <w:rFonts w:hint="eastAsia" w:ascii="仿宋_GB2312" w:hAnsi="仿宋_GB2312" w:eastAsia="仿宋_GB2312" w:cs="仿宋_GB2312"/>
          <w:b w:val="0"/>
          <w:bCs w:val="0"/>
          <w:color w:val="auto"/>
          <w:spacing w:val="0"/>
          <w:w w:val="100"/>
          <w:sz w:val="32"/>
          <w:szCs w:val="32"/>
          <w:highlight w:val="none"/>
        </w:rPr>
        <w:t>缺少培训与宣传材料，存在培训宣传工作部署落实工作不到位、不及时的情况。</w:t>
      </w:r>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55" w:name="_Toc101045484"/>
      <w:bookmarkStart w:id="56" w:name="_Toc21791"/>
      <w:r>
        <w:rPr>
          <w:rFonts w:hint="eastAsia" w:ascii="黑体" w:hAnsi="黑体" w:eastAsia="黑体" w:cs="黑体"/>
          <w:b w:val="0"/>
          <w:bCs w:val="0"/>
          <w:color w:val="auto"/>
          <w:spacing w:val="0"/>
          <w:w w:val="100"/>
          <w:sz w:val="32"/>
          <w:szCs w:val="32"/>
          <w:highlight w:val="none"/>
        </w:rPr>
        <w:t>第三节</w:t>
      </w:r>
      <w:r>
        <w:rPr>
          <w:rFonts w:hint="eastAsia" w:ascii="黑体" w:hAnsi="黑体" w:eastAsia="黑体" w:cs="黑体"/>
          <w:b w:val="0"/>
          <w:bCs w:val="0"/>
          <w:color w:val="auto"/>
          <w:spacing w:val="0"/>
          <w:w w:val="100"/>
          <w:sz w:val="32"/>
          <w:szCs w:val="32"/>
          <w:highlight w:val="none"/>
          <w:lang w:val="en-US" w:eastAsia="zh-CN"/>
        </w:rPr>
        <w:t xml:space="preserve"> </w:t>
      </w:r>
      <w:r>
        <w:rPr>
          <w:rFonts w:hint="eastAsia" w:ascii="黑体" w:hAnsi="黑体" w:eastAsia="黑体" w:cs="黑体"/>
          <w:b w:val="0"/>
          <w:bCs w:val="0"/>
          <w:color w:val="auto"/>
          <w:spacing w:val="0"/>
          <w:w w:val="100"/>
          <w:sz w:val="32"/>
          <w:szCs w:val="32"/>
          <w:highlight w:val="none"/>
        </w:rPr>
        <w:t>政策措施违反公平竞争审查标准</w:t>
      </w:r>
      <w:bookmarkEnd w:id="55"/>
      <w:bookmarkEnd w:id="56"/>
    </w:p>
    <w:p>
      <w:pPr>
        <w:pStyle w:val="4"/>
        <w:pageBreakBefore w:val="0"/>
        <w:kinsoku/>
        <w:wordWrap/>
        <w:overflowPunct/>
        <w:topLinePunct/>
        <w:autoSpaceDE/>
        <w:autoSpaceDN/>
        <w:bidi w:val="0"/>
        <w:adjustRightInd w:val="0"/>
        <w:snapToGrid w:val="0"/>
        <w:spacing w:before="0" w:beforeAutospacing="0" w:after="0" w:line="540" w:lineRule="exact"/>
        <w:ind w:left="0" w:leftChars="0" w:right="0" w:firstLine="640" w:firstLineChars="200"/>
        <w:jc w:val="both"/>
        <w:rPr>
          <w:rFonts w:hint="eastAsia" w:ascii="楷体_GB2312" w:hAnsi="楷体_GB2312" w:eastAsia="楷体_GB2312" w:cs="楷体_GB2312"/>
          <w:b w:val="0"/>
          <w:bCs w:val="0"/>
          <w:color w:val="auto"/>
          <w:spacing w:val="0"/>
          <w:w w:val="100"/>
          <w:sz w:val="32"/>
          <w:szCs w:val="32"/>
          <w:highlight w:val="none"/>
        </w:rPr>
      </w:pPr>
      <w:bookmarkStart w:id="57" w:name="_Toc101045485"/>
      <w:bookmarkStart w:id="58" w:name="_Toc19434"/>
      <w:r>
        <w:rPr>
          <w:rFonts w:hint="eastAsia" w:ascii="楷体_GB2312" w:hAnsi="楷体_GB2312" w:eastAsia="楷体_GB2312" w:cs="楷体_GB2312"/>
          <w:b w:val="0"/>
          <w:bCs w:val="0"/>
          <w:color w:val="auto"/>
          <w:spacing w:val="0"/>
          <w:w w:val="100"/>
          <w:sz w:val="32"/>
          <w:szCs w:val="32"/>
          <w:highlight w:val="none"/>
        </w:rPr>
        <w:t>一、违反“</w:t>
      </w:r>
      <w:r>
        <w:rPr>
          <w:rFonts w:hint="eastAsia" w:ascii="楷体_GB2312" w:hAnsi="楷体_GB2312" w:eastAsia="楷体_GB2312" w:cs="楷体_GB2312"/>
          <w:b w:val="0"/>
          <w:bCs w:val="0"/>
          <w:color w:val="auto"/>
          <w:spacing w:val="0"/>
          <w:w w:val="100"/>
          <w:sz w:val="32"/>
          <w:szCs w:val="32"/>
          <w:highlight w:val="none"/>
          <w:lang w:eastAsia="zh-CN"/>
        </w:rPr>
        <w:t>影响生产经营成本</w:t>
      </w:r>
      <w:r>
        <w:rPr>
          <w:rFonts w:hint="eastAsia" w:ascii="楷体_GB2312" w:hAnsi="楷体_GB2312" w:eastAsia="楷体_GB2312" w:cs="楷体_GB2312"/>
          <w:b w:val="0"/>
          <w:bCs w:val="0"/>
          <w:color w:val="auto"/>
          <w:spacing w:val="0"/>
          <w:w w:val="100"/>
          <w:sz w:val="32"/>
          <w:szCs w:val="32"/>
          <w:highlight w:val="none"/>
        </w:rPr>
        <w:t>标准”</w:t>
      </w:r>
      <w:bookmarkEnd w:id="57"/>
      <w:bookmarkEnd w:id="58"/>
    </w:p>
    <w:p>
      <w:pPr>
        <w:pStyle w:val="48"/>
        <w:keepNext/>
        <w:keepLines/>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bookmarkStart w:id="59" w:name="_Toc14232"/>
      <w:r>
        <w:rPr>
          <w:rFonts w:hint="eastAsia" w:ascii="仿宋_GB2312" w:hAnsi="仿宋_GB2312" w:eastAsia="仿宋_GB2312" w:cs="仿宋_GB2312"/>
          <w:b w:val="0"/>
          <w:bCs w:val="0"/>
          <w:color w:val="auto"/>
          <w:spacing w:val="0"/>
          <w:w w:val="100"/>
          <w:sz w:val="32"/>
          <w:szCs w:val="32"/>
          <w:highlight w:val="none"/>
        </w:rPr>
        <w:t>(</w:t>
      </w:r>
      <w:r>
        <w:rPr>
          <w:rFonts w:hint="eastAsia" w:ascii="仿宋_GB2312" w:hAnsi="仿宋_GB2312" w:eastAsia="仿宋_GB2312" w:cs="仿宋_GB2312"/>
          <w:b w:val="0"/>
          <w:bCs w:val="0"/>
          <w:color w:val="auto"/>
          <w:spacing w:val="0"/>
          <w:w w:val="100"/>
          <w:sz w:val="32"/>
          <w:szCs w:val="32"/>
          <w:highlight w:val="none"/>
          <w:lang w:eastAsia="zh-CN"/>
        </w:rPr>
        <w:t>一</w:t>
      </w:r>
      <w:r>
        <w:rPr>
          <w:rFonts w:hint="eastAsia" w:ascii="仿宋_GB2312" w:hAnsi="仿宋_GB2312" w:eastAsia="仿宋_GB2312" w:cs="仿宋_GB2312"/>
          <w:b w:val="0"/>
          <w:bCs w:val="0"/>
          <w:color w:val="auto"/>
          <w:spacing w:val="0"/>
          <w:w w:val="100"/>
          <w:sz w:val="32"/>
          <w:szCs w:val="32"/>
          <w:highlight w:val="none"/>
        </w:rPr>
        <w:t>)《</w:t>
      </w:r>
      <w:r>
        <w:rPr>
          <w:rFonts w:hint="eastAsia" w:ascii="仿宋_GB2312" w:hAnsi="仿宋_GB2312" w:eastAsia="仿宋_GB2312" w:cs="仿宋_GB2312"/>
          <w:b w:val="0"/>
          <w:bCs w:val="0"/>
          <w:i w:val="0"/>
          <w:iCs w:val="0"/>
          <w:color w:val="auto"/>
          <w:spacing w:val="0"/>
          <w:w w:val="100"/>
          <w:sz w:val="32"/>
          <w:szCs w:val="32"/>
          <w:highlight w:val="none"/>
        </w:rPr>
        <w:t>张掖经济技术开发区招商引资奖励及产业发展扶持优惠办法</w:t>
      </w:r>
      <w:r>
        <w:rPr>
          <w:rFonts w:hint="eastAsia" w:ascii="仿宋_GB2312" w:hAnsi="仿宋_GB2312" w:eastAsia="仿宋_GB2312" w:cs="仿宋_GB2312"/>
          <w:b w:val="0"/>
          <w:bCs w:val="0"/>
          <w:color w:val="auto"/>
          <w:spacing w:val="0"/>
          <w:w w:val="100"/>
          <w:sz w:val="32"/>
          <w:szCs w:val="32"/>
          <w:highlight w:val="none"/>
        </w:rPr>
        <w:t>》(</w:t>
      </w:r>
      <w:r>
        <w:rPr>
          <w:rFonts w:hint="eastAsia" w:ascii="仿宋_GB2312" w:hAnsi="仿宋_GB2312" w:eastAsia="仿宋_GB2312" w:cs="仿宋_GB2312"/>
          <w:b w:val="0"/>
          <w:bCs w:val="0"/>
          <w:color w:val="auto"/>
          <w:spacing w:val="0"/>
          <w:w w:val="100"/>
          <w:sz w:val="32"/>
          <w:szCs w:val="32"/>
          <w:highlight w:val="none"/>
          <w:lang w:eastAsia="zh-CN"/>
        </w:rPr>
        <w:t>张经党字</w:t>
      </w:r>
      <w:r>
        <w:rPr>
          <w:rFonts w:hint="eastAsia" w:ascii="仿宋_GB2312" w:hAnsi="仿宋_GB2312" w:eastAsia="仿宋_GB2312" w:cs="仿宋_GB2312"/>
          <w:b w:val="0"/>
          <w:bCs w:val="0"/>
          <w:color w:val="auto"/>
          <w:spacing w:val="0"/>
          <w:w w:val="100"/>
          <w:sz w:val="32"/>
          <w:szCs w:val="32"/>
          <w:highlight w:val="none"/>
        </w:rPr>
        <w:t>〔2022〕</w:t>
      </w:r>
      <w:r>
        <w:rPr>
          <w:rFonts w:hint="eastAsia" w:ascii="仿宋_GB2312" w:hAnsi="仿宋_GB2312" w:eastAsia="仿宋_GB2312" w:cs="仿宋_GB2312"/>
          <w:b w:val="0"/>
          <w:bCs w:val="0"/>
          <w:color w:val="auto"/>
          <w:spacing w:val="0"/>
          <w:w w:val="100"/>
          <w:sz w:val="32"/>
          <w:szCs w:val="32"/>
          <w:highlight w:val="none"/>
          <w:lang w:val="en-US" w:eastAsia="zh-CN"/>
        </w:rPr>
        <w:t>34</w:t>
      </w:r>
      <w:r>
        <w:rPr>
          <w:rFonts w:hint="eastAsia" w:ascii="仿宋_GB2312" w:hAnsi="仿宋_GB2312" w:eastAsia="仿宋_GB2312" w:cs="仿宋_GB2312"/>
          <w:b w:val="0"/>
          <w:bCs w:val="0"/>
          <w:color w:val="auto"/>
          <w:spacing w:val="0"/>
          <w:w w:val="100"/>
          <w:sz w:val="32"/>
          <w:szCs w:val="32"/>
          <w:highlight w:val="none"/>
        </w:rPr>
        <w:t>号)</w:t>
      </w:r>
      <w:bookmarkEnd w:id="59"/>
    </w:p>
    <w:p>
      <w:pPr>
        <w:pageBreakBefore w:val="0"/>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a.问题内容条款</w:t>
      </w:r>
    </w:p>
    <w:tbl>
      <w:tblPr>
        <w:tblStyle w:val="49"/>
        <w:tblW w:w="9039" w:type="dxa"/>
        <w:tblInd w:w="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039"/>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058" w:hRule="atLeast"/>
        </w:trPr>
        <w:tc>
          <w:tcPr>
            <w:tcW w:w="9039" w:type="dxa"/>
            <w:vAlign w:val="top"/>
          </w:tcPr>
          <w:p>
            <w:pPr>
              <w:keepNext w:val="0"/>
              <w:keepLines w:val="0"/>
              <w:pageBreakBefore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文件第</w:t>
            </w:r>
            <w:r>
              <w:rPr>
                <w:rFonts w:hint="eastAsia" w:ascii="仿宋_GB2312" w:hAnsi="仿宋_GB2312" w:eastAsia="仿宋_GB2312" w:cs="仿宋_GB2312"/>
                <w:b w:val="0"/>
                <w:bCs w:val="0"/>
                <w:color w:val="auto"/>
                <w:spacing w:val="0"/>
                <w:w w:val="100"/>
                <w:sz w:val="32"/>
                <w:szCs w:val="32"/>
                <w:highlight w:val="none"/>
                <w:lang w:val="en-US" w:eastAsia="zh-CN"/>
              </w:rPr>
              <w:t>3</w:t>
            </w:r>
            <w:r>
              <w:rPr>
                <w:rFonts w:hint="eastAsia" w:ascii="仿宋_GB2312" w:hAnsi="仿宋_GB2312" w:eastAsia="仿宋_GB2312" w:cs="仿宋_GB2312"/>
                <w:b w:val="0"/>
                <w:bCs w:val="0"/>
                <w:color w:val="auto"/>
                <w:spacing w:val="0"/>
                <w:w w:val="100"/>
                <w:sz w:val="32"/>
                <w:szCs w:val="32"/>
                <w:highlight w:val="none"/>
              </w:rPr>
              <w:t>页</w:t>
            </w:r>
          </w:p>
          <w:p>
            <w:pPr>
              <w:pStyle w:val="34"/>
              <w:keepNext w:val="0"/>
              <w:keepLines w:val="0"/>
              <w:pageBreakBefore w:val="0"/>
              <w:widowControl w:val="0"/>
              <w:numPr>
                <w:ilvl w:val="0"/>
                <w:numId w:val="1"/>
              </w:numPr>
              <w:suppressLineNumbers w:val="0"/>
              <w:kinsoku/>
              <w:wordWrap/>
              <w:overflowPunct/>
              <w:topLinePunct/>
              <w:autoSpaceDE/>
              <w:autoSpaceDN/>
              <w:bidi w:val="0"/>
              <w:spacing w:before="0" w:beforeAutospacing="0" w:after="0" w:afterAutospacing="0" w:line="540" w:lineRule="exact"/>
              <w:ind w:left="0" w:leftChars="0" w:right="0" w:rightChars="0" w:firstLine="640" w:firstLineChars="200"/>
              <w:jc w:val="both"/>
              <w:rPr>
                <w:rFonts w:hint="eastAsia" w:ascii="仿宋_GB2312" w:hAnsi="仿宋_GB2312" w:eastAsia="仿宋_GB2312" w:cs="仿宋_GB2312"/>
                <w:b w:val="0"/>
                <w:bCs w:val="0"/>
                <w:i w:val="0"/>
                <w:iCs w:val="0"/>
                <w:color w:val="auto"/>
                <w:spacing w:val="0"/>
                <w:w w:val="100"/>
                <w:sz w:val="32"/>
                <w:szCs w:val="32"/>
                <w:highlight w:val="none"/>
                <w:u w:val="single"/>
              </w:rPr>
            </w:pPr>
            <w:r>
              <w:rPr>
                <w:rFonts w:hint="eastAsia" w:ascii="仿宋_GB2312" w:hAnsi="仿宋_GB2312" w:eastAsia="仿宋_GB2312" w:cs="仿宋_GB2312"/>
                <w:b w:val="0"/>
                <w:bCs w:val="0"/>
                <w:i w:val="0"/>
                <w:iCs w:val="0"/>
                <w:color w:val="auto"/>
                <w:spacing w:val="0"/>
                <w:w w:val="100"/>
                <w:sz w:val="32"/>
                <w:szCs w:val="32"/>
                <w:highlight w:val="none"/>
              </w:rPr>
              <w:t>投资在5000万元的项目，每亩产值达200万元，每亩税收达16万元，在经开区履行纳税义务，无违法违规行为的新引进工业企业，经开区将以企业投资当年实际缴纳企业增值税、企业所得税</w:t>
            </w:r>
            <w:r>
              <w:rPr>
                <w:rFonts w:hint="eastAsia" w:ascii="仿宋_GB2312" w:hAnsi="仿宋_GB2312" w:eastAsia="仿宋_GB2312" w:cs="仿宋_GB2312"/>
                <w:b w:val="0"/>
                <w:bCs w:val="0"/>
                <w:i w:val="0"/>
                <w:iCs w:val="0"/>
                <w:color w:val="auto"/>
                <w:spacing w:val="0"/>
                <w:w w:val="100"/>
                <w:sz w:val="32"/>
                <w:szCs w:val="32"/>
                <w:highlight w:val="none"/>
                <w:u w:val="single"/>
              </w:rPr>
              <w:t>税收为基数进行税收奖励</w:t>
            </w:r>
            <w:r>
              <w:rPr>
                <w:rFonts w:hint="eastAsia" w:ascii="仿宋_GB2312" w:hAnsi="仿宋_GB2312" w:eastAsia="仿宋_GB2312" w:cs="仿宋_GB2312"/>
                <w:b w:val="0"/>
                <w:bCs w:val="0"/>
                <w:i w:val="0"/>
                <w:iCs w:val="0"/>
                <w:color w:val="auto"/>
                <w:spacing w:val="0"/>
                <w:w w:val="100"/>
                <w:sz w:val="32"/>
                <w:szCs w:val="32"/>
                <w:highlight w:val="none"/>
              </w:rPr>
              <w:t>。</w:t>
            </w:r>
            <w:r>
              <w:rPr>
                <w:rFonts w:hint="eastAsia" w:ascii="仿宋_GB2312" w:hAnsi="仿宋_GB2312" w:eastAsia="仿宋_GB2312" w:cs="仿宋_GB2312"/>
                <w:b w:val="0"/>
                <w:bCs w:val="0"/>
                <w:i w:val="0"/>
                <w:iCs w:val="0"/>
                <w:color w:val="auto"/>
                <w:spacing w:val="0"/>
                <w:w w:val="100"/>
                <w:sz w:val="32"/>
                <w:szCs w:val="32"/>
                <w:highlight w:val="none"/>
                <w:u w:val="none"/>
              </w:rPr>
              <w:t>第一、二、三年按新增增值税、企业所得税</w:t>
            </w:r>
            <w:r>
              <w:rPr>
                <w:rFonts w:hint="eastAsia" w:ascii="仿宋_GB2312" w:hAnsi="仿宋_GB2312" w:eastAsia="仿宋_GB2312" w:cs="仿宋_GB2312"/>
                <w:b w:val="0"/>
                <w:bCs w:val="0"/>
                <w:i w:val="0"/>
                <w:iCs w:val="0"/>
                <w:color w:val="auto"/>
                <w:spacing w:val="0"/>
                <w:w w:val="100"/>
                <w:sz w:val="32"/>
                <w:szCs w:val="32"/>
                <w:highlight w:val="none"/>
                <w:u w:val="single"/>
              </w:rPr>
              <w:t>税收经开区地方留成部分的100%给予奖励，</w:t>
            </w:r>
            <w:r>
              <w:rPr>
                <w:rFonts w:hint="eastAsia" w:ascii="仿宋_GB2312" w:hAnsi="仿宋_GB2312" w:eastAsia="仿宋_GB2312" w:cs="仿宋_GB2312"/>
                <w:b w:val="0"/>
                <w:bCs w:val="0"/>
                <w:i w:val="0"/>
                <w:iCs w:val="0"/>
                <w:color w:val="auto"/>
                <w:spacing w:val="0"/>
                <w:w w:val="100"/>
                <w:sz w:val="32"/>
                <w:szCs w:val="32"/>
                <w:highlight w:val="none"/>
                <w:u w:val="none"/>
              </w:rPr>
              <w:t>第四、五年按新增企业增值税、企业所得税</w:t>
            </w:r>
            <w:r>
              <w:rPr>
                <w:rFonts w:hint="eastAsia" w:ascii="仿宋_GB2312" w:hAnsi="仿宋_GB2312" w:eastAsia="仿宋_GB2312" w:cs="仿宋_GB2312"/>
                <w:b w:val="0"/>
                <w:bCs w:val="0"/>
                <w:i w:val="0"/>
                <w:iCs w:val="0"/>
                <w:color w:val="auto"/>
                <w:spacing w:val="0"/>
                <w:w w:val="100"/>
                <w:sz w:val="32"/>
                <w:szCs w:val="32"/>
                <w:highlight w:val="none"/>
                <w:u w:val="single"/>
              </w:rPr>
              <w:t>税收经开区地方留成部分的50%给予奖励，用于企业增加研发投入和投资再生产等</w:t>
            </w:r>
            <w:r>
              <w:rPr>
                <w:rFonts w:hint="eastAsia" w:ascii="仿宋_GB2312" w:hAnsi="仿宋_GB2312" w:eastAsia="仿宋_GB2312" w:cs="仿宋_GB2312"/>
                <w:b w:val="0"/>
                <w:bCs w:val="0"/>
                <w:i w:val="0"/>
                <w:iCs w:val="0"/>
                <w:color w:val="auto"/>
                <w:spacing w:val="0"/>
                <w:w w:val="100"/>
                <w:sz w:val="32"/>
                <w:szCs w:val="32"/>
                <w:highlight w:val="none"/>
                <w:u w:val="none"/>
              </w:rPr>
              <w:t>。</w:t>
            </w:r>
          </w:p>
          <w:p>
            <w:pPr>
              <w:pStyle w:val="20"/>
              <w:keepNext w:val="0"/>
              <w:keepLines w:val="0"/>
              <w:pageBreakBefore w:val="0"/>
              <w:widowControl w:val="0"/>
              <w:numPr>
                <w:ilvl w:val="0"/>
                <w:numId w:val="0"/>
              </w:numPr>
              <w:suppressLineNumbers w:val="0"/>
              <w:kinsoku/>
              <w:wordWrap/>
              <w:overflowPunct/>
              <w:topLinePunct/>
              <w:autoSpaceDE/>
              <w:autoSpaceDN/>
              <w:bidi w:val="0"/>
              <w:spacing w:before="0" w:beforeAutospacing="0" w:after="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i w:val="0"/>
                <w:iCs w:val="0"/>
                <w:color w:val="auto"/>
                <w:spacing w:val="0"/>
                <w:w w:val="100"/>
                <w:kern w:val="0"/>
                <w:sz w:val="32"/>
                <w:szCs w:val="32"/>
                <w:highlight w:val="none"/>
                <w:lang w:val="en-US" w:eastAsia="zh-CN" w:bidi="ar"/>
              </w:rPr>
              <w:t>等等……</w:t>
            </w:r>
          </w:p>
        </w:tc>
      </w:tr>
    </w:tbl>
    <w:p>
      <w:pPr>
        <w:pageBreakBefore w:val="0"/>
        <w:kinsoku/>
        <w:wordWrap/>
        <w:overflowPunct/>
        <w:topLinePunct/>
        <w:autoSpaceDE/>
        <w:autoSpaceDN/>
        <w:bidi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b.剖析论证</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rPr>
        <w:t>文件</w:t>
      </w:r>
      <w:r>
        <w:rPr>
          <w:rFonts w:hint="eastAsia" w:ascii="仿宋_GB2312" w:hAnsi="仿宋_GB2312" w:eastAsia="仿宋_GB2312" w:cs="仿宋_GB2312"/>
          <w:b w:val="0"/>
          <w:bCs w:val="0"/>
          <w:color w:val="auto"/>
          <w:spacing w:val="0"/>
          <w:w w:val="100"/>
          <w:sz w:val="32"/>
          <w:szCs w:val="32"/>
          <w:highlight w:val="none"/>
          <w:lang w:eastAsia="zh-CN"/>
        </w:rPr>
        <w:t>内容</w:t>
      </w:r>
      <w:r>
        <w:rPr>
          <w:rFonts w:hint="eastAsia" w:ascii="仿宋_GB2312" w:hAnsi="仿宋_GB2312" w:eastAsia="仿宋_GB2312" w:cs="仿宋_GB2312"/>
          <w:b w:val="0"/>
          <w:bCs w:val="0"/>
          <w:color w:val="auto"/>
          <w:spacing w:val="0"/>
          <w:w w:val="100"/>
          <w:sz w:val="32"/>
          <w:szCs w:val="32"/>
          <w:highlight w:val="none"/>
        </w:rPr>
        <w:t>违反</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公平竞争审查细则</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第十</w:t>
      </w:r>
      <w:r>
        <w:rPr>
          <w:rFonts w:hint="eastAsia" w:ascii="仿宋_GB2312" w:hAnsi="仿宋_GB2312" w:eastAsia="仿宋_GB2312" w:cs="仿宋_GB2312"/>
          <w:b w:val="0"/>
          <w:bCs w:val="0"/>
          <w:color w:val="auto"/>
          <w:spacing w:val="0"/>
          <w:w w:val="100"/>
          <w:sz w:val="32"/>
          <w:szCs w:val="32"/>
          <w:highlight w:val="none"/>
          <w:lang w:eastAsia="zh-CN"/>
        </w:rPr>
        <w:t>五</w:t>
      </w:r>
      <w:r>
        <w:rPr>
          <w:rFonts w:hint="eastAsia" w:ascii="仿宋_GB2312" w:hAnsi="仿宋_GB2312" w:eastAsia="仿宋_GB2312" w:cs="仿宋_GB2312"/>
          <w:b w:val="0"/>
          <w:bCs w:val="0"/>
          <w:color w:val="auto"/>
          <w:spacing w:val="0"/>
          <w:w w:val="100"/>
          <w:sz w:val="32"/>
          <w:szCs w:val="32"/>
          <w:highlight w:val="none"/>
        </w:rPr>
        <w:t>条影响生产经营</w:t>
      </w:r>
      <w:r>
        <w:rPr>
          <w:rFonts w:hint="eastAsia" w:ascii="仿宋_GB2312" w:hAnsi="仿宋_GB2312" w:eastAsia="仿宋_GB2312" w:cs="仿宋_GB2312"/>
          <w:b w:val="0"/>
          <w:bCs w:val="0"/>
          <w:color w:val="auto"/>
          <w:spacing w:val="0"/>
          <w:w w:val="100"/>
          <w:sz w:val="32"/>
          <w:szCs w:val="32"/>
          <w:highlight w:val="none"/>
          <w:lang w:eastAsia="zh-CN"/>
        </w:rPr>
        <w:t>成本</w:t>
      </w:r>
      <w:r>
        <w:rPr>
          <w:rFonts w:hint="eastAsia" w:ascii="仿宋_GB2312" w:hAnsi="仿宋_GB2312" w:eastAsia="仿宋_GB2312" w:cs="仿宋_GB2312"/>
          <w:b w:val="0"/>
          <w:bCs w:val="0"/>
          <w:color w:val="auto"/>
          <w:spacing w:val="0"/>
          <w:w w:val="100"/>
          <w:sz w:val="32"/>
          <w:szCs w:val="32"/>
          <w:highlight w:val="none"/>
        </w:rPr>
        <w:t>标准</w:t>
      </w:r>
      <w:r>
        <w:rPr>
          <w:rFonts w:hint="eastAsia" w:ascii="仿宋_GB2312" w:hAnsi="仿宋_GB2312" w:eastAsia="仿宋_GB2312" w:cs="仿宋_GB2312"/>
          <w:b w:val="0"/>
          <w:bCs w:val="0"/>
          <w:color w:val="auto"/>
          <w:spacing w:val="0"/>
          <w:w w:val="100"/>
          <w:sz w:val="32"/>
          <w:szCs w:val="32"/>
          <w:highlight w:val="none"/>
          <w:lang w:eastAsia="zh-CN"/>
        </w:rPr>
        <w:t>（二）</w:t>
      </w:r>
      <w:r>
        <w:rPr>
          <w:rFonts w:hint="eastAsia" w:ascii="仿宋_GB2312" w:hAnsi="仿宋_GB2312" w:eastAsia="仿宋_GB2312" w:cs="仿宋_GB2312"/>
          <w:b w:val="0"/>
          <w:bCs w:val="0"/>
          <w:i w:val="0"/>
          <w:iCs w:val="0"/>
          <w:caps w:val="0"/>
          <w:color w:val="auto"/>
          <w:spacing w:val="0"/>
          <w:w w:val="100"/>
          <w:sz w:val="32"/>
          <w:szCs w:val="32"/>
          <w:highlight w:val="none"/>
          <w:shd w:val="clear" w:fill="FFFFFF"/>
        </w:rPr>
        <w:t>安排财政支出一般不得与特定经营者缴纳的税收或非税收入挂钩，主要指根据特定经营者缴纳的税收或者非税收入情况，采取列收列支或者违法违规采取先征后返、即征即退等形式，对特定经营者进行返还，或者给予特定经营者财政奖励或补贴、减免土地等自然资源有偿使用收入等优惠政策</w:t>
      </w:r>
      <w:r>
        <w:rPr>
          <w:rFonts w:hint="eastAsia" w:ascii="仿宋_GB2312" w:hAnsi="仿宋_GB2312" w:eastAsia="仿宋_GB2312" w:cs="仿宋_GB2312"/>
          <w:b w:val="0"/>
          <w:bCs w:val="0"/>
          <w:i w:val="0"/>
          <w:iCs w:val="0"/>
          <w:caps w:val="0"/>
          <w:color w:val="auto"/>
          <w:spacing w:val="0"/>
          <w:w w:val="100"/>
          <w:sz w:val="32"/>
          <w:szCs w:val="32"/>
          <w:highlight w:val="none"/>
          <w:shd w:val="clear" w:fill="FFFFFF"/>
          <w:lang w:eastAsia="zh-CN"/>
        </w:rPr>
        <w:t>”</w:t>
      </w:r>
      <w:r>
        <w:rPr>
          <w:rFonts w:hint="eastAsia" w:ascii="仿宋_GB2312" w:hAnsi="仿宋_GB2312" w:eastAsia="仿宋_GB2312" w:cs="仿宋_GB2312"/>
          <w:b w:val="0"/>
          <w:bCs w:val="0"/>
          <w:color w:val="auto"/>
          <w:spacing w:val="0"/>
          <w:w w:val="100"/>
          <w:sz w:val="32"/>
          <w:szCs w:val="32"/>
          <w:highlight w:val="none"/>
        </w:rPr>
        <w:t>的规定</w:t>
      </w:r>
      <w:r>
        <w:rPr>
          <w:rFonts w:hint="eastAsia" w:ascii="仿宋_GB2312" w:hAnsi="仿宋_GB2312" w:eastAsia="仿宋_GB2312" w:cs="仿宋_GB2312"/>
          <w:b w:val="0"/>
          <w:bCs w:val="0"/>
          <w:color w:val="auto"/>
          <w:spacing w:val="0"/>
          <w:w w:val="100"/>
          <w:sz w:val="32"/>
          <w:szCs w:val="32"/>
          <w:highlight w:val="none"/>
          <w:lang w:eastAsia="zh-CN"/>
        </w:rPr>
        <w:t>。</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楷体_GB2312" w:hAnsi="楷体_GB2312" w:eastAsia="楷体_GB2312" w:cs="楷体_GB2312"/>
          <w:b w:val="0"/>
          <w:bCs w:val="0"/>
          <w:color w:val="auto"/>
          <w:spacing w:val="0"/>
          <w:w w:val="100"/>
          <w:kern w:val="2"/>
          <w:sz w:val="32"/>
          <w:szCs w:val="32"/>
          <w:highlight w:val="none"/>
          <w:lang w:val="en-US" w:eastAsia="zh-CN" w:bidi="ar"/>
        </w:rPr>
      </w:pPr>
      <w:r>
        <w:rPr>
          <w:rFonts w:hint="eastAsia" w:ascii="楷体_GB2312" w:hAnsi="楷体_GB2312" w:eastAsia="楷体_GB2312" w:cs="楷体_GB2312"/>
          <w:b w:val="0"/>
          <w:bCs w:val="0"/>
          <w:color w:val="auto"/>
          <w:spacing w:val="0"/>
          <w:w w:val="100"/>
          <w:sz w:val="32"/>
          <w:szCs w:val="32"/>
          <w:highlight w:val="none"/>
          <w:lang w:eastAsia="zh-CN"/>
        </w:rPr>
        <w:t>（二）</w:t>
      </w:r>
      <w:r>
        <w:rPr>
          <w:rFonts w:hint="eastAsia" w:ascii="楷体_GB2312" w:hAnsi="楷体_GB2312" w:eastAsia="楷体_GB2312" w:cs="楷体_GB2312"/>
          <w:b w:val="0"/>
          <w:bCs w:val="0"/>
          <w:color w:val="auto"/>
          <w:spacing w:val="0"/>
          <w:w w:val="100"/>
          <w:kern w:val="2"/>
          <w:sz w:val="32"/>
          <w:szCs w:val="32"/>
          <w:highlight w:val="none"/>
          <w:lang w:val="en-US" w:eastAsia="zh-CN" w:bidi="ar"/>
        </w:rPr>
        <w:t>《临泽县稳住经济一揽子政策措施》（临政发[2021]25号）</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336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促进工业商贸经济发展</w:t>
            </w:r>
          </w:p>
          <w:p>
            <w:pPr>
              <w:keepNext w:val="0"/>
              <w:keepLines w:val="0"/>
              <w:pageBreakBefore w:val="0"/>
              <w:numPr>
                <w:ilvl w:val="0"/>
                <w:numId w:val="0"/>
              </w:numPr>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rPr>
              <w:t>1．对季度末</w:t>
            </w:r>
            <w:r>
              <w:rPr>
                <w:rFonts w:hint="eastAsia" w:ascii="仿宋_GB2312" w:hAnsi="仿宋_GB2312" w:eastAsia="仿宋_GB2312" w:cs="仿宋_GB2312"/>
                <w:b w:val="0"/>
                <w:bCs w:val="0"/>
                <w:color w:val="auto"/>
                <w:spacing w:val="0"/>
                <w:w w:val="100"/>
                <w:sz w:val="32"/>
                <w:szCs w:val="32"/>
                <w:highlight w:val="none"/>
                <w:u w:val="single"/>
              </w:rPr>
              <w:t>规上工业企业</w:t>
            </w:r>
            <w:r>
              <w:rPr>
                <w:rFonts w:hint="eastAsia" w:ascii="仿宋_GB2312" w:hAnsi="仿宋_GB2312" w:eastAsia="仿宋_GB2312" w:cs="仿宋_GB2312"/>
                <w:b w:val="0"/>
                <w:bCs w:val="0"/>
                <w:color w:val="auto"/>
                <w:spacing w:val="0"/>
                <w:w w:val="100"/>
                <w:sz w:val="32"/>
                <w:szCs w:val="32"/>
                <w:highlight w:val="none"/>
              </w:rPr>
              <w:t>（种子加工企业除外）…8％</w:t>
            </w:r>
            <w:r>
              <w:rPr>
                <w:rFonts w:hint="eastAsia" w:ascii="仿宋_GB2312" w:hAnsi="仿宋_GB2312" w:eastAsia="仿宋_GB2312" w:cs="仿宋_GB2312"/>
                <w:b w:val="0"/>
                <w:bCs w:val="0"/>
                <w:color w:val="auto"/>
                <w:spacing w:val="0"/>
                <w:w w:val="100"/>
                <w:sz w:val="32"/>
                <w:szCs w:val="32"/>
                <w:highlight w:val="none"/>
                <w:u w:val="single"/>
              </w:rPr>
              <w:t>予以奖励</w:t>
            </w:r>
            <w:r>
              <w:rPr>
                <w:rFonts w:hint="eastAsia" w:ascii="仿宋_GB2312" w:hAnsi="仿宋_GB2312" w:eastAsia="仿宋_GB2312" w:cs="仿宋_GB2312"/>
                <w:b w:val="0"/>
                <w:bCs w:val="0"/>
                <w:color w:val="auto"/>
                <w:spacing w:val="0"/>
                <w:w w:val="100"/>
                <w:sz w:val="32"/>
                <w:szCs w:val="32"/>
                <w:highlight w:val="none"/>
                <w:u w:val="single"/>
                <w:lang w:eastAsia="zh-CN"/>
              </w:rPr>
              <w:t>；</w:t>
            </w:r>
          </w:p>
          <w:p>
            <w:pPr>
              <w:keepNext w:val="0"/>
              <w:keepLines w:val="0"/>
              <w:pageBreakBefore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rPr>
              <w:t>3．对因疫情影响，产值同比增长但销售收入下降的</w:t>
            </w:r>
            <w:r>
              <w:rPr>
                <w:rFonts w:hint="eastAsia" w:ascii="仿宋_GB2312" w:hAnsi="仿宋_GB2312" w:eastAsia="仿宋_GB2312" w:cs="仿宋_GB2312"/>
                <w:b w:val="0"/>
                <w:bCs w:val="0"/>
                <w:color w:val="auto"/>
                <w:spacing w:val="0"/>
                <w:w w:val="100"/>
                <w:sz w:val="32"/>
                <w:szCs w:val="32"/>
                <w:highlight w:val="none"/>
                <w:u w:val="single"/>
              </w:rPr>
              <w:t>规上工业企业</w:t>
            </w:r>
            <w:r>
              <w:rPr>
                <w:rFonts w:hint="eastAsia" w:ascii="仿宋_GB2312" w:hAnsi="仿宋_GB2312" w:eastAsia="仿宋_GB2312" w:cs="仿宋_GB2312"/>
                <w:b w:val="0"/>
                <w:bCs w:val="0"/>
                <w:color w:val="auto"/>
                <w:spacing w:val="0"/>
                <w:w w:val="100"/>
                <w:sz w:val="32"/>
                <w:szCs w:val="32"/>
                <w:highlight w:val="none"/>
              </w:rPr>
              <w:t>…</w:t>
            </w:r>
            <w:r>
              <w:rPr>
                <w:rFonts w:hint="eastAsia" w:ascii="仿宋_GB2312" w:hAnsi="仿宋_GB2312" w:eastAsia="仿宋_GB2312" w:cs="仿宋_GB2312"/>
                <w:b w:val="0"/>
                <w:bCs w:val="0"/>
                <w:color w:val="auto"/>
                <w:spacing w:val="0"/>
                <w:w w:val="100"/>
                <w:sz w:val="32"/>
                <w:szCs w:val="32"/>
                <w:highlight w:val="none"/>
                <w:u w:val="single"/>
              </w:rPr>
              <w:t>贷款利率的50％给子贷款贴息扶持</w:t>
            </w:r>
            <w:r>
              <w:rPr>
                <w:rFonts w:hint="eastAsia" w:ascii="仿宋_GB2312" w:hAnsi="仿宋_GB2312" w:eastAsia="仿宋_GB2312" w:cs="仿宋_GB2312"/>
                <w:b w:val="0"/>
                <w:bCs w:val="0"/>
                <w:color w:val="auto"/>
                <w:spacing w:val="0"/>
                <w:w w:val="100"/>
                <w:sz w:val="32"/>
                <w:szCs w:val="32"/>
                <w:highlight w:val="none"/>
                <w:u w:val="single"/>
                <w:lang w:eastAsia="zh-CN"/>
              </w:rPr>
              <w:t>；</w:t>
            </w:r>
          </w:p>
          <w:p>
            <w:pPr>
              <w:pStyle w:val="2"/>
              <w:pageBreakBefore w:val="0"/>
              <w:kinsoku/>
              <w:wordWrap/>
              <w:overflowPunct/>
              <w:topLinePunct/>
              <w:autoSpaceDE/>
              <w:autoSpaceDN/>
              <w:bidi w:val="0"/>
              <w:spacing w:before="0" w:beforeAutospacing="0" w:after="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4.对</w:t>
            </w:r>
            <w:r>
              <w:rPr>
                <w:rFonts w:hint="eastAsia" w:ascii="仿宋_GB2312" w:hAnsi="仿宋_GB2312" w:eastAsia="仿宋_GB2312" w:cs="仿宋_GB2312"/>
                <w:b w:val="0"/>
                <w:bCs w:val="0"/>
                <w:color w:val="auto"/>
                <w:spacing w:val="0"/>
                <w:w w:val="100"/>
                <w:sz w:val="32"/>
                <w:szCs w:val="32"/>
                <w:highlight w:val="none"/>
                <w:u w:val="single"/>
                <w:lang w:val="en-US" w:eastAsia="zh-CN"/>
              </w:rPr>
              <w:t>限上零售企业</w:t>
            </w:r>
            <w:r>
              <w:rPr>
                <w:rFonts w:hint="eastAsia" w:ascii="仿宋_GB2312" w:hAnsi="仿宋_GB2312" w:eastAsia="仿宋_GB2312" w:cs="仿宋_GB2312"/>
                <w:b w:val="0"/>
                <w:bCs w:val="0"/>
                <w:color w:val="auto"/>
                <w:spacing w:val="0"/>
                <w:w w:val="100"/>
                <w:sz w:val="32"/>
                <w:szCs w:val="32"/>
                <w:highlight w:val="none"/>
                <w:lang w:val="en-US" w:eastAsia="zh-CN"/>
              </w:rPr>
              <w:t>（含大个体）…，对</w:t>
            </w:r>
            <w:r>
              <w:rPr>
                <w:rFonts w:hint="eastAsia" w:ascii="仿宋_GB2312" w:hAnsi="仿宋_GB2312" w:eastAsia="仿宋_GB2312" w:cs="仿宋_GB2312"/>
                <w:b w:val="0"/>
                <w:bCs w:val="0"/>
                <w:color w:val="auto"/>
                <w:spacing w:val="0"/>
                <w:w w:val="100"/>
                <w:sz w:val="32"/>
                <w:szCs w:val="32"/>
                <w:highlight w:val="none"/>
                <w:u w:val="single"/>
                <w:lang w:val="en-US" w:eastAsia="zh-CN"/>
              </w:rPr>
              <w:t>限上餐饮零售企业</w:t>
            </w:r>
            <w:r>
              <w:rPr>
                <w:rFonts w:hint="eastAsia" w:ascii="仿宋_GB2312" w:hAnsi="仿宋_GB2312" w:eastAsia="仿宋_GB2312" w:cs="仿宋_GB2312"/>
                <w:b w:val="0"/>
                <w:bCs w:val="0"/>
                <w:color w:val="auto"/>
                <w:spacing w:val="0"/>
                <w:w w:val="100"/>
                <w:sz w:val="32"/>
                <w:szCs w:val="32"/>
                <w:highlight w:val="none"/>
                <w:lang w:val="en-US" w:eastAsia="zh-CN"/>
              </w:rPr>
              <w:t>（含大个头）…，对</w:t>
            </w:r>
            <w:r>
              <w:rPr>
                <w:rFonts w:hint="eastAsia" w:ascii="仿宋_GB2312" w:hAnsi="仿宋_GB2312" w:eastAsia="仿宋_GB2312" w:cs="仿宋_GB2312"/>
                <w:b w:val="0"/>
                <w:bCs w:val="0"/>
                <w:color w:val="auto"/>
                <w:spacing w:val="0"/>
                <w:w w:val="100"/>
                <w:sz w:val="32"/>
                <w:szCs w:val="32"/>
                <w:highlight w:val="none"/>
                <w:u w:val="single"/>
                <w:lang w:val="en-US" w:eastAsia="zh-CN"/>
              </w:rPr>
              <w:t>限下样本单位</w:t>
            </w:r>
            <w:r>
              <w:rPr>
                <w:rFonts w:hint="eastAsia" w:ascii="仿宋_GB2312" w:hAnsi="仿宋_GB2312" w:eastAsia="仿宋_GB2312" w:cs="仿宋_GB2312"/>
                <w:b w:val="0"/>
                <w:bCs w:val="0"/>
                <w:color w:val="auto"/>
                <w:spacing w:val="0"/>
                <w:w w:val="100"/>
                <w:sz w:val="32"/>
                <w:szCs w:val="32"/>
                <w:highlight w:val="none"/>
                <w:lang w:val="en-US" w:eastAsia="zh-CN"/>
              </w:rPr>
              <w:t>…进行补助。</w:t>
            </w:r>
          </w:p>
          <w:p>
            <w:pPr>
              <w:keepNext w:val="0"/>
              <w:keepLines w:val="0"/>
              <w:pageBreakBefore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u w:val="single"/>
                <w:lang w:val="en-US" w:eastAsia="zh-CN"/>
              </w:rPr>
            </w:pPr>
            <w:r>
              <w:rPr>
                <w:rFonts w:hint="eastAsia" w:ascii="仿宋_GB2312" w:hAnsi="仿宋_GB2312" w:eastAsia="仿宋_GB2312" w:cs="仿宋_GB2312"/>
                <w:b w:val="0"/>
                <w:bCs w:val="0"/>
                <w:color w:val="auto"/>
                <w:spacing w:val="0"/>
                <w:w w:val="100"/>
                <w:sz w:val="32"/>
                <w:szCs w:val="32"/>
                <w:highlight w:val="none"/>
                <w:u w:val="single"/>
                <w:lang w:val="en-US" w:eastAsia="zh-CN"/>
              </w:rPr>
              <w:t>支持建筑企业做大做强</w:t>
            </w:r>
          </w:p>
          <w:p>
            <w:pPr>
              <w:pStyle w:val="2"/>
              <w:pageBreakBefore w:val="0"/>
              <w:kinsoku/>
              <w:wordWrap/>
              <w:overflowPunct/>
              <w:topLinePunct/>
              <w:autoSpaceDE/>
              <w:autoSpaceDN/>
              <w:bidi w:val="0"/>
              <w:spacing w:before="0" w:beforeAutospacing="0" w:after="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u w:val="single"/>
                <w:lang w:val="en-US" w:eastAsia="zh-CN"/>
              </w:rPr>
            </w:pPr>
            <w:r>
              <w:rPr>
                <w:rFonts w:hint="eastAsia" w:ascii="仿宋_GB2312" w:hAnsi="仿宋_GB2312" w:eastAsia="仿宋_GB2312" w:cs="仿宋_GB2312"/>
                <w:b w:val="0"/>
                <w:bCs w:val="0"/>
                <w:color w:val="auto"/>
                <w:spacing w:val="0"/>
                <w:w w:val="100"/>
                <w:sz w:val="32"/>
                <w:szCs w:val="32"/>
                <w:highlight w:val="none"/>
                <w:u w:val="single"/>
                <w:lang w:val="en-US" w:eastAsia="zh-CN"/>
              </w:rPr>
              <w:t>推动科技企业改革创新</w:t>
            </w:r>
          </w:p>
          <w:p>
            <w:pPr>
              <w:keepNext w:val="0"/>
              <w:keepLines w:val="0"/>
              <w:pageBreakBefore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sz w:val="32"/>
                <w:szCs w:val="32"/>
                <w:highlight w:val="none"/>
                <w:u w:val="single"/>
                <w:lang w:val="en-US" w:eastAsia="zh-CN"/>
              </w:rPr>
              <w:t>促进文旅行业复兴等均有类似的表述</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b.剖析论证</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w:t>
      </w:r>
      <w:r>
        <w:rPr>
          <w:rFonts w:hint="eastAsia" w:ascii="仿宋_GB2312" w:hAnsi="仿宋_GB2312" w:eastAsia="仿宋_GB2312" w:cs="仿宋_GB2312"/>
          <w:b w:val="0"/>
          <w:bCs w:val="0"/>
          <w:color w:val="auto"/>
          <w:spacing w:val="0"/>
          <w:w w:val="100"/>
          <w:kern w:val="2"/>
          <w:sz w:val="32"/>
          <w:szCs w:val="32"/>
          <w:highlight w:val="none"/>
          <w:lang w:val="en-US" w:eastAsia="zh-CN" w:bidi="ar"/>
        </w:rPr>
        <w:t>违反《公平竞争审查制度实施细则》“第十五条影响生产经营成本标准（一）不得违法给予特定经营者优惠政策、包括但不限于：1.没有法律、行政法规或者国务院规定依据，给予特定经营者财政奖励和补贴”的规定。</w:t>
      </w:r>
    </w:p>
    <w:p>
      <w:pPr>
        <w:pStyle w:val="2"/>
        <w:pageBreakBefore w:val="0"/>
        <w:kinsoku/>
        <w:wordWrap/>
        <w:overflowPunct/>
        <w:topLinePunct/>
        <w:autoSpaceDE/>
        <w:autoSpaceDN/>
        <w:bidi w:val="0"/>
        <w:spacing w:before="0" w:beforeAutospacing="0" w:after="0" w:line="540" w:lineRule="exact"/>
        <w:ind w:left="0" w:leftChars="0" w:right="0" w:firstLine="640" w:firstLineChars="200"/>
        <w:jc w:val="both"/>
        <w:rPr>
          <w:rFonts w:hint="eastAsia" w:ascii="仿宋_GB2312" w:hAnsi="仿宋_GB2312" w:eastAsia="仿宋_GB2312" w:cs="仿宋_GB2312"/>
          <w:b w:val="0"/>
          <w:bCs w:val="0"/>
          <w:i w:val="0"/>
          <w:iCs w:val="0"/>
          <w:caps w:val="0"/>
          <w:color w:val="auto"/>
          <w:spacing w:val="0"/>
          <w:w w:val="100"/>
          <w:sz w:val="32"/>
          <w:szCs w:val="32"/>
          <w:highlight w:val="none"/>
          <w:shd w:val="clear" w:fill="FFFFFF"/>
        </w:rPr>
      </w:pPr>
      <w:r>
        <w:rPr>
          <w:rFonts w:hint="eastAsia" w:ascii="仿宋_GB2312" w:hAnsi="仿宋_GB2312" w:eastAsia="仿宋_GB2312" w:cs="仿宋_GB2312"/>
          <w:b w:val="0"/>
          <w:bCs w:val="0"/>
          <w:i w:val="0"/>
          <w:iCs w:val="0"/>
          <w:caps w:val="0"/>
          <w:color w:val="auto"/>
          <w:spacing w:val="0"/>
          <w:w w:val="100"/>
          <w:sz w:val="32"/>
          <w:szCs w:val="32"/>
          <w:highlight w:val="none"/>
          <w:shd w:val="clear" w:fill="FFFFFF"/>
          <w:lang w:val="en-US" w:eastAsia="zh-CN"/>
        </w:rPr>
        <w:t>对规上、限上企业进行奖补，</w:t>
      </w:r>
      <w:r>
        <w:rPr>
          <w:rFonts w:hint="eastAsia" w:ascii="仿宋_GB2312" w:hAnsi="仿宋_GB2312" w:eastAsia="仿宋_GB2312" w:cs="仿宋_GB2312"/>
          <w:b w:val="0"/>
          <w:bCs w:val="0"/>
          <w:i w:val="0"/>
          <w:iCs w:val="0"/>
          <w:caps w:val="0"/>
          <w:color w:val="auto"/>
          <w:spacing w:val="0"/>
          <w:w w:val="100"/>
          <w:sz w:val="32"/>
          <w:szCs w:val="32"/>
          <w:highlight w:val="none"/>
          <w:shd w:val="clear" w:fill="FFFFFF"/>
        </w:rPr>
        <w:t>相当于对年主营业务收入有一定要求，部分小微企业及初创企业年营收可能达不到当地规上企业的应收标准，限制部分小微企业及初创企业参与申请补贴，将对同一行业同一领域的其他经营者造成不公平的待遇，具有排斥、限制竞争的效果。</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楷体_GB2312" w:hAnsi="楷体_GB2312" w:eastAsia="楷体_GB2312" w:cs="楷体_GB2312"/>
          <w:b w:val="0"/>
          <w:bCs w:val="0"/>
          <w:color w:val="auto"/>
          <w:spacing w:val="0"/>
          <w:w w:val="100"/>
          <w:kern w:val="2"/>
          <w:sz w:val="32"/>
          <w:szCs w:val="32"/>
          <w:highlight w:val="none"/>
          <w:lang w:val="en-US" w:eastAsia="zh-CN" w:bidi="ar"/>
        </w:rPr>
      </w:pPr>
      <w:r>
        <w:rPr>
          <w:rFonts w:hint="eastAsia" w:ascii="楷体_GB2312" w:hAnsi="楷体_GB2312" w:eastAsia="楷体_GB2312" w:cs="楷体_GB2312"/>
          <w:b w:val="0"/>
          <w:bCs w:val="0"/>
          <w:color w:val="auto"/>
          <w:spacing w:val="0"/>
          <w:w w:val="100"/>
          <w:sz w:val="32"/>
          <w:szCs w:val="32"/>
          <w:highlight w:val="none"/>
          <w:lang w:val="en-US" w:eastAsia="zh-CN"/>
        </w:rPr>
        <w:t>（三）临泽县《加强县域商业体系建设促进农村消费的实施方案》</w:t>
      </w:r>
      <w:r>
        <w:rPr>
          <w:rFonts w:hint="eastAsia" w:ascii="楷体_GB2312" w:hAnsi="楷体_GB2312" w:eastAsia="楷体_GB2312" w:cs="楷体_GB2312"/>
          <w:b w:val="0"/>
          <w:bCs w:val="0"/>
          <w:color w:val="auto"/>
          <w:spacing w:val="0"/>
          <w:w w:val="100"/>
          <w:kern w:val="2"/>
          <w:sz w:val="32"/>
          <w:szCs w:val="32"/>
          <w:highlight w:val="none"/>
          <w:lang w:val="en-US" w:eastAsia="zh-CN" w:bidi="ar"/>
        </w:rPr>
        <w:t>（临政办发[2022]6号）</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2151"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lang w:eastAsia="zh-CN"/>
              </w:rPr>
              <w:t>加强市场主体培育</w:t>
            </w:r>
          </w:p>
          <w:p>
            <w:pPr>
              <w:keepNext w:val="0"/>
              <w:keepLines w:val="0"/>
              <w:pageBreakBefore w:val="0"/>
              <w:numPr>
                <w:ilvl w:val="0"/>
                <w:numId w:val="2"/>
              </w:numPr>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培育一批商业骨干企业</w:t>
            </w:r>
          </w:p>
          <w:p>
            <w:pPr>
              <w:pStyle w:val="2"/>
              <w:pageBreakBefore w:val="0"/>
              <w:numPr>
                <w:ilvl w:val="0"/>
                <w:numId w:val="0"/>
              </w:numPr>
              <w:kinsoku/>
              <w:wordWrap/>
              <w:overflowPunct/>
              <w:topLinePunct/>
              <w:autoSpaceDE/>
              <w:autoSpaceDN/>
              <w:bidi w:val="0"/>
              <w:spacing w:before="0" w:beforeAutospacing="0" w:after="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u w:val="single"/>
                <w:lang w:val="en-US" w:eastAsia="zh-CN"/>
              </w:rPr>
              <w:t>依托邮政快递</w:t>
            </w:r>
            <w:r>
              <w:rPr>
                <w:rFonts w:hint="eastAsia" w:ascii="仿宋_GB2312" w:hAnsi="仿宋_GB2312" w:eastAsia="仿宋_GB2312" w:cs="仿宋_GB2312"/>
                <w:b w:val="0"/>
                <w:bCs w:val="0"/>
                <w:color w:val="auto"/>
                <w:spacing w:val="0"/>
                <w:w w:val="100"/>
                <w:sz w:val="32"/>
                <w:szCs w:val="32"/>
                <w:highlight w:val="none"/>
                <w:lang w:val="en-US" w:eastAsia="zh-CN"/>
              </w:rPr>
              <w:t>…，促进县镇村商业网络连锁化。充</w:t>
            </w:r>
            <w:r>
              <w:rPr>
                <w:rFonts w:hint="eastAsia" w:ascii="仿宋_GB2312" w:hAnsi="仿宋_GB2312" w:eastAsia="仿宋_GB2312" w:cs="仿宋_GB2312"/>
                <w:b w:val="0"/>
                <w:bCs w:val="0"/>
                <w:color w:val="auto"/>
                <w:spacing w:val="0"/>
                <w:w w:val="100"/>
                <w:sz w:val="32"/>
                <w:szCs w:val="32"/>
                <w:highlight w:val="none"/>
                <w:u w:val="single"/>
                <w:lang w:val="en-US" w:eastAsia="zh-CN"/>
              </w:rPr>
              <w:t>分发挥德源农庄、红桥庄园等镇级商业综合体示范带动效应…。</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b.剖析论证</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w:t>
      </w:r>
      <w:r>
        <w:rPr>
          <w:rFonts w:hint="eastAsia" w:ascii="仿宋_GB2312" w:hAnsi="仿宋_GB2312" w:eastAsia="仿宋_GB2312" w:cs="仿宋_GB2312"/>
          <w:b w:val="0"/>
          <w:bCs w:val="0"/>
          <w:color w:val="auto"/>
          <w:spacing w:val="0"/>
          <w:w w:val="100"/>
          <w:kern w:val="2"/>
          <w:sz w:val="32"/>
          <w:szCs w:val="32"/>
          <w:highlight w:val="none"/>
          <w:lang w:val="en-US" w:eastAsia="zh-CN" w:bidi="ar"/>
        </w:rPr>
        <w:t>违反《公平竞争审查制度实施细则》“第十五条影响生产经营成本标准（一）不得违法给予特定经营者优惠政策、包括但不限于：1.没有法律、行政法规或者国务院规定依据，给予特定经营者财政奖励和补贴”的规定。</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从特定经营者角度界定，或者</w:t>
      </w:r>
      <w:r>
        <w:rPr>
          <w:rFonts w:hint="eastAsia" w:ascii="仿宋_GB2312" w:hAnsi="仿宋_GB2312" w:eastAsia="仿宋_GB2312" w:cs="仿宋_GB2312"/>
          <w:b w:val="0"/>
          <w:bCs w:val="0"/>
          <w:color w:val="auto"/>
          <w:spacing w:val="0"/>
          <w:w w:val="100"/>
          <w:kern w:val="2"/>
          <w:sz w:val="32"/>
          <w:szCs w:val="32"/>
          <w:highlight w:val="none"/>
          <w:lang w:val="en-US" w:eastAsia="zh-CN"/>
        </w:rPr>
        <w:t>直接规定具体的受惠企业。从优惠类型分析，以“依托”“培育”“充分发挥”“做强”等概括性地表述为主。</w:t>
      </w:r>
    </w:p>
    <w:p>
      <w:pPr>
        <w:pStyle w:val="9"/>
        <w:pageBreakBefore w:val="0"/>
        <w:widowControl/>
        <w:numPr>
          <w:ilvl w:val="0"/>
          <w:numId w:val="0"/>
        </w:numPr>
        <w:kinsoku/>
        <w:wordWrap/>
        <w:overflowPunct/>
        <w:topLinePunct/>
        <w:autoSpaceDE/>
        <w:autoSpaceDN/>
        <w:bidi w:val="0"/>
        <w:spacing w:beforeAutospacing="0" w:after="0" w:line="540" w:lineRule="exact"/>
        <w:ind w:left="0" w:leftChars="0" w:right="0" w:rightChars="0" w:firstLine="640" w:firstLineChars="200"/>
        <w:jc w:val="both"/>
        <w:rPr>
          <w:rFonts w:hint="eastAsia" w:ascii="楷体_GB2312" w:hAnsi="楷体_GB2312" w:eastAsia="楷体_GB2312" w:cs="楷体_GB2312"/>
          <w:b w:val="0"/>
          <w:bCs w:val="0"/>
          <w:color w:val="auto"/>
          <w:spacing w:val="0"/>
          <w:w w:val="100"/>
          <w:sz w:val="32"/>
          <w:szCs w:val="32"/>
          <w:highlight w:val="none"/>
          <w:lang w:eastAsia="zh-CN"/>
        </w:rPr>
      </w:pPr>
      <w:r>
        <w:rPr>
          <w:rFonts w:hint="eastAsia" w:ascii="楷体_GB2312" w:hAnsi="楷体_GB2312" w:eastAsia="楷体_GB2312" w:cs="楷体_GB2312"/>
          <w:b w:val="0"/>
          <w:bCs w:val="0"/>
          <w:color w:val="auto"/>
          <w:spacing w:val="0"/>
          <w:w w:val="100"/>
          <w:sz w:val="32"/>
          <w:szCs w:val="32"/>
          <w:highlight w:val="none"/>
          <w:lang w:eastAsia="zh-CN"/>
        </w:rPr>
        <w:t>（四）民乐县</w:t>
      </w:r>
      <w:r>
        <w:rPr>
          <w:rFonts w:hint="eastAsia" w:ascii="楷体_GB2312" w:hAnsi="楷体_GB2312" w:eastAsia="楷体_GB2312" w:cs="楷体_GB2312"/>
          <w:b w:val="0"/>
          <w:bCs w:val="0"/>
          <w:color w:val="auto"/>
          <w:spacing w:val="0"/>
          <w:w w:val="100"/>
          <w:sz w:val="32"/>
          <w:szCs w:val="32"/>
          <w:highlight w:val="none"/>
          <w:vertAlign w:val="baseline"/>
          <w:lang w:eastAsia="zh-CN"/>
        </w:rPr>
        <w:t>《</w:t>
      </w:r>
      <w:r>
        <w:rPr>
          <w:rFonts w:hint="eastAsia" w:ascii="楷体_GB2312" w:hAnsi="楷体_GB2312" w:eastAsia="楷体_GB2312" w:cs="楷体_GB2312"/>
          <w:b w:val="0"/>
          <w:bCs w:val="0"/>
          <w:color w:val="auto"/>
          <w:spacing w:val="0"/>
          <w:w w:val="100"/>
          <w:kern w:val="2"/>
          <w:sz w:val="32"/>
          <w:szCs w:val="32"/>
          <w:highlight w:val="none"/>
          <w:lang w:val="en-US" w:eastAsia="zh-CN" w:bidi="ar"/>
        </w:rPr>
        <w:t>关于加快推进现代农业高质量发展的意见</w:t>
      </w:r>
      <w:r>
        <w:rPr>
          <w:rFonts w:hint="eastAsia" w:ascii="楷体_GB2312" w:hAnsi="楷体_GB2312" w:eastAsia="楷体_GB2312" w:cs="楷体_GB2312"/>
          <w:b w:val="0"/>
          <w:bCs w:val="0"/>
          <w:color w:val="auto"/>
          <w:spacing w:val="0"/>
          <w:w w:val="100"/>
          <w:sz w:val="32"/>
          <w:szCs w:val="32"/>
          <w:highlight w:val="none"/>
          <w:vertAlign w:val="baseline"/>
          <w:lang w:eastAsia="zh-CN"/>
        </w:rPr>
        <w:t>》</w:t>
      </w:r>
      <w:r>
        <w:rPr>
          <w:rFonts w:hint="eastAsia" w:ascii="楷体_GB2312" w:hAnsi="楷体_GB2312" w:eastAsia="楷体_GB2312" w:cs="楷体_GB2312"/>
          <w:b w:val="0"/>
          <w:bCs w:val="0"/>
          <w:color w:val="auto"/>
          <w:spacing w:val="0"/>
          <w:w w:val="100"/>
          <w:sz w:val="32"/>
          <w:szCs w:val="32"/>
          <w:highlight w:val="none"/>
          <w:lang w:eastAsia="zh-CN"/>
        </w:rPr>
        <w:t>（</w:t>
      </w:r>
      <w:r>
        <w:rPr>
          <w:rFonts w:hint="eastAsia" w:ascii="楷体_GB2312" w:hAnsi="楷体_GB2312" w:eastAsia="楷体_GB2312" w:cs="楷体_GB2312"/>
          <w:b w:val="0"/>
          <w:bCs w:val="0"/>
          <w:color w:val="auto"/>
          <w:spacing w:val="0"/>
          <w:w w:val="100"/>
          <w:kern w:val="2"/>
          <w:sz w:val="32"/>
          <w:szCs w:val="32"/>
          <w:highlight w:val="none"/>
          <w:lang w:val="en-US" w:eastAsia="zh-CN" w:bidi="ar"/>
        </w:rPr>
        <w:t>民政办发〔2021〕37号</w:t>
      </w:r>
      <w:r>
        <w:rPr>
          <w:rFonts w:hint="eastAsia" w:ascii="楷体_GB2312" w:hAnsi="楷体_GB2312" w:eastAsia="楷体_GB2312" w:cs="楷体_GB2312"/>
          <w:b w:val="0"/>
          <w:bCs w:val="0"/>
          <w:color w:val="auto"/>
          <w:spacing w:val="0"/>
          <w:w w:val="100"/>
          <w:sz w:val="32"/>
          <w:szCs w:val="32"/>
          <w:highlight w:val="none"/>
          <w:lang w:eastAsia="zh-CN"/>
        </w:rPr>
        <w:t>）</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a.问题内容条款</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tblCellMar>
            <w:top w:w="0" w:type="dxa"/>
            <w:left w:w="0" w:type="dxa"/>
            <w:bottom w:w="0" w:type="dxa"/>
            <w:right w:w="0" w:type="dxa"/>
          </w:tblCellMar>
        </w:tblPrEx>
        <w:trPr>
          <w:trHeight w:val="336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文件第4-8页</w:t>
            </w:r>
          </w:p>
          <w:p>
            <w:pPr>
              <w:keepNext w:val="0"/>
              <w:keepLines w:val="0"/>
              <w:pageBreakBefore w:val="0"/>
              <w:widowControl w:val="0"/>
              <w:numPr>
                <w:ilvl w:val="0"/>
                <w:numId w:val="0"/>
              </w:numPr>
              <w:suppressLineNumbers w:val="0"/>
              <w:kinsoku/>
              <w:wordWrap/>
              <w:overflowPunct/>
              <w:topLinePunct/>
              <w:autoSpaceDE/>
              <w:autoSpaceDN/>
              <w:bidi w:val="0"/>
              <w:spacing w:before="0" w:beforeAutospacing="0" w:after="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lang w:val="en-US" w:eastAsia="zh-CN" w:bidi="ar"/>
              </w:rPr>
              <w:t>一、</w:t>
            </w:r>
            <w:r>
              <w:rPr>
                <w:rFonts w:hint="eastAsia" w:ascii="仿宋_GB2312" w:hAnsi="仿宋_GB2312" w:eastAsia="仿宋_GB2312" w:cs="仿宋_GB2312"/>
                <w:b w:val="0"/>
                <w:bCs w:val="0"/>
                <w:color w:val="auto"/>
                <w:spacing w:val="0"/>
                <w:w w:val="100"/>
                <w:kern w:val="2"/>
                <w:sz w:val="32"/>
                <w:szCs w:val="32"/>
                <w:highlight w:val="none"/>
                <w:lang w:val="en-US" w:eastAsia="zh-CN" w:bidi="ar"/>
              </w:rPr>
              <w:t>重点任务</w:t>
            </w:r>
          </w:p>
          <w:p>
            <w:pPr>
              <w:keepNext w:val="0"/>
              <w:keepLines w:val="0"/>
              <w:pageBreakBefore w:val="0"/>
              <w:widowControl w:val="0"/>
              <w:numPr>
                <w:ilvl w:val="0"/>
                <w:numId w:val="0"/>
              </w:numPr>
              <w:suppressLineNumbers w:val="0"/>
              <w:kinsoku/>
              <w:wordWrap/>
              <w:overflowPunct/>
              <w:topLinePunct/>
              <w:autoSpaceDE/>
              <w:autoSpaceDN/>
              <w:bidi w:val="0"/>
              <w:spacing w:before="0" w:beforeAutospacing="0" w:after="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（一）建设产业功能区</w:t>
            </w:r>
          </w:p>
          <w:p>
            <w:pPr>
              <w:keepNext w:val="0"/>
              <w:keepLines w:val="0"/>
              <w:pageBreakBefore w:val="0"/>
              <w:widowControl w:val="0"/>
              <w:numPr>
                <w:ilvl w:val="0"/>
                <w:numId w:val="0"/>
              </w:numPr>
              <w:suppressLineNumbers w:val="0"/>
              <w:kinsoku/>
              <w:wordWrap/>
              <w:overflowPunct/>
              <w:topLinePunct/>
              <w:autoSpaceDE/>
              <w:autoSpaceDN/>
              <w:bidi w:val="0"/>
              <w:spacing w:before="0" w:beforeAutospacing="0" w:after="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2.打造核心示范片区专用马铃薯片区</w:t>
            </w: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依托爱味客、丰源薯业、天润园等马铃薯加工龙头企业</w:t>
            </w:r>
            <w:r>
              <w:rPr>
                <w:rFonts w:hint="eastAsia" w:ascii="仿宋_GB2312" w:hAnsi="仿宋_GB2312" w:eastAsia="仿宋_GB2312" w:cs="仿宋_GB2312"/>
                <w:b w:val="0"/>
                <w:bCs w:val="0"/>
                <w:color w:val="auto"/>
                <w:spacing w:val="0"/>
                <w:w w:val="100"/>
                <w:kern w:val="2"/>
                <w:sz w:val="32"/>
                <w:szCs w:val="32"/>
                <w:highlight w:val="none"/>
                <w:u w:val="none"/>
                <w:lang w:val="en-US" w:eastAsia="zh-CN" w:bidi="ar"/>
              </w:rPr>
              <w:t>，发展马铃薯全粉、淀粉、休闲食品和主食化产品等全产业链深加工，加工能力达到30万吨。</w:t>
            </w: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中药材片区、中药材片区、现代智能温室产业园、草畜产业片区，均有类似的表述。</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b.剖析论证</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w:t>
      </w:r>
      <w:r>
        <w:rPr>
          <w:rFonts w:hint="eastAsia" w:ascii="仿宋_GB2312" w:hAnsi="仿宋_GB2312" w:eastAsia="仿宋_GB2312" w:cs="仿宋_GB2312"/>
          <w:b w:val="0"/>
          <w:bCs w:val="0"/>
          <w:color w:val="auto"/>
          <w:spacing w:val="0"/>
          <w:w w:val="100"/>
          <w:kern w:val="2"/>
          <w:sz w:val="32"/>
          <w:szCs w:val="32"/>
          <w:highlight w:val="none"/>
          <w:lang w:val="en-US" w:eastAsia="zh-CN" w:bidi="ar"/>
        </w:rPr>
        <w:t>第十五条影响生产经营成本标准（一）不得违法给予特定经营者优惠政策、包括但不限于：1.没有法律、行政法规或者国务院规定依据，给予特定经营者财政奖励和补贴”的规定。</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从特定经营者角度界定，或者</w:t>
      </w:r>
      <w:r>
        <w:rPr>
          <w:rFonts w:hint="eastAsia" w:ascii="仿宋_GB2312" w:hAnsi="仿宋_GB2312" w:eastAsia="仿宋_GB2312" w:cs="仿宋_GB2312"/>
          <w:b w:val="0"/>
          <w:bCs w:val="0"/>
          <w:color w:val="auto"/>
          <w:spacing w:val="0"/>
          <w:w w:val="100"/>
          <w:kern w:val="2"/>
          <w:sz w:val="32"/>
          <w:szCs w:val="32"/>
          <w:highlight w:val="none"/>
          <w:lang w:val="en-US" w:eastAsia="zh-CN"/>
        </w:rPr>
        <w:t>直接规定具体的受惠企业，或者规定受惠企业的类型（龙头企业）。从优惠类型分析，以“依托”“引导、支持”“重点发展”“做强”等概括性地表述为主。</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textAlignment w:val="baseline"/>
        <w:rPr>
          <w:rFonts w:hint="eastAsia" w:ascii="楷体_GB2312" w:hAnsi="楷体_GB2312" w:eastAsia="楷体_GB2312" w:cs="楷体_GB2312"/>
          <w:b w:val="0"/>
          <w:bCs w:val="0"/>
          <w:color w:val="auto"/>
          <w:spacing w:val="0"/>
          <w:w w:val="100"/>
          <w:kern w:val="2"/>
          <w:sz w:val="32"/>
          <w:szCs w:val="32"/>
          <w:highlight w:val="none"/>
        </w:rPr>
      </w:pPr>
      <w:r>
        <w:rPr>
          <w:rFonts w:hint="eastAsia" w:ascii="楷体_GB2312" w:hAnsi="楷体_GB2312" w:eastAsia="楷体_GB2312" w:cs="楷体_GB2312"/>
          <w:b w:val="0"/>
          <w:bCs w:val="0"/>
          <w:color w:val="auto"/>
          <w:spacing w:val="0"/>
          <w:w w:val="100"/>
          <w:sz w:val="32"/>
          <w:szCs w:val="32"/>
          <w:highlight w:val="none"/>
          <w:shd w:val="clear" w:color="auto" w:fill="FFFFFF"/>
          <w:lang w:eastAsia="zh-CN"/>
        </w:rPr>
        <w:t>（五）</w:t>
      </w:r>
      <w:r>
        <w:rPr>
          <w:rFonts w:hint="eastAsia" w:ascii="楷体_GB2312" w:hAnsi="楷体_GB2312" w:eastAsia="楷体_GB2312" w:cs="楷体_GB2312"/>
          <w:b w:val="0"/>
          <w:bCs w:val="0"/>
          <w:color w:val="auto"/>
          <w:spacing w:val="0"/>
          <w:w w:val="100"/>
          <w:sz w:val="32"/>
          <w:szCs w:val="32"/>
          <w:highlight w:val="none"/>
          <w:shd w:val="clear" w:color="auto" w:fill="FFFFFF"/>
        </w:rPr>
        <w:t>《高台县乡村振兴产业兴旺发展规划（2021—2025年）》</w:t>
      </w:r>
      <w:r>
        <w:rPr>
          <w:rFonts w:hint="eastAsia" w:ascii="楷体_GB2312" w:hAnsi="楷体_GB2312" w:eastAsia="楷体_GB2312" w:cs="楷体_GB2312"/>
          <w:b w:val="0"/>
          <w:bCs w:val="0"/>
          <w:color w:val="auto"/>
          <w:spacing w:val="0"/>
          <w:w w:val="100"/>
          <w:sz w:val="32"/>
          <w:szCs w:val="32"/>
          <w:highlight w:val="none"/>
          <w:shd w:val="clear" w:color="auto" w:fill="FFFFFF"/>
          <w:lang w:eastAsia="zh-CN"/>
        </w:rPr>
        <w:t>（</w:t>
      </w:r>
      <w:r>
        <w:rPr>
          <w:rFonts w:hint="eastAsia" w:ascii="楷体_GB2312" w:hAnsi="楷体_GB2312" w:eastAsia="楷体_GB2312" w:cs="楷体_GB2312"/>
          <w:b w:val="0"/>
          <w:bCs w:val="0"/>
          <w:color w:val="auto"/>
          <w:spacing w:val="0"/>
          <w:w w:val="100"/>
          <w:sz w:val="32"/>
          <w:szCs w:val="32"/>
          <w:highlight w:val="none"/>
          <w:u w:color="000000"/>
        </w:rPr>
        <w:t>高政发〔2021〕25号</w:t>
      </w:r>
      <w:r>
        <w:rPr>
          <w:rFonts w:hint="eastAsia" w:ascii="楷体_GB2312" w:hAnsi="楷体_GB2312" w:eastAsia="楷体_GB2312" w:cs="楷体_GB2312"/>
          <w:b w:val="0"/>
          <w:bCs w:val="0"/>
          <w:color w:val="auto"/>
          <w:spacing w:val="0"/>
          <w:w w:val="100"/>
          <w:kern w:val="2"/>
          <w:sz w:val="32"/>
          <w:szCs w:val="32"/>
          <w:highlight w:val="none"/>
          <w:lang w:val="en-US" w:eastAsia="zh-CN" w:bidi="ar"/>
        </w:rPr>
        <w:t>）</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63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文件第21-22页</w:t>
            </w:r>
          </w:p>
          <w:p>
            <w:pPr>
              <w:keepNext w:val="0"/>
              <w:keepLines w:val="0"/>
              <w:pageBreakBefore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outlineLvl w:val="1"/>
              <w:rPr>
                <w:rFonts w:hint="eastAsia" w:ascii="仿宋_GB2312" w:hAnsi="仿宋_GB2312" w:eastAsia="仿宋_GB2312" w:cs="仿宋_GB2312"/>
                <w:b w:val="0"/>
                <w:bCs w:val="0"/>
                <w:color w:val="auto"/>
                <w:spacing w:val="0"/>
                <w:w w:val="100"/>
                <w:sz w:val="32"/>
                <w:szCs w:val="32"/>
                <w:highlight w:val="none"/>
              </w:rPr>
            </w:pPr>
            <w:bookmarkStart w:id="60" w:name="_Toc71230988"/>
            <w:bookmarkStart w:id="61" w:name="_Toc30220"/>
            <w:r>
              <w:rPr>
                <w:rFonts w:hint="eastAsia" w:ascii="仿宋_GB2312" w:hAnsi="仿宋_GB2312" w:eastAsia="仿宋_GB2312" w:cs="仿宋_GB2312"/>
                <w:b w:val="0"/>
                <w:bCs w:val="0"/>
                <w:color w:val="auto"/>
                <w:spacing w:val="0"/>
                <w:w w:val="100"/>
                <w:sz w:val="32"/>
                <w:szCs w:val="32"/>
                <w:highlight w:val="none"/>
              </w:rPr>
              <w:t>一、优化区域布局</w:t>
            </w:r>
            <w:bookmarkEnd w:id="60"/>
            <w:bookmarkEnd w:id="61"/>
          </w:p>
          <w:p>
            <w:pPr>
              <w:keepNext w:val="0"/>
              <w:keepLines w:val="0"/>
              <w:pageBreakBefore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“两翼”带动：沿祁连山和国道312线的“西南翼”，</w:t>
            </w:r>
            <w:r>
              <w:rPr>
                <w:rFonts w:hint="eastAsia" w:ascii="仿宋_GB2312" w:hAnsi="仿宋_GB2312" w:eastAsia="仿宋_GB2312" w:cs="仿宋_GB2312"/>
                <w:b w:val="0"/>
                <w:bCs w:val="0"/>
                <w:color w:val="auto"/>
                <w:spacing w:val="0"/>
                <w:w w:val="100"/>
                <w:sz w:val="32"/>
                <w:szCs w:val="32"/>
                <w:highlight w:val="none"/>
                <w:u w:val="single"/>
              </w:rPr>
              <w:t>依托茂雄集团、特石生态、金康脱水等龙头企业</w:t>
            </w:r>
            <w:r>
              <w:rPr>
                <w:rFonts w:hint="eastAsia" w:ascii="仿宋_GB2312" w:hAnsi="仿宋_GB2312" w:eastAsia="仿宋_GB2312" w:cs="仿宋_GB2312"/>
                <w:b w:val="0"/>
                <w:bCs w:val="0"/>
                <w:color w:val="auto"/>
                <w:spacing w:val="0"/>
                <w:w w:val="100"/>
                <w:sz w:val="32"/>
                <w:szCs w:val="32"/>
                <w:highlight w:val="none"/>
              </w:rPr>
              <w:t>，打造供港蔬菜、洋葱、马铃薯等特色蔬菜产业板块；</w:t>
            </w:r>
            <w:r>
              <w:rPr>
                <w:rFonts w:hint="eastAsia" w:ascii="仿宋_GB2312" w:hAnsi="仿宋_GB2312" w:eastAsia="仿宋_GB2312" w:cs="仿宋_GB2312"/>
                <w:b w:val="0"/>
                <w:bCs w:val="0"/>
                <w:color w:val="auto"/>
                <w:spacing w:val="0"/>
                <w:w w:val="100"/>
                <w:sz w:val="32"/>
                <w:szCs w:val="32"/>
                <w:highlight w:val="none"/>
                <w:u w:val="single"/>
              </w:rPr>
              <w:t>依托中农大康、县种子公司、东方种业等种子企业</w:t>
            </w:r>
            <w:r>
              <w:rPr>
                <w:rFonts w:hint="eastAsia" w:ascii="仿宋_GB2312" w:hAnsi="仿宋_GB2312" w:eastAsia="仿宋_GB2312" w:cs="仿宋_GB2312"/>
                <w:b w:val="0"/>
                <w:bCs w:val="0"/>
                <w:color w:val="auto"/>
                <w:spacing w:val="0"/>
                <w:w w:val="100"/>
                <w:sz w:val="32"/>
                <w:szCs w:val="32"/>
                <w:highlight w:val="none"/>
              </w:rPr>
              <w:t>，打造制种产业板块；</w:t>
            </w:r>
            <w:r>
              <w:rPr>
                <w:rFonts w:hint="eastAsia" w:ascii="仿宋_GB2312" w:hAnsi="仿宋_GB2312" w:eastAsia="仿宋_GB2312" w:cs="仿宋_GB2312"/>
                <w:b w:val="0"/>
                <w:bCs w:val="0"/>
                <w:color w:val="auto"/>
                <w:spacing w:val="0"/>
                <w:w w:val="100"/>
                <w:sz w:val="32"/>
                <w:szCs w:val="32"/>
                <w:highlight w:val="none"/>
                <w:u w:val="single"/>
              </w:rPr>
              <w:t>依托共裕高新科技、天月羊肉、博峰肥牛、润丰养殖等企业</w:t>
            </w:r>
            <w:r>
              <w:rPr>
                <w:rFonts w:hint="eastAsia" w:ascii="仿宋_GB2312" w:hAnsi="仿宋_GB2312" w:eastAsia="仿宋_GB2312" w:cs="仿宋_GB2312"/>
                <w:b w:val="0"/>
                <w:bCs w:val="0"/>
                <w:color w:val="auto"/>
                <w:spacing w:val="0"/>
                <w:w w:val="100"/>
                <w:sz w:val="32"/>
                <w:szCs w:val="32"/>
                <w:highlight w:val="none"/>
              </w:rPr>
              <w:t>，打造肉牛肉羊产业板块；沿合黎山和黑河沿岸的“西北翼”，</w:t>
            </w:r>
            <w:r>
              <w:rPr>
                <w:rFonts w:hint="eastAsia" w:ascii="仿宋_GB2312" w:hAnsi="仿宋_GB2312" w:eastAsia="仿宋_GB2312" w:cs="仿宋_GB2312"/>
                <w:b w:val="0"/>
                <w:bCs w:val="0"/>
                <w:color w:val="auto"/>
                <w:spacing w:val="0"/>
                <w:w w:val="100"/>
                <w:sz w:val="32"/>
                <w:szCs w:val="32"/>
                <w:highlight w:val="none"/>
                <w:u w:val="single"/>
              </w:rPr>
              <w:t>依托仰光辣椒、宏丰脱水、荣升枸杞等企业</w:t>
            </w:r>
            <w:r>
              <w:rPr>
                <w:rFonts w:hint="eastAsia" w:ascii="仿宋_GB2312" w:hAnsi="仿宋_GB2312" w:eastAsia="仿宋_GB2312" w:cs="仿宋_GB2312"/>
                <w:b w:val="0"/>
                <w:bCs w:val="0"/>
                <w:color w:val="auto"/>
                <w:spacing w:val="0"/>
                <w:w w:val="100"/>
                <w:sz w:val="32"/>
                <w:szCs w:val="32"/>
                <w:highlight w:val="none"/>
              </w:rPr>
              <w:t>，打造辣椒干、番茄、枸杞等红色产业板块；</w:t>
            </w:r>
            <w:r>
              <w:rPr>
                <w:rFonts w:hint="eastAsia" w:ascii="仿宋_GB2312" w:hAnsi="仿宋_GB2312" w:eastAsia="仿宋_GB2312" w:cs="仿宋_GB2312"/>
                <w:b w:val="0"/>
                <w:bCs w:val="0"/>
                <w:color w:val="auto"/>
                <w:spacing w:val="0"/>
                <w:w w:val="100"/>
                <w:sz w:val="32"/>
                <w:szCs w:val="32"/>
                <w:highlight w:val="none"/>
                <w:u w:val="single"/>
              </w:rPr>
              <w:t>依托众一、六禾生态、汇欣等养殖企业</w:t>
            </w:r>
            <w:r>
              <w:rPr>
                <w:rFonts w:hint="eastAsia" w:ascii="仿宋_GB2312" w:hAnsi="仿宋_GB2312" w:eastAsia="仿宋_GB2312" w:cs="仿宋_GB2312"/>
                <w:b w:val="0"/>
                <w:bCs w:val="0"/>
                <w:color w:val="auto"/>
                <w:spacing w:val="0"/>
                <w:w w:val="100"/>
                <w:sz w:val="32"/>
                <w:szCs w:val="32"/>
                <w:highlight w:val="none"/>
              </w:rPr>
              <w:t>，打造生猪产业板块；依托前进牧业，打造奶牛产业板块。</w:t>
            </w:r>
          </w:p>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文件第39页</w:t>
            </w:r>
          </w:p>
          <w:p>
            <w:pPr>
              <w:keepNext w:val="0"/>
              <w:keepLines w:val="0"/>
              <w:pageBreakBefore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（二）提升农产品加工层次</w:t>
            </w:r>
          </w:p>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sz w:val="32"/>
                <w:szCs w:val="32"/>
                <w:highlight w:val="none"/>
                <w:u w:val="single"/>
              </w:rPr>
            </w:pPr>
            <w:r>
              <w:rPr>
                <w:rFonts w:hint="eastAsia" w:ascii="仿宋_GB2312" w:hAnsi="仿宋_GB2312" w:eastAsia="仿宋_GB2312" w:cs="仿宋_GB2312"/>
                <w:b w:val="0"/>
                <w:bCs w:val="0"/>
                <w:color w:val="auto"/>
                <w:spacing w:val="0"/>
                <w:w w:val="100"/>
                <w:sz w:val="32"/>
                <w:szCs w:val="32"/>
                <w:highlight w:val="none"/>
              </w:rPr>
              <w:t>建设一批精深加工项目，开发生产功能食品、保健食品、休闲食品等终端产品。</w:t>
            </w:r>
            <w:r>
              <w:rPr>
                <w:rFonts w:hint="eastAsia" w:ascii="仿宋_GB2312" w:hAnsi="仿宋_GB2312" w:eastAsia="仿宋_GB2312" w:cs="仿宋_GB2312"/>
                <w:b w:val="0"/>
                <w:bCs w:val="0"/>
                <w:color w:val="auto"/>
                <w:spacing w:val="0"/>
                <w:w w:val="100"/>
                <w:sz w:val="32"/>
                <w:szCs w:val="32"/>
                <w:highlight w:val="none"/>
                <w:u w:val="single"/>
              </w:rPr>
              <w:t>以大漠紫光、茂雄集团、特石生态、金康脱水、荣升枸杞等企业为主体</w:t>
            </w:r>
            <w:r>
              <w:rPr>
                <w:rFonts w:hint="eastAsia" w:ascii="仿宋_GB2312" w:hAnsi="仿宋_GB2312" w:eastAsia="仿宋_GB2312" w:cs="仿宋_GB2312"/>
                <w:b w:val="0"/>
                <w:bCs w:val="0"/>
                <w:color w:val="auto"/>
                <w:spacing w:val="0"/>
                <w:w w:val="100"/>
                <w:sz w:val="32"/>
                <w:szCs w:val="32"/>
                <w:highlight w:val="none"/>
              </w:rPr>
              <w:t>，打造高原夏菜、脱水蔬菜、林果加工全产业链，增加产业效益；</w:t>
            </w:r>
            <w:r>
              <w:rPr>
                <w:rFonts w:hint="eastAsia" w:ascii="仿宋_GB2312" w:hAnsi="仿宋_GB2312" w:eastAsia="仿宋_GB2312" w:cs="仿宋_GB2312"/>
                <w:b w:val="0"/>
                <w:bCs w:val="0"/>
                <w:color w:val="auto"/>
                <w:spacing w:val="0"/>
                <w:w w:val="100"/>
                <w:sz w:val="32"/>
                <w:szCs w:val="32"/>
                <w:highlight w:val="none"/>
                <w:u w:val="single"/>
              </w:rPr>
              <w:t>以祁连酒业、祁连明珠、祁连传奇等企业为主体</w:t>
            </w:r>
            <w:r>
              <w:rPr>
                <w:rFonts w:hint="eastAsia" w:ascii="仿宋_GB2312" w:hAnsi="仿宋_GB2312" w:eastAsia="仿宋_GB2312" w:cs="仿宋_GB2312"/>
                <w:b w:val="0"/>
                <w:bCs w:val="0"/>
                <w:color w:val="auto"/>
                <w:spacing w:val="0"/>
                <w:w w:val="100"/>
                <w:sz w:val="32"/>
                <w:szCs w:val="32"/>
                <w:highlight w:val="none"/>
              </w:rPr>
              <w:t>，创新葡萄酒新品种研发，推进葡萄酒类“液体经济”增长；以</w:t>
            </w:r>
            <w:r>
              <w:rPr>
                <w:rFonts w:hint="eastAsia" w:ascii="仿宋_GB2312" w:hAnsi="仿宋_GB2312" w:eastAsia="仿宋_GB2312" w:cs="仿宋_GB2312"/>
                <w:b w:val="0"/>
                <w:bCs w:val="0"/>
                <w:color w:val="auto"/>
                <w:spacing w:val="0"/>
                <w:w w:val="100"/>
                <w:sz w:val="32"/>
                <w:szCs w:val="32"/>
                <w:highlight w:val="none"/>
                <w:u w:val="single"/>
              </w:rPr>
              <w:t>宏昇油脂、厨老大、格瑞斯等公司为主体</w:t>
            </w:r>
            <w:r>
              <w:rPr>
                <w:rFonts w:hint="eastAsia" w:ascii="仿宋_GB2312" w:hAnsi="仿宋_GB2312" w:eastAsia="仿宋_GB2312" w:cs="仿宋_GB2312"/>
                <w:b w:val="0"/>
                <w:bCs w:val="0"/>
                <w:color w:val="auto"/>
                <w:spacing w:val="0"/>
                <w:w w:val="100"/>
                <w:sz w:val="32"/>
                <w:szCs w:val="32"/>
                <w:highlight w:val="none"/>
              </w:rPr>
              <w:t>，</w:t>
            </w:r>
            <w:r>
              <w:rPr>
                <w:rFonts w:hint="eastAsia" w:ascii="仿宋_GB2312" w:hAnsi="仿宋_GB2312" w:eastAsia="仿宋_GB2312" w:cs="仿宋_GB2312"/>
                <w:b w:val="0"/>
                <w:bCs w:val="0"/>
                <w:color w:val="auto"/>
                <w:spacing w:val="0"/>
                <w:w w:val="100"/>
                <w:sz w:val="32"/>
                <w:szCs w:val="32"/>
                <w:highlight w:val="none"/>
                <w:u w:val="single"/>
              </w:rPr>
              <w:t>发展食用油、醋、酵素、饮品等传统产品结合的特色杂粮衍生品；</w:t>
            </w:r>
          </w:p>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eastAsia="zh-CN"/>
              </w:rPr>
              <w:t>文件第</w:t>
            </w:r>
            <w:r>
              <w:rPr>
                <w:rFonts w:hint="eastAsia" w:ascii="仿宋_GB2312" w:hAnsi="仿宋_GB2312" w:eastAsia="仿宋_GB2312" w:cs="仿宋_GB2312"/>
                <w:b w:val="0"/>
                <w:bCs w:val="0"/>
                <w:color w:val="auto"/>
                <w:spacing w:val="0"/>
                <w:w w:val="100"/>
                <w:sz w:val="32"/>
                <w:szCs w:val="32"/>
                <w:highlight w:val="none"/>
                <w:lang w:val="en-US" w:eastAsia="zh-CN"/>
              </w:rPr>
              <w:t>53-54页</w:t>
            </w:r>
          </w:p>
          <w:p>
            <w:pPr>
              <w:keepNext w:val="0"/>
              <w:keepLines w:val="0"/>
              <w:pageBreakBefore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outlineLvl w:val="1"/>
              <w:rPr>
                <w:rFonts w:hint="eastAsia" w:ascii="仿宋_GB2312" w:hAnsi="仿宋_GB2312" w:eastAsia="仿宋_GB2312" w:cs="仿宋_GB2312"/>
                <w:b w:val="0"/>
                <w:bCs w:val="0"/>
                <w:color w:val="auto"/>
                <w:spacing w:val="0"/>
                <w:w w:val="100"/>
                <w:sz w:val="32"/>
                <w:szCs w:val="32"/>
                <w:highlight w:val="none"/>
              </w:rPr>
            </w:pPr>
            <w:bookmarkStart w:id="62" w:name="_Toc71231009"/>
            <w:bookmarkStart w:id="63" w:name="_Toc8486"/>
            <w:r>
              <w:rPr>
                <w:rFonts w:hint="eastAsia" w:ascii="仿宋_GB2312" w:hAnsi="仿宋_GB2312" w:eastAsia="仿宋_GB2312" w:cs="仿宋_GB2312"/>
                <w:b w:val="0"/>
                <w:bCs w:val="0"/>
                <w:color w:val="auto"/>
                <w:spacing w:val="0"/>
                <w:w w:val="100"/>
                <w:sz w:val="32"/>
                <w:szCs w:val="32"/>
                <w:highlight w:val="none"/>
              </w:rPr>
              <w:t>三、万亩粤港澳大湾区蔬菜供应基地</w:t>
            </w:r>
            <w:bookmarkEnd w:id="62"/>
            <w:bookmarkEnd w:id="63"/>
          </w:p>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rPr>
              <w:t>坚持以市场需求为导向，以农业产业化项目为切入点，到2025年，</w:t>
            </w:r>
            <w:r>
              <w:rPr>
                <w:rFonts w:hint="eastAsia" w:ascii="仿宋_GB2312" w:hAnsi="仿宋_GB2312" w:eastAsia="仿宋_GB2312" w:cs="仿宋_GB2312"/>
                <w:b w:val="0"/>
                <w:bCs w:val="0"/>
                <w:color w:val="auto"/>
                <w:spacing w:val="0"/>
                <w:w w:val="100"/>
                <w:sz w:val="32"/>
                <w:szCs w:val="32"/>
                <w:highlight w:val="none"/>
                <w:u w:val="single"/>
              </w:rPr>
              <w:t>依托引入的香港文汇、上海特石、深圳茂雄等外地客商</w:t>
            </w:r>
            <w:r>
              <w:rPr>
                <w:rFonts w:hint="eastAsia" w:ascii="仿宋_GB2312" w:hAnsi="仿宋_GB2312" w:eastAsia="仿宋_GB2312" w:cs="仿宋_GB2312"/>
                <w:b w:val="0"/>
                <w:bCs w:val="0"/>
                <w:color w:val="auto"/>
                <w:spacing w:val="0"/>
                <w:w w:val="100"/>
                <w:sz w:val="32"/>
                <w:szCs w:val="32"/>
                <w:highlight w:val="none"/>
              </w:rPr>
              <w:t>，计划投资3.5亿元，坚持按照“做优品牌、做大基地、做精产品、做长链条”的产业发展思路，建成粤港澳大湾区菜篮子供应基地5万亩示范区</w:t>
            </w:r>
            <w:r>
              <w:rPr>
                <w:rFonts w:hint="eastAsia" w:ascii="仿宋_GB2312" w:hAnsi="仿宋_GB2312" w:eastAsia="仿宋_GB2312" w:cs="仿宋_GB2312"/>
                <w:b w:val="0"/>
                <w:bCs w:val="0"/>
                <w:color w:val="auto"/>
                <w:spacing w:val="0"/>
                <w:w w:val="100"/>
                <w:sz w:val="32"/>
                <w:szCs w:val="32"/>
                <w:highlight w:val="none"/>
                <w:lang w:eastAsia="zh-CN"/>
              </w:rPr>
              <w:t>。</w:t>
            </w:r>
          </w:p>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eastAsia="zh-CN"/>
              </w:rPr>
              <w:t>文件第</w:t>
            </w:r>
            <w:r>
              <w:rPr>
                <w:rFonts w:hint="eastAsia" w:ascii="仿宋_GB2312" w:hAnsi="仿宋_GB2312" w:eastAsia="仿宋_GB2312" w:cs="仿宋_GB2312"/>
                <w:b w:val="0"/>
                <w:bCs w:val="0"/>
                <w:color w:val="auto"/>
                <w:spacing w:val="0"/>
                <w:w w:val="100"/>
                <w:sz w:val="32"/>
                <w:szCs w:val="32"/>
                <w:highlight w:val="none"/>
                <w:lang w:val="en-US" w:eastAsia="zh-CN"/>
              </w:rPr>
              <w:t>55页</w:t>
            </w:r>
          </w:p>
          <w:p>
            <w:pPr>
              <w:keepNext w:val="0"/>
              <w:keepLines w:val="0"/>
              <w:pageBreakBefore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outlineLvl w:val="1"/>
              <w:rPr>
                <w:rFonts w:hint="eastAsia" w:ascii="仿宋_GB2312" w:hAnsi="仿宋_GB2312" w:eastAsia="仿宋_GB2312" w:cs="仿宋_GB2312"/>
                <w:b w:val="0"/>
                <w:bCs w:val="0"/>
                <w:color w:val="auto"/>
                <w:spacing w:val="0"/>
                <w:w w:val="100"/>
                <w:sz w:val="32"/>
                <w:szCs w:val="32"/>
                <w:highlight w:val="none"/>
              </w:rPr>
            </w:pPr>
            <w:bookmarkStart w:id="64" w:name="_Toc71231011"/>
            <w:bookmarkStart w:id="65" w:name="_Toc27559"/>
            <w:r>
              <w:rPr>
                <w:rFonts w:hint="eastAsia" w:ascii="仿宋_GB2312" w:hAnsi="仿宋_GB2312" w:eastAsia="仿宋_GB2312" w:cs="仿宋_GB2312"/>
                <w:b w:val="0"/>
                <w:bCs w:val="0"/>
                <w:color w:val="auto"/>
                <w:spacing w:val="0"/>
                <w:w w:val="100"/>
                <w:sz w:val="32"/>
                <w:szCs w:val="32"/>
                <w:highlight w:val="none"/>
              </w:rPr>
              <w:t>五、万亩枸杞种植产业园</w:t>
            </w:r>
            <w:bookmarkEnd w:id="64"/>
            <w:bookmarkEnd w:id="65"/>
          </w:p>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园区位于黑泉镇九坝滩，</w:t>
            </w:r>
            <w:r>
              <w:rPr>
                <w:rFonts w:hint="eastAsia" w:ascii="仿宋_GB2312" w:hAnsi="仿宋_GB2312" w:eastAsia="仿宋_GB2312" w:cs="仿宋_GB2312"/>
                <w:b w:val="0"/>
                <w:bCs w:val="0"/>
                <w:color w:val="auto"/>
                <w:spacing w:val="0"/>
                <w:w w:val="100"/>
                <w:sz w:val="32"/>
                <w:szCs w:val="32"/>
                <w:highlight w:val="none"/>
                <w:u w:val="single"/>
              </w:rPr>
              <w:t>依托引进荣升枸杞、杰达实业、汇力农牧3家企业</w:t>
            </w:r>
            <w:r>
              <w:rPr>
                <w:rFonts w:hint="eastAsia" w:ascii="仿宋_GB2312" w:hAnsi="仿宋_GB2312" w:eastAsia="仿宋_GB2312" w:cs="仿宋_GB2312"/>
                <w:b w:val="0"/>
                <w:bCs w:val="0"/>
                <w:color w:val="auto"/>
                <w:spacing w:val="0"/>
                <w:w w:val="100"/>
                <w:sz w:val="32"/>
                <w:szCs w:val="32"/>
                <w:highlight w:val="none"/>
              </w:rPr>
              <w:t>，带动本地新绿达、众一等企业4家，完成投资2.2亿元，种植枸杞1万亩，建成清洗烘干生产线9条，注册“锦鲤红”商标1个，实现收入9720万元。</w:t>
            </w:r>
            <w:bookmarkStart w:id="66" w:name="_Toc71231015"/>
          </w:p>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eastAsia="zh-CN"/>
              </w:rPr>
              <w:t>文件第</w:t>
            </w:r>
            <w:r>
              <w:rPr>
                <w:rFonts w:hint="eastAsia" w:ascii="仿宋_GB2312" w:hAnsi="仿宋_GB2312" w:eastAsia="仿宋_GB2312" w:cs="仿宋_GB2312"/>
                <w:b w:val="0"/>
                <w:bCs w:val="0"/>
                <w:color w:val="auto"/>
                <w:spacing w:val="0"/>
                <w:w w:val="100"/>
                <w:sz w:val="32"/>
                <w:szCs w:val="32"/>
                <w:highlight w:val="none"/>
                <w:lang w:val="en-US" w:eastAsia="zh-CN"/>
              </w:rPr>
              <w:t>57页</w:t>
            </w:r>
          </w:p>
          <w:p>
            <w:pPr>
              <w:keepNext w:val="0"/>
              <w:keepLines w:val="0"/>
              <w:pageBreakBefore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outlineLvl w:val="1"/>
              <w:rPr>
                <w:rFonts w:hint="eastAsia" w:ascii="仿宋_GB2312" w:hAnsi="仿宋_GB2312" w:eastAsia="仿宋_GB2312" w:cs="仿宋_GB2312"/>
                <w:b w:val="0"/>
                <w:bCs w:val="0"/>
                <w:color w:val="auto"/>
                <w:spacing w:val="0"/>
                <w:w w:val="100"/>
                <w:sz w:val="32"/>
                <w:szCs w:val="32"/>
                <w:highlight w:val="none"/>
              </w:rPr>
            </w:pPr>
            <w:bookmarkStart w:id="67" w:name="_Toc27433"/>
            <w:r>
              <w:rPr>
                <w:rFonts w:hint="eastAsia" w:ascii="仿宋_GB2312" w:hAnsi="仿宋_GB2312" w:eastAsia="仿宋_GB2312" w:cs="仿宋_GB2312"/>
                <w:b w:val="0"/>
                <w:bCs w:val="0"/>
                <w:color w:val="auto"/>
                <w:spacing w:val="0"/>
                <w:w w:val="100"/>
                <w:sz w:val="32"/>
                <w:szCs w:val="32"/>
                <w:highlight w:val="none"/>
              </w:rPr>
              <w:t>九、十万头奶肉牛养殖产业园</w:t>
            </w:r>
            <w:bookmarkEnd w:id="66"/>
            <w:bookmarkEnd w:id="67"/>
          </w:p>
          <w:p>
            <w:pPr>
              <w:keepNext w:val="0"/>
              <w:keepLines w:val="0"/>
              <w:pageBreakBefore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u w:val="single"/>
              </w:rPr>
              <w:t>依托前进牧业、居延牧业、德硕牧业</w:t>
            </w:r>
            <w:r>
              <w:rPr>
                <w:rFonts w:hint="eastAsia" w:ascii="仿宋_GB2312" w:hAnsi="仿宋_GB2312" w:eastAsia="仿宋_GB2312" w:cs="仿宋_GB2312"/>
                <w:b w:val="0"/>
                <w:bCs w:val="0"/>
                <w:color w:val="auto"/>
                <w:spacing w:val="0"/>
                <w:w w:val="100"/>
                <w:sz w:val="32"/>
                <w:szCs w:val="32"/>
                <w:highlight w:val="none"/>
              </w:rPr>
              <w:t>，建设10万头奶肉牛养殖园区，项目计划总投资22.1亿元，在红山村、胭脂堡村、五四村及金河湾养殖园区，建成6万头奶牛、4万头肉牛规模的奶肉牛养殖基地。</w:t>
            </w:r>
          </w:p>
          <w:p>
            <w:pPr>
              <w:keepNext w:val="0"/>
              <w:keepLines w:val="0"/>
              <w:pageBreakBefore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eastAsia="zh-CN"/>
              </w:rPr>
              <w:t>文件第</w:t>
            </w:r>
            <w:r>
              <w:rPr>
                <w:rFonts w:hint="eastAsia" w:ascii="仿宋_GB2312" w:hAnsi="仿宋_GB2312" w:eastAsia="仿宋_GB2312" w:cs="仿宋_GB2312"/>
                <w:b w:val="0"/>
                <w:bCs w:val="0"/>
                <w:color w:val="auto"/>
                <w:spacing w:val="0"/>
                <w:w w:val="100"/>
                <w:sz w:val="32"/>
                <w:szCs w:val="32"/>
                <w:highlight w:val="none"/>
                <w:lang w:val="en-US" w:eastAsia="zh-CN"/>
              </w:rPr>
              <w:t>62页</w:t>
            </w:r>
          </w:p>
          <w:p>
            <w:pPr>
              <w:keepNext w:val="0"/>
              <w:keepLines w:val="0"/>
              <w:pageBreakBefore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rPr>
              <w:t>4.万亩粤港澳大湾区蔬菜供应基地建设项目。2020-2025年，</w:t>
            </w:r>
            <w:r>
              <w:rPr>
                <w:rFonts w:hint="eastAsia" w:ascii="仿宋_GB2312" w:hAnsi="仿宋_GB2312" w:eastAsia="仿宋_GB2312" w:cs="仿宋_GB2312"/>
                <w:b w:val="0"/>
                <w:bCs w:val="0"/>
                <w:color w:val="auto"/>
                <w:spacing w:val="0"/>
                <w:w w:val="100"/>
                <w:sz w:val="32"/>
                <w:szCs w:val="32"/>
                <w:highlight w:val="none"/>
                <w:u w:val="single"/>
              </w:rPr>
              <w:t>依托引入文汇、特石、茂雄等公司</w:t>
            </w:r>
            <w:r>
              <w:rPr>
                <w:rFonts w:hint="eastAsia" w:ascii="仿宋_GB2312" w:hAnsi="仿宋_GB2312" w:eastAsia="仿宋_GB2312" w:cs="仿宋_GB2312"/>
                <w:b w:val="0"/>
                <w:bCs w:val="0"/>
                <w:color w:val="auto"/>
                <w:spacing w:val="0"/>
                <w:w w:val="100"/>
                <w:sz w:val="32"/>
                <w:szCs w:val="32"/>
                <w:highlight w:val="none"/>
              </w:rPr>
              <w:t>，计划投资1亿元，在南华镇、巷道镇、宣化镇、新坝镇建成1万亩粤港澳大湾区蔬菜供应基地</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b.剖析论证</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文件内容违反《公平竞争审查制度实施细则》“第十五条</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影响生产经营成本</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标准</w:t>
      </w:r>
      <w:r>
        <w:rPr>
          <w:rFonts w:hint="eastAsia" w:ascii="仿宋_GB2312" w:hAnsi="仿宋_GB2312" w:eastAsia="仿宋_GB2312" w:cs="仿宋_GB2312"/>
          <w:b w:val="0"/>
          <w:bCs w:val="0"/>
          <w:color w:val="auto"/>
          <w:spacing w:val="0"/>
          <w:w w:val="100"/>
          <w:kern w:val="2"/>
          <w:sz w:val="32"/>
          <w:szCs w:val="32"/>
          <w:highlight w:val="none"/>
          <w:lang w:val="en-US" w:eastAsia="zh-CN" w:bidi="ar"/>
        </w:rPr>
        <w:t>（一）不得违法给予特定经营者优惠政策、包括但不限于：1.没有法律、行政法规或者国务院规定依据，给予特定经营者财政奖励和补贴”的规定。</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从特定经营者角度界定，或者</w:t>
      </w:r>
      <w:r>
        <w:rPr>
          <w:rFonts w:hint="eastAsia" w:ascii="仿宋_GB2312" w:hAnsi="仿宋_GB2312" w:eastAsia="仿宋_GB2312" w:cs="仿宋_GB2312"/>
          <w:b w:val="0"/>
          <w:bCs w:val="0"/>
          <w:color w:val="auto"/>
          <w:spacing w:val="0"/>
          <w:w w:val="100"/>
          <w:kern w:val="2"/>
          <w:sz w:val="32"/>
          <w:szCs w:val="32"/>
          <w:highlight w:val="none"/>
          <w:lang w:val="en-US" w:eastAsia="zh-CN"/>
        </w:rPr>
        <w:t>直接规定具体的受惠企业，或者规定受惠企业的类型（如龙头企业）。从优惠类型分析，虽然以“依托”“引导、支持”“重点发展”“做强”等概括性地表述为主，并未明确具体的优惠类型，</w:t>
      </w:r>
      <w:r>
        <w:rPr>
          <w:rFonts w:hint="eastAsia" w:ascii="仿宋_GB2312" w:hAnsi="仿宋_GB2312" w:eastAsia="仿宋_GB2312" w:cs="仿宋_GB2312"/>
          <w:b w:val="0"/>
          <w:bCs w:val="0"/>
          <w:color w:val="auto"/>
          <w:spacing w:val="0"/>
          <w:w w:val="100"/>
          <w:sz w:val="32"/>
          <w:szCs w:val="32"/>
          <w:highlight w:val="none"/>
          <w:lang w:eastAsia="zh-CN"/>
        </w:rPr>
        <w:t>文件的主要功能可能是对本县及相关部门提出工作要求，对相关工作进行部署安排，但是文件中的工作目标和主要工作内容，会被转化、落实为具体的政策措施，会对相关主体产生影响，而且，如果文件只是笼统性地表述，反而可能会给执行者提供更多“自由裁量”的空间，因此，对此类文件更应进行规制。</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楷体_GB2312" w:hAnsi="楷体_GB2312" w:eastAsia="楷体_GB2312" w:cs="楷体_GB2312"/>
          <w:b w:val="0"/>
          <w:bCs w:val="0"/>
          <w:color w:val="auto"/>
          <w:spacing w:val="0"/>
          <w:w w:val="100"/>
          <w:kern w:val="2"/>
          <w:sz w:val="32"/>
          <w:szCs w:val="32"/>
          <w:highlight w:val="none"/>
          <w:lang w:val="en-US" w:eastAsia="zh-CN" w:bidi="ar"/>
        </w:rPr>
      </w:pPr>
      <w:r>
        <w:rPr>
          <w:rFonts w:hint="eastAsia" w:ascii="楷体_GB2312" w:hAnsi="楷体_GB2312" w:eastAsia="楷体_GB2312" w:cs="楷体_GB2312"/>
          <w:b w:val="0"/>
          <w:bCs w:val="0"/>
          <w:color w:val="auto"/>
          <w:spacing w:val="0"/>
          <w:w w:val="100"/>
          <w:sz w:val="32"/>
          <w:szCs w:val="32"/>
          <w:highlight w:val="none"/>
          <w:shd w:val="clear" w:color="auto" w:fill="FFFFFF"/>
          <w:lang w:eastAsia="zh-CN"/>
        </w:rPr>
        <w:t>（六）</w:t>
      </w:r>
      <w:r>
        <w:rPr>
          <w:rFonts w:hint="eastAsia" w:ascii="楷体_GB2312" w:hAnsi="楷体_GB2312" w:eastAsia="楷体_GB2312" w:cs="楷体_GB2312"/>
          <w:b w:val="0"/>
          <w:bCs w:val="0"/>
          <w:color w:val="auto"/>
          <w:spacing w:val="0"/>
          <w:w w:val="100"/>
          <w:sz w:val="32"/>
          <w:szCs w:val="32"/>
          <w:highlight w:val="none"/>
          <w:shd w:val="clear" w:color="auto" w:fill="FFFFFF"/>
        </w:rPr>
        <w:t>《高台县</w:t>
      </w:r>
      <w:r>
        <w:rPr>
          <w:rFonts w:hint="eastAsia" w:ascii="楷体_GB2312" w:hAnsi="楷体_GB2312" w:eastAsia="楷体_GB2312" w:cs="楷体_GB2312"/>
          <w:b w:val="0"/>
          <w:bCs w:val="0"/>
          <w:color w:val="auto"/>
          <w:spacing w:val="0"/>
          <w:w w:val="100"/>
          <w:sz w:val="32"/>
          <w:szCs w:val="32"/>
          <w:highlight w:val="none"/>
          <w:shd w:val="clear" w:color="auto" w:fill="FFFFFF"/>
          <w:lang w:eastAsia="zh-CN"/>
        </w:rPr>
        <w:t>国民经济和社会发展第十四个五年规划和</w:t>
      </w:r>
      <w:r>
        <w:rPr>
          <w:rFonts w:hint="eastAsia" w:ascii="楷体_GB2312" w:hAnsi="楷体_GB2312" w:eastAsia="楷体_GB2312" w:cs="楷体_GB2312"/>
          <w:b w:val="0"/>
          <w:bCs w:val="0"/>
          <w:color w:val="auto"/>
          <w:spacing w:val="0"/>
          <w:w w:val="100"/>
          <w:sz w:val="32"/>
          <w:szCs w:val="32"/>
          <w:highlight w:val="none"/>
          <w:shd w:val="clear" w:color="auto" w:fill="FFFFFF"/>
          <w:lang w:val="en-US" w:eastAsia="zh-CN"/>
        </w:rPr>
        <w:t>2035年远景目标纲要</w:t>
      </w:r>
      <w:r>
        <w:rPr>
          <w:rFonts w:hint="eastAsia" w:ascii="楷体_GB2312" w:hAnsi="楷体_GB2312" w:eastAsia="楷体_GB2312" w:cs="楷体_GB2312"/>
          <w:b w:val="0"/>
          <w:bCs w:val="0"/>
          <w:color w:val="auto"/>
          <w:spacing w:val="0"/>
          <w:w w:val="100"/>
          <w:sz w:val="32"/>
          <w:szCs w:val="32"/>
          <w:highlight w:val="none"/>
          <w:shd w:val="clear" w:color="auto" w:fill="FFFFFF"/>
        </w:rPr>
        <w:t>》</w:t>
      </w:r>
      <w:r>
        <w:rPr>
          <w:rFonts w:hint="eastAsia" w:ascii="楷体_GB2312" w:hAnsi="楷体_GB2312" w:eastAsia="楷体_GB2312" w:cs="楷体_GB2312"/>
          <w:b w:val="0"/>
          <w:bCs w:val="0"/>
          <w:color w:val="auto"/>
          <w:spacing w:val="0"/>
          <w:w w:val="100"/>
          <w:sz w:val="32"/>
          <w:szCs w:val="32"/>
          <w:highlight w:val="none"/>
          <w:shd w:val="clear" w:color="auto" w:fill="FFFFFF"/>
          <w:lang w:eastAsia="zh-CN"/>
        </w:rPr>
        <w:t>（</w:t>
      </w:r>
      <w:r>
        <w:rPr>
          <w:rFonts w:hint="eastAsia" w:ascii="楷体_GB2312" w:hAnsi="楷体_GB2312" w:eastAsia="楷体_GB2312" w:cs="楷体_GB2312"/>
          <w:b w:val="0"/>
          <w:bCs w:val="0"/>
          <w:color w:val="auto"/>
          <w:spacing w:val="0"/>
          <w:w w:val="100"/>
          <w:sz w:val="32"/>
          <w:szCs w:val="32"/>
          <w:highlight w:val="none"/>
          <w:u w:color="000000"/>
        </w:rPr>
        <w:t>高政发〔2021〕2</w:t>
      </w:r>
      <w:r>
        <w:rPr>
          <w:rFonts w:hint="eastAsia" w:ascii="楷体_GB2312" w:hAnsi="楷体_GB2312" w:eastAsia="楷体_GB2312" w:cs="楷体_GB2312"/>
          <w:b w:val="0"/>
          <w:bCs w:val="0"/>
          <w:color w:val="auto"/>
          <w:spacing w:val="0"/>
          <w:w w:val="100"/>
          <w:sz w:val="32"/>
          <w:szCs w:val="32"/>
          <w:highlight w:val="none"/>
          <w:u w:color="000000"/>
          <w:lang w:val="en-US" w:eastAsia="zh-CN"/>
        </w:rPr>
        <w:t>6</w:t>
      </w:r>
      <w:r>
        <w:rPr>
          <w:rFonts w:hint="eastAsia" w:ascii="楷体_GB2312" w:hAnsi="楷体_GB2312" w:eastAsia="楷体_GB2312" w:cs="楷体_GB2312"/>
          <w:b w:val="0"/>
          <w:bCs w:val="0"/>
          <w:color w:val="auto"/>
          <w:spacing w:val="0"/>
          <w:w w:val="100"/>
          <w:sz w:val="32"/>
          <w:szCs w:val="32"/>
          <w:highlight w:val="none"/>
          <w:u w:color="000000"/>
        </w:rPr>
        <w:t>号</w:t>
      </w:r>
      <w:r>
        <w:rPr>
          <w:rFonts w:hint="eastAsia" w:ascii="楷体_GB2312" w:hAnsi="楷体_GB2312" w:eastAsia="楷体_GB2312" w:cs="楷体_GB2312"/>
          <w:b w:val="0"/>
          <w:bCs w:val="0"/>
          <w:color w:val="auto"/>
          <w:spacing w:val="0"/>
          <w:w w:val="100"/>
          <w:kern w:val="2"/>
          <w:sz w:val="32"/>
          <w:szCs w:val="32"/>
          <w:highlight w:val="none"/>
          <w:lang w:val="en-US" w:eastAsia="zh-CN" w:bidi="ar"/>
        </w:rPr>
        <w:t>）</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63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rPr>
              <w:t>第二节培育壮大特色优势产业</w:t>
            </w:r>
            <w:r>
              <w:rPr>
                <w:rFonts w:hint="eastAsia" w:ascii="仿宋_GB2312" w:hAnsi="仿宋_GB2312" w:eastAsia="仿宋_GB2312" w:cs="仿宋_GB2312"/>
                <w:b w:val="0"/>
                <w:bCs w:val="0"/>
                <w:color w:val="auto"/>
                <w:spacing w:val="0"/>
                <w:w w:val="100"/>
                <w:kern w:val="0"/>
                <w:sz w:val="32"/>
                <w:szCs w:val="32"/>
                <w:highlight w:val="none"/>
                <w:lang w:val="en-US" w:eastAsia="zh-CN" w:bidi="ar"/>
              </w:rPr>
              <w:t>加快产业结构调整优化，促进形成区域特色专业化生产布局，把提高农产品品质和附加值作为农业生产的主攻方向，实现农产品向绿色、高品质转变，提升农业供给质量效率。优化农业产业布局。坚持“区域化布局、标准化打造、规模化发展”思路，进一步优化调整产业结构，科学合理布局产业，形成主体功能明显，优势互补的“园区引领、两翼带动、五带发展”产业发展新格局。“园区”引领：全域布局现代农业产业园区，提质扩容现代农业示范园区，推动各镇因地制宜建设特色农业产业示范园副中心，着力形成一核多元现代农业产业集群。以现代农业示范园区、共裕高新农牧科技产业示范园、粤港澳大湾区蔬菜供应基地等为核心引领区，打造技术、资金、人才、物流洼地，示范引领蔬菜、制种、草畜三大主导产业发展。“两翼”带动：沿祁连山和国道312线西南翼，沿合黎山和黑河沿岸西北翼，</w:t>
            </w:r>
            <w:r>
              <w:rPr>
                <w:rFonts w:hint="eastAsia" w:ascii="仿宋_GB2312" w:hAnsi="仿宋_GB2312" w:eastAsia="仿宋_GB2312" w:cs="仿宋_GB2312"/>
                <w:b w:val="0"/>
                <w:bCs w:val="0"/>
                <w:color w:val="auto"/>
                <w:spacing w:val="0"/>
                <w:w w:val="100"/>
                <w:kern w:val="0"/>
                <w:sz w:val="32"/>
                <w:szCs w:val="32"/>
                <w:highlight w:val="none"/>
                <w:u w:val="single"/>
                <w:lang w:val="en-US" w:eastAsia="zh-CN" w:bidi="ar"/>
              </w:rPr>
              <w:t>依托茂雄集团、中农大康、仰光辣椒等企业和合作组织，打造特色蔬菜产业、制种产业、红色产业（辣椒干、番茄、枸杞）三个板块和50万头只肉牛肉羊育肥、50万头生猪养殖两个基地</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b.剖析论证</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文件内容违反《公平竞争审查制度实施细则》“第十五条</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影响生产经营成本</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标准</w:t>
      </w:r>
      <w:r>
        <w:rPr>
          <w:rFonts w:hint="eastAsia" w:ascii="仿宋_GB2312" w:hAnsi="仿宋_GB2312" w:eastAsia="仿宋_GB2312" w:cs="仿宋_GB2312"/>
          <w:b w:val="0"/>
          <w:bCs w:val="0"/>
          <w:color w:val="auto"/>
          <w:spacing w:val="0"/>
          <w:w w:val="100"/>
          <w:kern w:val="2"/>
          <w:sz w:val="32"/>
          <w:szCs w:val="32"/>
          <w:highlight w:val="none"/>
          <w:lang w:val="en-US" w:eastAsia="zh-CN" w:bidi="ar"/>
        </w:rPr>
        <w:t>（一）不得违法给予特定经营者优惠政策、包括但不限于：1.没有法律、行政法规或者国务院规定依据，给予特定经营者财政奖励和补贴”的规定。</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从特定经营者角度界定，或者</w:t>
      </w:r>
      <w:r>
        <w:rPr>
          <w:rFonts w:hint="eastAsia" w:ascii="仿宋_GB2312" w:hAnsi="仿宋_GB2312" w:eastAsia="仿宋_GB2312" w:cs="仿宋_GB2312"/>
          <w:b w:val="0"/>
          <w:bCs w:val="0"/>
          <w:color w:val="auto"/>
          <w:spacing w:val="0"/>
          <w:w w:val="100"/>
          <w:kern w:val="2"/>
          <w:sz w:val="32"/>
          <w:szCs w:val="32"/>
          <w:highlight w:val="none"/>
          <w:lang w:val="en-US" w:eastAsia="zh-CN"/>
        </w:rPr>
        <w:t>直接规定具体的受惠企业，或者规定受惠企业的类型（如龙头企业）。从优惠类型分析，虽然以“依托”“引导、支持”“重点发展”“做强”等概括性地表述为主，并未明确具体的优惠类型，</w:t>
      </w:r>
      <w:r>
        <w:rPr>
          <w:rFonts w:hint="eastAsia" w:ascii="仿宋_GB2312" w:hAnsi="仿宋_GB2312" w:eastAsia="仿宋_GB2312" w:cs="仿宋_GB2312"/>
          <w:b w:val="0"/>
          <w:bCs w:val="0"/>
          <w:color w:val="auto"/>
          <w:spacing w:val="0"/>
          <w:w w:val="100"/>
          <w:sz w:val="32"/>
          <w:szCs w:val="32"/>
          <w:highlight w:val="none"/>
          <w:lang w:eastAsia="zh-CN"/>
        </w:rPr>
        <w:t>文件的主要功能可能是对本县及相关部门提出工作要求，对相关工作进行部署安排，但是文件中的工作目标和主要工作内容，会被转化、落实为具体的政策措施，会对相关主体产生影响，而且，如果文件只是笼统性地表述，反而可能会给执行者提供更多“自由裁量”的空间，因此，对此类文件更应进行规制。</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楷体_GB2312" w:hAnsi="楷体_GB2312" w:eastAsia="楷体_GB2312" w:cs="楷体_GB2312"/>
          <w:b w:val="0"/>
          <w:bCs w:val="0"/>
          <w:color w:val="auto"/>
          <w:spacing w:val="0"/>
          <w:w w:val="100"/>
          <w:kern w:val="2"/>
          <w:sz w:val="32"/>
          <w:szCs w:val="32"/>
          <w:highlight w:val="none"/>
        </w:rPr>
      </w:pPr>
      <w:r>
        <w:rPr>
          <w:rFonts w:hint="eastAsia" w:ascii="楷体_GB2312" w:hAnsi="楷体_GB2312" w:eastAsia="楷体_GB2312" w:cs="楷体_GB2312"/>
          <w:b w:val="0"/>
          <w:bCs w:val="0"/>
          <w:color w:val="auto"/>
          <w:spacing w:val="0"/>
          <w:w w:val="100"/>
          <w:kern w:val="2"/>
          <w:sz w:val="32"/>
          <w:szCs w:val="32"/>
          <w:highlight w:val="none"/>
          <w:lang w:val="en-US" w:eastAsia="zh-CN" w:bidi="ar"/>
        </w:rPr>
        <w:t>（七）《高台县制种大县（玉米）发展规划（2021-2025年）》</w:t>
      </w:r>
      <w:r>
        <w:rPr>
          <w:rFonts w:hint="eastAsia" w:ascii="楷体_GB2312" w:hAnsi="楷体_GB2312" w:eastAsia="楷体_GB2312" w:cs="楷体_GB2312"/>
          <w:b w:val="0"/>
          <w:bCs w:val="0"/>
          <w:color w:val="auto"/>
          <w:spacing w:val="0"/>
          <w:w w:val="100"/>
          <w:sz w:val="32"/>
          <w:szCs w:val="32"/>
          <w:highlight w:val="none"/>
          <w:shd w:val="clear" w:color="auto" w:fill="FFFFFF"/>
          <w:lang w:eastAsia="zh-CN"/>
        </w:rPr>
        <w:t>（</w:t>
      </w:r>
      <w:r>
        <w:rPr>
          <w:rFonts w:hint="eastAsia" w:ascii="楷体_GB2312" w:hAnsi="楷体_GB2312" w:eastAsia="楷体_GB2312" w:cs="楷体_GB2312"/>
          <w:b w:val="0"/>
          <w:bCs w:val="0"/>
          <w:color w:val="auto"/>
          <w:spacing w:val="0"/>
          <w:w w:val="100"/>
          <w:sz w:val="32"/>
          <w:szCs w:val="32"/>
          <w:highlight w:val="none"/>
          <w:u w:color="000000"/>
        </w:rPr>
        <w:t>高政发〔2021〕</w:t>
      </w:r>
      <w:r>
        <w:rPr>
          <w:rFonts w:hint="eastAsia" w:ascii="楷体_GB2312" w:hAnsi="楷体_GB2312" w:eastAsia="楷体_GB2312" w:cs="楷体_GB2312"/>
          <w:b w:val="0"/>
          <w:bCs w:val="0"/>
          <w:color w:val="auto"/>
          <w:spacing w:val="0"/>
          <w:w w:val="100"/>
          <w:sz w:val="32"/>
          <w:szCs w:val="32"/>
          <w:highlight w:val="none"/>
          <w:u w:color="000000"/>
          <w:lang w:val="en-US" w:eastAsia="zh-CN"/>
        </w:rPr>
        <w:t>36</w:t>
      </w:r>
      <w:r>
        <w:rPr>
          <w:rFonts w:hint="eastAsia" w:ascii="楷体_GB2312" w:hAnsi="楷体_GB2312" w:eastAsia="楷体_GB2312" w:cs="楷体_GB2312"/>
          <w:b w:val="0"/>
          <w:bCs w:val="0"/>
          <w:color w:val="auto"/>
          <w:spacing w:val="0"/>
          <w:w w:val="100"/>
          <w:sz w:val="32"/>
          <w:szCs w:val="32"/>
          <w:highlight w:val="none"/>
          <w:u w:color="000000"/>
        </w:rPr>
        <w:t>号</w:t>
      </w:r>
      <w:r>
        <w:rPr>
          <w:rFonts w:hint="eastAsia" w:ascii="楷体_GB2312" w:hAnsi="楷体_GB2312" w:eastAsia="楷体_GB2312" w:cs="楷体_GB2312"/>
          <w:b w:val="0"/>
          <w:bCs w:val="0"/>
          <w:color w:val="auto"/>
          <w:spacing w:val="0"/>
          <w:w w:val="100"/>
          <w:kern w:val="2"/>
          <w:sz w:val="32"/>
          <w:szCs w:val="32"/>
          <w:highlight w:val="none"/>
          <w:lang w:val="en-US" w:eastAsia="zh-CN" w:bidi="ar"/>
        </w:rPr>
        <w:t>）</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711"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eastAsia="zh-CN"/>
              </w:rPr>
              <w:t>第</w:t>
            </w:r>
            <w:r>
              <w:rPr>
                <w:rFonts w:hint="eastAsia" w:ascii="仿宋_GB2312" w:hAnsi="仿宋_GB2312" w:eastAsia="仿宋_GB2312" w:cs="仿宋_GB2312"/>
                <w:b w:val="0"/>
                <w:bCs w:val="0"/>
                <w:color w:val="auto"/>
                <w:spacing w:val="0"/>
                <w:w w:val="100"/>
                <w:sz w:val="32"/>
                <w:szCs w:val="32"/>
                <w:highlight w:val="none"/>
                <w:lang w:val="en-US" w:eastAsia="zh-CN"/>
              </w:rPr>
              <w:t>25页</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outlineLvl w:val="1"/>
              <w:rPr>
                <w:rFonts w:hint="eastAsia" w:ascii="仿宋_GB2312" w:hAnsi="仿宋_GB2312" w:eastAsia="仿宋_GB2312" w:cs="仿宋_GB2312"/>
                <w:b w:val="0"/>
                <w:bCs w:val="0"/>
                <w:color w:val="auto"/>
                <w:spacing w:val="0"/>
                <w:w w:val="100"/>
                <w:kern w:val="2"/>
                <w:sz w:val="32"/>
                <w:szCs w:val="32"/>
                <w:highlight w:val="none"/>
              </w:rPr>
            </w:pPr>
            <w:bookmarkStart w:id="68" w:name="_Toc18495"/>
            <w:r>
              <w:rPr>
                <w:rFonts w:hint="eastAsia" w:ascii="仿宋_GB2312" w:hAnsi="仿宋_GB2312" w:eastAsia="仿宋_GB2312" w:cs="仿宋_GB2312"/>
                <w:b w:val="0"/>
                <w:bCs w:val="0"/>
                <w:color w:val="auto"/>
                <w:spacing w:val="0"/>
                <w:w w:val="100"/>
                <w:kern w:val="2"/>
                <w:sz w:val="32"/>
                <w:szCs w:val="32"/>
                <w:highlight w:val="none"/>
                <w:lang w:val="en-US" w:eastAsia="zh-CN" w:bidi="ar"/>
              </w:rPr>
              <w:t>4.5创新建管服机制</w:t>
            </w:r>
            <w:bookmarkEnd w:id="68"/>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探索推进优质种子生产、试验、加工、服务体系建设，形成建管服新机制。建立建设投入机制，在用好国家奖补政策的同时，加大县级配套力度，制定出台县委一号文件，5年整合涉农资金1.5亿元加快现代农业发展。建立监管机制，从严落实玉米种子生产基地管理办法，建立全链条监管执法机制，确保种子质量优于国家标准。建立服务机制，</w:t>
            </w: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坚持把国家奖补资金的60%向河南秋乐种业、金苑种业、北京顺鑫农科种业等优势企业在高台县的基地倾斜。</w:t>
            </w:r>
          </w:p>
          <w:p>
            <w:pPr>
              <w:pStyle w:val="2"/>
              <w:pageBreakBefore w:val="0"/>
              <w:kinsoku/>
              <w:wordWrap/>
              <w:overflowPunct/>
              <w:topLinePunct/>
              <w:autoSpaceDE/>
              <w:autoSpaceDN/>
              <w:bidi w:val="0"/>
              <w:spacing w:before="0" w:beforeAutospacing="0" w:after="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u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u w:val="none"/>
                <w:lang w:val="en-US" w:eastAsia="zh-CN" w:bidi="ar"/>
              </w:rPr>
              <w:t>第28页</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outlineLvl w:val="1"/>
              <w:rPr>
                <w:rFonts w:hint="eastAsia" w:ascii="仿宋_GB2312" w:hAnsi="仿宋_GB2312" w:eastAsia="仿宋_GB2312" w:cs="仿宋_GB2312"/>
                <w:b w:val="0"/>
                <w:bCs w:val="0"/>
                <w:color w:val="auto"/>
                <w:spacing w:val="0"/>
                <w:w w:val="100"/>
                <w:kern w:val="2"/>
                <w:sz w:val="32"/>
                <w:szCs w:val="32"/>
                <w:highlight w:val="none"/>
              </w:rPr>
            </w:pPr>
            <w:bookmarkStart w:id="69" w:name="_Toc29720"/>
            <w:r>
              <w:rPr>
                <w:rFonts w:hint="eastAsia" w:ascii="仿宋_GB2312" w:hAnsi="仿宋_GB2312" w:eastAsia="仿宋_GB2312" w:cs="仿宋_GB2312"/>
                <w:b w:val="0"/>
                <w:bCs w:val="0"/>
                <w:color w:val="auto"/>
                <w:spacing w:val="0"/>
                <w:w w:val="100"/>
                <w:kern w:val="2"/>
                <w:sz w:val="32"/>
                <w:szCs w:val="32"/>
                <w:highlight w:val="none"/>
                <w:lang w:val="en-US" w:eastAsia="zh-CN" w:bidi="ar"/>
              </w:rPr>
              <w:t>5.2基地与企业结合共建工程</w:t>
            </w:r>
            <w:bookmarkEnd w:id="69"/>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pP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以河南秋乐种业、金苑种业、北京顺鑫农科种业为龙头，联合高台先行种业等6家本地企业，建立制种产业联盟，将制种大县60%以上的资金用于优势企业在高台县的基地建设。</w:t>
            </w:r>
          </w:p>
          <w:p>
            <w:pPr>
              <w:pStyle w:val="2"/>
              <w:pageBreakBefore w:val="0"/>
              <w:kinsoku/>
              <w:wordWrap/>
              <w:overflowPunct/>
              <w:topLinePunct/>
              <w:autoSpaceDE/>
              <w:autoSpaceDN/>
              <w:bidi w:val="0"/>
              <w:spacing w:before="0" w:beforeAutospacing="0" w:after="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u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u w:val="none"/>
                <w:lang w:val="en-US" w:eastAsia="zh-CN" w:bidi="ar"/>
              </w:rPr>
              <w:t>第31页</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outlineLvl w:val="2"/>
              <w:rPr>
                <w:rFonts w:hint="eastAsia" w:ascii="仿宋_GB2312" w:hAnsi="仿宋_GB2312" w:eastAsia="仿宋_GB2312" w:cs="仿宋_GB2312"/>
                <w:b w:val="0"/>
                <w:bCs w:val="0"/>
                <w:color w:val="auto"/>
                <w:spacing w:val="0"/>
                <w:w w:val="100"/>
                <w:kern w:val="2"/>
                <w:sz w:val="32"/>
                <w:szCs w:val="32"/>
                <w:highlight w:val="none"/>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5.3.1杂交玉米新品种研发补贴项目</w:t>
            </w:r>
          </w:p>
          <w:p>
            <w:pPr>
              <w:pStyle w:val="20"/>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对在高台县建厂、研发新品种的企业，对当年审定的国审品种、省审品种补贴。对一个品种的几个共同知识产权人或品种权共同享有权人按排名计，不在本地的不补，区别对待</w:t>
            </w:r>
            <w:r>
              <w:rPr>
                <w:rFonts w:hint="eastAsia" w:ascii="仿宋_GB2312" w:hAnsi="仿宋_GB2312" w:eastAsia="仿宋_GB2312" w:cs="仿宋_GB2312"/>
                <w:b w:val="0"/>
                <w:bCs w:val="0"/>
                <w:color w:val="auto"/>
                <w:spacing w:val="0"/>
                <w:w w:val="100"/>
                <w:kern w:val="2"/>
                <w:sz w:val="32"/>
                <w:szCs w:val="32"/>
                <w:highlight w:val="none"/>
                <w:lang w:val="en-US" w:eastAsia="zh-CN" w:bidi="ar"/>
              </w:rPr>
              <w:t>。对超过一人有两个知识产权人的按60%和40%比例奖励，有三个知识产权人的按50%，30%，20%比例奖励，只奖励前三名。</w:t>
            </w:r>
          </w:p>
          <w:p>
            <w:pPr>
              <w:pStyle w:val="20"/>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（等等……）</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b.剖析论证</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rPr>
      </w:pPr>
      <w:r>
        <w:rPr>
          <w:rFonts w:hint="eastAsia" w:ascii="仿宋_GB2312" w:hAnsi="仿宋_GB2312" w:eastAsia="仿宋_GB2312" w:cs="仿宋_GB2312"/>
          <w:b w:val="0"/>
          <w:bCs w:val="0"/>
          <w:color w:val="auto"/>
          <w:spacing w:val="0"/>
          <w:w w:val="100"/>
          <w:kern w:val="2"/>
          <w:sz w:val="32"/>
          <w:szCs w:val="32"/>
          <w:highlight w:val="none"/>
          <w:lang w:val="en-US" w:eastAsia="zh-CN"/>
        </w:rPr>
        <w:t>1、</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文件内容违反《公平竞争审查制度实施细则》“第十五条</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影响生产经营成本</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标准</w:t>
      </w:r>
      <w:r>
        <w:rPr>
          <w:rFonts w:hint="eastAsia" w:ascii="仿宋_GB2312" w:hAnsi="仿宋_GB2312" w:eastAsia="仿宋_GB2312" w:cs="仿宋_GB2312"/>
          <w:b w:val="0"/>
          <w:bCs w:val="0"/>
          <w:color w:val="auto"/>
          <w:spacing w:val="0"/>
          <w:w w:val="100"/>
          <w:kern w:val="2"/>
          <w:sz w:val="32"/>
          <w:szCs w:val="32"/>
          <w:highlight w:val="none"/>
          <w:lang w:val="en-US" w:eastAsia="zh-CN" w:bidi="ar"/>
        </w:rPr>
        <w:t>（一）不得违法给予特定经营者优惠政策、包括但不限于：1.没有法律、行政法规或者国务院规定依据，给予特定经营者财政奖励和补贴”的规定。</w:t>
      </w:r>
    </w:p>
    <w:p>
      <w:pPr>
        <w:pStyle w:val="7"/>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rPr>
      </w:pPr>
      <w:r>
        <w:rPr>
          <w:rFonts w:hint="eastAsia" w:ascii="仿宋_GB2312" w:hAnsi="仿宋_GB2312" w:eastAsia="仿宋_GB2312" w:cs="仿宋_GB2312"/>
          <w:b w:val="0"/>
          <w:bCs w:val="0"/>
          <w:color w:val="auto"/>
          <w:spacing w:val="0"/>
          <w:w w:val="100"/>
          <w:kern w:val="2"/>
          <w:sz w:val="32"/>
          <w:szCs w:val="32"/>
          <w:highlight w:val="none"/>
          <w:lang w:val="en-US" w:eastAsia="zh-CN"/>
        </w:rPr>
        <w:t>2</w:t>
      </w:r>
      <w:r>
        <w:rPr>
          <w:rFonts w:hint="eastAsia" w:ascii="仿宋_GB2312" w:hAnsi="仿宋_GB2312" w:eastAsia="仿宋_GB2312" w:cs="仿宋_GB2312"/>
          <w:b w:val="0"/>
          <w:bCs w:val="0"/>
          <w:color w:val="auto"/>
          <w:spacing w:val="0"/>
          <w:w w:val="100"/>
          <w:kern w:val="2"/>
          <w:sz w:val="32"/>
          <w:szCs w:val="32"/>
          <w:highlight w:val="none"/>
        </w:rPr>
        <w:t>、违反</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《公平竞争审查制度实施细则》“第十四条</w:t>
      </w:r>
      <w:r>
        <w:rPr>
          <w:rFonts w:hint="eastAsia" w:ascii="仿宋_GB2312" w:hAnsi="仿宋_GB2312" w:eastAsia="仿宋_GB2312" w:cs="仿宋_GB2312"/>
          <w:b w:val="0"/>
          <w:bCs w:val="0"/>
          <w:color w:val="auto"/>
          <w:spacing w:val="0"/>
          <w:w w:val="100"/>
          <w:kern w:val="2"/>
          <w:sz w:val="32"/>
          <w:szCs w:val="32"/>
          <w:highlight w:val="none"/>
          <w:lang w:eastAsia="zh-CN"/>
        </w:rPr>
        <w:t>商品要素自由流动标准”的规定，</w:t>
      </w:r>
      <w:r>
        <w:rPr>
          <w:rFonts w:hint="eastAsia" w:ascii="仿宋_GB2312" w:hAnsi="仿宋_GB2312" w:eastAsia="仿宋_GB2312" w:cs="仿宋_GB2312"/>
          <w:b w:val="0"/>
          <w:bCs w:val="0"/>
          <w:color w:val="auto"/>
          <w:spacing w:val="0"/>
          <w:w w:val="100"/>
          <w:kern w:val="2"/>
          <w:sz w:val="32"/>
          <w:szCs w:val="32"/>
          <w:highlight w:val="none"/>
        </w:rPr>
        <w:t>不得对外地和进口商品、服务实行歧视性价格和歧视性补贴政策，包括但不限于：2、对相关商品、服务补贴时，对外地</w:t>
      </w:r>
      <w:r>
        <w:rPr>
          <w:rFonts w:hint="eastAsia" w:ascii="仿宋_GB2312" w:hAnsi="仿宋_GB2312" w:eastAsia="仿宋_GB2312" w:cs="仿宋_GB2312"/>
          <w:b w:val="0"/>
          <w:bCs w:val="0"/>
          <w:color w:val="auto"/>
          <w:spacing w:val="0"/>
          <w:w w:val="100"/>
          <w:kern w:val="2"/>
          <w:sz w:val="32"/>
          <w:szCs w:val="32"/>
          <w:highlight w:val="none"/>
          <w:lang w:eastAsia="zh-CN"/>
        </w:rPr>
        <w:t>同类</w:t>
      </w:r>
      <w:r>
        <w:rPr>
          <w:rFonts w:hint="eastAsia" w:ascii="仿宋_GB2312" w:hAnsi="仿宋_GB2312" w:eastAsia="仿宋_GB2312" w:cs="仿宋_GB2312"/>
          <w:b w:val="0"/>
          <w:bCs w:val="0"/>
          <w:color w:val="auto"/>
          <w:spacing w:val="0"/>
          <w:w w:val="100"/>
          <w:kern w:val="2"/>
          <w:sz w:val="32"/>
          <w:szCs w:val="32"/>
          <w:highlight w:val="none"/>
        </w:rPr>
        <w:t>商品、服务</w:t>
      </w:r>
      <w:r>
        <w:rPr>
          <w:rFonts w:hint="eastAsia" w:ascii="仿宋_GB2312" w:hAnsi="仿宋_GB2312" w:eastAsia="仿宋_GB2312" w:cs="仿宋_GB2312"/>
          <w:b w:val="0"/>
          <w:bCs w:val="0"/>
          <w:color w:val="auto"/>
          <w:spacing w:val="0"/>
          <w:w w:val="100"/>
          <w:kern w:val="2"/>
          <w:sz w:val="32"/>
          <w:szCs w:val="32"/>
          <w:highlight w:val="none"/>
          <w:lang w:eastAsia="zh-CN"/>
        </w:rPr>
        <w:t>、国际经贸协定允许外的进口同类商品以及我国作出国际承诺的</w:t>
      </w:r>
      <w:r>
        <w:rPr>
          <w:rFonts w:hint="eastAsia" w:ascii="仿宋_GB2312" w:hAnsi="仿宋_GB2312" w:eastAsia="仿宋_GB2312" w:cs="仿宋_GB2312"/>
          <w:b w:val="0"/>
          <w:bCs w:val="0"/>
          <w:color w:val="auto"/>
          <w:spacing w:val="0"/>
          <w:w w:val="100"/>
          <w:kern w:val="2"/>
          <w:sz w:val="32"/>
          <w:szCs w:val="32"/>
          <w:highlight w:val="none"/>
        </w:rPr>
        <w:t>和进口同类</w:t>
      </w:r>
      <w:r>
        <w:rPr>
          <w:rFonts w:hint="eastAsia" w:ascii="仿宋_GB2312" w:hAnsi="仿宋_GB2312" w:eastAsia="仿宋_GB2312" w:cs="仿宋_GB2312"/>
          <w:b w:val="0"/>
          <w:bCs w:val="0"/>
          <w:color w:val="auto"/>
          <w:spacing w:val="0"/>
          <w:w w:val="100"/>
          <w:kern w:val="2"/>
          <w:sz w:val="32"/>
          <w:szCs w:val="32"/>
          <w:highlight w:val="none"/>
          <w:lang w:eastAsia="zh-CN"/>
        </w:rPr>
        <w:t>服务</w:t>
      </w:r>
      <w:r>
        <w:rPr>
          <w:rFonts w:hint="eastAsia" w:ascii="仿宋_GB2312" w:hAnsi="仿宋_GB2312" w:eastAsia="仿宋_GB2312" w:cs="仿宋_GB2312"/>
          <w:b w:val="0"/>
          <w:bCs w:val="0"/>
          <w:color w:val="auto"/>
          <w:spacing w:val="0"/>
          <w:w w:val="100"/>
          <w:kern w:val="2"/>
          <w:sz w:val="32"/>
          <w:szCs w:val="32"/>
          <w:highlight w:val="none"/>
        </w:rPr>
        <w:t>不予补贴或者给予较低补贴</w:t>
      </w:r>
      <w:r>
        <w:rPr>
          <w:rFonts w:hint="eastAsia" w:ascii="仿宋_GB2312" w:hAnsi="仿宋_GB2312" w:eastAsia="仿宋_GB2312" w:cs="仿宋_GB2312"/>
          <w:b w:val="0"/>
          <w:bCs w:val="0"/>
          <w:color w:val="auto"/>
          <w:spacing w:val="0"/>
          <w:w w:val="100"/>
          <w:kern w:val="2"/>
          <w:sz w:val="32"/>
          <w:szCs w:val="32"/>
          <w:highlight w:val="none"/>
          <w:lang w:eastAsia="zh-CN"/>
        </w:rPr>
        <w:t>”的规定</w:t>
      </w:r>
      <w:r>
        <w:rPr>
          <w:rFonts w:hint="eastAsia" w:ascii="仿宋_GB2312" w:hAnsi="仿宋_GB2312" w:eastAsia="仿宋_GB2312" w:cs="仿宋_GB2312"/>
          <w:b w:val="0"/>
          <w:bCs w:val="0"/>
          <w:color w:val="auto"/>
          <w:spacing w:val="0"/>
          <w:w w:val="100"/>
          <w:kern w:val="2"/>
          <w:sz w:val="32"/>
          <w:szCs w:val="32"/>
          <w:highlight w:val="none"/>
        </w:rPr>
        <w:t>。</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outlineLvl w:val="1"/>
        <w:rPr>
          <w:rFonts w:hint="eastAsia" w:ascii="楷体_GB2312" w:hAnsi="楷体_GB2312" w:eastAsia="楷体_GB2312" w:cs="楷体_GB2312"/>
          <w:b w:val="0"/>
          <w:bCs w:val="0"/>
          <w:color w:val="auto"/>
          <w:spacing w:val="0"/>
          <w:w w:val="100"/>
          <w:kern w:val="2"/>
          <w:sz w:val="32"/>
          <w:szCs w:val="32"/>
          <w:highlight w:val="none"/>
          <w:lang w:val="en-US" w:eastAsia="zh-CN" w:bidi="ar"/>
        </w:rPr>
      </w:pPr>
      <w:bookmarkStart w:id="70" w:name="_Toc25967"/>
      <w:r>
        <w:rPr>
          <w:rFonts w:hint="eastAsia" w:ascii="楷体_GB2312" w:hAnsi="楷体_GB2312" w:eastAsia="楷体_GB2312" w:cs="楷体_GB2312"/>
          <w:b w:val="0"/>
          <w:bCs w:val="0"/>
          <w:color w:val="auto"/>
          <w:spacing w:val="0"/>
          <w:w w:val="100"/>
          <w:kern w:val="2"/>
          <w:sz w:val="32"/>
          <w:szCs w:val="32"/>
          <w:highlight w:val="none"/>
          <w:lang w:val="en-US" w:eastAsia="zh-CN" w:bidi="ar"/>
        </w:rPr>
        <w:t>（八）《高台县2021年制种大县（玉米）奖励政策实施方案》（高</w:t>
      </w:r>
      <w:r>
        <w:rPr>
          <w:rFonts w:hint="eastAsia" w:ascii="楷体_GB2312" w:hAnsi="楷体_GB2312" w:eastAsia="楷体_GB2312" w:cs="楷体_GB2312"/>
          <w:b w:val="0"/>
          <w:bCs w:val="0"/>
          <w:color w:val="auto"/>
          <w:spacing w:val="0"/>
          <w:w w:val="100"/>
          <w:kern w:val="2"/>
          <w:sz w:val="32"/>
          <w:szCs w:val="32"/>
          <w:highlight w:val="none"/>
          <w:lang w:eastAsia="zh-CN" w:bidi="ar"/>
        </w:rPr>
        <w:t>政</w:t>
      </w:r>
      <w:r>
        <w:rPr>
          <w:rFonts w:hint="eastAsia" w:ascii="楷体_GB2312" w:hAnsi="楷体_GB2312" w:eastAsia="楷体_GB2312" w:cs="楷体_GB2312"/>
          <w:b w:val="0"/>
          <w:bCs w:val="0"/>
          <w:color w:val="auto"/>
          <w:spacing w:val="0"/>
          <w:w w:val="100"/>
          <w:kern w:val="2"/>
          <w:sz w:val="32"/>
          <w:szCs w:val="32"/>
          <w:highlight w:val="none"/>
          <w:lang w:val="en-US" w:eastAsia="zh-CN" w:bidi="ar"/>
        </w:rPr>
        <w:t>发[2021]37号）</w:t>
      </w:r>
      <w:bookmarkEnd w:id="70"/>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711"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二）基地与企业结合共建工程。总投资3135万元，其中：奖励资金2115万元，整合项目资金及撬动社会自筹1020万元。1.安排制种大县奖励资金1500万元，实施县企共建制种基地水肥一体化建设项目，整合项目资金和撬动社会资金920万元，通过县企共建制种基地，</w:t>
            </w: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支持河南秋乐种业、金苑种业、北京顺鑫农科种业、先行种业、大康种业、高鑫种业、隆丰祥种业等实力雄厚的种子加工生产企业</w:t>
            </w:r>
            <w:r>
              <w:rPr>
                <w:rFonts w:hint="eastAsia" w:ascii="仿宋_GB2312" w:hAnsi="仿宋_GB2312" w:eastAsia="仿宋_GB2312" w:cs="仿宋_GB2312"/>
                <w:b w:val="0"/>
                <w:bCs w:val="0"/>
                <w:color w:val="auto"/>
                <w:spacing w:val="0"/>
                <w:w w:val="100"/>
                <w:kern w:val="2"/>
                <w:sz w:val="32"/>
                <w:szCs w:val="32"/>
                <w:highlight w:val="none"/>
                <w:lang w:val="en-US" w:eastAsia="zh-CN" w:bidi="ar"/>
              </w:rPr>
              <w:t>运用水肥一体化措施、有机肥替代化肥、土壤深松、废旧农膜回收、病虫害统防统治等技术改良1万亩种子基地土壤盐碱化试点工作，改良耕地质量，不断改善农业生产环境</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b.剖析论证</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snapToGrid/>
          <w:color w:val="auto"/>
          <w:spacing w:val="0"/>
          <w:w w:val="100"/>
          <w:kern w:val="0"/>
          <w:sz w:val="32"/>
          <w:szCs w:val="32"/>
          <w:highlight w:val="none"/>
          <w:lang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文件内容违反《公平竞争审查制度实施细则》“第十五条</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影响生产经营成本</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标准</w:t>
      </w:r>
      <w:r>
        <w:rPr>
          <w:rFonts w:hint="eastAsia" w:ascii="仿宋_GB2312" w:hAnsi="仿宋_GB2312" w:eastAsia="仿宋_GB2312" w:cs="仿宋_GB2312"/>
          <w:b w:val="0"/>
          <w:bCs w:val="0"/>
          <w:color w:val="auto"/>
          <w:spacing w:val="0"/>
          <w:w w:val="100"/>
          <w:kern w:val="2"/>
          <w:sz w:val="32"/>
          <w:szCs w:val="32"/>
          <w:highlight w:val="none"/>
          <w:lang w:val="en-US" w:eastAsia="zh-CN" w:bidi="ar"/>
        </w:rPr>
        <w:t>（一）不得违法给予特定经营者优惠政策、包括但不限于：1.没有法律、行政法规或者国务院规定依据，给予特定经营者财政奖励和补贴”的规定。</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楷体_GB2312" w:hAnsi="楷体_GB2312" w:eastAsia="楷体_GB2312" w:cs="楷体_GB2312"/>
          <w:b w:val="0"/>
          <w:bCs w:val="0"/>
          <w:color w:val="auto"/>
          <w:spacing w:val="0"/>
          <w:w w:val="100"/>
          <w:kern w:val="2"/>
          <w:sz w:val="32"/>
          <w:szCs w:val="32"/>
          <w:highlight w:val="none"/>
          <w:lang w:val="en-US" w:eastAsia="zh-CN" w:bidi="ar"/>
        </w:rPr>
      </w:pPr>
      <w:r>
        <w:rPr>
          <w:rFonts w:hint="eastAsia" w:ascii="楷体_GB2312" w:hAnsi="楷体_GB2312" w:eastAsia="楷体_GB2312" w:cs="楷体_GB2312"/>
          <w:b w:val="0"/>
          <w:bCs w:val="0"/>
          <w:color w:val="auto"/>
          <w:spacing w:val="0"/>
          <w:w w:val="100"/>
          <w:kern w:val="2"/>
          <w:sz w:val="32"/>
          <w:szCs w:val="32"/>
          <w:highlight w:val="none"/>
          <w:lang w:val="en-US" w:eastAsia="zh-CN" w:bidi="ar"/>
        </w:rPr>
        <w:t>（九）《高台县2022年促消费扩内需专项行动实施方案》（高</w:t>
      </w:r>
      <w:r>
        <w:rPr>
          <w:rFonts w:hint="eastAsia" w:ascii="楷体_GB2312" w:hAnsi="楷体_GB2312" w:eastAsia="楷体_GB2312" w:cs="楷体_GB2312"/>
          <w:b w:val="0"/>
          <w:bCs w:val="0"/>
          <w:color w:val="auto"/>
          <w:spacing w:val="0"/>
          <w:w w:val="100"/>
          <w:kern w:val="2"/>
          <w:sz w:val="32"/>
          <w:szCs w:val="32"/>
          <w:highlight w:val="none"/>
          <w:lang w:eastAsia="zh-CN" w:bidi="ar"/>
        </w:rPr>
        <w:t>政</w:t>
      </w:r>
      <w:r>
        <w:rPr>
          <w:rFonts w:hint="eastAsia" w:ascii="楷体_GB2312" w:hAnsi="楷体_GB2312" w:eastAsia="楷体_GB2312" w:cs="楷体_GB2312"/>
          <w:b w:val="0"/>
          <w:bCs w:val="0"/>
          <w:color w:val="auto"/>
          <w:spacing w:val="0"/>
          <w:w w:val="100"/>
          <w:kern w:val="2"/>
          <w:sz w:val="32"/>
          <w:szCs w:val="32"/>
          <w:highlight w:val="none"/>
          <w:lang w:val="en-US" w:eastAsia="zh-CN" w:bidi="ar"/>
        </w:rPr>
        <w:t>办发[2022]35号）</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711"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（二）开展汽车及成品油联动促销活动配套促销活动资金7.5万元。活动内容：组织县域内汽车销售企业、限上成品油经销企业联动开展购车送加油卡补助促销活动。2022年5月1日至12月15日</w:t>
            </w: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在我县汽车经销企业购买车辆并在我县开具购车发票、缴纳车辆购置税的消费者，按照购买10万元以下车辆补贴1000元、10万元-20万元车辆补贴2000元、20万元以上车辆补贴3000元加油卡的标准，直接对消费者新购家用汽车进行补贴，同时参加活动的汽车经销企业、成品油经销企业要配套适当比例的优惠政策，加大促消费刺激力度</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b.剖析论证</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snapToGrid/>
          <w:color w:val="auto"/>
          <w:spacing w:val="0"/>
          <w:w w:val="100"/>
          <w:kern w:val="0"/>
          <w:sz w:val="32"/>
          <w:szCs w:val="32"/>
          <w:highlight w:val="none"/>
          <w:lang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文件内容违反《公平竞争审查制度实施细则》“第十五条</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影响生产经营成本</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标准</w:t>
      </w:r>
      <w:r>
        <w:rPr>
          <w:rFonts w:hint="eastAsia" w:ascii="仿宋_GB2312" w:hAnsi="仿宋_GB2312" w:eastAsia="仿宋_GB2312" w:cs="仿宋_GB2312"/>
          <w:b w:val="0"/>
          <w:bCs w:val="0"/>
          <w:color w:val="auto"/>
          <w:spacing w:val="0"/>
          <w:w w:val="100"/>
          <w:kern w:val="2"/>
          <w:sz w:val="32"/>
          <w:szCs w:val="32"/>
          <w:highlight w:val="none"/>
          <w:lang w:val="en-US" w:eastAsia="zh-CN" w:bidi="ar"/>
        </w:rPr>
        <w:t>（一）不得违法给予特定经营者优惠政策、包括但不限于：1.没有法律、行政法规或者国务院规定依据，给予特定经营者财政奖励和补贴”的规定。</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楷体_GB2312" w:hAnsi="楷体_GB2312" w:eastAsia="楷体_GB2312" w:cs="楷体_GB2312"/>
          <w:b w:val="0"/>
          <w:bCs w:val="0"/>
          <w:color w:val="auto"/>
          <w:spacing w:val="0"/>
          <w:w w:val="100"/>
          <w:kern w:val="2"/>
          <w:sz w:val="32"/>
          <w:szCs w:val="32"/>
          <w:highlight w:val="none"/>
          <w:lang w:val="en-US" w:eastAsia="zh-CN" w:bidi="ar"/>
        </w:rPr>
      </w:pPr>
      <w:r>
        <w:rPr>
          <w:rFonts w:hint="eastAsia" w:ascii="楷体_GB2312" w:hAnsi="楷体_GB2312" w:eastAsia="楷体_GB2312" w:cs="楷体_GB2312"/>
          <w:b w:val="0"/>
          <w:bCs w:val="0"/>
          <w:color w:val="auto"/>
          <w:spacing w:val="0"/>
          <w:w w:val="100"/>
          <w:kern w:val="2"/>
          <w:sz w:val="32"/>
          <w:szCs w:val="32"/>
          <w:highlight w:val="none"/>
          <w:lang w:val="en-US" w:eastAsia="zh-CN" w:bidi="ar"/>
        </w:rPr>
        <w:t>（十）《高台县支持乡村产业振兴创业担保贷款工作实施方案（试行）》（高</w:t>
      </w:r>
      <w:r>
        <w:rPr>
          <w:rFonts w:hint="eastAsia" w:ascii="楷体_GB2312" w:hAnsi="楷体_GB2312" w:eastAsia="楷体_GB2312" w:cs="楷体_GB2312"/>
          <w:b w:val="0"/>
          <w:bCs w:val="0"/>
          <w:color w:val="auto"/>
          <w:spacing w:val="0"/>
          <w:w w:val="100"/>
          <w:kern w:val="2"/>
          <w:sz w:val="32"/>
          <w:szCs w:val="32"/>
          <w:highlight w:val="none"/>
          <w:lang w:eastAsia="zh-CN" w:bidi="ar"/>
        </w:rPr>
        <w:t>政</w:t>
      </w:r>
      <w:r>
        <w:rPr>
          <w:rFonts w:hint="eastAsia" w:ascii="楷体_GB2312" w:hAnsi="楷体_GB2312" w:eastAsia="楷体_GB2312" w:cs="楷体_GB2312"/>
          <w:b w:val="0"/>
          <w:bCs w:val="0"/>
          <w:color w:val="auto"/>
          <w:spacing w:val="0"/>
          <w:w w:val="100"/>
          <w:kern w:val="2"/>
          <w:sz w:val="32"/>
          <w:szCs w:val="32"/>
          <w:highlight w:val="none"/>
          <w:lang w:val="en-US" w:eastAsia="zh-CN" w:bidi="ar"/>
        </w:rPr>
        <w:t>办发[2022]39号）</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711"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三、主要内容（一）乡村产业振兴创业担保贷款乡村产业振兴创业担保贷款，是指以具备规定条件的创业者为借款人，</w:t>
            </w:r>
            <w:r>
              <w:rPr>
                <w:rFonts w:hint="eastAsia" w:ascii="仿宋_GB2312" w:hAnsi="仿宋_GB2312" w:eastAsia="仿宋_GB2312" w:cs="仿宋_GB2312"/>
                <w:b w:val="0"/>
                <w:bCs w:val="0"/>
                <w:snapToGrid/>
                <w:color w:val="auto"/>
                <w:spacing w:val="0"/>
                <w:w w:val="100"/>
                <w:kern w:val="0"/>
                <w:sz w:val="32"/>
                <w:szCs w:val="32"/>
                <w:highlight w:val="none"/>
                <w:u w:val="none"/>
                <w:lang w:val="en-US" w:eastAsia="zh-CN" w:bidi="ar"/>
              </w:rPr>
              <w:t>具体承贷银行发放，</w:t>
            </w:r>
            <w:r>
              <w:rPr>
                <w:rFonts w:hint="eastAsia" w:ascii="仿宋_GB2312" w:hAnsi="仿宋_GB2312" w:eastAsia="仿宋_GB2312" w:cs="仿宋_GB2312"/>
                <w:b w:val="0"/>
                <w:bCs w:val="0"/>
                <w:snapToGrid/>
                <w:color w:val="auto"/>
                <w:spacing w:val="0"/>
                <w:w w:val="100"/>
                <w:kern w:val="0"/>
                <w:sz w:val="32"/>
                <w:szCs w:val="32"/>
                <w:highlight w:val="none"/>
                <w:u w:val="single"/>
                <w:lang w:val="en-US" w:eastAsia="zh-CN" w:bidi="ar"/>
              </w:rPr>
              <w:t>财政部门给予部分贴息</w:t>
            </w:r>
            <w:r>
              <w:rPr>
                <w:rFonts w:hint="eastAsia" w:ascii="仿宋_GB2312" w:hAnsi="仿宋_GB2312" w:eastAsia="仿宋_GB2312" w:cs="仿宋_GB2312"/>
                <w:b w:val="0"/>
                <w:bCs w:val="0"/>
                <w:snapToGrid/>
                <w:color w:val="auto"/>
                <w:spacing w:val="0"/>
                <w:w w:val="100"/>
                <w:kern w:val="0"/>
                <w:sz w:val="32"/>
                <w:szCs w:val="32"/>
                <w:highlight w:val="none"/>
                <w:u w:val="none"/>
                <w:lang w:val="en-US" w:eastAsia="zh-CN" w:bidi="ar"/>
              </w:rPr>
              <w:t>，用于支持自主创业助力乡村产业振兴的贷款业务。</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由县人社部门负责发放的创业担保贷款基金担保的创业担保贷款不适用本《实施方案（试行）》。（二）扶持对象1.贷款范围：是指在限定年龄内（男性57岁以内，女性52岁以内）、具有完全民事行为能力，</w:t>
            </w:r>
            <w:r>
              <w:rPr>
                <w:rFonts w:hint="eastAsia" w:ascii="仿宋_GB2312" w:hAnsi="仿宋_GB2312" w:eastAsia="仿宋_GB2312" w:cs="仿宋_GB2312"/>
                <w:b w:val="0"/>
                <w:bCs w:val="0"/>
                <w:snapToGrid/>
                <w:color w:val="auto"/>
                <w:spacing w:val="0"/>
                <w:w w:val="100"/>
                <w:kern w:val="0"/>
                <w:sz w:val="32"/>
                <w:szCs w:val="32"/>
                <w:highlight w:val="none"/>
                <w:u w:val="single"/>
                <w:lang w:val="en-US" w:eastAsia="zh-CN" w:bidi="ar"/>
              </w:rPr>
              <w:t>在高台县境内从事个体经营、合伙创业或者组织起来创业的农村居民</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。2.贷款对象：农村居民中的返乡创业农民工、自主创业农民、网络商户、已脱贫人口、高校毕业生、复员转业退役军人、刑满释放人员。</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b.剖析论证</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snapToGrid/>
          <w:color w:val="auto"/>
          <w:spacing w:val="0"/>
          <w:w w:val="100"/>
          <w:kern w:val="0"/>
          <w:sz w:val="32"/>
          <w:szCs w:val="32"/>
          <w:highlight w:val="none"/>
          <w:lang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文件内容违反《公平竞争审查制度实施细则》“第十五条</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影响生产经营成本</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标准</w:t>
      </w:r>
      <w:r>
        <w:rPr>
          <w:rFonts w:hint="eastAsia" w:ascii="仿宋_GB2312" w:hAnsi="仿宋_GB2312" w:eastAsia="仿宋_GB2312" w:cs="仿宋_GB2312"/>
          <w:b w:val="0"/>
          <w:bCs w:val="0"/>
          <w:color w:val="auto"/>
          <w:spacing w:val="0"/>
          <w:w w:val="100"/>
          <w:kern w:val="2"/>
          <w:sz w:val="32"/>
          <w:szCs w:val="32"/>
          <w:highlight w:val="none"/>
          <w:lang w:val="en-US" w:eastAsia="zh-CN" w:bidi="ar"/>
        </w:rPr>
        <w:t>（一）不得违法给予特定经营者优惠政策、包括但不限于：1.没有法律、行政法规或者国务院规定依据，给予特定经营者财政奖励和补贴”的规定。</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楷体_GB2312" w:hAnsi="楷体_GB2312" w:eastAsia="楷体_GB2312" w:cs="楷体_GB2312"/>
          <w:b w:val="0"/>
          <w:bCs w:val="0"/>
          <w:color w:val="auto"/>
          <w:spacing w:val="0"/>
          <w:w w:val="100"/>
          <w:kern w:val="2"/>
          <w:sz w:val="32"/>
          <w:szCs w:val="32"/>
          <w:highlight w:val="none"/>
          <w:lang w:val="en-US" w:eastAsia="zh-CN" w:bidi="ar"/>
        </w:rPr>
      </w:pPr>
      <w:r>
        <w:rPr>
          <w:rFonts w:hint="eastAsia" w:ascii="楷体_GB2312" w:hAnsi="楷体_GB2312" w:eastAsia="楷体_GB2312" w:cs="楷体_GB2312"/>
          <w:b w:val="0"/>
          <w:bCs w:val="0"/>
          <w:color w:val="auto"/>
          <w:spacing w:val="0"/>
          <w:w w:val="100"/>
          <w:kern w:val="2"/>
          <w:sz w:val="32"/>
          <w:szCs w:val="32"/>
          <w:highlight w:val="none"/>
          <w:lang w:val="en-US" w:eastAsia="zh-CN" w:bidi="ar"/>
        </w:rPr>
        <w:t>（十一）《高台县2022年制种大县奖励资金项目实施方案》(高</w:t>
      </w:r>
      <w:r>
        <w:rPr>
          <w:rFonts w:hint="eastAsia" w:ascii="楷体_GB2312" w:hAnsi="楷体_GB2312" w:eastAsia="楷体_GB2312" w:cs="楷体_GB2312"/>
          <w:b w:val="0"/>
          <w:bCs w:val="0"/>
          <w:color w:val="auto"/>
          <w:spacing w:val="0"/>
          <w:w w:val="100"/>
          <w:kern w:val="2"/>
          <w:sz w:val="32"/>
          <w:szCs w:val="32"/>
          <w:highlight w:val="none"/>
          <w:lang w:eastAsia="zh-CN" w:bidi="ar"/>
        </w:rPr>
        <w:t>政</w:t>
      </w:r>
      <w:r>
        <w:rPr>
          <w:rFonts w:hint="eastAsia" w:ascii="楷体_GB2312" w:hAnsi="楷体_GB2312" w:eastAsia="楷体_GB2312" w:cs="楷体_GB2312"/>
          <w:b w:val="0"/>
          <w:bCs w:val="0"/>
          <w:color w:val="auto"/>
          <w:spacing w:val="0"/>
          <w:w w:val="100"/>
          <w:kern w:val="2"/>
          <w:sz w:val="32"/>
          <w:szCs w:val="32"/>
          <w:highlight w:val="none"/>
          <w:lang w:val="en-US" w:eastAsia="zh-CN" w:bidi="ar"/>
        </w:rPr>
        <w:t>发[2022]45号)</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a.问题内容条款</w:t>
      </w:r>
    </w:p>
    <w:tbl>
      <w:tblPr>
        <w:tblStyle w:val="49"/>
        <w:tblpPr w:leftFromText="180" w:rightFromText="180" w:vertAnchor="text" w:horzAnchor="page" w:tblpX="1595" w:tblpY="512"/>
        <w:tblOverlap w:val="never"/>
        <w:tblW w:w="8794" w:type="dxa"/>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8794"/>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711" w:hRule="atLeast"/>
        </w:trPr>
        <w:tc>
          <w:tcPr>
            <w:tcW w:w="8794"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20"/>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三）种业科技创新工程。安排325万元，用于以下3个项目建设。（1）安排50万元，支持龙头企业建立技术设备先进、运转高效的研发机构，组建科研团队，开展农作物商业化育种，对当年新选育的国审品种每个补贴20万元；对新选育的省审玉米品种每个补贴10万元。</w:t>
            </w: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对辖区企业取得植物新品种权品种企业进行奖补</w:t>
            </w:r>
            <w:r>
              <w:rPr>
                <w:rFonts w:hint="eastAsia" w:ascii="仿宋_GB2312" w:hAnsi="仿宋_GB2312" w:eastAsia="仿宋_GB2312" w:cs="仿宋_GB2312"/>
                <w:b w:val="0"/>
                <w:bCs w:val="0"/>
                <w:color w:val="auto"/>
                <w:spacing w:val="0"/>
                <w:w w:val="100"/>
                <w:kern w:val="2"/>
                <w:sz w:val="32"/>
                <w:szCs w:val="32"/>
                <w:highlight w:val="none"/>
                <w:u w:val="none"/>
                <w:lang w:val="en-US" w:eastAsia="zh-CN" w:bidi="ar"/>
              </w:rPr>
              <w:t>，对有两个知识产权人的按补贴资金的60%、40%比例予以补贴，有三个知识产权人的前三名按补贴资金的50%、30%、20%比例补贴。</w:t>
            </w:r>
            <w:r>
              <w:rPr>
                <w:rFonts w:hint="eastAsia" w:ascii="仿宋_GB2312" w:hAnsi="仿宋_GB2312" w:eastAsia="仿宋_GB2312" w:cs="仿宋_GB2312"/>
                <w:b w:val="0"/>
                <w:bCs w:val="0"/>
                <w:color w:val="auto"/>
                <w:spacing w:val="0"/>
                <w:w w:val="100"/>
                <w:kern w:val="2"/>
                <w:sz w:val="32"/>
                <w:szCs w:val="32"/>
                <w:highlight w:val="none"/>
                <w:lang w:val="en-US" w:eastAsia="zh-CN" w:bidi="ar"/>
              </w:rPr>
              <w:t>有购买玉米新品种权套取补贴资金行为的，取消补贴。（2）安排75万元，用于支持我县玉米制种生产托管服务示范、玉米制种智能物联网水肥一体化示范、玉米制种标准化生产技术示范、玉米制种机械化示范、玉米制种绿色防控示范5个省级示范点创建工作，以及示范点农资、劳务补贴、环境整治、机械使用、宣传资料等费用支出。（3）安排200万元支持种子商业化育种中心一期项目（先行种业种子研究院）建设。（四）种子加工能力提升工程。安排670万元，用于以下3个项目建设。</w:t>
            </w:r>
            <w:r>
              <w:rPr>
                <w:rFonts w:hint="eastAsia" w:ascii="仿宋_GB2312" w:hAnsi="仿宋_GB2312" w:eastAsia="仿宋_GB2312" w:cs="仿宋_GB2312"/>
                <w:b w:val="0"/>
                <w:bCs w:val="0"/>
                <w:color w:val="auto"/>
                <w:spacing w:val="0"/>
                <w:w w:val="100"/>
                <w:kern w:val="2"/>
                <w:sz w:val="32"/>
                <w:szCs w:val="32"/>
                <w:highlight w:val="none"/>
                <w:u w:val="none"/>
                <w:lang w:val="en-US" w:eastAsia="zh-CN" w:bidi="ar"/>
              </w:rPr>
              <w:t>（1）安排200万元，支持制种企业改建果穗剥皮生产线10条，</w:t>
            </w: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其中隆丰祥种业建设4条果穗剥皮生产线、先行种业建设4条果穗剥皮生产线，中农大康公司2条，采取“先建后补”方式补贴</w:t>
            </w:r>
            <w:r>
              <w:rPr>
                <w:rFonts w:hint="eastAsia" w:ascii="仿宋_GB2312" w:hAnsi="仿宋_GB2312" w:eastAsia="仿宋_GB2312" w:cs="仿宋_GB2312"/>
                <w:b w:val="0"/>
                <w:bCs w:val="0"/>
                <w:color w:val="auto"/>
                <w:spacing w:val="0"/>
                <w:w w:val="100"/>
                <w:kern w:val="2"/>
                <w:sz w:val="32"/>
                <w:szCs w:val="32"/>
                <w:highlight w:val="none"/>
                <w:u w:val="none"/>
                <w:lang w:val="en-US" w:eastAsia="zh-CN" w:bidi="ar"/>
              </w:rPr>
              <w:t>，补贴金额不超过企业投资金额的30%。</w:t>
            </w:r>
            <w:r>
              <w:rPr>
                <w:rFonts w:hint="eastAsia" w:ascii="仿宋_GB2312" w:hAnsi="仿宋_GB2312" w:eastAsia="仿宋_GB2312" w:cs="仿宋_GB2312"/>
                <w:b w:val="0"/>
                <w:bCs w:val="0"/>
                <w:color w:val="auto"/>
                <w:spacing w:val="0"/>
                <w:w w:val="100"/>
                <w:kern w:val="2"/>
                <w:sz w:val="32"/>
                <w:szCs w:val="32"/>
                <w:highlight w:val="none"/>
                <w:lang w:val="en-US" w:eastAsia="zh-CN" w:bidi="ar"/>
              </w:rPr>
              <w:t>（2）安排400万元在高台先行种业加工厂内建设公共使用的种子小包装生产线1条。</w:t>
            </w:r>
            <w:r>
              <w:rPr>
                <w:rFonts w:hint="eastAsia" w:ascii="仿宋_GB2312" w:hAnsi="仿宋_GB2312" w:eastAsia="仿宋_GB2312" w:cs="仿宋_GB2312"/>
                <w:b w:val="0"/>
                <w:bCs w:val="0"/>
                <w:color w:val="auto"/>
                <w:spacing w:val="0"/>
                <w:w w:val="100"/>
                <w:kern w:val="2"/>
                <w:sz w:val="32"/>
                <w:szCs w:val="32"/>
                <w:highlight w:val="none"/>
                <w:u w:val="none"/>
                <w:lang w:val="en-US" w:eastAsia="zh-CN" w:bidi="ar"/>
              </w:rPr>
              <w:t>（3）安排70万元，</w:t>
            </w: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扶持高台中农大康科技开发有限公司改造种子果穗及籽粒生产线燃煤锅炉2台，其中果穗烘干线热风炉1台，籽粒烘干线热风炉1台，采取“先建后补”方式补贴</w:t>
            </w:r>
            <w:r>
              <w:rPr>
                <w:rFonts w:hint="eastAsia" w:ascii="仿宋_GB2312" w:hAnsi="仿宋_GB2312" w:eastAsia="仿宋_GB2312" w:cs="仿宋_GB2312"/>
                <w:b w:val="0"/>
                <w:bCs w:val="0"/>
                <w:color w:val="auto"/>
                <w:spacing w:val="0"/>
                <w:w w:val="100"/>
                <w:kern w:val="2"/>
                <w:sz w:val="32"/>
                <w:szCs w:val="32"/>
                <w:highlight w:val="none"/>
                <w:u w:val="none"/>
                <w:lang w:val="en-US" w:eastAsia="zh-CN" w:bidi="ar"/>
              </w:rPr>
              <w:t>，补贴金额不超过企业投资金额的30%</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b.剖析论证</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文件内容违反《公平竞争审查制度实施细则》“第十五条</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影响生产经营成本</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标准</w:t>
      </w:r>
      <w:r>
        <w:rPr>
          <w:rFonts w:hint="eastAsia" w:ascii="仿宋_GB2312" w:hAnsi="仿宋_GB2312" w:eastAsia="仿宋_GB2312" w:cs="仿宋_GB2312"/>
          <w:b w:val="0"/>
          <w:bCs w:val="0"/>
          <w:color w:val="auto"/>
          <w:spacing w:val="0"/>
          <w:w w:val="100"/>
          <w:kern w:val="2"/>
          <w:sz w:val="32"/>
          <w:szCs w:val="32"/>
          <w:highlight w:val="none"/>
          <w:lang w:val="en-US" w:eastAsia="zh-CN" w:bidi="ar"/>
        </w:rPr>
        <w:t>（一）不得违法给予特定经营者优惠政策、包括但不限于：1.没有法律、行政法规或者国务院规定依据，给予特定经营者财政奖励和补贴”的规定。</w:t>
      </w:r>
    </w:p>
    <w:p>
      <w:pPr>
        <w:pStyle w:val="4"/>
        <w:pageBreakBefore w:val="0"/>
        <w:kinsoku/>
        <w:wordWrap/>
        <w:overflowPunct/>
        <w:topLinePunct/>
        <w:autoSpaceDE/>
        <w:autoSpaceDN/>
        <w:bidi w:val="0"/>
        <w:adjustRightInd w:val="0"/>
        <w:snapToGrid w:val="0"/>
        <w:spacing w:before="0" w:beforeAutospacing="0" w:after="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bookmarkStart w:id="71" w:name="_Toc101045486"/>
      <w:bookmarkStart w:id="72" w:name="_Toc14387"/>
      <w:r>
        <w:rPr>
          <w:rFonts w:hint="eastAsia" w:ascii="黑体" w:hAnsi="黑体" w:eastAsia="黑体" w:cs="黑体"/>
          <w:b w:val="0"/>
          <w:bCs w:val="0"/>
          <w:color w:val="auto"/>
          <w:spacing w:val="0"/>
          <w:w w:val="100"/>
          <w:sz w:val="32"/>
          <w:szCs w:val="32"/>
          <w:highlight w:val="none"/>
        </w:rPr>
        <w:t>二、违反“</w:t>
      </w:r>
      <w:r>
        <w:rPr>
          <w:rFonts w:hint="eastAsia" w:ascii="黑体" w:hAnsi="黑体" w:eastAsia="黑体" w:cs="黑体"/>
          <w:b w:val="0"/>
          <w:bCs w:val="0"/>
          <w:color w:val="auto"/>
          <w:spacing w:val="0"/>
          <w:w w:val="100"/>
          <w:sz w:val="32"/>
          <w:szCs w:val="32"/>
          <w:highlight w:val="none"/>
          <w:lang w:eastAsia="zh-CN"/>
        </w:rPr>
        <w:t>市场准入和退出标准</w:t>
      </w:r>
      <w:r>
        <w:rPr>
          <w:rFonts w:hint="eastAsia" w:ascii="黑体" w:hAnsi="黑体" w:eastAsia="黑体" w:cs="黑体"/>
          <w:b w:val="0"/>
          <w:bCs w:val="0"/>
          <w:color w:val="auto"/>
          <w:spacing w:val="0"/>
          <w:w w:val="100"/>
          <w:sz w:val="32"/>
          <w:szCs w:val="32"/>
          <w:highlight w:val="none"/>
        </w:rPr>
        <w:t>”</w:t>
      </w:r>
      <w:bookmarkEnd w:id="71"/>
      <w:bookmarkEnd w:id="72"/>
    </w:p>
    <w:p>
      <w:pPr>
        <w:keepNext w:val="0"/>
        <w:keepLines w:val="0"/>
        <w:pageBreakBefore w:val="0"/>
        <w:widowControl w:val="0"/>
        <w:numPr>
          <w:ilvl w:val="0"/>
          <w:numId w:val="0"/>
        </w:numPr>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楷体_GB2312" w:hAnsi="楷体_GB2312" w:eastAsia="楷体_GB2312" w:cs="楷体_GB2312"/>
          <w:b w:val="0"/>
          <w:bCs w:val="0"/>
          <w:color w:val="auto"/>
          <w:spacing w:val="0"/>
          <w:w w:val="100"/>
          <w:sz w:val="32"/>
          <w:szCs w:val="32"/>
          <w:highlight w:val="none"/>
        </w:rPr>
      </w:pPr>
      <w:r>
        <w:rPr>
          <w:rFonts w:hint="eastAsia" w:ascii="楷体_GB2312" w:hAnsi="楷体_GB2312" w:eastAsia="楷体_GB2312" w:cs="楷体_GB2312"/>
          <w:b w:val="0"/>
          <w:bCs w:val="0"/>
          <w:color w:val="auto"/>
          <w:spacing w:val="0"/>
          <w:w w:val="100"/>
          <w:sz w:val="32"/>
          <w:szCs w:val="32"/>
          <w:highlight w:val="none"/>
          <w:lang w:eastAsia="zh-CN"/>
        </w:rPr>
        <w:t>（一）</w:t>
      </w:r>
      <w:r>
        <w:rPr>
          <w:rFonts w:hint="eastAsia" w:ascii="楷体_GB2312" w:hAnsi="楷体_GB2312" w:eastAsia="楷体_GB2312" w:cs="楷体_GB2312"/>
          <w:b w:val="0"/>
          <w:bCs w:val="0"/>
          <w:color w:val="auto"/>
          <w:spacing w:val="0"/>
          <w:w w:val="100"/>
          <w:sz w:val="32"/>
          <w:szCs w:val="32"/>
          <w:highlight w:val="none"/>
          <w:vertAlign w:val="baseline"/>
          <w:lang w:eastAsia="zh-CN"/>
        </w:rPr>
        <w:t>《</w:t>
      </w:r>
      <w:r>
        <w:rPr>
          <w:rFonts w:hint="eastAsia" w:ascii="楷体_GB2312" w:hAnsi="楷体_GB2312" w:eastAsia="楷体_GB2312" w:cs="楷体_GB2312"/>
          <w:b w:val="0"/>
          <w:bCs w:val="0"/>
          <w:color w:val="auto"/>
          <w:spacing w:val="0"/>
          <w:w w:val="100"/>
          <w:sz w:val="32"/>
          <w:szCs w:val="32"/>
          <w:highlight w:val="none"/>
          <w:vertAlign w:val="baseline"/>
        </w:rPr>
        <w:t>甘州区2021年农村炕烟炉烟污染治理办法</w:t>
      </w:r>
      <w:r>
        <w:rPr>
          <w:rFonts w:hint="eastAsia" w:ascii="楷体_GB2312" w:hAnsi="楷体_GB2312" w:eastAsia="楷体_GB2312" w:cs="楷体_GB2312"/>
          <w:b w:val="0"/>
          <w:bCs w:val="0"/>
          <w:color w:val="auto"/>
          <w:spacing w:val="0"/>
          <w:w w:val="100"/>
          <w:sz w:val="32"/>
          <w:szCs w:val="32"/>
          <w:highlight w:val="none"/>
          <w:vertAlign w:val="baseline"/>
          <w:lang w:eastAsia="zh-CN"/>
        </w:rPr>
        <w:t>》</w:t>
      </w:r>
      <w:r>
        <w:rPr>
          <w:rFonts w:hint="eastAsia" w:ascii="楷体_GB2312" w:hAnsi="楷体_GB2312" w:eastAsia="楷体_GB2312" w:cs="楷体_GB2312"/>
          <w:b w:val="0"/>
          <w:bCs w:val="0"/>
          <w:color w:val="auto"/>
          <w:spacing w:val="0"/>
          <w:w w:val="100"/>
          <w:sz w:val="32"/>
          <w:szCs w:val="32"/>
          <w:highlight w:val="none"/>
          <w:lang w:eastAsia="zh-CN"/>
        </w:rPr>
        <w:t>（甘区政办发[2021]4</w:t>
      </w:r>
      <w:r>
        <w:rPr>
          <w:rFonts w:hint="eastAsia" w:ascii="楷体_GB2312" w:hAnsi="楷体_GB2312" w:eastAsia="楷体_GB2312" w:cs="楷体_GB2312"/>
          <w:b w:val="0"/>
          <w:bCs w:val="0"/>
          <w:color w:val="auto"/>
          <w:spacing w:val="0"/>
          <w:w w:val="100"/>
          <w:sz w:val="32"/>
          <w:szCs w:val="32"/>
          <w:highlight w:val="none"/>
          <w:lang w:val="en-US" w:eastAsia="zh-CN"/>
        </w:rPr>
        <w:t>1</w:t>
      </w:r>
      <w:r>
        <w:rPr>
          <w:rFonts w:hint="eastAsia" w:ascii="楷体_GB2312" w:hAnsi="楷体_GB2312" w:eastAsia="楷体_GB2312" w:cs="楷体_GB2312"/>
          <w:b w:val="0"/>
          <w:bCs w:val="0"/>
          <w:color w:val="auto"/>
          <w:spacing w:val="0"/>
          <w:w w:val="100"/>
          <w:sz w:val="32"/>
          <w:szCs w:val="32"/>
          <w:highlight w:val="none"/>
          <w:lang w:eastAsia="zh-CN"/>
        </w:rPr>
        <w:t>号）</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771"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文件第5页</w:t>
            </w:r>
          </w:p>
          <w:p>
            <w:pPr>
              <w:keepNext w:val="0"/>
              <w:keepLines w:val="0"/>
              <w:pageBreakBefore w:val="0"/>
              <w:widowControl/>
              <w:numPr>
                <w:ilvl w:val="0"/>
                <w:numId w:val="3"/>
              </w:numPr>
              <w:suppressLineNumbers w:val="0"/>
              <w:kinsoku/>
              <w:wordWrap/>
              <w:overflowPunct/>
              <w:topLinePunct/>
              <w:autoSpaceDE/>
              <w:autoSpaceDN/>
              <w:bidi w:val="0"/>
              <w:adjustRightInd w:val="0"/>
              <w:snapToGrid w:val="0"/>
              <w:spacing w:before="0" w:beforeAutospacing="0" w:after="0" w:afterAutospacing="0" w:line="540" w:lineRule="exact"/>
              <w:ind w:left="0" w:leftChars="0" w:right="0" w:rightChars="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保障设施</w:t>
            </w:r>
          </w:p>
          <w:p>
            <w:pPr>
              <w:keepNext w:val="0"/>
              <w:keepLines w:val="0"/>
              <w:pageBreakBefore w:val="0"/>
              <w:widowControl/>
              <w:numPr>
                <w:ilvl w:val="0"/>
                <w:numId w:val="4"/>
              </w:numPr>
              <w:suppressLineNumbers w:val="0"/>
              <w:kinsoku/>
              <w:wordWrap/>
              <w:overflowPunct/>
              <w:topLinePunct/>
              <w:autoSpaceDE/>
              <w:autoSpaceDN/>
              <w:bidi w:val="0"/>
              <w:adjustRightInd w:val="0"/>
              <w:snapToGrid w:val="0"/>
              <w:spacing w:before="0" w:beforeAutospacing="0" w:after="0" w:afterAutospacing="0" w:line="540" w:lineRule="exact"/>
              <w:ind w:left="0" w:leftChars="0" w:right="0" w:rightChars="0" w:firstLine="640" w:firstLineChars="200"/>
              <w:jc w:val="both"/>
              <w:textAlignment w:val="baseline"/>
              <w:rPr>
                <w:rFonts w:hint="eastAsia" w:ascii="仿宋_GB2312" w:hAnsi="仿宋_GB2312" w:eastAsia="仿宋_GB2312" w:cs="仿宋_GB2312"/>
                <w:b w:val="0"/>
                <w:bCs w:val="0"/>
                <w:color w:val="auto"/>
                <w:spacing w:val="0"/>
                <w:w w:val="100"/>
                <w:position w:val="0"/>
                <w:sz w:val="32"/>
                <w:szCs w:val="32"/>
                <w:highlight w:val="none"/>
              </w:rPr>
            </w:pPr>
            <w:r>
              <w:rPr>
                <w:rFonts w:hint="eastAsia" w:ascii="仿宋_GB2312" w:hAnsi="仿宋_GB2312" w:eastAsia="仿宋_GB2312" w:cs="仿宋_GB2312"/>
                <w:b w:val="0"/>
                <w:bCs w:val="0"/>
                <w:color w:val="auto"/>
                <w:spacing w:val="0"/>
                <w:w w:val="100"/>
                <w:position w:val="0"/>
                <w:sz w:val="32"/>
                <w:szCs w:val="32"/>
                <w:highlight w:val="none"/>
              </w:rPr>
              <w:t>严把工作环节</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0" w:beforeAutospacing="0" w:after="0" w:afterAutospacing="0" w:line="540" w:lineRule="exact"/>
              <w:ind w:left="0" w:leftChars="0" w:right="0" w:rightChars="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position w:val="0"/>
                <w:sz w:val="32"/>
                <w:szCs w:val="32"/>
                <w:highlight w:val="none"/>
                <w:u w:val="single"/>
              </w:rPr>
              <w:t>一是严格进行资格审核。相关部门要协同配合，对本年度开展土炕、小煤炉改造的施工企业营业执照、法人信息、产品质量、技术水平、消防安全、售后服务进行严格的资格审核，对通过审核的施工企业，要在市场监管部门统一备案。</w:t>
            </w:r>
            <w:r>
              <w:rPr>
                <w:rFonts w:hint="eastAsia" w:ascii="仿宋_GB2312" w:hAnsi="仿宋_GB2312" w:eastAsia="仿宋_GB2312" w:cs="仿宋_GB2312"/>
                <w:b w:val="0"/>
                <w:bCs w:val="0"/>
                <w:color w:val="auto"/>
                <w:spacing w:val="0"/>
                <w:w w:val="100"/>
                <w:position w:val="0"/>
                <w:sz w:val="32"/>
                <w:szCs w:val="32"/>
                <w:highlight w:val="none"/>
              </w:rPr>
              <w:t>二是招标确定施工企业。要严格按照公开透明、市场化运作的要求，采取公开招投标方式，从通过审核的施工企业中选择信誉良好、技术过硬、质量可靠、售后便捷、群众认可的施工企业开展炕烟炉烟治理工作。</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b.剖析论证</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文件内容违反《公平竞争审查制度实施细则》“第十三条市场准入和退出标准</w:t>
      </w:r>
      <w:r>
        <w:rPr>
          <w:rFonts w:hint="eastAsia" w:ascii="仿宋_GB2312" w:hAnsi="仿宋_GB2312" w:eastAsia="仿宋_GB2312" w:cs="仿宋_GB2312"/>
          <w:b w:val="0"/>
          <w:bCs w:val="0"/>
          <w:color w:val="auto"/>
          <w:spacing w:val="0"/>
          <w:w w:val="100"/>
          <w:sz w:val="32"/>
          <w:szCs w:val="32"/>
          <w:highlight w:val="none"/>
        </w:rPr>
        <w:t>（四）不得设置没有法律、行政法规或者国务院规定依据的审批或者具有行政审批性质的事前备案程序</w:t>
      </w:r>
      <w:r>
        <w:rPr>
          <w:rFonts w:hint="eastAsia" w:ascii="仿宋_GB2312" w:hAnsi="仿宋_GB2312" w:eastAsia="仿宋_GB2312" w:cs="仿宋_GB2312"/>
          <w:b w:val="0"/>
          <w:bCs w:val="0"/>
          <w:color w:val="auto"/>
          <w:spacing w:val="0"/>
          <w:w w:val="100"/>
          <w:sz w:val="32"/>
          <w:szCs w:val="32"/>
          <w:highlight w:val="none"/>
          <w:lang w:eastAsia="zh-CN"/>
        </w:rPr>
        <w:t>”的规定。</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i w:val="0"/>
          <w:iCs w:val="0"/>
          <w:caps w:val="0"/>
          <w:color w:val="auto"/>
          <w:spacing w:val="0"/>
          <w:w w:val="100"/>
          <w:sz w:val="32"/>
          <w:szCs w:val="32"/>
          <w:highlight w:val="none"/>
          <w:shd w:val="clear" w:fill="FFFFFF"/>
          <w:lang w:eastAsia="zh-CN"/>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相关行为也违反《反垄断法》</w:t>
      </w:r>
      <w:r>
        <w:rPr>
          <w:rFonts w:hint="eastAsia" w:ascii="仿宋_GB2312" w:hAnsi="仿宋_GB2312" w:eastAsia="仿宋_GB2312" w:cs="仿宋_GB2312"/>
          <w:b w:val="0"/>
          <w:bCs w:val="0"/>
          <w:i w:val="0"/>
          <w:iCs w:val="0"/>
          <w:caps w:val="0"/>
          <w:color w:val="auto"/>
          <w:spacing w:val="0"/>
          <w:w w:val="100"/>
          <w:sz w:val="32"/>
          <w:szCs w:val="32"/>
          <w:highlight w:val="none"/>
          <w:shd w:val="clear" w:fill="FFFFFF"/>
        </w:rPr>
        <w:t>第三十九条</w:t>
      </w:r>
      <w:r>
        <w:rPr>
          <w:rFonts w:hint="eastAsia" w:ascii="仿宋_GB2312" w:hAnsi="仿宋_GB2312" w:eastAsia="仿宋_GB2312" w:cs="仿宋_GB2312"/>
          <w:b w:val="0"/>
          <w:bCs w:val="0"/>
          <w:i w:val="0"/>
          <w:iCs w:val="0"/>
          <w:caps w:val="0"/>
          <w:color w:val="auto"/>
          <w:spacing w:val="0"/>
          <w:w w:val="100"/>
          <w:sz w:val="32"/>
          <w:szCs w:val="32"/>
          <w:highlight w:val="none"/>
          <w:shd w:val="clear" w:fill="FFFFFF"/>
          <w:lang w:eastAsia="zh-CN"/>
        </w:rPr>
        <w:t>“</w:t>
      </w:r>
      <w:r>
        <w:rPr>
          <w:rFonts w:hint="eastAsia" w:ascii="仿宋_GB2312" w:hAnsi="仿宋_GB2312" w:eastAsia="仿宋_GB2312" w:cs="仿宋_GB2312"/>
          <w:b w:val="0"/>
          <w:bCs w:val="0"/>
          <w:i w:val="0"/>
          <w:iCs w:val="0"/>
          <w:caps w:val="0"/>
          <w:color w:val="auto"/>
          <w:spacing w:val="0"/>
          <w:w w:val="100"/>
          <w:sz w:val="32"/>
          <w:szCs w:val="32"/>
          <w:highlight w:val="none"/>
          <w:shd w:val="clear" w:fill="FFFFFF"/>
        </w:rPr>
        <w:t>行政机关和法律、法规授权的具有管理公共事务职能的组织不得滥用行政权力，限定或者变相限定单位或者个人经营、购买、使用其指定的经营者提供的商品</w:t>
      </w:r>
      <w:r>
        <w:rPr>
          <w:rFonts w:hint="eastAsia" w:ascii="仿宋_GB2312" w:hAnsi="仿宋_GB2312" w:eastAsia="仿宋_GB2312" w:cs="仿宋_GB2312"/>
          <w:b w:val="0"/>
          <w:bCs w:val="0"/>
          <w:i w:val="0"/>
          <w:iCs w:val="0"/>
          <w:caps w:val="0"/>
          <w:color w:val="auto"/>
          <w:spacing w:val="0"/>
          <w:w w:val="100"/>
          <w:sz w:val="32"/>
          <w:szCs w:val="32"/>
          <w:highlight w:val="none"/>
          <w:shd w:val="clear" w:fill="FFFFFF"/>
          <w:lang w:eastAsia="zh-CN"/>
        </w:rPr>
        <w:t>”</w:t>
      </w:r>
      <w:r>
        <w:rPr>
          <w:rFonts w:hint="eastAsia" w:ascii="仿宋_GB2312" w:hAnsi="仿宋_GB2312" w:eastAsia="仿宋_GB2312" w:cs="仿宋_GB2312"/>
          <w:b w:val="0"/>
          <w:bCs w:val="0"/>
          <w:i w:val="0"/>
          <w:iCs w:val="0"/>
          <w:caps w:val="0"/>
          <w:color w:val="auto"/>
          <w:spacing w:val="0"/>
          <w:w w:val="100"/>
          <w:sz w:val="32"/>
          <w:szCs w:val="32"/>
          <w:highlight w:val="none"/>
          <w:shd w:val="clear" w:fill="FFFFFF"/>
        </w:rPr>
        <w:t>和第四十五条</w:t>
      </w:r>
      <w:r>
        <w:rPr>
          <w:rFonts w:hint="eastAsia" w:ascii="仿宋_GB2312" w:hAnsi="仿宋_GB2312" w:eastAsia="仿宋_GB2312" w:cs="仿宋_GB2312"/>
          <w:b w:val="0"/>
          <w:bCs w:val="0"/>
          <w:i w:val="0"/>
          <w:iCs w:val="0"/>
          <w:caps w:val="0"/>
          <w:color w:val="auto"/>
          <w:spacing w:val="0"/>
          <w:w w:val="100"/>
          <w:sz w:val="32"/>
          <w:szCs w:val="32"/>
          <w:highlight w:val="none"/>
          <w:shd w:val="clear" w:fill="FFFFFF"/>
          <w:lang w:eastAsia="zh-CN"/>
        </w:rPr>
        <w:t>“</w:t>
      </w:r>
      <w:r>
        <w:rPr>
          <w:rFonts w:hint="eastAsia" w:ascii="仿宋_GB2312" w:hAnsi="仿宋_GB2312" w:eastAsia="仿宋_GB2312" w:cs="仿宋_GB2312"/>
          <w:b w:val="0"/>
          <w:bCs w:val="0"/>
          <w:i w:val="0"/>
          <w:iCs w:val="0"/>
          <w:caps w:val="0"/>
          <w:color w:val="auto"/>
          <w:spacing w:val="0"/>
          <w:w w:val="100"/>
          <w:sz w:val="32"/>
          <w:szCs w:val="32"/>
          <w:highlight w:val="none"/>
          <w:shd w:val="clear" w:fill="FFFFFF"/>
        </w:rPr>
        <w:t>行政机关和法律、法规授权的具有管理公共事务职能的组织不得滥用行政权力，制定含有排除、限制竞争内容</w:t>
      </w:r>
      <w:r>
        <w:rPr>
          <w:rFonts w:hint="eastAsia" w:ascii="仿宋_GB2312" w:hAnsi="仿宋_GB2312" w:eastAsia="仿宋_GB2312" w:cs="仿宋_GB2312"/>
          <w:b w:val="0"/>
          <w:bCs w:val="0"/>
          <w:i w:val="0"/>
          <w:iCs w:val="0"/>
          <w:caps w:val="0"/>
          <w:color w:val="auto"/>
          <w:spacing w:val="0"/>
          <w:w w:val="100"/>
          <w:sz w:val="32"/>
          <w:szCs w:val="32"/>
          <w:highlight w:val="none"/>
          <w:shd w:val="clear" w:fill="FFFFFF"/>
          <w:lang w:eastAsia="zh-CN"/>
        </w:rPr>
        <w:t>“</w:t>
      </w:r>
      <w:r>
        <w:rPr>
          <w:rFonts w:hint="eastAsia" w:ascii="仿宋_GB2312" w:hAnsi="仿宋_GB2312" w:eastAsia="仿宋_GB2312" w:cs="仿宋_GB2312"/>
          <w:b w:val="0"/>
          <w:bCs w:val="0"/>
          <w:i w:val="0"/>
          <w:iCs w:val="0"/>
          <w:caps w:val="0"/>
          <w:color w:val="auto"/>
          <w:spacing w:val="0"/>
          <w:w w:val="100"/>
          <w:sz w:val="32"/>
          <w:szCs w:val="32"/>
          <w:highlight w:val="none"/>
          <w:shd w:val="clear" w:fill="FFFFFF"/>
        </w:rPr>
        <w:t>的规定</w:t>
      </w:r>
      <w:r>
        <w:rPr>
          <w:rFonts w:hint="eastAsia" w:ascii="仿宋_GB2312" w:hAnsi="仿宋_GB2312" w:eastAsia="仿宋_GB2312" w:cs="仿宋_GB2312"/>
          <w:b w:val="0"/>
          <w:bCs w:val="0"/>
          <w:i w:val="0"/>
          <w:iCs w:val="0"/>
          <w:caps w:val="0"/>
          <w:color w:val="auto"/>
          <w:spacing w:val="0"/>
          <w:w w:val="100"/>
          <w:sz w:val="32"/>
          <w:szCs w:val="32"/>
          <w:highlight w:val="none"/>
          <w:shd w:val="clear" w:fill="FFFFFF"/>
          <w:lang w:eastAsia="zh-CN"/>
        </w:rPr>
        <w:t>。</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楷体_GB2312" w:hAnsi="楷体_GB2312" w:eastAsia="楷体_GB2312" w:cs="楷体_GB2312"/>
          <w:b w:val="0"/>
          <w:bCs w:val="0"/>
          <w:color w:val="auto"/>
          <w:spacing w:val="0"/>
          <w:w w:val="100"/>
          <w:kern w:val="2"/>
          <w:sz w:val="32"/>
          <w:szCs w:val="32"/>
          <w:highlight w:val="none"/>
          <w:lang w:val="en-US" w:eastAsia="zh-CN" w:bidi="ar"/>
        </w:rPr>
      </w:pPr>
      <w:r>
        <w:rPr>
          <w:rFonts w:hint="eastAsia" w:ascii="楷体_GB2312" w:hAnsi="楷体_GB2312" w:eastAsia="楷体_GB2312" w:cs="楷体_GB2312"/>
          <w:b w:val="0"/>
          <w:bCs w:val="0"/>
          <w:i w:val="0"/>
          <w:iCs w:val="0"/>
          <w:caps w:val="0"/>
          <w:color w:val="auto"/>
          <w:spacing w:val="0"/>
          <w:w w:val="100"/>
          <w:sz w:val="32"/>
          <w:szCs w:val="32"/>
          <w:highlight w:val="none"/>
          <w:shd w:val="clear" w:fill="FFFFFF"/>
          <w:lang w:val="en-US" w:eastAsia="zh-CN"/>
        </w:rPr>
        <w:t>(二）</w:t>
      </w:r>
      <w:r>
        <w:rPr>
          <w:rFonts w:hint="eastAsia" w:ascii="楷体_GB2312" w:hAnsi="楷体_GB2312" w:eastAsia="楷体_GB2312" w:cs="楷体_GB2312"/>
          <w:b w:val="0"/>
          <w:bCs w:val="0"/>
          <w:color w:val="auto"/>
          <w:spacing w:val="0"/>
          <w:w w:val="100"/>
          <w:kern w:val="2"/>
          <w:sz w:val="32"/>
          <w:szCs w:val="32"/>
          <w:highlight w:val="none"/>
          <w:lang w:val="en-US" w:eastAsia="zh-CN" w:bidi="ar"/>
        </w:rPr>
        <w:t>《临泽县农村集体聚餐及流动厨师管理办法》（临政发[2022]16号）</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90"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sz w:val="32"/>
                <w:szCs w:val="32"/>
                <w:highlight w:val="none"/>
                <w:u w:val="single"/>
                <w:lang w:eastAsia="zh-CN"/>
              </w:rPr>
            </w:pPr>
            <w:r>
              <w:rPr>
                <w:rFonts w:hint="eastAsia" w:ascii="仿宋_GB2312" w:hAnsi="仿宋_GB2312" w:eastAsia="仿宋_GB2312" w:cs="仿宋_GB2312"/>
                <w:b w:val="0"/>
                <w:bCs w:val="0"/>
                <w:color w:val="auto"/>
                <w:spacing w:val="0"/>
                <w:w w:val="100"/>
                <w:sz w:val="32"/>
                <w:szCs w:val="32"/>
                <w:highlight w:val="none"/>
                <w:u w:val="single"/>
                <w:lang w:val="en-US" w:eastAsia="zh-CN"/>
              </w:rPr>
              <w:t>农</w:t>
            </w:r>
            <w:r>
              <w:rPr>
                <w:rFonts w:hint="eastAsia" w:ascii="仿宋_GB2312" w:hAnsi="仿宋_GB2312" w:eastAsia="仿宋_GB2312" w:cs="仿宋_GB2312"/>
                <w:b w:val="0"/>
                <w:bCs w:val="0"/>
                <w:color w:val="auto"/>
                <w:spacing w:val="0"/>
                <w:w w:val="100"/>
                <w:sz w:val="32"/>
                <w:szCs w:val="32"/>
                <w:highlight w:val="none"/>
                <w:u w:val="single"/>
              </w:rPr>
              <w:t>村集体聚餐实行双报告制度</w:t>
            </w:r>
            <w:r>
              <w:rPr>
                <w:rFonts w:hint="eastAsia" w:ascii="仿宋_GB2312" w:hAnsi="仿宋_GB2312" w:eastAsia="仿宋_GB2312" w:cs="仿宋_GB2312"/>
                <w:b w:val="0"/>
                <w:bCs w:val="0"/>
                <w:color w:val="auto"/>
                <w:spacing w:val="0"/>
                <w:w w:val="100"/>
                <w:sz w:val="32"/>
                <w:szCs w:val="32"/>
                <w:highlight w:val="none"/>
                <w:u w:val="single"/>
                <w:lang w:eastAsia="zh-CN"/>
              </w:rPr>
              <w:t>。</w:t>
            </w:r>
          </w:p>
          <w:p>
            <w:pPr>
              <w:pStyle w:val="2"/>
              <w:pageBreakBefore w:val="0"/>
              <w:numPr>
                <w:ilvl w:val="0"/>
                <w:numId w:val="0"/>
              </w:numPr>
              <w:kinsoku/>
              <w:wordWrap/>
              <w:overflowPunct/>
              <w:topLinePunct/>
              <w:autoSpaceDE/>
              <w:autoSpaceDN/>
              <w:bidi w:val="0"/>
              <w:spacing w:before="0" w:beforeAutospacing="0" w:after="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sz w:val="32"/>
                <w:szCs w:val="32"/>
                <w:highlight w:val="none"/>
                <w:u w:val="single"/>
                <w:lang w:val="en-US" w:eastAsia="zh-CN"/>
              </w:rPr>
            </w:pPr>
            <w:r>
              <w:rPr>
                <w:rFonts w:hint="eastAsia" w:ascii="仿宋_GB2312" w:hAnsi="仿宋_GB2312" w:eastAsia="仿宋_GB2312" w:cs="仿宋_GB2312"/>
                <w:b w:val="0"/>
                <w:bCs w:val="0"/>
                <w:color w:val="auto"/>
                <w:spacing w:val="0"/>
                <w:w w:val="100"/>
                <w:sz w:val="32"/>
                <w:szCs w:val="32"/>
                <w:highlight w:val="none"/>
                <w:lang w:eastAsia="zh-CN"/>
              </w:rPr>
              <w:t>第二十四条</w:t>
            </w:r>
            <w:r>
              <w:rPr>
                <w:rFonts w:hint="eastAsia" w:ascii="仿宋_GB2312" w:hAnsi="仿宋_GB2312" w:eastAsia="仿宋_GB2312" w:cs="仿宋_GB2312"/>
                <w:b w:val="0"/>
                <w:bCs w:val="0"/>
                <w:color w:val="auto"/>
                <w:spacing w:val="0"/>
                <w:w w:val="100"/>
                <w:sz w:val="32"/>
                <w:szCs w:val="32"/>
                <w:highlight w:val="none"/>
                <w:u w:val="single"/>
                <w:lang w:val="en-US" w:eastAsia="zh-CN"/>
              </w:rPr>
              <w:t>对农</w:t>
            </w:r>
            <w:r>
              <w:rPr>
                <w:rFonts w:hint="eastAsia" w:ascii="仿宋_GB2312" w:hAnsi="仿宋_GB2312" w:eastAsia="仿宋_GB2312" w:cs="仿宋_GB2312"/>
                <w:b w:val="0"/>
                <w:bCs w:val="0"/>
                <w:color w:val="auto"/>
                <w:spacing w:val="0"/>
                <w:w w:val="100"/>
                <w:sz w:val="32"/>
                <w:szCs w:val="32"/>
                <w:highlight w:val="none"/>
                <w:u w:val="single"/>
              </w:rPr>
              <w:t>村集体聚餐</w:t>
            </w:r>
            <w:r>
              <w:rPr>
                <w:rFonts w:hint="eastAsia" w:ascii="仿宋_GB2312" w:hAnsi="仿宋_GB2312" w:eastAsia="仿宋_GB2312" w:cs="仿宋_GB2312"/>
                <w:b w:val="0"/>
                <w:bCs w:val="0"/>
                <w:color w:val="auto"/>
                <w:spacing w:val="0"/>
                <w:w w:val="100"/>
                <w:sz w:val="32"/>
                <w:szCs w:val="32"/>
                <w:highlight w:val="none"/>
                <w:u w:val="single"/>
                <w:lang w:eastAsia="zh-CN"/>
              </w:rPr>
              <w:t>流动厨师或加工服务者实行备案管理制度。</w:t>
            </w:r>
          </w:p>
          <w:p>
            <w:pPr>
              <w:keepNext w:val="0"/>
              <w:keepLines w:val="0"/>
              <w:pageBreakBefore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b.剖析论证</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shd w:val="clear" w:fill="FFFFFF"/>
          <w:lang w:eastAsia="zh-CN"/>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w:t>
      </w:r>
      <w:r>
        <w:rPr>
          <w:rFonts w:hint="eastAsia" w:ascii="仿宋_GB2312" w:hAnsi="仿宋_GB2312" w:eastAsia="仿宋_GB2312" w:cs="仿宋_GB2312"/>
          <w:b w:val="0"/>
          <w:bCs w:val="0"/>
          <w:color w:val="auto"/>
          <w:spacing w:val="0"/>
          <w:w w:val="100"/>
          <w:kern w:val="2"/>
          <w:sz w:val="32"/>
          <w:szCs w:val="32"/>
          <w:highlight w:val="none"/>
          <w:lang w:val="en-US" w:eastAsia="zh-CN" w:bidi="ar"/>
        </w:rPr>
        <w:t>违反《公平竞争审查制度实施细则》“第十三条市场准入与退出标准（一）不得限置不合理或歧视性的准入和退出条件，包括但不限于：3.</w:t>
      </w:r>
      <w:r>
        <w:rPr>
          <w:rFonts w:hint="eastAsia" w:ascii="仿宋_GB2312" w:hAnsi="仿宋_GB2312" w:eastAsia="仿宋_GB2312" w:cs="仿宋_GB2312"/>
          <w:b w:val="0"/>
          <w:bCs w:val="0"/>
          <w:color w:val="auto"/>
          <w:spacing w:val="0"/>
          <w:w w:val="100"/>
          <w:sz w:val="32"/>
          <w:szCs w:val="32"/>
          <w:highlight w:val="none"/>
          <w:shd w:val="clear" w:fill="FFFFFF"/>
        </w:rPr>
        <w:t>没有法律、行政法规或者国务院规定依据，以备案、登记、注册、目录、年检、年报、监制、认定、认证、认可、检验、监测、审定、指定、配号、复检、复审、换证、要求设立分支机构以及其他任何形式，设定或者变相设定市场准入障碍</w:t>
      </w:r>
      <w:r>
        <w:rPr>
          <w:rFonts w:hint="eastAsia" w:ascii="仿宋_GB2312" w:hAnsi="仿宋_GB2312" w:eastAsia="仿宋_GB2312" w:cs="仿宋_GB2312"/>
          <w:b w:val="0"/>
          <w:bCs w:val="0"/>
          <w:color w:val="auto"/>
          <w:spacing w:val="0"/>
          <w:w w:val="100"/>
          <w:sz w:val="32"/>
          <w:szCs w:val="32"/>
          <w:highlight w:val="none"/>
          <w:shd w:val="clear" w:fill="FFFFFF"/>
          <w:lang w:eastAsia="zh-CN"/>
        </w:rPr>
        <w:t>”的规定。</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楷体_GB2312" w:hAnsi="楷体_GB2312" w:eastAsia="楷体_GB2312" w:cs="楷体_GB2312"/>
          <w:b w:val="0"/>
          <w:bCs w:val="0"/>
          <w:color w:val="auto"/>
          <w:spacing w:val="0"/>
          <w:w w:val="100"/>
          <w:kern w:val="2"/>
          <w:sz w:val="32"/>
          <w:szCs w:val="32"/>
          <w:highlight w:val="none"/>
          <w:lang w:val="en-US" w:eastAsia="zh-CN" w:bidi="ar"/>
        </w:rPr>
      </w:pPr>
      <w:r>
        <w:rPr>
          <w:rFonts w:hint="eastAsia" w:ascii="楷体_GB2312" w:hAnsi="楷体_GB2312" w:eastAsia="楷体_GB2312" w:cs="楷体_GB2312"/>
          <w:b w:val="0"/>
          <w:bCs w:val="0"/>
          <w:color w:val="auto"/>
          <w:spacing w:val="0"/>
          <w:w w:val="100"/>
          <w:sz w:val="32"/>
          <w:szCs w:val="32"/>
          <w:highlight w:val="none"/>
          <w:lang w:val="en-US" w:eastAsia="zh-CN"/>
        </w:rPr>
        <w:t>（三）《临泽县地下水资源管理办法》</w:t>
      </w:r>
      <w:r>
        <w:rPr>
          <w:rFonts w:hint="eastAsia" w:ascii="楷体_GB2312" w:hAnsi="楷体_GB2312" w:eastAsia="楷体_GB2312" w:cs="楷体_GB2312"/>
          <w:b w:val="0"/>
          <w:bCs w:val="0"/>
          <w:color w:val="auto"/>
          <w:spacing w:val="0"/>
          <w:w w:val="100"/>
          <w:kern w:val="2"/>
          <w:sz w:val="32"/>
          <w:szCs w:val="32"/>
          <w:highlight w:val="none"/>
          <w:lang w:val="en-US" w:eastAsia="zh-CN" w:bidi="ar"/>
        </w:rPr>
        <w:t>（临政发[2022]25号）</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201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color w:val="auto"/>
                <w:spacing w:val="0"/>
                <w:w w:val="100"/>
                <w:sz w:val="32"/>
                <w:szCs w:val="32"/>
                <w:highlight w:val="none"/>
                <w:lang w:val="en-US" w:eastAsia="zh-CN"/>
              </w:rPr>
              <w:t>第十八条</w:t>
            </w:r>
            <w:r>
              <w:rPr>
                <w:rFonts w:hint="eastAsia" w:ascii="仿宋_GB2312" w:hAnsi="仿宋_GB2312" w:eastAsia="仿宋_GB2312" w:cs="仿宋_GB2312"/>
                <w:b w:val="0"/>
                <w:bCs w:val="0"/>
                <w:color w:val="auto"/>
                <w:spacing w:val="0"/>
                <w:w w:val="100"/>
                <w:sz w:val="32"/>
                <w:szCs w:val="32"/>
                <w:highlight w:val="none"/>
                <w:u w:val="single"/>
                <w:lang w:val="en-US" w:eastAsia="zh-CN"/>
              </w:rPr>
              <w:t>实行机井施工单位登记制度。</w:t>
            </w:r>
            <w:r>
              <w:rPr>
                <w:rFonts w:hint="eastAsia" w:ascii="仿宋_GB2312" w:hAnsi="仿宋_GB2312" w:eastAsia="仿宋_GB2312" w:cs="仿宋_GB2312"/>
                <w:b w:val="0"/>
                <w:bCs w:val="0"/>
                <w:color w:val="auto"/>
                <w:spacing w:val="0"/>
                <w:w w:val="100"/>
                <w:sz w:val="32"/>
                <w:szCs w:val="32"/>
                <w:highlight w:val="none"/>
                <w:lang w:val="en-US" w:eastAsia="zh-CN"/>
              </w:rPr>
              <w:t>凡在我县境内承建机井的施工单位，应当具备相应的资质，施工前应向县行政水主管部门登记。</w:t>
            </w:r>
          </w:p>
          <w:p>
            <w:pPr>
              <w:keepNext w:val="0"/>
              <w:keepLines w:val="0"/>
              <w:pageBreakBefore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b.剖析论证</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w:t>
      </w:r>
      <w:r>
        <w:rPr>
          <w:rFonts w:hint="eastAsia" w:ascii="仿宋_GB2312" w:hAnsi="仿宋_GB2312" w:eastAsia="仿宋_GB2312" w:cs="仿宋_GB2312"/>
          <w:b w:val="0"/>
          <w:bCs w:val="0"/>
          <w:color w:val="auto"/>
          <w:spacing w:val="0"/>
          <w:w w:val="100"/>
          <w:kern w:val="2"/>
          <w:sz w:val="32"/>
          <w:szCs w:val="32"/>
          <w:highlight w:val="none"/>
          <w:lang w:val="en-US" w:eastAsia="zh-CN" w:bidi="ar"/>
        </w:rPr>
        <w:t>违反《公平竞争审查制度实施细则》“第十三条市场准入与退出标准（一）不得限定不合理或歧视性的准入和退出条件，包括但不限于：3.</w:t>
      </w:r>
      <w:r>
        <w:rPr>
          <w:rFonts w:hint="eastAsia" w:ascii="仿宋_GB2312" w:hAnsi="仿宋_GB2312" w:eastAsia="仿宋_GB2312" w:cs="仿宋_GB2312"/>
          <w:b w:val="0"/>
          <w:bCs w:val="0"/>
          <w:color w:val="auto"/>
          <w:spacing w:val="0"/>
          <w:w w:val="100"/>
          <w:sz w:val="32"/>
          <w:szCs w:val="32"/>
          <w:highlight w:val="none"/>
          <w:shd w:val="clear" w:fill="FFFFFF"/>
        </w:rPr>
        <w:t>没有法律、行政法规或者国务院规定依据，以备案、登记、注册、目录、年检、年报、监制、认定、认证、认可、检验、监测、审定、指定、配号、复检、复审、换证、要求设立分支机构以及其他任何形式，设定或者变相设定市场准入障碍</w:t>
      </w:r>
      <w:r>
        <w:rPr>
          <w:rFonts w:hint="eastAsia" w:ascii="仿宋_GB2312" w:hAnsi="仿宋_GB2312" w:eastAsia="仿宋_GB2312" w:cs="仿宋_GB2312"/>
          <w:b w:val="0"/>
          <w:bCs w:val="0"/>
          <w:color w:val="auto"/>
          <w:spacing w:val="0"/>
          <w:w w:val="100"/>
          <w:sz w:val="32"/>
          <w:szCs w:val="32"/>
          <w:highlight w:val="none"/>
          <w:shd w:val="clear" w:fill="FFFFFF"/>
          <w:lang w:eastAsia="zh-CN"/>
        </w:rPr>
        <w:t>”的规定。</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textAlignment w:val="baseline"/>
        <w:rPr>
          <w:rFonts w:hint="eastAsia" w:ascii="楷体_GB2312" w:hAnsi="楷体_GB2312" w:eastAsia="楷体_GB2312" w:cs="楷体_GB2312"/>
          <w:b w:val="0"/>
          <w:bCs w:val="0"/>
          <w:color w:val="auto"/>
          <w:spacing w:val="0"/>
          <w:w w:val="100"/>
          <w:kern w:val="2"/>
          <w:sz w:val="32"/>
          <w:szCs w:val="32"/>
          <w:highlight w:val="none"/>
          <w:lang w:val="en-US" w:eastAsia="zh-CN" w:bidi="ar"/>
        </w:rPr>
      </w:pPr>
      <w:r>
        <w:rPr>
          <w:rFonts w:hint="eastAsia" w:ascii="楷体_GB2312" w:hAnsi="楷体_GB2312" w:eastAsia="楷体_GB2312" w:cs="楷体_GB2312"/>
          <w:b w:val="0"/>
          <w:bCs w:val="0"/>
          <w:color w:val="auto"/>
          <w:spacing w:val="0"/>
          <w:w w:val="100"/>
          <w:sz w:val="32"/>
          <w:szCs w:val="32"/>
          <w:highlight w:val="none"/>
          <w:shd w:val="clear" w:color="auto" w:fill="FFFFFF"/>
          <w:lang w:eastAsia="zh-CN"/>
        </w:rPr>
        <w:t>（四）《高台县县级储备粮管理办法》（</w:t>
      </w:r>
      <w:r>
        <w:rPr>
          <w:rFonts w:hint="eastAsia" w:ascii="楷体_GB2312" w:hAnsi="楷体_GB2312" w:eastAsia="楷体_GB2312" w:cs="楷体_GB2312"/>
          <w:b w:val="0"/>
          <w:bCs w:val="0"/>
          <w:color w:val="auto"/>
          <w:spacing w:val="0"/>
          <w:w w:val="100"/>
          <w:sz w:val="32"/>
          <w:szCs w:val="32"/>
          <w:highlight w:val="none"/>
          <w:u w:color="000000"/>
        </w:rPr>
        <w:t>高政发〔2021〕</w:t>
      </w:r>
      <w:r>
        <w:rPr>
          <w:rFonts w:hint="eastAsia" w:ascii="楷体_GB2312" w:hAnsi="楷体_GB2312" w:eastAsia="楷体_GB2312" w:cs="楷体_GB2312"/>
          <w:b w:val="0"/>
          <w:bCs w:val="0"/>
          <w:color w:val="auto"/>
          <w:spacing w:val="0"/>
          <w:w w:val="100"/>
          <w:sz w:val="32"/>
          <w:szCs w:val="32"/>
          <w:highlight w:val="none"/>
          <w:u w:color="000000"/>
          <w:lang w:val="en-US" w:eastAsia="zh-CN"/>
        </w:rPr>
        <w:t>18</w:t>
      </w:r>
      <w:r>
        <w:rPr>
          <w:rFonts w:hint="eastAsia" w:ascii="楷体_GB2312" w:hAnsi="楷体_GB2312" w:eastAsia="楷体_GB2312" w:cs="楷体_GB2312"/>
          <w:b w:val="0"/>
          <w:bCs w:val="0"/>
          <w:color w:val="auto"/>
          <w:spacing w:val="0"/>
          <w:w w:val="100"/>
          <w:sz w:val="32"/>
          <w:szCs w:val="32"/>
          <w:highlight w:val="none"/>
          <w:u w:color="000000"/>
        </w:rPr>
        <w:t>号</w:t>
      </w:r>
      <w:r>
        <w:rPr>
          <w:rFonts w:hint="eastAsia" w:ascii="楷体_GB2312" w:hAnsi="楷体_GB2312" w:eastAsia="楷体_GB2312" w:cs="楷体_GB2312"/>
          <w:b w:val="0"/>
          <w:bCs w:val="0"/>
          <w:color w:val="auto"/>
          <w:spacing w:val="0"/>
          <w:w w:val="100"/>
          <w:kern w:val="2"/>
          <w:sz w:val="32"/>
          <w:szCs w:val="32"/>
          <w:highlight w:val="none"/>
          <w:lang w:val="en-US" w:eastAsia="zh-CN" w:bidi="ar"/>
        </w:rPr>
        <w:t>）</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a.问题内容条款</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tblCellMar>
            <w:top w:w="0" w:type="dxa"/>
            <w:left w:w="0" w:type="dxa"/>
            <w:bottom w:w="0" w:type="dxa"/>
            <w:right w:w="0" w:type="dxa"/>
          </w:tblCellMar>
        </w:tblPrEx>
        <w:trPr>
          <w:trHeight w:val="63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文件第4页</w:t>
            </w:r>
          </w:p>
          <w:p>
            <w:pPr>
              <w:keepNext w:val="0"/>
              <w:keepLines w:val="0"/>
              <w:pageBreakBefore w:val="0"/>
              <w:widowControl w:val="0"/>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bidi="ar"/>
              </w:rPr>
              <w:t>第十七条县级储备粮由承担政策性粮油储备职能的</w:t>
            </w:r>
            <w:r>
              <w:rPr>
                <w:rFonts w:hint="eastAsia" w:ascii="仿宋_GB2312" w:hAnsi="仿宋_GB2312" w:eastAsia="仿宋_GB2312" w:cs="仿宋_GB2312"/>
                <w:b w:val="0"/>
                <w:bCs w:val="0"/>
                <w:color w:val="auto"/>
                <w:spacing w:val="0"/>
                <w:w w:val="100"/>
                <w:kern w:val="0"/>
                <w:sz w:val="32"/>
                <w:szCs w:val="32"/>
                <w:highlight w:val="none"/>
                <w:u w:val="single"/>
                <w:lang w:val="en-US" w:eastAsia="zh-CN" w:bidi="ar"/>
              </w:rPr>
              <w:t>直属国有企业存储</w:t>
            </w:r>
            <w:r>
              <w:rPr>
                <w:rFonts w:hint="eastAsia" w:ascii="仿宋_GB2312" w:hAnsi="仿宋_GB2312" w:eastAsia="仿宋_GB2312" w:cs="仿宋_GB2312"/>
                <w:b w:val="0"/>
                <w:bCs w:val="0"/>
                <w:color w:val="auto"/>
                <w:spacing w:val="0"/>
                <w:w w:val="100"/>
                <w:kern w:val="0"/>
                <w:sz w:val="32"/>
                <w:szCs w:val="32"/>
                <w:highlight w:val="none"/>
                <w:lang w:val="en-US" w:eastAsia="zh-CN" w:bidi="ar"/>
              </w:rPr>
              <w:t>，原则上不允许租仓存放。</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b.剖析论证</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snapToGrid/>
          <w:color w:val="auto"/>
          <w:spacing w:val="0"/>
          <w:w w:val="100"/>
          <w:kern w:val="0"/>
          <w:sz w:val="32"/>
          <w:szCs w:val="32"/>
          <w:highlight w:val="none"/>
          <w:lang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文件内容违反《公平竞争审查制度实施细则》“第十三条市场准入和退出标准</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（一）不得设置不合理或歧视性的准入和退出条件，包括但不限于：2.</w:t>
      </w:r>
      <w:r>
        <w:rPr>
          <w:rFonts w:hint="eastAsia" w:ascii="仿宋_GB2312" w:hAnsi="仿宋_GB2312" w:eastAsia="仿宋_GB2312" w:cs="仿宋_GB2312"/>
          <w:b w:val="0"/>
          <w:bCs w:val="0"/>
          <w:i w:val="0"/>
          <w:iCs w:val="0"/>
          <w:caps w:val="0"/>
          <w:color w:val="auto"/>
          <w:spacing w:val="0"/>
          <w:w w:val="100"/>
          <w:sz w:val="32"/>
          <w:szCs w:val="32"/>
          <w:highlight w:val="none"/>
          <w:shd w:val="clear" w:fill="FFFFFF"/>
        </w:rPr>
        <w:t>没有法律、行政法规或者国务院规定依据，对不同所有制、地区、组织形式的经营者实施不合理的差别化待遇，设置不平等的市场准入和退出条件</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”的规定。</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楷体_GB2312" w:hAnsi="楷体_GB2312" w:eastAsia="楷体_GB2312" w:cs="楷体_GB2312"/>
          <w:b w:val="0"/>
          <w:bCs w:val="0"/>
          <w:color w:val="auto"/>
          <w:spacing w:val="0"/>
          <w:w w:val="100"/>
          <w:kern w:val="2"/>
          <w:sz w:val="32"/>
          <w:szCs w:val="32"/>
          <w:highlight w:val="none"/>
          <w:lang w:val="en-US" w:eastAsia="zh-CN" w:bidi="ar"/>
        </w:rPr>
      </w:pPr>
      <w:r>
        <w:rPr>
          <w:rFonts w:hint="eastAsia" w:ascii="楷体_GB2312" w:hAnsi="楷体_GB2312" w:eastAsia="楷体_GB2312" w:cs="楷体_GB2312"/>
          <w:b w:val="0"/>
          <w:bCs w:val="0"/>
          <w:color w:val="auto"/>
          <w:spacing w:val="0"/>
          <w:w w:val="100"/>
          <w:kern w:val="2"/>
          <w:sz w:val="32"/>
          <w:szCs w:val="32"/>
          <w:highlight w:val="none"/>
          <w:lang w:val="en-US" w:eastAsia="zh-CN" w:bidi="ar"/>
        </w:rPr>
        <w:t>（五）高台县加强城区停车场（位）建设管理工作实施方案》（高</w:t>
      </w:r>
      <w:r>
        <w:rPr>
          <w:rFonts w:hint="eastAsia" w:ascii="楷体_GB2312" w:hAnsi="楷体_GB2312" w:eastAsia="楷体_GB2312" w:cs="楷体_GB2312"/>
          <w:b w:val="0"/>
          <w:bCs w:val="0"/>
          <w:color w:val="auto"/>
          <w:spacing w:val="0"/>
          <w:w w:val="100"/>
          <w:kern w:val="2"/>
          <w:sz w:val="32"/>
          <w:szCs w:val="32"/>
          <w:highlight w:val="none"/>
          <w:lang w:eastAsia="zh-CN" w:bidi="ar"/>
        </w:rPr>
        <w:t>政</w:t>
      </w:r>
      <w:r>
        <w:rPr>
          <w:rFonts w:hint="eastAsia" w:ascii="楷体_GB2312" w:hAnsi="楷体_GB2312" w:eastAsia="楷体_GB2312" w:cs="楷体_GB2312"/>
          <w:b w:val="0"/>
          <w:bCs w:val="0"/>
          <w:color w:val="auto"/>
          <w:spacing w:val="0"/>
          <w:w w:val="100"/>
          <w:kern w:val="2"/>
          <w:sz w:val="32"/>
          <w:szCs w:val="32"/>
          <w:highlight w:val="none"/>
          <w:lang w:val="en-US" w:eastAsia="zh-CN" w:bidi="ar"/>
        </w:rPr>
        <w:t>办发[2021]61号）</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63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val="0"/>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bidi="ar"/>
              </w:rPr>
              <w:t>3.加强停车设施经营管理。</w:t>
            </w:r>
            <w:r>
              <w:rPr>
                <w:rFonts w:hint="eastAsia" w:ascii="仿宋_GB2312" w:hAnsi="仿宋_GB2312" w:eastAsia="仿宋_GB2312" w:cs="仿宋_GB2312"/>
                <w:b w:val="0"/>
                <w:bCs w:val="0"/>
                <w:color w:val="auto"/>
                <w:spacing w:val="0"/>
                <w:w w:val="100"/>
                <w:kern w:val="2"/>
                <w:sz w:val="32"/>
                <w:szCs w:val="32"/>
                <w:highlight w:val="none"/>
                <w:lang w:val="en-US" w:eastAsia="zh-CN" w:bidi="ar"/>
              </w:rPr>
              <w:t>促进各类经营性停车设施企业化、专业化经营。坚持市场化原则，城区路边停车泊位和政府投资建设的公共停车场实行市场化经营。</w:t>
            </w: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政府投资建设的公共停车场由新成立的高台县民泰城市运营服务有限公司统一负责经营管理</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b.剖析论证</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文件内容违反《公平竞争审查制度实施细则》“第十三条市场准入和退出标准（二）未经公平竞争不得授予特许经营权</w:t>
      </w:r>
      <w:r>
        <w:rPr>
          <w:rFonts w:hint="eastAsia" w:ascii="仿宋_GB2312" w:hAnsi="仿宋_GB2312" w:eastAsia="仿宋_GB2312" w:cs="仿宋_GB2312"/>
          <w:b w:val="0"/>
          <w:bCs w:val="0"/>
          <w:color w:val="auto"/>
          <w:spacing w:val="0"/>
          <w:w w:val="100"/>
          <w:kern w:val="2"/>
          <w:sz w:val="32"/>
          <w:szCs w:val="32"/>
          <w:highlight w:val="none"/>
          <w:lang w:val="en-US" w:eastAsia="zh-CN" w:bidi="ar"/>
        </w:rPr>
        <w:t>，包括但不限于：3.未采取招标投标，竞争性谈判等竞争方式，直接将特许经营权授予特定经营者”</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的规定</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楷体_GB2312" w:hAnsi="楷体_GB2312" w:eastAsia="楷体_GB2312" w:cs="楷体_GB2312"/>
          <w:b w:val="0"/>
          <w:bCs w:val="0"/>
          <w:color w:val="auto"/>
          <w:spacing w:val="0"/>
          <w:w w:val="100"/>
          <w:kern w:val="2"/>
          <w:sz w:val="32"/>
          <w:szCs w:val="32"/>
          <w:highlight w:val="none"/>
          <w:lang w:val="en-US" w:eastAsia="zh-CN" w:bidi="ar"/>
        </w:rPr>
      </w:pPr>
      <w:r>
        <w:rPr>
          <w:rFonts w:hint="eastAsia" w:ascii="楷体_GB2312" w:hAnsi="楷体_GB2312" w:eastAsia="楷体_GB2312" w:cs="楷体_GB2312"/>
          <w:b w:val="0"/>
          <w:bCs w:val="0"/>
          <w:color w:val="auto"/>
          <w:spacing w:val="0"/>
          <w:w w:val="100"/>
          <w:sz w:val="32"/>
          <w:szCs w:val="32"/>
          <w:highlight w:val="none"/>
          <w:lang w:eastAsia="zh-CN"/>
        </w:rPr>
        <w:t>（六）</w:t>
      </w:r>
      <w:r>
        <w:rPr>
          <w:rFonts w:hint="eastAsia" w:ascii="楷体_GB2312" w:hAnsi="楷体_GB2312" w:eastAsia="楷体_GB2312" w:cs="楷体_GB2312"/>
          <w:b w:val="0"/>
          <w:bCs w:val="0"/>
          <w:color w:val="auto"/>
          <w:spacing w:val="0"/>
          <w:w w:val="100"/>
          <w:kern w:val="2"/>
          <w:sz w:val="32"/>
          <w:szCs w:val="32"/>
          <w:highlight w:val="none"/>
          <w:lang w:val="en-US" w:eastAsia="zh-CN" w:bidi="ar"/>
        </w:rPr>
        <w:t>《临泽县农村集体资金资产资源管理办法》（临政[2021]21号）</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63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val="0"/>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i w:val="0"/>
                <w:iCs w:val="0"/>
                <w:caps w:val="0"/>
                <w:color w:val="auto"/>
                <w:spacing w:val="0"/>
                <w:w w:val="100"/>
                <w:kern w:val="0"/>
                <w:sz w:val="32"/>
                <w:szCs w:val="32"/>
                <w:highlight w:val="none"/>
                <w:lang w:val="en-US" w:eastAsia="zh-CN" w:bidi="ar"/>
              </w:rPr>
              <w:t>镇“三资”代理服务机构，应以村、股份经济合作社为单位，</w:t>
            </w:r>
            <w:r>
              <w:rPr>
                <w:rFonts w:hint="eastAsia" w:ascii="仿宋_GB2312" w:hAnsi="仿宋_GB2312" w:eastAsia="仿宋_GB2312" w:cs="仿宋_GB2312"/>
                <w:b w:val="0"/>
                <w:bCs w:val="0"/>
                <w:i w:val="0"/>
                <w:iCs w:val="0"/>
                <w:caps w:val="0"/>
                <w:color w:val="auto"/>
                <w:spacing w:val="0"/>
                <w:w w:val="100"/>
                <w:kern w:val="0"/>
                <w:sz w:val="32"/>
                <w:szCs w:val="32"/>
                <w:highlight w:val="none"/>
                <w:u w:val="single"/>
                <w:lang w:val="en-US" w:eastAsia="zh-CN" w:bidi="ar"/>
              </w:rPr>
              <w:t>在农商银行分别开设一个银行基本存款账户</w:t>
            </w:r>
            <w:r>
              <w:rPr>
                <w:rFonts w:hint="eastAsia" w:ascii="仿宋_GB2312" w:hAnsi="仿宋_GB2312" w:eastAsia="仿宋_GB2312" w:cs="仿宋_GB2312"/>
                <w:b w:val="0"/>
                <w:bCs w:val="0"/>
                <w:i w:val="0"/>
                <w:iCs w:val="0"/>
                <w:caps w:val="0"/>
                <w:color w:val="auto"/>
                <w:spacing w:val="0"/>
                <w:w w:val="100"/>
                <w:kern w:val="0"/>
                <w:sz w:val="32"/>
                <w:szCs w:val="32"/>
                <w:highlight w:val="none"/>
                <w:lang w:val="en-US" w:eastAsia="zh-CN" w:bidi="ar"/>
              </w:rPr>
              <w:t>（因特殊需要，可按规定开设专用结算账户），用于专项代管各村集体资金。</w:t>
            </w:r>
            <w:r>
              <w:rPr>
                <w:rFonts w:hint="eastAsia" w:ascii="仿宋_GB2312" w:hAnsi="仿宋_GB2312" w:eastAsia="仿宋_GB2312" w:cs="仿宋_GB2312"/>
                <w:b w:val="0"/>
                <w:bCs w:val="0"/>
                <w:i w:val="0"/>
                <w:iCs w:val="0"/>
                <w:caps w:val="0"/>
                <w:color w:val="auto"/>
                <w:spacing w:val="0"/>
                <w:w w:val="100"/>
                <w:kern w:val="0"/>
                <w:sz w:val="32"/>
                <w:szCs w:val="32"/>
                <w:highlight w:val="none"/>
                <w:u w:val="single"/>
                <w:lang w:val="en-US" w:eastAsia="zh-CN" w:bidi="ar"/>
              </w:rPr>
              <w:t>村集体经济组织不得另设其他存款账户</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b.剖析论证</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en-US" w:eastAsia="zh-CN"/>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文件内容违反《公平竞争审查制度实施细则》“第十三条市场准入和退出标准</w:t>
      </w:r>
      <w:r>
        <w:rPr>
          <w:rFonts w:hint="eastAsia" w:ascii="仿宋_GB2312" w:hAnsi="仿宋_GB2312" w:eastAsia="仿宋_GB2312" w:cs="仿宋_GB2312"/>
          <w:b w:val="0"/>
          <w:bCs w:val="0"/>
          <w:color w:val="auto"/>
          <w:spacing w:val="0"/>
          <w:w w:val="100"/>
          <w:kern w:val="2"/>
          <w:sz w:val="32"/>
          <w:szCs w:val="32"/>
          <w:highlight w:val="none"/>
          <w:lang w:val="en-US" w:eastAsia="zh-CN" w:bidi="ar"/>
        </w:rPr>
        <w:t>（三）不得限定经营、购买、使用特定经营者提供的商品和服务，包括但不限于：1.以明确要求、暗示、拒绝或者拖延行政审批、重复检查、不予接入平台或者网络、违法给予奖励补贴等方式，限定或者变相限定经营、购买、使用特定经营者提供的商品和服务”的规定。</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楷体_GB2312" w:hAnsi="楷体_GB2312" w:eastAsia="楷体_GB2312" w:cs="楷体_GB2312"/>
          <w:b w:val="0"/>
          <w:bCs w:val="0"/>
          <w:color w:val="auto"/>
          <w:spacing w:val="0"/>
          <w:w w:val="100"/>
          <w:kern w:val="2"/>
          <w:sz w:val="32"/>
          <w:szCs w:val="32"/>
          <w:highlight w:val="none"/>
          <w:lang w:val="en-US" w:eastAsia="zh-CN" w:bidi="ar"/>
        </w:rPr>
      </w:pPr>
      <w:r>
        <w:rPr>
          <w:rFonts w:hint="eastAsia" w:ascii="楷体_GB2312" w:hAnsi="楷体_GB2312" w:eastAsia="楷体_GB2312" w:cs="楷体_GB2312"/>
          <w:b w:val="0"/>
          <w:bCs w:val="0"/>
          <w:color w:val="auto"/>
          <w:spacing w:val="0"/>
          <w:w w:val="100"/>
          <w:sz w:val="32"/>
          <w:szCs w:val="32"/>
          <w:highlight w:val="none"/>
          <w:lang w:eastAsia="zh-CN"/>
        </w:rPr>
        <w:t>（七）</w:t>
      </w:r>
      <w:r>
        <w:rPr>
          <w:rFonts w:hint="eastAsia" w:ascii="楷体_GB2312" w:hAnsi="楷体_GB2312" w:eastAsia="楷体_GB2312" w:cs="楷体_GB2312"/>
          <w:b w:val="0"/>
          <w:bCs w:val="0"/>
          <w:color w:val="auto"/>
          <w:spacing w:val="0"/>
          <w:w w:val="100"/>
          <w:kern w:val="2"/>
          <w:sz w:val="32"/>
          <w:szCs w:val="32"/>
          <w:highlight w:val="none"/>
          <w:lang w:val="en-US" w:eastAsia="zh-CN" w:bidi="ar"/>
        </w:rPr>
        <w:t>《临泽县县级应急成品粮储备管理办法》（临政发</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楷体_GB2312" w:hAnsi="楷体_GB2312" w:eastAsia="楷体_GB2312" w:cs="楷体_GB2312"/>
          <w:b w:val="0"/>
          <w:bCs w:val="0"/>
          <w:color w:val="auto"/>
          <w:spacing w:val="0"/>
          <w:w w:val="100"/>
          <w:kern w:val="2"/>
          <w:sz w:val="32"/>
          <w:szCs w:val="32"/>
          <w:highlight w:val="none"/>
          <w:lang w:val="en-US" w:eastAsia="zh-CN" w:bidi="ar"/>
        </w:rPr>
      </w:pPr>
      <w:r>
        <w:rPr>
          <w:rFonts w:hint="eastAsia" w:ascii="楷体_GB2312" w:hAnsi="楷体_GB2312" w:eastAsia="楷体_GB2312" w:cs="楷体_GB2312"/>
          <w:b w:val="0"/>
          <w:bCs w:val="0"/>
          <w:color w:val="auto"/>
          <w:spacing w:val="0"/>
          <w:w w:val="100"/>
          <w:kern w:val="2"/>
          <w:sz w:val="32"/>
          <w:szCs w:val="32"/>
          <w:highlight w:val="none"/>
          <w:lang w:val="en-US" w:eastAsia="zh-CN" w:bidi="ar"/>
        </w:rPr>
        <w:t>[2021]25号）</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PrEx>
        <w:trPr>
          <w:trHeight w:val="63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val="0"/>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bidi="ar"/>
              </w:rPr>
              <w:t>第十一条应</w:t>
            </w:r>
            <w:r>
              <w:rPr>
                <w:rFonts w:hint="eastAsia" w:ascii="仿宋_GB2312" w:hAnsi="仿宋_GB2312" w:eastAsia="仿宋_GB2312" w:cs="仿宋_GB2312"/>
                <w:b w:val="0"/>
                <w:bCs w:val="0"/>
                <w:color w:val="auto"/>
                <w:spacing w:val="0"/>
                <w:w w:val="100"/>
                <w:kern w:val="2"/>
                <w:sz w:val="32"/>
                <w:szCs w:val="32"/>
                <w:highlight w:val="none"/>
                <w:lang w:val="en-US" w:eastAsia="zh-CN" w:bidi="ar"/>
              </w:rPr>
              <w:t>急成品粮承储企</w:t>
            </w:r>
            <w:r>
              <w:rPr>
                <w:rFonts w:hint="eastAsia" w:ascii="仿宋_GB2312" w:hAnsi="仿宋_GB2312" w:eastAsia="仿宋_GB2312" w:cs="仿宋_GB2312"/>
                <w:b w:val="0"/>
                <w:bCs w:val="0"/>
                <w:color w:val="auto"/>
                <w:spacing w:val="0"/>
                <w:w w:val="100"/>
                <w:kern w:val="0"/>
                <w:sz w:val="32"/>
                <w:szCs w:val="32"/>
                <w:highlight w:val="none"/>
                <w:lang w:val="en-US" w:eastAsia="zh-CN" w:bidi="ar"/>
              </w:rPr>
              <w:t>业应当符合下列条件:（一）</w:t>
            </w:r>
            <w:r>
              <w:rPr>
                <w:rFonts w:hint="eastAsia" w:ascii="仿宋_GB2312" w:hAnsi="仿宋_GB2312" w:eastAsia="仿宋_GB2312" w:cs="仿宋_GB2312"/>
                <w:b w:val="0"/>
                <w:bCs w:val="0"/>
                <w:color w:val="auto"/>
                <w:spacing w:val="0"/>
                <w:w w:val="100"/>
                <w:kern w:val="0"/>
                <w:sz w:val="32"/>
                <w:szCs w:val="32"/>
                <w:highlight w:val="none"/>
                <w:u w:val="single"/>
                <w:lang w:val="en-US" w:eastAsia="zh-CN" w:bidi="ar"/>
              </w:rPr>
              <w:t>在临泽县境内，具有独立法人资格</w:t>
            </w:r>
            <w:r>
              <w:rPr>
                <w:rFonts w:hint="eastAsia" w:ascii="仿宋_GB2312" w:hAnsi="仿宋_GB2312" w:eastAsia="仿宋_GB2312" w:cs="仿宋_GB2312"/>
                <w:b w:val="0"/>
                <w:bCs w:val="0"/>
                <w:color w:val="auto"/>
                <w:spacing w:val="0"/>
                <w:w w:val="100"/>
                <w:kern w:val="0"/>
                <w:sz w:val="32"/>
                <w:szCs w:val="32"/>
                <w:highlight w:val="none"/>
                <w:lang w:val="en-US" w:eastAsia="zh-CN" w:bidi="ar"/>
              </w:rPr>
              <w:t>，依法取得食品经营许可等相关资质；第十二条符合上述条件，且有意愿承担应急成品粮承储的企业，可直接向县发改部门申报，经审核、公示无异议的企业，</w:t>
            </w:r>
            <w:r>
              <w:rPr>
                <w:rFonts w:hint="eastAsia" w:ascii="仿宋_GB2312" w:hAnsi="仿宋_GB2312" w:eastAsia="仿宋_GB2312" w:cs="仿宋_GB2312"/>
                <w:b w:val="0"/>
                <w:bCs w:val="0"/>
                <w:color w:val="auto"/>
                <w:spacing w:val="0"/>
                <w:w w:val="100"/>
                <w:kern w:val="0"/>
                <w:sz w:val="32"/>
                <w:szCs w:val="32"/>
                <w:highlight w:val="none"/>
                <w:u w:val="single"/>
                <w:lang w:val="en-US" w:eastAsia="zh-CN" w:bidi="ar"/>
              </w:rPr>
              <w:t>列入县级应急成品粮承储企业名录库</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b.剖析论证</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w:t>
      </w:r>
      <w:r>
        <w:rPr>
          <w:rFonts w:hint="eastAsia" w:ascii="仿宋_GB2312" w:hAnsi="仿宋_GB2312" w:eastAsia="仿宋_GB2312" w:cs="仿宋_GB2312"/>
          <w:b w:val="0"/>
          <w:bCs w:val="0"/>
          <w:color w:val="auto"/>
          <w:spacing w:val="0"/>
          <w:w w:val="100"/>
          <w:kern w:val="2"/>
          <w:sz w:val="32"/>
          <w:szCs w:val="32"/>
          <w:highlight w:val="none"/>
          <w:lang w:val="en-US" w:eastAsia="zh-CN" w:bidi="ar"/>
        </w:rPr>
        <w:t>第十一条语义不详：如何理解临泽县境内，具有独立法人资格？</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涉嫌违反《公平竞争审查制度实施细则》“第十三条市场准入和退出标准（一）不得设置不合理或歧视性的准入和退出条件，包括但不限于：2.没有法律、行政法规或者国务院规定依据，对不同所有制、地区、组织形式的经营者实施不合理的差别化待遇，设置不平等的市场准入和退出条件”的规定。</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文件内容第十二条违反《公平竞争审查制度实施细则》“第十三条市场准入和退出标准（一）不得设置不合理或歧视性的准入和退出条件，包括但不限于：3.没有法律、行政法规或者国务院规定依据，以备案、登记、注册、目录、年检…，要求设立分支机构以及其他任何形式，设定或者变相设定市场准入障碍”的规定。</w:t>
      </w:r>
    </w:p>
    <w:p>
      <w:pPr>
        <w:pStyle w:val="4"/>
        <w:pageBreakBefore w:val="0"/>
        <w:numPr>
          <w:ilvl w:val="0"/>
          <w:numId w:val="0"/>
        </w:numPr>
        <w:kinsoku/>
        <w:wordWrap/>
        <w:overflowPunct/>
        <w:topLinePunct/>
        <w:autoSpaceDE/>
        <w:autoSpaceDN/>
        <w:bidi w:val="0"/>
        <w:adjustRightInd w:val="0"/>
        <w:snapToGrid w:val="0"/>
        <w:spacing w:before="0" w:beforeAutospacing="0" w:after="0" w:line="540" w:lineRule="exact"/>
        <w:ind w:left="0" w:leftChars="0" w:right="0" w:rightChars="0" w:firstLine="640" w:firstLineChars="200"/>
        <w:jc w:val="both"/>
        <w:rPr>
          <w:rFonts w:hint="eastAsia" w:ascii="黑体" w:hAnsi="黑体" w:eastAsia="黑体" w:cs="黑体"/>
          <w:b w:val="0"/>
          <w:bCs w:val="0"/>
          <w:snapToGrid/>
          <w:color w:val="auto"/>
          <w:spacing w:val="0"/>
          <w:w w:val="100"/>
          <w:kern w:val="0"/>
          <w:sz w:val="32"/>
          <w:szCs w:val="32"/>
          <w:highlight w:val="none"/>
          <w:lang w:eastAsia="zh-CN" w:bidi="ar"/>
        </w:rPr>
      </w:pPr>
      <w:bookmarkStart w:id="73" w:name="_Toc31551"/>
      <w:bookmarkStart w:id="74" w:name="_Toc25712"/>
      <w:bookmarkStart w:id="75" w:name="_Toc101045487"/>
      <w:bookmarkStart w:id="76" w:name="_Toc25293"/>
      <w:r>
        <w:rPr>
          <w:rFonts w:hint="eastAsia" w:ascii="黑体" w:hAnsi="黑体" w:eastAsia="黑体" w:cs="黑体"/>
          <w:b w:val="0"/>
          <w:bCs w:val="0"/>
          <w:snapToGrid/>
          <w:color w:val="auto"/>
          <w:spacing w:val="0"/>
          <w:w w:val="100"/>
          <w:kern w:val="0"/>
          <w:sz w:val="32"/>
          <w:szCs w:val="32"/>
          <w:lang w:val="en-US" w:eastAsia="zh-CN" w:bidi="ar"/>
        </w:rPr>
        <w:t>三、</w:t>
      </w:r>
      <w:r>
        <w:rPr>
          <w:rFonts w:hint="eastAsia" w:ascii="黑体" w:hAnsi="黑体" w:eastAsia="黑体" w:cs="黑体"/>
          <w:b w:val="0"/>
          <w:bCs w:val="0"/>
          <w:color w:val="auto"/>
          <w:spacing w:val="0"/>
          <w:w w:val="100"/>
          <w:sz w:val="32"/>
          <w:szCs w:val="32"/>
          <w:highlight w:val="none"/>
          <w:lang w:eastAsia="zh-CN"/>
        </w:rPr>
        <w:t>违反“</w:t>
      </w:r>
      <w:r>
        <w:rPr>
          <w:rFonts w:hint="eastAsia" w:ascii="黑体" w:hAnsi="黑体" w:eastAsia="黑体" w:cs="黑体"/>
          <w:b w:val="0"/>
          <w:bCs w:val="0"/>
          <w:snapToGrid/>
          <w:color w:val="auto"/>
          <w:spacing w:val="0"/>
          <w:w w:val="100"/>
          <w:kern w:val="0"/>
          <w:sz w:val="32"/>
          <w:szCs w:val="32"/>
          <w:highlight w:val="none"/>
          <w:lang w:val="en-US" w:eastAsia="zh-CN" w:bidi="ar"/>
        </w:rPr>
        <w:t>商品要素自由流动</w:t>
      </w:r>
      <w:r>
        <w:rPr>
          <w:rFonts w:hint="eastAsia" w:ascii="黑体" w:hAnsi="黑体" w:eastAsia="黑体" w:cs="黑体"/>
          <w:b w:val="0"/>
          <w:bCs w:val="0"/>
          <w:snapToGrid/>
          <w:color w:val="auto"/>
          <w:spacing w:val="0"/>
          <w:w w:val="100"/>
          <w:kern w:val="0"/>
          <w:sz w:val="32"/>
          <w:szCs w:val="32"/>
          <w:highlight w:val="none"/>
          <w:lang w:eastAsia="zh-CN" w:bidi="ar"/>
        </w:rPr>
        <w:t>标准”</w:t>
      </w:r>
      <w:bookmarkEnd w:id="73"/>
    </w:p>
    <w:p>
      <w:pPr>
        <w:keepNext w:val="0"/>
        <w:keepLines w:val="0"/>
        <w:pageBreakBefore w:val="0"/>
        <w:widowControl w:val="0"/>
        <w:suppressLineNumbers w:val="0"/>
        <w:wordWrap/>
        <w:overflowPunct/>
        <w:topLinePunct w:val="0"/>
        <w:bidi w:val="0"/>
        <w:spacing w:before="0" w:beforeAutospacing="0" w:after="0" w:afterAutospacing="0" w:line="360" w:lineRule="auto"/>
        <w:ind w:left="0" w:right="0" w:firstLine="640" w:firstLineChars="200"/>
        <w:jc w:val="both"/>
        <w:rPr>
          <w:rFonts w:hint="eastAsia" w:ascii="楷体_GB2312" w:hAnsi="楷体_GB2312" w:eastAsia="楷体_GB2312" w:cs="楷体_GB2312"/>
          <w:b/>
          <w:bCs/>
          <w:sz w:val="32"/>
          <w:szCs w:val="32"/>
          <w:highlight w:val="none"/>
          <w:lang w:eastAsia="zh-CN"/>
        </w:rPr>
      </w:pPr>
      <w:r>
        <w:rPr>
          <w:rFonts w:hint="eastAsia" w:ascii="楷体_GB2312" w:hAnsi="楷体_GB2312" w:eastAsia="楷体_GB2312" w:cs="楷体_GB2312"/>
          <w:b w:val="0"/>
          <w:bCs w:val="0"/>
          <w:color w:val="auto"/>
          <w:spacing w:val="0"/>
          <w:w w:val="100"/>
          <w:sz w:val="32"/>
          <w:szCs w:val="32"/>
          <w:highlight w:val="none"/>
          <w:vertAlign w:val="baseline"/>
          <w:lang w:eastAsia="zh-CN"/>
        </w:rPr>
        <w:t>（一）</w:t>
      </w:r>
      <w:r>
        <w:rPr>
          <w:rFonts w:hint="eastAsia" w:ascii="楷体_GB2312" w:hAnsi="楷体_GB2312" w:eastAsia="楷体_GB2312" w:cs="楷体_GB2312"/>
          <w:b/>
          <w:bCs/>
          <w:sz w:val="32"/>
          <w:szCs w:val="32"/>
          <w:highlight w:val="none"/>
          <w:vertAlign w:val="baseline"/>
          <w:lang w:eastAsia="zh-CN"/>
        </w:rPr>
        <w:t>《</w:t>
      </w:r>
      <w:r>
        <w:rPr>
          <w:rFonts w:hint="eastAsia" w:ascii="楷体_GB2312" w:hAnsi="楷体_GB2312" w:eastAsia="楷体_GB2312" w:cs="楷体_GB2312"/>
          <w:b w:val="0"/>
          <w:bCs/>
          <w:spacing w:val="0"/>
          <w:position w:val="0"/>
          <w:sz w:val="32"/>
          <w:szCs w:val="32"/>
          <w:lang w:val="en-US" w:eastAsia="zh-CN"/>
        </w:rPr>
        <w:t>《张掖市支持文化旅游产业发展若干措施》</w:t>
      </w:r>
      <w:r>
        <w:rPr>
          <w:rFonts w:hint="eastAsia" w:ascii="楷体_GB2312" w:hAnsi="楷体_GB2312" w:eastAsia="楷体_GB2312" w:cs="楷体_GB2312"/>
          <w:b/>
          <w:bCs/>
          <w:sz w:val="32"/>
          <w:szCs w:val="32"/>
          <w:highlight w:val="none"/>
          <w:vertAlign w:val="baseline"/>
          <w:lang w:eastAsia="zh-CN"/>
        </w:rPr>
        <w:t>》</w:t>
      </w:r>
      <w:r>
        <w:rPr>
          <w:rFonts w:hint="eastAsia" w:ascii="楷体_GB2312" w:hAnsi="楷体_GB2312" w:eastAsia="楷体_GB2312" w:cs="楷体_GB2312"/>
          <w:b/>
          <w:bCs/>
          <w:sz w:val="32"/>
          <w:szCs w:val="32"/>
          <w:highlight w:val="none"/>
          <w:lang w:eastAsia="zh-CN"/>
        </w:rPr>
        <w:t>（</w:t>
      </w:r>
      <w:r>
        <w:rPr>
          <w:rFonts w:hint="eastAsia" w:ascii="楷体_GB2312" w:hAnsi="楷体_GB2312" w:eastAsia="楷体_GB2312" w:cs="楷体_GB2312"/>
          <w:b w:val="0"/>
          <w:bCs/>
          <w:spacing w:val="0"/>
          <w:position w:val="0"/>
          <w:sz w:val="32"/>
          <w:szCs w:val="32"/>
          <w:lang w:val="en-US" w:eastAsia="zh-CN"/>
        </w:rPr>
        <w:t>市委办发（2021）68号</w:t>
      </w:r>
      <w:r>
        <w:rPr>
          <w:rFonts w:hint="eastAsia" w:ascii="楷体_GB2312" w:hAnsi="楷体_GB2312" w:eastAsia="楷体_GB2312" w:cs="楷体_GB2312"/>
          <w:b/>
          <w:bCs/>
          <w:sz w:val="32"/>
          <w:szCs w:val="32"/>
          <w:highlight w:val="none"/>
          <w:lang w:eastAsia="zh-CN"/>
        </w:rPr>
        <w:t>）</w:t>
      </w:r>
    </w:p>
    <w:p>
      <w:pPr>
        <w:keepNext w:val="0"/>
        <w:keepLines w:val="0"/>
        <w:widowControl/>
        <w:suppressLineNumbers w:val="0"/>
        <w:kinsoku w:val="0"/>
        <w:autoSpaceDE w:val="0"/>
        <w:autoSpaceDN w:val="0"/>
        <w:adjustRightInd w:val="0"/>
        <w:snapToGrid w:val="0"/>
        <w:spacing w:before="93" w:beforeAutospacing="0" w:after="0" w:afterAutospacing="0"/>
        <w:ind w:left="552" w:right="0"/>
        <w:jc w:val="left"/>
        <w:textAlignment w:val="baseline"/>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snapToGrid/>
          <w:color w:val="000000"/>
          <w:kern w:val="0"/>
          <w:sz w:val="32"/>
          <w:szCs w:val="32"/>
          <w:highlight w:val="none"/>
          <w:lang w:val="en-US" w:eastAsia="zh-CN" w:bidi="ar"/>
        </w:rPr>
        <w:t>a</w:t>
      </w:r>
      <w:r>
        <w:rPr>
          <w:rFonts w:hint="eastAsia" w:ascii="仿宋_GB2312" w:hAnsi="仿宋_GB2312" w:eastAsia="仿宋_GB2312" w:cs="仿宋_GB2312"/>
          <w:b w:val="0"/>
          <w:bCs w:val="0"/>
          <w:snapToGrid/>
          <w:color w:val="000000"/>
          <w:spacing w:val="13"/>
          <w:kern w:val="0"/>
          <w:sz w:val="32"/>
          <w:szCs w:val="32"/>
          <w:highlight w:val="none"/>
          <w:lang w:val="en-US" w:eastAsia="zh-CN" w:bidi="ar"/>
        </w:rPr>
        <w:t>.</w:t>
      </w:r>
      <w:r>
        <w:rPr>
          <w:rFonts w:hint="eastAsia" w:ascii="仿宋_GB2312" w:hAnsi="仿宋_GB2312" w:eastAsia="仿宋_GB2312" w:cs="仿宋_GB2312"/>
          <w:b w:val="0"/>
          <w:bCs w:val="0"/>
          <w:snapToGrid/>
          <w:color w:val="000000"/>
          <w:spacing w:val="8"/>
          <w:kern w:val="0"/>
          <w:sz w:val="32"/>
          <w:szCs w:val="32"/>
          <w:highlight w:val="none"/>
          <w:lang w:val="en-US" w:eastAsia="zh-CN" w:bidi="ar"/>
        </w:rPr>
        <w:t xml:space="preserve"> 问题内容条款</w:t>
      </w:r>
    </w:p>
    <w:p>
      <w:pPr>
        <w:keepNext w:val="0"/>
        <w:keepLines w:val="0"/>
        <w:widowControl/>
        <w:suppressLineNumbers w:val="0"/>
        <w:kinsoku w:val="0"/>
        <w:autoSpaceDE w:val="0"/>
        <w:autoSpaceDN w:val="0"/>
        <w:adjustRightInd w:val="0"/>
        <w:snapToGrid w:val="0"/>
        <w:spacing w:before="0" w:beforeAutospacing="0" w:after="0" w:afterAutospacing="0" w:line="104" w:lineRule="exact"/>
        <w:ind w:left="0" w:right="0"/>
        <w:jc w:val="left"/>
        <w:textAlignment w:val="baseline"/>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snapToGrid/>
          <w:color w:val="000000"/>
          <w:kern w:val="0"/>
          <w:sz w:val="32"/>
          <w:szCs w:val="32"/>
          <w:highlight w:val="none"/>
          <w:lang w:val="en-US" w:eastAsia="zh-CN" w:bidi="ar"/>
        </w:rPr>
        <w:t xml:space="preserve"> </w:t>
      </w:r>
    </w:p>
    <w:tbl>
      <w:tblPr>
        <w:tblStyle w:val="49"/>
        <w:tblW w:w="7562" w:type="dxa"/>
        <w:tblInd w:w="738"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tblLayout w:type="fixed"/>
        <w:tblCellMar>
          <w:top w:w="0" w:type="dxa"/>
          <w:left w:w="0" w:type="dxa"/>
          <w:bottom w:w="0" w:type="dxa"/>
          <w:right w:w="0" w:type="dxa"/>
        </w:tblCellMar>
      </w:tblPr>
      <w:tblGrid>
        <w:gridCol w:w="7562"/>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tblCellMar>
            <w:top w:w="0" w:type="dxa"/>
            <w:left w:w="0" w:type="dxa"/>
            <w:bottom w:w="0" w:type="dxa"/>
            <w:right w:w="0" w:type="dxa"/>
          </w:tblCellMar>
        </w:tblPrEx>
        <w:trPr>
          <w:trHeight w:val="3366" w:hRule="atLeast"/>
        </w:trPr>
        <w:tc>
          <w:tcPr>
            <w:tcW w:w="7562" w:type="dxa"/>
            <w:tcBorders>
              <w:top w:val="single" w:color="000000" w:sz="8" w:space="0"/>
              <w:left w:val="single" w:color="000000" w:sz="8" w:space="0"/>
              <w:bottom w:val="single" w:color="000000" w:sz="8" w:space="0"/>
              <w:right w:val="single" w:color="000000" w:sz="8" w:space="0"/>
            </w:tcBorders>
            <w:noWrap w:val="0"/>
            <w:vAlign w:val="top"/>
          </w:tcPr>
          <w:p>
            <w:pPr>
              <w:keepNext w:val="0"/>
              <w:keepLines w:val="0"/>
              <w:pageBreakBefore w:val="0"/>
              <w:widowControl w:val="0"/>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96"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snapToGrid/>
                <w:color w:val="000000"/>
                <w:spacing w:val="-1"/>
                <w:kern w:val="0"/>
                <w:sz w:val="30"/>
                <w:szCs w:val="30"/>
                <w:highlight w:val="none"/>
                <w:lang w:eastAsia="zh-CN" w:bidi="ar"/>
              </w:rPr>
              <w:t xml:space="preserve">  </w:t>
            </w:r>
            <w:r>
              <w:rPr>
                <w:rFonts w:hint="eastAsia" w:ascii="仿宋_GB2312" w:hAnsi="仿宋_GB2312" w:eastAsia="仿宋_GB2312" w:cs="仿宋_GB2312"/>
                <w:b w:val="0"/>
                <w:bCs w:val="0"/>
                <w:color w:val="auto"/>
                <w:spacing w:val="0"/>
                <w:w w:val="100"/>
                <w:kern w:val="2"/>
                <w:sz w:val="32"/>
                <w:szCs w:val="32"/>
                <w:highlight w:val="none"/>
                <w:lang w:val="en-US" w:eastAsia="zh-CN" w:bidi="ar"/>
              </w:rPr>
              <w:t xml:space="preserve">文件 第2页 </w:t>
            </w:r>
          </w:p>
          <w:p>
            <w:pPr>
              <w:keepNext w:val="0"/>
              <w:keepLines w:val="0"/>
              <w:pageBreakBefore w:val="0"/>
              <w:widowControl w:val="0"/>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引客入张奖励。（一）组团奖励。旅行社组织游客乘专列</w:t>
            </w: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来张旅游、停留2天1晚、游览3处以上有门票收费景区、观看1场以上大型演出剧目</w:t>
            </w:r>
            <w:r>
              <w:rPr>
                <w:rFonts w:hint="eastAsia" w:ascii="仿宋_GB2312" w:hAnsi="仿宋_GB2312" w:eastAsia="仿宋_GB2312" w:cs="仿宋_GB2312"/>
                <w:b w:val="0"/>
                <w:bCs w:val="0"/>
                <w:color w:val="auto"/>
                <w:spacing w:val="0"/>
                <w:w w:val="100"/>
                <w:kern w:val="2"/>
                <w:sz w:val="32"/>
                <w:szCs w:val="32"/>
                <w:highlight w:val="none"/>
                <w:lang w:val="en-US" w:eastAsia="zh-CN" w:bidi="ar"/>
              </w:rPr>
              <w:t>，一次性组织400人、600人，800人以上的，每列分别奖励1万元、2万元、3万元；通过直航飞机一次性组织50人以上的，每人奖励300元。（二）年度奖励。旅行社组织游客</w:t>
            </w: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来张旅游符合组团奖励条件</w:t>
            </w:r>
            <w:r>
              <w:rPr>
                <w:rFonts w:hint="eastAsia" w:ascii="仿宋_GB2312" w:hAnsi="仿宋_GB2312" w:eastAsia="仿宋_GB2312" w:cs="仿宋_GB2312"/>
                <w:b w:val="0"/>
                <w:bCs w:val="0"/>
                <w:color w:val="auto"/>
                <w:spacing w:val="0"/>
                <w:w w:val="100"/>
                <w:kern w:val="2"/>
                <w:sz w:val="32"/>
                <w:szCs w:val="32"/>
                <w:highlight w:val="none"/>
                <w:lang w:val="en-US" w:eastAsia="zh-CN" w:bidi="ar"/>
              </w:rPr>
              <w:t>，年度累计人数达到2000人次、3000人次、4000人次、5000人次的。</w:t>
            </w:r>
          </w:p>
          <w:p>
            <w:pPr>
              <w:keepNext w:val="0"/>
              <w:keepLines w:val="0"/>
              <w:pageBreakBefore w:val="0"/>
              <w:widowControl w:val="0"/>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pP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第三条、第四条均有类似的表述。</w:t>
            </w:r>
          </w:p>
          <w:p>
            <w:pPr>
              <w:keepNext w:val="0"/>
              <w:keepLines w:val="0"/>
              <w:widowControl/>
              <w:suppressLineNumbers w:val="0"/>
              <w:spacing w:before="0" w:beforeAutospacing="0" w:after="0" w:afterAutospacing="0" w:line="357" w:lineRule="atLeast"/>
              <w:ind w:left="0" w:right="0"/>
              <w:jc w:val="both"/>
              <w:textAlignment w:val="baseline"/>
              <w:rPr>
                <w:rFonts w:hint="eastAsia" w:ascii="仿宋_GB2312" w:hAnsi="仿宋_GB2312" w:eastAsia="仿宋_GB2312" w:cs="仿宋_GB2312"/>
                <w:b w:val="0"/>
                <w:bCs w:val="0"/>
                <w:kern w:val="2"/>
                <w:sz w:val="30"/>
                <w:szCs w:val="30"/>
                <w:highlight w:val="none"/>
                <w:lang w:val="en-US" w:eastAsia="zh-CN" w:bidi="ar"/>
              </w:rPr>
            </w:pPr>
          </w:p>
        </w:tc>
      </w:tr>
    </w:tbl>
    <w:p>
      <w:pPr>
        <w:keepNext w:val="0"/>
        <w:keepLines w:val="0"/>
        <w:widowControl/>
        <w:suppressLineNumbers w:val="0"/>
        <w:kinsoku w:val="0"/>
        <w:autoSpaceDE w:val="0"/>
        <w:autoSpaceDN w:val="0"/>
        <w:adjustRightInd w:val="0"/>
        <w:snapToGrid w:val="0"/>
        <w:spacing w:before="0" w:beforeAutospacing="0" w:after="0" w:afterAutospacing="0" w:line="259" w:lineRule="auto"/>
        <w:ind w:left="0" w:right="0"/>
        <w:jc w:val="left"/>
        <w:textAlignment w:val="baseline"/>
        <w:rPr>
          <w:rFonts w:hint="eastAsia" w:ascii="仿宋_GB2312" w:hAnsi="仿宋_GB2312" w:eastAsia="仿宋_GB2312" w:cs="仿宋_GB2312"/>
          <w:b w:val="0"/>
          <w:bCs w:val="0"/>
          <w:color w:val="000000"/>
          <w:kern w:val="0"/>
          <w:sz w:val="30"/>
          <w:szCs w:val="30"/>
          <w:highlight w:val="none"/>
        </w:rPr>
      </w:pPr>
      <w:r>
        <w:rPr>
          <w:rFonts w:hint="eastAsia" w:ascii="仿宋_GB2312" w:hAnsi="仿宋_GB2312" w:eastAsia="仿宋_GB2312" w:cs="仿宋_GB2312"/>
          <w:b w:val="0"/>
          <w:bCs w:val="0"/>
          <w:snapToGrid/>
          <w:color w:val="000000"/>
          <w:kern w:val="0"/>
          <w:sz w:val="30"/>
          <w:szCs w:val="30"/>
          <w:highlight w:val="none"/>
          <w:lang w:val="en-US" w:eastAsia="zh-CN" w:bidi="ar"/>
        </w:rPr>
        <w:t xml:space="preserve"> </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b. 剖析论证</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文件内容违反《公平竞争审查制度实施细则》“第十四条商品要素自由流动标准（一）不得对外地和进口商品、服务实行歧视性价格和歧视性补贴政策”的规定。</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由于政策优待给予了本地旅游产品（包括收费景点、住宿等），形成了本地旅游产品的不当竞争优势，损害了不同地区旅游产品之间公平竞争的市场格局，不利于其他地区的旅游产品平等参与竞争。</w:t>
      </w:r>
    </w:p>
    <w:p>
      <w:pPr>
        <w:keepNext w:val="0"/>
        <w:keepLines w:val="0"/>
        <w:pageBreakBefore w:val="0"/>
        <w:widowControl w:val="0"/>
        <w:suppressLineNumbers w:val="0"/>
        <w:wordWrap/>
        <w:overflowPunct/>
        <w:topLinePunct w:val="0"/>
        <w:bidi w:val="0"/>
        <w:spacing w:before="0" w:beforeAutospacing="0" w:after="0" w:afterAutospacing="0" w:line="360" w:lineRule="auto"/>
        <w:ind w:left="0" w:right="0" w:firstLine="640" w:firstLineChars="200"/>
        <w:jc w:val="both"/>
        <w:rPr>
          <w:rFonts w:hint="eastAsia" w:ascii="楷体_GB2312" w:hAnsi="楷体_GB2312" w:eastAsia="楷体_GB2312" w:cs="楷体_GB2312"/>
          <w:b w:val="0"/>
          <w:bCs w:val="0"/>
          <w:sz w:val="32"/>
          <w:szCs w:val="32"/>
          <w:highlight w:val="none"/>
          <w:lang w:eastAsia="zh-CN"/>
        </w:rPr>
      </w:pPr>
      <w:r>
        <w:rPr>
          <w:rFonts w:hint="eastAsia" w:ascii="楷体_GB2312" w:hAnsi="楷体_GB2312" w:eastAsia="楷体_GB2312" w:cs="楷体_GB2312"/>
          <w:b w:val="0"/>
          <w:bCs w:val="0"/>
          <w:sz w:val="32"/>
          <w:szCs w:val="32"/>
          <w:highlight w:val="none"/>
          <w:lang w:eastAsia="zh-CN"/>
        </w:rPr>
        <w:t>（二）</w:t>
      </w:r>
      <w:r>
        <w:rPr>
          <w:rFonts w:hint="eastAsia" w:ascii="楷体_GB2312" w:hAnsi="楷体_GB2312" w:eastAsia="楷体_GB2312" w:cs="楷体_GB2312"/>
          <w:b w:val="0"/>
          <w:bCs w:val="0"/>
          <w:spacing w:val="0"/>
          <w:position w:val="0"/>
          <w:sz w:val="32"/>
          <w:szCs w:val="32"/>
          <w:lang w:val="en-US" w:eastAsia="zh-CN"/>
        </w:rPr>
        <w:t>《张掖市应对疫情影响提振文旅市场政策措施》</w:t>
      </w:r>
      <w:r>
        <w:rPr>
          <w:rFonts w:hint="eastAsia" w:ascii="楷体_GB2312" w:hAnsi="楷体_GB2312" w:eastAsia="楷体_GB2312" w:cs="楷体_GB2312"/>
          <w:b w:val="0"/>
          <w:bCs w:val="0"/>
          <w:sz w:val="32"/>
          <w:szCs w:val="32"/>
          <w:highlight w:val="none"/>
          <w:lang w:eastAsia="zh-CN"/>
        </w:rPr>
        <w:t>（</w:t>
      </w:r>
      <w:r>
        <w:rPr>
          <w:rFonts w:hint="eastAsia" w:ascii="楷体_GB2312" w:hAnsi="楷体_GB2312" w:eastAsia="楷体_GB2312" w:cs="楷体_GB2312"/>
          <w:b w:val="0"/>
          <w:bCs w:val="0"/>
          <w:spacing w:val="0"/>
          <w:position w:val="0"/>
          <w:sz w:val="32"/>
          <w:szCs w:val="32"/>
          <w:lang w:val="en-US" w:eastAsia="zh-CN"/>
        </w:rPr>
        <w:t>张政办发（2022）114号</w:t>
      </w:r>
      <w:r>
        <w:rPr>
          <w:rFonts w:hint="eastAsia" w:ascii="楷体_GB2312" w:hAnsi="楷体_GB2312" w:eastAsia="楷体_GB2312" w:cs="楷体_GB2312"/>
          <w:b w:val="0"/>
          <w:bCs w:val="0"/>
          <w:sz w:val="32"/>
          <w:szCs w:val="32"/>
          <w:highlight w:val="none"/>
          <w:lang w:eastAsia="zh-CN"/>
        </w:rPr>
        <w:t>）</w:t>
      </w:r>
    </w:p>
    <w:p>
      <w:pPr>
        <w:keepNext w:val="0"/>
        <w:keepLines w:val="0"/>
        <w:widowControl/>
        <w:suppressLineNumbers w:val="0"/>
        <w:kinsoku w:val="0"/>
        <w:autoSpaceDE w:val="0"/>
        <w:autoSpaceDN w:val="0"/>
        <w:adjustRightInd w:val="0"/>
        <w:snapToGrid w:val="0"/>
        <w:spacing w:before="93" w:beforeAutospacing="0" w:after="0" w:afterAutospacing="0"/>
        <w:ind w:left="552" w:right="0"/>
        <w:jc w:val="left"/>
        <w:textAlignment w:val="baseline"/>
        <w:rPr>
          <w:rFonts w:hint="eastAsia" w:ascii="仿宋_GB2312" w:hAnsi="仿宋_GB2312" w:eastAsia="仿宋_GB2312" w:cs="仿宋_GB2312"/>
          <w:b w:val="0"/>
          <w:bCs w:val="0"/>
          <w:color w:val="000000"/>
          <w:kern w:val="0"/>
          <w:sz w:val="30"/>
          <w:szCs w:val="30"/>
          <w:highlight w:val="none"/>
        </w:rPr>
      </w:pPr>
      <w:r>
        <w:rPr>
          <w:rFonts w:hint="eastAsia" w:ascii="仿宋_GB2312" w:hAnsi="仿宋_GB2312" w:eastAsia="仿宋_GB2312" w:cs="仿宋_GB2312"/>
          <w:b w:val="0"/>
          <w:bCs w:val="0"/>
          <w:snapToGrid/>
          <w:color w:val="000000"/>
          <w:kern w:val="0"/>
          <w:sz w:val="30"/>
          <w:szCs w:val="30"/>
          <w:highlight w:val="none"/>
          <w:lang w:val="en-US" w:eastAsia="zh-CN" w:bidi="ar"/>
        </w:rPr>
        <w:t>a</w:t>
      </w:r>
      <w:r>
        <w:rPr>
          <w:rFonts w:hint="eastAsia" w:ascii="仿宋_GB2312" w:hAnsi="仿宋_GB2312" w:eastAsia="仿宋_GB2312" w:cs="仿宋_GB2312"/>
          <w:b w:val="0"/>
          <w:bCs w:val="0"/>
          <w:snapToGrid/>
          <w:color w:val="000000"/>
          <w:spacing w:val="13"/>
          <w:kern w:val="0"/>
          <w:sz w:val="30"/>
          <w:szCs w:val="30"/>
          <w:highlight w:val="none"/>
          <w:lang w:val="en-US" w:eastAsia="zh-CN" w:bidi="ar"/>
        </w:rPr>
        <w:t>.</w:t>
      </w:r>
      <w:r>
        <w:rPr>
          <w:rFonts w:hint="eastAsia" w:ascii="仿宋_GB2312" w:hAnsi="仿宋_GB2312" w:eastAsia="仿宋_GB2312" w:cs="仿宋_GB2312"/>
          <w:b w:val="0"/>
          <w:bCs w:val="0"/>
          <w:snapToGrid/>
          <w:color w:val="000000"/>
          <w:spacing w:val="8"/>
          <w:kern w:val="0"/>
          <w:sz w:val="30"/>
          <w:szCs w:val="30"/>
          <w:highlight w:val="none"/>
          <w:lang w:val="en-US" w:eastAsia="zh-CN" w:bidi="ar"/>
        </w:rPr>
        <w:t xml:space="preserve"> 问题内容条款</w:t>
      </w:r>
    </w:p>
    <w:p>
      <w:pPr>
        <w:keepNext w:val="0"/>
        <w:keepLines w:val="0"/>
        <w:widowControl/>
        <w:suppressLineNumbers w:val="0"/>
        <w:kinsoku w:val="0"/>
        <w:autoSpaceDE w:val="0"/>
        <w:autoSpaceDN w:val="0"/>
        <w:adjustRightInd w:val="0"/>
        <w:snapToGrid w:val="0"/>
        <w:spacing w:before="0" w:beforeAutospacing="0" w:after="0" w:afterAutospacing="0" w:line="104" w:lineRule="exact"/>
        <w:ind w:left="0" w:right="0"/>
        <w:jc w:val="left"/>
        <w:textAlignment w:val="baseline"/>
        <w:rPr>
          <w:rFonts w:hint="eastAsia" w:ascii="仿宋_GB2312" w:hAnsi="仿宋_GB2312" w:eastAsia="仿宋_GB2312" w:cs="仿宋_GB2312"/>
          <w:b w:val="0"/>
          <w:bCs w:val="0"/>
          <w:color w:val="000000"/>
          <w:kern w:val="0"/>
          <w:sz w:val="30"/>
          <w:szCs w:val="30"/>
          <w:highlight w:val="none"/>
        </w:rPr>
      </w:pPr>
      <w:r>
        <w:rPr>
          <w:rFonts w:hint="eastAsia" w:ascii="仿宋_GB2312" w:hAnsi="仿宋_GB2312" w:eastAsia="仿宋_GB2312" w:cs="仿宋_GB2312"/>
          <w:b w:val="0"/>
          <w:bCs w:val="0"/>
          <w:snapToGrid/>
          <w:color w:val="000000"/>
          <w:kern w:val="0"/>
          <w:sz w:val="30"/>
          <w:szCs w:val="30"/>
          <w:highlight w:val="none"/>
          <w:lang w:val="en-US" w:eastAsia="zh-CN" w:bidi="ar"/>
        </w:rPr>
        <w:t xml:space="preserve"> </w:t>
      </w:r>
    </w:p>
    <w:tbl>
      <w:tblPr>
        <w:tblStyle w:val="49"/>
        <w:tblW w:w="7562" w:type="dxa"/>
        <w:tblInd w:w="738"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tblLayout w:type="fixed"/>
        <w:tblCellMar>
          <w:top w:w="0" w:type="dxa"/>
          <w:left w:w="0" w:type="dxa"/>
          <w:bottom w:w="0" w:type="dxa"/>
          <w:right w:w="0" w:type="dxa"/>
        </w:tblCellMar>
      </w:tblPr>
      <w:tblGrid>
        <w:gridCol w:w="7562"/>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tblCellMar>
            <w:top w:w="0" w:type="dxa"/>
            <w:left w:w="0" w:type="dxa"/>
            <w:bottom w:w="0" w:type="dxa"/>
            <w:right w:w="0" w:type="dxa"/>
          </w:tblCellMar>
        </w:tblPrEx>
        <w:trPr>
          <w:trHeight w:val="3366" w:hRule="atLeast"/>
        </w:trPr>
        <w:tc>
          <w:tcPr>
            <w:tcW w:w="7562" w:type="dxa"/>
            <w:tcBorders>
              <w:top w:val="single" w:color="000000" w:sz="8" w:space="0"/>
              <w:left w:val="single" w:color="000000" w:sz="8" w:space="0"/>
              <w:bottom w:val="single" w:color="000000" w:sz="8" w:space="0"/>
              <w:right w:val="single" w:color="000000" w:sz="8" w:space="0"/>
            </w:tcBorders>
            <w:noWrap w:val="0"/>
            <w:vAlign w:val="top"/>
          </w:tcPr>
          <w:p>
            <w:pPr>
              <w:keepNext w:val="0"/>
              <w:keepLines w:val="0"/>
              <w:widowControl/>
              <w:suppressLineNumbers w:val="0"/>
              <w:kinsoku w:val="0"/>
              <w:autoSpaceDE w:val="0"/>
              <w:autoSpaceDN w:val="0"/>
              <w:adjustRightInd w:val="0"/>
              <w:snapToGrid w:val="0"/>
              <w:spacing w:before="238" w:beforeAutospacing="0" w:after="0" w:afterAutospacing="0" w:line="340" w:lineRule="auto"/>
              <w:ind w:left="0" w:leftChars="0" w:right="134" w:firstLine="0" w:firstLineChars="0"/>
              <w:jc w:val="left"/>
              <w:textAlignment w:val="baseline"/>
              <w:rPr>
                <w:rFonts w:hint="eastAsia" w:ascii="仿宋_GB2312" w:hAnsi="仿宋_GB2312" w:eastAsia="仿宋_GB2312" w:cs="仿宋_GB2312"/>
                <w:b w:val="0"/>
                <w:bCs w:val="0"/>
                <w:snapToGrid/>
                <w:color w:val="000000"/>
                <w:spacing w:val="-1"/>
                <w:kern w:val="0"/>
                <w:sz w:val="30"/>
                <w:szCs w:val="30"/>
                <w:highlight w:val="none"/>
                <w:lang w:val="en-US" w:eastAsia="zh-CN" w:bidi="ar"/>
              </w:rPr>
            </w:pPr>
            <w:r>
              <w:rPr>
                <w:rFonts w:hint="eastAsia" w:ascii="仿宋_GB2312" w:hAnsi="仿宋_GB2312" w:eastAsia="仿宋_GB2312" w:cs="仿宋_GB2312"/>
                <w:b w:val="0"/>
                <w:bCs w:val="0"/>
                <w:snapToGrid/>
                <w:color w:val="000000"/>
                <w:spacing w:val="-1"/>
                <w:kern w:val="0"/>
                <w:sz w:val="30"/>
                <w:szCs w:val="30"/>
                <w:highlight w:val="none"/>
                <w:lang w:eastAsia="zh-CN" w:bidi="ar"/>
              </w:rPr>
              <w:t xml:space="preserve">  </w:t>
            </w:r>
            <w:r>
              <w:rPr>
                <w:rFonts w:hint="eastAsia" w:ascii="仿宋_GB2312" w:hAnsi="仿宋_GB2312" w:eastAsia="仿宋_GB2312" w:cs="仿宋_GB2312"/>
                <w:b w:val="0"/>
                <w:bCs w:val="0"/>
                <w:snapToGrid/>
                <w:color w:val="000000"/>
                <w:spacing w:val="-1"/>
                <w:kern w:val="0"/>
                <w:sz w:val="30"/>
                <w:szCs w:val="30"/>
                <w:highlight w:val="none"/>
                <w:lang w:val="en-US" w:eastAsia="zh-CN" w:bidi="ar"/>
              </w:rPr>
              <w:t xml:space="preserve">文件 第3页 </w:t>
            </w:r>
          </w:p>
          <w:p>
            <w:pPr>
              <w:keepNext w:val="0"/>
              <w:keepLines w:val="0"/>
              <w:pageBreakBefore w:val="0"/>
              <w:widowControl w:val="0"/>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（三）激活文旅市场主体活力。在《张掖市支持文化旅游产上发展若干措施》“引客入张”奖励政策基础上，对2022年8月日-12月31日组织游客</w:t>
            </w: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来张旅游的旅行社，调整奖励条件和标，推出“一降两增三翻番”政策。</w:t>
            </w:r>
          </w:p>
          <w:p>
            <w:pPr>
              <w:keepNext w:val="0"/>
              <w:keepLines w:val="0"/>
              <w:pageBreakBefore w:val="0"/>
              <w:widowControl w:val="0"/>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1．“一降一翻番”。即降低团队门槛和人均奖补翻倍：组团奖调整为“旅行社组织游客乘专列来张旅游、停留2天1晚、游3处以上有门票收费景区、观看1场以上大型演出剧目，一次组织200人、300人、400人（原为400人、600人、800人）上的，每列分别奖励1万元、2万元、3万元（人均奖补从25提高到50元，翻一番奖励）”。</w:t>
            </w:r>
          </w:p>
          <w:p>
            <w:pPr>
              <w:keepNext w:val="0"/>
              <w:keepLines w:val="0"/>
              <w:widowControl/>
              <w:suppressLineNumbers w:val="0"/>
              <w:spacing w:before="0" w:beforeAutospacing="0" w:after="0" w:afterAutospacing="0" w:line="357" w:lineRule="atLeast"/>
              <w:ind w:left="0" w:right="0"/>
              <w:jc w:val="both"/>
              <w:textAlignment w:val="baseline"/>
              <w:rPr>
                <w:rFonts w:hint="eastAsia" w:ascii="仿宋_GB2312" w:hAnsi="仿宋_GB2312" w:eastAsia="仿宋_GB2312" w:cs="仿宋_GB2312"/>
                <w:b w:val="0"/>
                <w:bCs w:val="0"/>
                <w:kern w:val="2"/>
                <w:sz w:val="30"/>
                <w:szCs w:val="30"/>
                <w:highlight w:val="none"/>
                <w:lang w:val="en-US" w:eastAsia="zh-CN" w:bidi="ar"/>
              </w:rPr>
            </w:pPr>
          </w:p>
        </w:tc>
      </w:tr>
    </w:tbl>
    <w:p>
      <w:pPr>
        <w:keepNext w:val="0"/>
        <w:keepLines w:val="0"/>
        <w:widowControl/>
        <w:suppressLineNumbers w:val="0"/>
        <w:kinsoku w:val="0"/>
        <w:autoSpaceDE w:val="0"/>
        <w:autoSpaceDN w:val="0"/>
        <w:adjustRightInd w:val="0"/>
        <w:snapToGrid w:val="0"/>
        <w:spacing w:before="0" w:beforeAutospacing="0" w:after="0" w:afterAutospacing="0" w:line="259" w:lineRule="auto"/>
        <w:ind w:left="0" w:right="0"/>
        <w:jc w:val="left"/>
        <w:textAlignment w:val="baseline"/>
        <w:rPr>
          <w:rFonts w:hint="eastAsia" w:ascii="仿宋_GB2312" w:hAnsi="仿宋_GB2312" w:eastAsia="仿宋_GB2312" w:cs="仿宋_GB2312"/>
          <w:b w:val="0"/>
          <w:bCs w:val="0"/>
          <w:color w:val="000000"/>
          <w:kern w:val="0"/>
          <w:sz w:val="30"/>
          <w:szCs w:val="30"/>
          <w:highlight w:val="none"/>
        </w:rPr>
      </w:pPr>
      <w:r>
        <w:rPr>
          <w:rFonts w:hint="eastAsia" w:ascii="仿宋_GB2312" w:hAnsi="仿宋_GB2312" w:eastAsia="仿宋_GB2312" w:cs="仿宋_GB2312"/>
          <w:b w:val="0"/>
          <w:bCs w:val="0"/>
          <w:snapToGrid/>
          <w:color w:val="000000"/>
          <w:kern w:val="0"/>
          <w:sz w:val="30"/>
          <w:szCs w:val="30"/>
          <w:highlight w:val="none"/>
          <w:lang w:val="en-US" w:eastAsia="zh-CN" w:bidi="ar"/>
        </w:rPr>
        <w:t xml:space="preserve"> </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b. 剖析论证</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文件内容违反《公平竞争审查制度实施细则》“第十四条商品要素自由流动标准（一）不得对外地和进口商品、服务实行歧视性价格和歧视性补贴政策”的规定。</w:t>
      </w:r>
    </w:p>
    <w:p>
      <w:pPr>
        <w:pStyle w:val="4"/>
        <w:pageBreakBefore w:val="0"/>
        <w:numPr>
          <w:ilvl w:val="0"/>
          <w:numId w:val="0"/>
        </w:numPr>
        <w:kinsoku/>
        <w:wordWrap/>
        <w:overflowPunct/>
        <w:topLinePunct/>
        <w:autoSpaceDE/>
        <w:autoSpaceDN/>
        <w:bidi w:val="0"/>
        <w:adjustRightInd w:val="0"/>
        <w:snapToGrid w:val="0"/>
        <w:spacing w:before="0" w:beforeAutospacing="0" w:after="0" w:line="540" w:lineRule="exact"/>
        <w:ind w:left="0" w:leftChars="0" w:right="0" w:firstLine="640" w:firstLineChars="200"/>
        <w:jc w:val="both"/>
        <w:outlineLvl w:val="9"/>
        <w:rPr>
          <w:rFonts w:hint="eastAsia" w:ascii="楷体_GB2312" w:hAnsi="楷体_GB2312" w:eastAsia="楷体_GB2312" w:cs="楷体_GB2312"/>
          <w:b w:val="0"/>
          <w:bCs w:val="0"/>
          <w:color w:val="auto"/>
          <w:spacing w:val="0"/>
          <w:w w:val="100"/>
          <w:sz w:val="32"/>
          <w:szCs w:val="32"/>
          <w:highlight w:val="none"/>
          <w:vertAlign w:val="baseline"/>
          <w:lang w:eastAsia="zh-CN"/>
        </w:rPr>
      </w:pPr>
    </w:p>
    <w:p>
      <w:pPr>
        <w:pStyle w:val="4"/>
        <w:pageBreakBefore w:val="0"/>
        <w:numPr>
          <w:ilvl w:val="0"/>
          <w:numId w:val="0"/>
        </w:numPr>
        <w:kinsoku/>
        <w:wordWrap/>
        <w:overflowPunct/>
        <w:topLinePunct/>
        <w:autoSpaceDE/>
        <w:autoSpaceDN/>
        <w:bidi w:val="0"/>
        <w:adjustRightInd w:val="0"/>
        <w:snapToGrid w:val="0"/>
        <w:spacing w:before="0" w:beforeAutospacing="0" w:after="0" w:line="540" w:lineRule="exact"/>
        <w:ind w:left="0" w:leftChars="0" w:right="0" w:firstLine="640" w:firstLineChars="200"/>
        <w:jc w:val="both"/>
        <w:rPr>
          <w:rFonts w:hint="eastAsia" w:ascii="楷体_GB2312" w:hAnsi="楷体_GB2312" w:eastAsia="楷体_GB2312" w:cs="楷体_GB2312"/>
          <w:b w:val="0"/>
          <w:bCs w:val="0"/>
          <w:color w:val="auto"/>
          <w:spacing w:val="0"/>
          <w:w w:val="100"/>
          <w:sz w:val="32"/>
          <w:szCs w:val="32"/>
          <w:highlight w:val="none"/>
          <w:lang w:eastAsia="zh-CN"/>
        </w:rPr>
      </w:pPr>
      <w:bookmarkStart w:id="77" w:name="_Toc12547"/>
      <w:r>
        <w:rPr>
          <w:rFonts w:hint="eastAsia" w:ascii="楷体_GB2312" w:hAnsi="楷体_GB2312" w:eastAsia="楷体_GB2312" w:cs="楷体_GB2312"/>
          <w:b w:val="0"/>
          <w:bCs w:val="0"/>
          <w:color w:val="auto"/>
          <w:spacing w:val="0"/>
          <w:w w:val="100"/>
          <w:sz w:val="32"/>
          <w:szCs w:val="32"/>
          <w:highlight w:val="none"/>
          <w:vertAlign w:val="baseline"/>
          <w:lang w:eastAsia="zh-CN"/>
        </w:rPr>
        <w:t>（三）《</w:t>
      </w:r>
      <w:r>
        <w:rPr>
          <w:rFonts w:hint="eastAsia" w:ascii="楷体_GB2312" w:hAnsi="楷体_GB2312" w:eastAsia="楷体_GB2312" w:cs="楷体_GB2312"/>
          <w:b w:val="0"/>
          <w:bCs w:val="0"/>
          <w:color w:val="auto"/>
          <w:spacing w:val="0"/>
          <w:w w:val="100"/>
          <w:kern w:val="2"/>
          <w:sz w:val="32"/>
          <w:szCs w:val="32"/>
          <w:highlight w:val="none"/>
        </w:rPr>
        <w:t>民乐县</w:t>
      </w:r>
      <w:r>
        <w:rPr>
          <w:rFonts w:hint="eastAsia" w:ascii="楷体_GB2312" w:hAnsi="楷体_GB2312" w:eastAsia="楷体_GB2312" w:cs="楷体_GB2312"/>
          <w:b w:val="0"/>
          <w:bCs w:val="0"/>
          <w:color w:val="auto"/>
          <w:spacing w:val="0"/>
          <w:w w:val="100"/>
          <w:kern w:val="2"/>
          <w:sz w:val="32"/>
          <w:szCs w:val="32"/>
          <w:highlight w:val="none"/>
          <w:lang w:eastAsia="zh-CN"/>
        </w:rPr>
        <w:t>支持文化旅游产业发展扶持奖励办法</w:t>
      </w:r>
      <w:r>
        <w:rPr>
          <w:rFonts w:hint="eastAsia" w:ascii="楷体_GB2312" w:hAnsi="楷体_GB2312" w:eastAsia="楷体_GB2312" w:cs="楷体_GB2312"/>
          <w:b w:val="0"/>
          <w:bCs w:val="0"/>
          <w:color w:val="auto"/>
          <w:spacing w:val="0"/>
          <w:w w:val="100"/>
          <w:sz w:val="32"/>
          <w:szCs w:val="32"/>
          <w:highlight w:val="none"/>
          <w:vertAlign w:val="baseline"/>
          <w:lang w:eastAsia="zh-CN"/>
        </w:rPr>
        <w:t>》</w:t>
      </w:r>
      <w:r>
        <w:rPr>
          <w:rFonts w:hint="eastAsia" w:ascii="楷体_GB2312" w:hAnsi="楷体_GB2312" w:eastAsia="楷体_GB2312" w:cs="楷体_GB2312"/>
          <w:b w:val="0"/>
          <w:bCs w:val="0"/>
          <w:color w:val="auto"/>
          <w:spacing w:val="0"/>
          <w:w w:val="100"/>
          <w:sz w:val="32"/>
          <w:szCs w:val="32"/>
          <w:highlight w:val="none"/>
          <w:lang w:eastAsia="zh-CN"/>
        </w:rPr>
        <w:t>（</w:t>
      </w:r>
      <w:r>
        <w:rPr>
          <w:rFonts w:hint="eastAsia" w:ascii="楷体_GB2312" w:hAnsi="楷体_GB2312" w:eastAsia="楷体_GB2312" w:cs="楷体_GB2312"/>
          <w:b w:val="0"/>
          <w:bCs w:val="0"/>
          <w:color w:val="auto"/>
          <w:spacing w:val="0"/>
          <w:w w:val="100"/>
          <w:kern w:val="2"/>
          <w:sz w:val="32"/>
          <w:szCs w:val="32"/>
          <w:highlight w:val="none"/>
          <w:lang w:val="en-US" w:eastAsia="zh-CN" w:bidi="ar"/>
        </w:rPr>
        <w:t>民政发〔2022〕57号</w:t>
      </w:r>
      <w:r>
        <w:rPr>
          <w:rFonts w:hint="eastAsia" w:ascii="楷体_GB2312" w:hAnsi="楷体_GB2312" w:eastAsia="楷体_GB2312" w:cs="楷体_GB2312"/>
          <w:b w:val="0"/>
          <w:bCs w:val="0"/>
          <w:color w:val="auto"/>
          <w:spacing w:val="0"/>
          <w:w w:val="100"/>
          <w:sz w:val="32"/>
          <w:szCs w:val="32"/>
          <w:highlight w:val="none"/>
          <w:lang w:eastAsia="zh-CN"/>
        </w:rPr>
        <w:t>）</w:t>
      </w:r>
      <w:bookmarkEnd w:id="77"/>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336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文件第4页</w:t>
            </w:r>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0"/>
                <w:sz w:val="32"/>
                <w:szCs w:val="32"/>
                <w:highlight w:val="none"/>
                <w:u w:color="000000"/>
                <w:lang w:val="en-US" w:eastAsia="zh-CN" w:bidi="ar"/>
              </w:rPr>
              <w:t>第七条鼓励旅行社招徕国内外游客。（一）组团奖励。对县内外旅行社招徕国内外游客</w:t>
            </w:r>
            <w:r>
              <w:rPr>
                <w:rFonts w:hint="eastAsia" w:ascii="仿宋_GB2312" w:hAnsi="仿宋_GB2312" w:eastAsia="仿宋_GB2312" w:cs="仿宋_GB2312"/>
                <w:b w:val="0"/>
                <w:bCs w:val="0"/>
                <w:color w:val="auto"/>
                <w:spacing w:val="0"/>
                <w:w w:val="100"/>
                <w:kern w:val="0"/>
                <w:sz w:val="32"/>
                <w:szCs w:val="32"/>
                <w:highlight w:val="none"/>
                <w:u w:val="single" w:color="auto"/>
                <w:lang w:val="en-US" w:eastAsia="zh-CN" w:bidi="ar"/>
              </w:rPr>
              <w:t>来民旅游</w:t>
            </w:r>
            <w:r>
              <w:rPr>
                <w:rFonts w:hint="eastAsia" w:ascii="仿宋_GB2312" w:hAnsi="仿宋_GB2312" w:eastAsia="仿宋_GB2312" w:cs="仿宋_GB2312"/>
                <w:b w:val="0"/>
                <w:bCs w:val="0"/>
                <w:color w:val="auto"/>
                <w:spacing w:val="0"/>
                <w:w w:val="100"/>
                <w:kern w:val="0"/>
                <w:sz w:val="32"/>
                <w:szCs w:val="32"/>
                <w:highlight w:val="none"/>
                <w:u w:color="000000"/>
                <w:lang w:val="en-US" w:eastAsia="zh-CN" w:bidi="ar"/>
              </w:rPr>
              <w:t>，停留2天1晚以上（须在星级饭店住宿1晚），游览2处以上有门票收费景区，一次性组织400人、600人、800人以上的，分别奖励1万元、2万元、3万元。</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b.剖析论证</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snapToGrid/>
          <w:color w:val="auto"/>
          <w:spacing w:val="0"/>
          <w:w w:val="100"/>
          <w:kern w:val="0"/>
          <w:sz w:val="32"/>
          <w:szCs w:val="32"/>
          <w:highlight w:val="none"/>
          <w:lang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文件内容违反《公平竞争审查制度实施细则》“第十四条</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商品要素自由流动</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标准（一）</w:t>
      </w:r>
      <w:r>
        <w:rPr>
          <w:rFonts w:hint="eastAsia" w:ascii="仿宋_GB2312" w:hAnsi="仿宋_GB2312" w:eastAsia="仿宋_GB2312" w:cs="仿宋_GB2312"/>
          <w:b w:val="0"/>
          <w:bCs w:val="0"/>
          <w:color w:val="auto"/>
          <w:spacing w:val="0"/>
          <w:w w:val="100"/>
          <w:kern w:val="2"/>
          <w:sz w:val="32"/>
          <w:szCs w:val="32"/>
          <w:highlight w:val="none"/>
          <w:lang w:val="en-US" w:eastAsia="zh-CN"/>
        </w:rPr>
        <w:t>不得对外地和进口商品、服务实行歧视性价格和歧视性补贴政策”</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的规定。</w:t>
      </w:r>
    </w:p>
    <w:p>
      <w:pPr>
        <w:pStyle w:val="4"/>
        <w:pageBreakBefore w:val="0"/>
        <w:kinsoku/>
        <w:wordWrap/>
        <w:overflowPunct/>
        <w:topLinePunct/>
        <w:autoSpaceDE/>
        <w:autoSpaceDN/>
        <w:bidi w:val="0"/>
        <w:adjustRightInd w:val="0"/>
        <w:snapToGrid w:val="0"/>
        <w:spacing w:before="0" w:beforeAutospacing="0" w:after="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lang w:val="en-US" w:eastAsia="zh-CN"/>
        </w:rPr>
      </w:pPr>
      <w:bookmarkStart w:id="78" w:name="_Toc16428"/>
      <w:r>
        <w:rPr>
          <w:rFonts w:hint="eastAsia" w:ascii="黑体" w:hAnsi="黑体" w:eastAsia="黑体" w:cs="黑体"/>
          <w:b w:val="0"/>
          <w:bCs w:val="0"/>
          <w:color w:val="auto"/>
          <w:spacing w:val="0"/>
          <w:w w:val="100"/>
          <w:sz w:val="32"/>
          <w:szCs w:val="32"/>
          <w:highlight w:val="none"/>
          <w:lang w:val="en-US" w:eastAsia="zh-CN"/>
        </w:rPr>
        <w:t>四、违反“生产经营行业标准”</w:t>
      </w:r>
      <w:bookmarkEnd w:id="78"/>
    </w:p>
    <w:p>
      <w:pPr>
        <w:pStyle w:val="9"/>
        <w:pageBreakBefore w:val="0"/>
        <w:widowControl/>
        <w:kinsoku/>
        <w:wordWrap/>
        <w:overflowPunct/>
        <w:topLinePunct/>
        <w:autoSpaceDE/>
        <w:autoSpaceDN/>
        <w:bidi w:val="0"/>
        <w:spacing w:beforeAutospacing="0" w:after="0" w:line="540" w:lineRule="exact"/>
        <w:ind w:left="0" w:leftChars="0" w:right="0" w:firstLine="640" w:firstLineChars="200"/>
        <w:jc w:val="both"/>
        <w:rPr>
          <w:rFonts w:hint="eastAsia" w:ascii="楷体_GB2312" w:hAnsi="楷体_GB2312" w:eastAsia="楷体_GB2312" w:cs="楷体_GB2312"/>
          <w:b w:val="0"/>
          <w:bCs w:val="0"/>
          <w:color w:val="auto"/>
          <w:spacing w:val="0"/>
          <w:w w:val="100"/>
          <w:sz w:val="32"/>
          <w:szCs w:val="32"/>
          <w:highlight w:val="none"/>
        </w:rPr>
      </w:pPr>
      <w:r>
        <w:rPr>
          <w:rFonts w:hint="eastAsia" w:ascii="楷体_GB2312" w:hAnsi="楷体_GB2312" w:eastAsia="楷体_GB2312" w:cs="楷体_GB2312"/>
          <w:b w:val="0"/>
          <w:bCs w:val="0"/>
          <w:color w:val="auto"/>
          <w:spacing w:val="0"/>
          <w:w w:val="100"/>
          <w:sz w:val="32"/>
          <w:szCs w:val="32"/>
          <w:highlight w:val="none"/>
          <w:vertAlign w:val="baseline"/>
          <w:lang w:eastAsia="zh-CN"/>
        </w:rPr>
        <w:t>（一）民乐县《关于加快推进马铃薯产业高质量发展的意见》</w:t>
      </w:r>
      <w:r>
        <w:rPr>
          <w:rFonts w:hint="eastAsia" w:ascii="楷体_GB2312" w:hAnsi="楷体_GB2312" w:eastAsia="楷体_GB2312" w:cs="楷体_GB2312"/>
          <w:b w:val="0"/>
          <w:bCs w:val="0"/>
          <w:color w:val="auto"/>
          <w:spacing w:val="0"/>
          <w:w w:val="100"/>
          <w:sz w:val="32"/>
          <w:szCs w:val="32"/>
          <w:highlight w:val="none"/>
          <w:lang w:eastAsia="zh-CN"/>
        </w:rPr>
        <w:t>（</w:t>
      </w:r>
      <w:r>
        <w:rPr>
          <w:rFonts w:hint="eastAsia" w:ascii="楷体_GB2312" w:hAnsi="楷体_GB2312" w:eastAsia="楷体_GB2312" w:cs="楷体_GB2312"/>
          <w:b w:val="0"/>
          <w:bCs w:val="0"/>
          <w:color w:val="auto"/>
          <w:spacing w:val="0"/>
          <w:w w:val="100"/>
          <w:kern w:val="2"/>
          <w:sz w:val="32"/>
          <w:szCs w:val="32"/>
          <w:highlight w:val="none"/>
          <w:lang w:val="en-US" w:eastAsia="zh-CN" w:bidi="ar"/>
        </w:rPr>
        <w:t>民政办发〔2022〕66号</w:t>
      </w:r>
      <w:r>
        <w:rPr>
          <w:rFonts w:hint="eastAsia" w:ascii="楷体_GB2312" w:hAnsi="楷体_GB2312" w:eastAsia="楷体_GB2312" w:cs="楷体_GB2312"/>
          <w:b w:val="0"/>
          <w:bCs w:val="0"/>
          <w:color w:val="auto"/>
          <w:spacing w:val="0"/>
          <w:w w:val="100"/>
          <w:sz w:val="32"/>
          <w:szCs w:val="32"/>
          <w:highlight w:val="none"/>
          <w:lang w:eastAsia="zh-CN"/>
        </w:rPr>
        <w:t>）</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a.问题内容条款</w:t>
      </w:r>
    </w:p>
    <w:tbl>
      <w:tblPr>
        <w:tblStyle w:val="49"/>
        <w:tblW w:w="4974"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19"/>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1762"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文件第5页</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四）强化土地规模经营，加快构建联农带农机制。开展土地公司化运营改革试点，按照“入股量化到户、参股保底收益、滚动循环发展”的方式，引导农户土地承包经营权以股份或者份额形式入股村股份经济合作社，再以“内股外租”形式投资</w:t>
            </w: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民乐县裕振投资开发有限责任公司</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b.剖析论证</w:t>
      </w:r>
    </w:p>
    <w:p>
      <w:pPr>
        <w:pStyle w:val="7"/>
        <w:keepNext w:val="0"/>
        <w:keepLines w:val="0"/>
        <w:pageBreakBefore w:val="0"/>
        <w:widowControl/>
        <w:suppressLineNumbers w:val="0"/>
        <w:kinsoku/>
        <w:wordWrap/>
        <w:overflowPunct/>
        <w:topLinePunct/>
        <w:autoSpaceDE/>
        <w:autoSpaceDN/>
        <w:bidi w:val="0"/>
        <w:spacing w:before="0" w:beforeAutospacing="0" w:after="0" w:line="540" w:lineRule="exact"/>
        <w:ind w:left="0" w:leftChars="0" w:right="0" w:firstLine="640" w:firstLineChars="200"/>
        <w:jc w:val="both"/>
        <w:rPr>
          <w:rFonts w:hint="eastAsia" w:ascii="仿宋_GB2312" w:hAnsi="仿宋_GB2312" w:eastAsia="仿宋_GB2312" w:cs="仿宋_GB2312"/>
          <w:b w:val="0"/>
          <w:bCs w:val="0"/>
          <w:snapToGrid/>
          <w:color w:val="auto"/>
          <w:spacing w:val="0"/>
          <w:w w:val="100"/>
          <w:kern w:val="0"/>
          <w:sz w:val="32"/>
          <w:szCs w:val="32"/>
          <w:highlight w:val="none"/>
          <w:lang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文件内容违反《公平竞争审查制度实施细则》“第十六条</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影响生产经营行为</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标准（一）</w:t>
      </w:r>
      <w:r>
        <w:rPr>
          <w:rFonts w:hint="eastAsia" w:ascii="仿宋_GB2312" w:hAnsi="仿宋_GB2312" w:eastAsia="仿宋_GB2312" w:cs="仿宋_GB2312"/>
          <w:b w:val="0"/>
          <w:bCs w:val="0"/>
          <w:color w:val="auto"/>
          <w:spacing w:val="0"/>
          <w:w w:val="100"/>
          <w:kern w:val="2"/>
          <w:sz w:val="32"/>
          <w:szCs w:val="32"/>
          <w:highlight w:val="none"/>
        </w:rPr>
        <w:t>不得强制经营者从事《中华人民共和国反垄断法》</w:t>
      </w:r>
      <w:r>
        <w:rPr>
          <w:rFonts w:hint="eastAsia" w:ascii="仿宋_GB2312" w:hAnsi="仿宋_GB2312" w:eastAsia="仿宋_GB2312" w:cs="仿宋_GB2312"/>
          <w:b w:val="0"/>
          <w:bCs w:val="0"/>
          <w:color w:val="auto"/>
          <w:spacing w:val="0"/>
          <w:w w:val="100"/>
          <w:kern w:val="2"/>
          <w:sz w:val="32"/>
          <w:szCs w:val="32"/>
          <w:highlight w:val="none"/>
          <w:lang w:eastAsia="zh-CN"/>
        </w:rPr>
        <w:t>禁止</w:t>
      </w:r>
      <w:r>
        <w:rPr>
          <w:rFonts w:hint="eastAsia" w:ascii="仿宋_GB2312" w:hAnsi="仿宋_GB2312" w:eastAsia="仿宋_GB2312" w:cs="仿宋_GB2312"/>
          <w:b w:val="0"/>
          <w:bCs w:val="0"/>
          <w:color w:val="auto"/>
          <w:spacing w:val="0"/>
          <w:w w:val="100"/>
          <w:kern w:val="2"/>
          <w:sz w:val="32"/>
          <w:szCs w:val="32"/>
          <w:highlight w:val="none"/>
        </w:rPr>
        <w:t>的垄断行为，主要指以行政命令、行政授权、行政指导</w:t>
      </w:r>
      <w:r>
        <w:rPr>
          <w:rFonts w:hint="eastAsia" w:ascii="仿宋_GB2312" w:hAnsi="仿宋_GB2312" w:eastAsia="仿宋_GB2312" w:cs="仿宋_GB2312"/>
          <w:b w:val="0"/>
          <w:bCs w:val="0"/>
          <w:color w:val="auto"/>
          <w:spacing w:val="0"/>
          <w:w w:val="100"/>
          <w:kern w:val="2"/>
          <w:sz w:val="32"/>
          <w:szCs w:val="32"/>
          <w:highlight w:val="none"/>
          <w:lang w:eastAsia="zh-CN"/>
        </w:rPr>
        <w:t>等方式</w:t>
      </w:r>
      <w:r>
        <w:rPr>
          <w:rFonts w:hint="eastAsia" w:ascii="仿宋_GB2312" w:hAnsi="仿宋_GB2312" w:eastAsia="仿宋_GB2312" w:cs="仿宋_GB2312"/>
          <w:b w:val="0"/>
          <w:bCs w:val="0"/>
          <w:color w:val="auto"/>
          <w:spacing w:val="0"/>
          <w:w w:val="100"/>
          <w:kern w:val="2"/>
          <w:sz w:val="32"/>
          <w:szCs w:val="32"/>
          <w:highlight w:val="none"/>
        </w:rPr>
        <w:t>或者通过行业协会</w:t>
      </w:r>
      <w:r>
        <w:rPr>
          <w:rFonts w:hint="eastAsia" w:ascii="仿宋_GB2312" w:hAnsi="仿宋_GB2312" w:eastAsia="仿宋_GB2312" w:cs="仿宋_GB2312"/>
          <w:b w:val="0"/>
          <w:bCs w:val="0"/>
          <w:color w:val="auto"/>
          <w:spacing w:val="0"/>
          <w:w w:val="100"/>
          <w:kern w:val="2"/>
          <w:sz w:val="32"/>
          <w:szCs w:val="32"/>
          <w:highlight w:val="none"/>
          <w:lang w:eastAsia="zh-CN"/>
        </w:rPr>
        <w:t>、商会</w:t>
      </w:r>
      <w:r>
        <w:rPr>
          <w:rFonts w:hint="eastAsia" w:ascii="仿宋_GB2312" w:hAnsi="仿宋_GB2312" w:eastAsia="仿宋_GB2312" w:cs="仿宋_GB2312"/>
          <w:b w:val="0"/>
          <w:bCs w:val="0"/>
          <w:color w:val="auto"/>
          <w:spacing w:val="0"/>
          <w:w w:val="100"/>
          <w:kern w:val="2"/>
          <w:sz w:val="32"/>
          <w:szCs w:val="32"/>
          <w:highlight w:val="none"/>
        </w:rPr>
        <w:t>，强制、组织或者引导经营者达成、垄断协议</w:t>
      </w:r>
      <w:r>
        <w:rPr>
          <w:rFonts w:hint="eastAsia" w:ascii="仿宋_GB2312" w:hAnsi="仿宋_GB2312" w:eastAsia="仿宋_GB2312" w:cs="仿宋_GB2312"/>
          <w:b w:val="0"/>
          <w:bCs w:val="0"/>
          <w:color w:val="auto"/>
          <w:spacing w:val="0"/>
          <w:w w:val="100"/>
          <w:kern w:val="2"/>
          <w:sz w:val="32"/>
          <w:szCs w:val="32"/>
          <w:highlight w:val="none"/>
          <w:lang w:eastAsia="zh-CN"/>
        </w:rPr>
        <w:t>、</w:t>
      </w:r>
      <w:r>
        <w:rPr>
          <w:rFonts w:hint="eastAsia" w:ascii="仿宋_GB2312" w:hAnsi="仿宋_GB2312" w:eastAsia="仿宋_GB2312" w:cs="仿宋_GB2312"/>
          <w:b w:val="0"/>
          <w:bCs w:val="0"/>
          <w:color w:val="auto"/>
          <w:spacing w:val="0"/>
          <w:w w:val="100"/>
          <w:kern w:val="2"/>
          <w:sz w:val="32"/>
          <w:szCs w:val="32"/>
          <w:highlight w:val="none"/>
        </w:rPr>
        <w:t>滥用市场支配地位</w:t>
      </w:r>
      <w:r>
        <w:rPr>
          <w:rFonts w:hint="eastAsia" w:ascii="仿宋_GB2312" w:hAnsi="仿宋_GB2312" w:eastAsia="仿宋_GB2312" w:cs="仿宋_GB2312"/>
          <w:b w:val="0"/>
          <w:bCs w:val="0"/>
          <w:color w:val="auto"/>
          <w:spacing w:val="0"/>
          <w:w w:val="100"/>
          <w:kern w:val="2"/>
          <w:sz w:val="32"/>
          <w:szCs w:val="32"/>
          <w:highlight w:val="none"/>
          <w:lang w:eastAsia="zh-CN"/>
        </w:rPr>
        <w:t>，以及实施具有或者可能具有排除、限制竞争效果的经营者集中等行为”的规定。</w:t>
      </w:r>
    </w:p>
    <w:p>
      <w:pPr>
        <w:pStyle w:val="9"/>
        <w:pageBreakBefore w:val="0"/>
        <w:widowControl/>
        <w:kinsoku/>
        <w:wordWrap/>
        <w:overflowPunct/>
        <w:topLinePunct/>
        <w:autoSpaceDE/>
        <w:autoSpaceDN/>
        <w:bidi w:val="0"/>
        <w:spacing w:beforeAutospacing="0" w:after="0" w:line="540" w:lineRule="exact"/>
        <w:ind w:left="0" w:leftChars="0" w:right="0" w:firstLine="640" w:firstLineChars="200"/>
        <w:jc w:val="both"/>
        <w:rPr>
          <w:rFonts w:hint="eastAsia" w:ascii="楷体_GB2312" w:hAnsi="楷体_GB2312" w:eastAsia="楷体_GB2312" w:cs="楷体_GB2312"/>
          <w:b w:val="0"/>
          <w:bCs w:val="0"/>
          <w:color w:val="auto"/>
          <w:spacing w:val="0"/>
          <w:w w:val="100"/>
          <w:sz w:val="32"/>
          <w:szCs w:val="32"/>
          <w:highlight w:val="none"/>
        </w:rPr>
      </w:pPr>
      <w:r>
        <w:rPr>
          <w:rFonts w:hint="eastAsia" w:ascii="楷体_GB2312" w:hAnsi="楷体_GB2312" w:eastAsia="楷体_GB2312" w:cs="楷体_GB2312"/>
          <w:b w:val="0"/>
          <w:bCs w:val="0"/>
          <w:color w:val="auto"/>
          <w:spacing w:val="0"/>
          <w:w w:val="100"/>
          <w:sz w:val="32"/>
          <w:szCs w:val="32"/>
          <w:highlight w:val="none"/>
          <w:vertAlign w:val="baseline"/>
          <w:lang w:eastAsia="zh-CN"/>
        </w:rPr>
        <w:t>（二）《民乐县农业社会化服务体系建设实施方案》</w:t>
      </w:r>
      <w:r>
        <w:rPr>
          <w:rFonts w:hint="eastAsia" w:ascii="楷体_GB2312" w:hAnsi="楷体_GB2312" w:eastAsia="楷体_GB2312" w:cs="楷体_GB2312"/>
          <w:b w:val="0"/>
          <w:bCs w:val="0"/>
          <w:color w:val="auto"/>
          <w:spacing w:val="0"/>
          <w:w w:val="100"/>
          <w:sz w:val="32"/>
          <w:szCs w:val="32"/>
          <w:highlight w:val="none"/>
          <w:lang w:eastAsia="zh-CN"/>
        </w:rPr>
        <w:t>（</w:t>
      </w:r>
      <w:r>
        <w:rPr>
          <w:rFonts w:hint="eastAsia" w:ascii="楷体_GB2312" w:hAnsi="楷体_GB2312" w:eastAsia="楷体_GB2312" w:cs="楷体_GB2312"/>
          <w:b w:val="0"/>
          <w:bCs w:val="0"/>
          <w:color w:val="auto"/>
          <w:spacing w:val="0"/>
          <w:w w:val="100"/>
          <w:kern w:val="2"/>
          <w:sz w:val="32"/>
          <w:szCs w:val="32"/>
          <w:highlight w:val="none"/>
          <w:lang w:val="en-US" w:eastAsia="zh-CN" w:bidi="ar"/>
        </w:rPr>
        <w:t>民办发〔2022〕111号</w:t>
      </w:r>
      <w:r>
        <w:rPr>
          <w:rFonts w:hint="eastAsia" w:ascii="楷体_GB2312" w:hAnsi="楷体_GB2312" w:eastAsia="楷体_GB2312" w:cs="楷体_GB2312"/>
          <w:b w:val="0"/>
          <w:bCs w:val="0"/>
          <w:color w:val="auto"/>
          <w:spacing w:val="0"/>
          <w:w w:val="100"/>
          <w:sz w:val="32"/>
          <w:szCs w:val="32"/>
          <w:highlight w:val="none"/>
          <w:lang w:eastAsia="zh-CN"/>
        </w:rPr>
        <w:t>）</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90"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文件第6-7页</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lang w:val="en-US" w:eastAsia="zh-CN" w:bidi="ar"/>
              </w:rPr>
              <w:t>（四）大力拓展农业社会化服务领域。聚焦农业生产关键薄弱环节，着眼满足新型农业经营主体和小农户生产需要，立足服务农业产前、产中、产后全过程、全要素、全产业链，因地制宜拓展农业社会化服务的广度和深度。一是建立“专业化”托管服务组织。</w:t>
            </w:r>
            <w:r>
              <w:rPr>
                <w:rFonts w:hint="eastAsia" w:ascii="仿宋_GB2312" w:hAnsi="仿宋_GB2312" w:eastAsia="仿宋_GB2312" w:cs="仿宋_GB2312"/>
                <w:b w:val="0"/>
                <w:bCs w:val="0"/>
                <w:color w:val="auto"/>
                <w:spacing w:val="0"/>
                <w:w w:val="100"/>
                <w:kern w:val="0"/>
                <w:sz w:val="32"/>
                <w:szCs w:val="32"/>
                <w:highlight w:val="none"/>
                <w:u w:val="single"/>
                <w:lang w:val="en-US" w:eastAsia="zh-CN" w:bidi="ar"/>
              </w:rPr>
              <w:t>以民乐县裕振投资开发有限责任公司为平台</w:t>
            </w:r>
            <w:r>
              <w:rPr>
                <w:rFonts w:hint="eastAsia" w:ascii="仿宋_GB2312" w:hAnsi="仿宋_GB2312" w:eastAsia="仿宋_GB2312" w:cs="仿宋_GB2312"/>
                <w:b w:val="0"/>
                <w:bCs w:val="0"/>
                <w:color w:val="auto"/>
                <w:spacing w:val="0"/>
                <w:w w:val="100"/>
                <w:kern w:val="0"/>
                <w:sz w:val="32"/>
                <w:szCs w:val="32"/>
                <w:highlight w:val="none"/>
                <w:lang w:val="en-US" w:eastAsia="zh-CN" w:bidi="ar"/>
              </w:rPr>
              <w:t>，整合发展前景好、产业链稳定的企业、农民合作社等经营主体，成立马铃薯种植专业化托管服务公司。</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b.剖析论证</w:t>
      </w:r>
    </w:p>
    <w:p>
      <w:pPr>
        <w:pStyle w:val="7"/>
        <w:keepNext w:val="0"/>
        <w:keepLines w:val="0"/>
        <w:pageBreakBefore w:val="0"/>
        <w:widowControl/>
        <w:suppressLineNumbers w:val="0"/>
        <w:kinsoku/>
        <w:wordWrap/>
        <w:overflowPunct/>
        <w:topLinePunct/>
        <w:autoSpaceDE/>
        <w:autoSpaceDN/>
        <w:bidi w:val="0"/>
        <w:spacing w:before="0" w:beforeAutospacing="0" w:after="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eastAsia="zh-CN"/>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文件内容违反《公平竞争审查制度实施细则》“第十六条</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影响生产经营行为</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标准</w:t>
      </w:r>
      <w:r>
        <w:rPr>
          <w:rFonts w:hint="eastAsia" w:ascii="仿宋_GB2312" w:hAnsi="仿宋_GB2312" w:eastAsia="仿宋_GB2312" w:cs="仿宋_GB2312"/>
          <w:b w:val="0"/>
          <w:bCs w:val="0"/>
          <w:color w:val="auto"/>
          <w:spacing w:val="0"/>
          <w:w w:val="100"/>
          <w:kern w:val="2"/>
          <w:sz w:val="32"/>
          <w:szCs w:val="32"/>
          <w:highlight w:val="none"/>
          <w:lang w:eastAsia="zh-CN"/>
        </w:rPr>
        <w:t>（一）</w:t>
      </w:r>
      <w:r>
        <w:rPr>
          <w:rFonts w:hint="eastAsia" w:ascii="仿宋_GB2312" w:hAnsi="仿宋_GB2312" w:eastAsia="仿宋_GB2312" w:cs="仿宋_GB2312"/>
          <w:b w:val="0"/>
          <w:bCs w:val="0"/>
          <w:color w:val="auto"/>
          <w:spacing w:val="0"/>
          <w:w w:val="100"/>
          <w:kern w:val="2"/>
          <w:sz w:val="32"/>
          <w:szCs w:val="32"/>
          <w:highlight w:val="none"/>
        </w:rPr>
        <w:t>不得强制经营者从事《中华人民共和国反垄断法》</w:t>
      </w:r>
      <w:r>
        <w:rPr>
          <w:rFonts w:hint="eastAsia" w:ascii="仿宋_GB2312" w:hAnsi="仿宋_GB2312" w:eastAsia="仿宋_GB2312" w:cs="仿宋_GB2312"/>
          <w:b w:val="0"/>
          <w:bCs w:val="0"/>
          <w:color w:val="auto"/>
          <w:spacing w:val="0"/>
          <w:w w:val="100"/>
          <w:kern w:val="2"/>
          <w:sz w:val="32"/>
          <w:szCs w:val="32"/>
          <w:highlight w:val="none"/>
          <w:lang w:eastAsia="zh-CN"/>
        </w:rPr>
        <w:t>禁止</w:t>
      </w:r>
      <w:r>
        <w:rPr>
          <w:rFonts w:hint="eastAsia" w:ascii="仿宋_GB2312" w:hAnsi="仿宋_GB2312" w:eastAsia="仿宋_GB2312" w:cs="仿宋_GB2312"/>
          <w:b w:val="0"/>
          <w:bCs w:val="0"/>
          <w:color w:val="auto"/>
          <w:spacing w:val="0"/>
          <w:w w:val="100"/>
          <w:kern w:val="2"/>
          <w:sz w:val="32"/>
          <w:szCs w:val="32"/>
          <w:highlight w:val="none"/>
        </w:rPr>
        <w:t>的垄断行为，主要指以行政命令、行政授权、行政指导</w:t>
      </w:r>
      <w:r>
        <w:rPr>
          <w:rFonts w:hint="eastAsia" w:ascii="仿宋_GB2312" w:hAnsi="仿宋_GB2312" w:eastAsia="仿宋_GB2312" w:cs="仿宋_GB2312"/>
          <w:b w:val="0"/>
          <w:bCs w:val="0"/>
          <w:color w:val="auto"/>
          <w:spacing w:val="0"/>
          <w:w w:val="100"/>
          <w:kern w:val="2"/>
          <w:sz w:val="32"/>
          <w:szCs w:val="32"/>
          <w:highlight w:val="none"/>
          <w:lang w:eastAsia="zh-CN"/>
        </w:rPr>
        <w:t>等方式</w:t>
      </w:r>
      <w:r>
        <w:rPr>
          <w:rFonts w:hint="eastAsia" w:ascii="仿宋_GB2312" w:hAnsi="仿宋_GB2312" w:eastAsia="仿宋_GB2312" w:cs="仿宋_GB2312"/>
          <w:b w:val="0"/>
          <w:bCs w:val="0"/>
          <w:color w:val="auto"/>
          <w:spacing w:val="0"/>
          <w:w w:val="100"/>
          <w:kern w:val="2"/>
          <w:sz w:val="32"/>
          <w:szCs w:val="32"/>
          <w:highlight w:val="none"/>
        </w:rPr>
        <w:t>或者通过行业协会</w:t>
      </w:r>
      <w:r>
        <w:rPr>
          <w:rFonts w:hint="eastAsia" w:ascii="仿宋_GB2312" w:hAnsi="仿宋_GB2312" w:eastAsia="仿宋_GB2312" w:cs="仿宋_GB2312"/>
          <w:b w:val="0"/>
          <w:bCs w:val="0"/>
          <w:color w:val="auto"/>
          <w:spacing w:val="0"/>
          <w:w w:val="100"/>
          <w:kern w:val="2"/>
          <w:sz w:val="32"/>
          <w:szCs w:val="32"/>
          <w:highlight w:val="none"/>
          <w:lang w:eastAsia="zh-CN"/>
        </w:rPr>
        <w:t>、商会</w:t>
      </w:r>
      <w:r>
        <w:rPr>
          <w:rFonts w:hint="eastAsia" w:ascii="仿宋_GB2312" w:hAnsi="仿宋_GB2312" w:eastAsia="仿宋_GB2312" w:cs="仿宋_GB2312"/>
          <w:b w:val="0"/>
          <w:bCs w:val="0"/>
          <w:color w:val="auto"/>
          <w:spacing w:val="0"/>
          <w:w w:val="100"/>
          <w:kern w:val="2"/>
          <w:sz w:val="32"/>
          <w:szCs w:val="32"/>
          <w:highlight w:val="none"/>
        </w:rPr>
        <w:t>，强制、组织或者引导经营者达成、垄断协议</w:t>
      </w:r>
      <w:r>
        <w:rPr>
          <w:rFonts w:hint="eastAsia" w:ascii="仿宋_GB2312" w:hAnsi="仿宋_GB2312" w:eastAsia="仿宋_GB2312" w:cs="仿宋_GB2312"/>
          <w:b w:val="0"/>
          <w:bCs w:val="0"/>
          <w:color w:val="auto"/>
          <w:spacing w:val="0"/>
          <w:w w:val="100"/>
          <w:kern w:val="2"/>
          <w:sz w:val="32"/>
          <w:szCs w:val="32"/>
          <w:highlight w:val="none"/>
          <w:lang w:eastAsia="zh-CN"/>
        </w:rPr>
        <w:t>、</w:t>
      </w:r>
      <w:r>
        <w:rPr>
          <w:rFonts w:hint="eastAsia" w:ascii="仿宋_GB2312" w:hAnsi="仿宋_GB2312" w:eastAsia="仿宋_GB2312" w:cs="仿宋_GB2312"/>
          <w:b w:val="0"/>
          <w:bCs w:val="0"/>
          <w:color w:val="auto"/>
          <w:spacing w:val="0"/>
          <w:w w:val="100"/>
          <w:kern w:val="2"/>
          <w:sz w:val="32"/>
          <w:szCs w:val="32"/>
          <w:highlight w:val="none"/>
        </w:rPr>
        <w:t>滥用市场支配地位</w:t>
      </w:r>
      <w:r>
        <w:rPr>
          <w:rFonts w:hint="eastAsia" w:ascii="仿宋_GB2312" w:hAnsi="仿宋_GB2312" w:eastAsia="仿宋_GB2312" w:cs="仿宋_GB2312"/>
          <w:b w:val="0"/>
          <w:bCs w:val="0"/>
          <w:color w:val="auto"/>
          <w:spacing w:val="0"/>
          <w:w w:val="100"/>
          <w:kern w:val="2"/>
          <w:sz w:val="32"/>
          <w:szCs w:val="32"/>
          <w:highlight w:val="none"/>
          <w:lang w:eastAsia="zh-CN"/>
        </w:rPr>
        <w:t>，以及实施具有或者可能具有排除、限制竞争效果的经营者集中等行为”的规定。</w:t>
      </w:r>
    </w:p>
    <w:p>
      <w:pPr>
        <w:pStyle w:val="9"/>
        <w:pageBreakBefore w:val="0"/>
        <w:widowControl/>
        <w:kinsoku/>
        <w:wordWrap/>
        <w:overflowPunct/>
        <w:topLinePunct/>
        <w:autoSpaceDE/>
        <w:autoSpaceDN/>
        <w:bidi w:val="0"/>
        <w:spacing w:beforeAutospacing="0" w:after="0" w:line="540" w:lineRule="exact"/>
        <w:ind w:left="0" w:leftChars="0" w:right="0" w:firstLine="640" w:firstLineChars="200"/>
        <w:jc w:val="both"/>
        <w:rPr>
          <w:rFonts w:hint="eastAsia" w:ascii="楷体_GB2312" w:hAnsi="楷体_GB2312" w:eastAsia="楷体_GB2312" w:cs="楷体_GB2312"/>
          <w:b w:val="0"/>
          <w:bCs w:val="0"/>
          <w:color w:val="auto"/>
          <w:spacing w:val="0"/>
          <w:w w:val="100"/>
          <w:sz w:val="32"/>
          <w:szCs w:val="32"/>
          <w:highlight w:val="none"/>
        </w:rPr>
      </w:pPr>
      <w:r>
        <w:rPr>
          <w:rFonts w:hint="eastAsia" w:ascii="楷体_GB2312" w:hAnsi="楷体_GB2312" w:eastAsia="楷体_GB2312" w:cs="楷体_GB2312"/>
          <w:b w:val="0"/>
          <w:bCs w:val="0"/>
          <w:color w:val="auto"/>
          <w:spacing w:val="0"/>
          <w:w w:val="100"/>
          <w:sz w:val="32"/>
          <w:szCs w:val="32"/>
          <w:highlight w:val="none"/>
          <w:vertAlign w:val="baseline"/>
          <w:lang w:eastAsia="zh-CN"/>
        </w:rPr>
        <w:t>（三）《民乐县规范农村土地经营权流转实施方案》</w:t>
      </w:r>
      <w:r>
        <w:rPr>
          <w:rFonts w:hint="eastAsia" w:ascii="楷体_GB2312" w:hAnsi="楷体_GB2312" w:eastAsia="楷体_GB2312" w:cs="楷体_GB2312"/>
          <w:b w:val="0"/>
          <w:bCs w:val="0"/>
          <w:color w:val="auto"/>
          <w:spacing w:val="0"/>
          <w:w w:val="100"/>
          <w:sz w:val="32"/>
          <w:szCs w:val="32"/>
          <w:highlight w:val="none"/>
          <w:lang w:eastAsia="zh-CN"/>
        </w:rPr>
        <w:t>（</w:t>
      </w:r>
      <w:r>
        <w:rPr>
          <w:rFonts w:hint="eastAsia" w:ascii="楷体_GB2312" w:hAnsi="楷体_GB2312" w:eastAsia="楷体_GB2312" w:cs="楷体_GB2312"/>
          <w:b w:val="0"/>
          <w:bCs w:val="0"/>
          <w:color w:val="auto"/>
          <w:spacing w:val="0"/>
          <w:w w:val="100"/>
          <w:kern w:val="2"/>
          <w:sz w:val="32"/>
          <w:szCs w:val="32"/>
          <w:highlight w:val="none"/>
          <w:lang w:val="en-US" w:eastAsia="zh-CN" w:bidi="ar"/>
        </w:rPr>
        <w:t>民办发〔2022〕113号</w:t>
      </w:r>
      <w:r>
        <w:rPr>
          <w:rFonts w:hint="eastAsia" w:ascii="楷体_GB2312" w:hAnsi="楷体_GB2312" w:eastAsia="楷体_GB2312" w:cs="楷体_GB2312"/>
          <w:b w:val="0"/>
          <w:bCs w:val="0"/>
          <w:color w:val="auto"/>
          <w:spacing w:val="0"/>
          <w:w w:val="100"/>
          <w:sz w:val="32"/>
          <w:szCs w:val="32"/>
          <w:highlight w:val="none"/>
          <w:lang w:eastAsia="zh-CN"/>
        </w:rPr>
        <w:t>）</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336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snapToGrid/>
                <w:color w:val="auto"/>
                <w:spacing w:val="0"/>
                <w:w w:val="100"/>
                <w:kern w:val="0"/>
                <w:sz w:val="32"/>
                <w:szCs w:val="32"/>
                <w:lang w:val="en-US" w:eastAsia="zh-CN" w:bidi="ar"/>
              </w:rPr>
            </w:pPr>
            <w:r>
              <w:rPr>
                <w:rFonts w:hint="eastAsia" w:ascii="仿宋_GB2312" w:hAnsi="仿宋_GB2312" w:eastAsia="仿宋_GB2312" w:cs="仿宋_GB2312"/>
                <w:b w:val="0"/>
                <w:bCs w:val="0"/>
                <w:snapToGrid/>
                <w:color w:val="auto"/>
                <w:spacing w:val="0"/>
                <w:w w:val="100"/>
                <w:kern w:val="0"/>
                <w:sz w:val="32"/>
                <w:szCs w:val="32"/>
                <w:lang w:val="en-US" w:eastAsia="zh-CN" w:bidi="ar"/>
              </w:rPr>
              <w:t>文件第6页</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2"/>
                <w:sz w:val="32"/>
                <w:szCs w:val="32"/>
                <w:highlight w:val="none"/>
                <w:lang w:val="en-US" w:eastAsia="zh-CN" w:bidi="ar"/>
              </w:rPr>
            </w:pPr>
            <w:r>
              <w:rPr>
                <w:rFonts w:hint="eastAsia" w:ascii="仿宋_GB2312" w:hAnsi="仿宋_GB2312" w:eastAsia="仿宋_GB2312" w:cs="仿宋_GB2312"/>
                <w:b w:val="0"/>
                <w:bCs w:val="0"/>
                <w:color w:val="auto"/>
                <w:spacing w:val="0"/>
                <w:w w:val="100"/>
                <w:kern w:val="0"/>
                <w:sz w:val="32"/>
                <w:szCs w:val="32"/>
                <w:lang w:val="en-US" w:eastAsia="zh-CN" w:bidi="ar"/>
              </w:rPr>
              <w:t>二是引导农户土地经营权入股村集体经营。按照市场经济发展规律，创新村集体经济发展新模式，以村党支部为引领，以产权制度改革后的村集体经济组织（股份经济合作社）为主体，引导农户以土地经营权入股村集体经济为动力，</w:t>
            </w:r>
            <w:r>
              <w:rPr>
                <w:rFonts w:hint="eastAsia" w:ascii="仿宋_GB2312" w:hAnsi="仿宋_GB2312" w:eastAsia="仿宋_GB2312" w:cs="仿宋_GB2312"/>
                <w:b w:val="0"/>
                <w:bCs w:val="0"/>
                <w:color w:val="auto"/>
                <w:spacing w:val="0"/>
                <w:w w:val="100"/>
                <w:kern w:val="0"/>
                <w:sz w:val="32"/>
                <w:szCs w:val="32"/>
                <w:u w:val="single"/>
                <w:lang w:val="en-US" w:eastAsia="zh-CN" w:bidi="ar"/>
              </w:rPr>
              <w:t>以县裕振投资开发有限责任公司为土地流转发展平台</w:t>
            </w:r>
            <w:r>
              <w:rPr>
                <w:rFonts w:hint="eastAsia" w:ascii="仿宋_GB2312" w:hAnsi="仿宋_GB2312" w:eastAsia="仿宋_GB2312" w:cs="仿宋_GB2312"/>
                <w:b w:val="0"/>
                <w:bCs w:val="0"/>
                <w:color w:val="auto"/>
                <w:spacing w:val="0"/>
                <w:w w:val="100"/>
                <w:kern w:val="0"/>
                <w:sz w:val="32"/>
                <w:szCs w:val="32"/>
                <w:lang w:val="en-US" w:eastAsia="zh-CN" w:bidi="ar"/>
              </w:rPr>
              <w:t>，整合农村各类资源要素。</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b.剖析论证</w:t>
      </w:r>
    </w:p>
    <w:p>
      <w:pPr>
        <w:pStyle w:val="7"/>
        <w:keepNext w:val="0"/>
        <w:keepLines w:val="0"/>
        <w:pageBreakBefore w:val="0"/>
        <w:widowControl/>
        <w:suppressLineNumbers w:val="0"/>
        <w:kinsoku/>
        <w:wordWrap/>
        <w:overflowPunct/>
        <w:topLinePunct/>
        <w:autoSpaceDE/>
        <w:autoSpaceDN/>
        <w:bidi w:val="0"/>
        <w:spacing w:before="0" w:beforeAutospacing="0" w:after="0" w:line="540" w:lineRule="exact"/>
        <w:ind w:left="0" w:leftChars="0" w:right="0" w:firstLine="640" w:firstLineChars="200"/>
        <w:jc w:val="both"/>
        <w:rPr>
          <w:rFonts w:hint="eastAsia" w:ascii="仿宋_GB2312" w:hAnsi="仿宋_GB2312" w:eastAsia="仿宋_GB2312" w:cs="仿宋_GB2312"/>
          <w:b w:val="0"/>
          <w:bCs w:val="0"/>
          <w:snapToGrid/>
          <w:color w:val="auto"/>
          <w:spacing w:val="0"/>
          <w:w w:val="100"/>
          <w:kern w:val="0"/>
          <w:sz w:val="32"/>
          <w:szCs w:val="32"/>
          <w:highlight w:val="none"/>
          <w:lang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文件内容违反《公平竞争审查制度实施细则》“第十六条</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影响生产经营行为</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标准</w:t>
      </w:r>
      <w:r>
        <w:rPr>
          <w:rFonts w:hint="eastAsia" w:ascii="仿宋_GB2312" w:hAnsi="仿宋_GB2312" w:eastAsia="仿宋_GB2312" w:cs="仿宋_GB2312"/>
          <w:b w:val="0"/>
          <w:bCs w:val="0"/>
          <w:color w:val="auto"/>
          <w:spacing w:val="0"/>
          <w:w w:val="100"/>
          <w:kern w:val="2"/>
          <w:sz w:val="32"/>
          <w:szCs w:val="32"/>
          <w:highlight w:val="none"/>
          <w:lang w:eastAsia="zh-CN"/>
        </w:rPr>
        <w:t>（一）</w:t>
      </w:r>
      <w:r>
        <w:rPr>
          <w:rFonts w:hint="eastAsia" w:ascii="仿宋_GB2312" w:hAnsi="仿宋_GB2312" w:eastAsia="仿宋_GB2312" w:cs="仿宋_GB2312"/>
          <w:b w:val="0"/>
          <w:bCs w:val="0"/>
          <w:color w:val="auto"/>
          <w:spacing w:val="0"/>
          <w:w w:val="100"/>
          <w:kern w:val="2"/>
          <w:sz w:val="32"/>
          <w:szCs w:val="32"/>
          <w:highlight w:val="none"/>
        </w:rPr>
        <w:t>不得强制经营者从事《中华人民共和国反垄断法》</w:t>
      </w:r>
      <w:r>
        <w:rPr>
          <w:rFonts w:hint="eastAsia" w:ascii="仿宋_GB2312" w:hAnsi="仿宋_GB2312" w:eastAsia="仿宋_GB2312" w:cs="仿宋_GB2312"/>
          <w:b w:val="0"/>
          <w:bCs w:val="0"/>
          <w:color w:val="auto"/>
          <w:spacing w:val="0"/>
          <w:w w:val="100"/>
          <w:kern w:val="2"/>
          <w:sz w:val="32"/>
          <w:szCs w:val="32"/>
          <w:highlight w:val="none"/>
          <w:lang w:eastAsia="zh-CN"/>
        </w:rPr>
        <w:t>禁止</w:t>
      </w:r>
      <w:r>
        <w:rPr>
          <w:rFonts w:hint="eastAsia" w:ascii="仿宋_GB2312" w:hAnsi="仿宋_GB2312" w:eastAsia="仿宋_GB2312" w:cs="仿宋_GB2312"/>
          <w:b w:val="0"/>
          <w:bCs w:val="0"/>
          <w:color w:val="auto"/>
          <w:spacing w:val="0"/>
          <w:w w:val="100"/>
          <w:kern w:val="2"/>
          <w:sz w:val="32"/>
          <w:szCs w:val="32"/>
          <w:highlight w:val="none"/>
        </w:rPr>
        <w:t>的垄断行为，主要指以行政命令、行政授权、行政指导</w:t>
      </w:r>
      <w:r>
        <w:rPr>
          <w:rFonts w:hint="eastAsia" w:ascii="仿宋_GB2312" w:hAnsi="仿宋_GB2312" w:eastAsia="仿宋_GB2312" w:cs="仿宋_GB2312"/>
          <w:b w:val="0"/>
          <w:bCs w:val="0"/>
          <w:color w:val="auto"/>
          <w:spacing w:val="0"/>
          <w:w w:val="100"/>
          <w:kern w:val="2"/>
          <w:sz w:val="32"/>
          <w:szCs w:val="32"/>
          <w:highlight w:val="none"/>
          <w:lang w:eastAsia="zh-CN"/>
        </w:rPr>
        <w:t>等方式</w:t>
      </w:r>
      <w:r>
        <w:rPr>
          <w:rFonts w:hint="eastAsia" w:ascii="仿宋_GB2312" w:hAnsi="仿宋_GB2312" w:eastAsia="仿宋_GB2312" w:cs="仿宋_GB2312"/>
          <w:b w:val="0"/>
          <w:bCs w:val="0"/>
          <w:color w:val="auto"/>
          <w:spacing w:val="0"/>
          <w:w w:val="100"/>
          <w:kern w:val="2"/>
          <w:sz w:val="32"/>
          <w:szCs w:val="32"/>
          <w:highlight w:val="none"/>
        </w:rPr>
        <w:t>或者通过行业协会</w:t>
      </w:r>
      <w:r>
        <w:rPr>
          <w:rFonts w:hint="eastAsia" w:ascii="仿宋_GB2312" w:hAnsi="仿宋_GB2312" w:eastAsia="仿宋_GB2312" w:cs="仿宋_GB2312"/>
          <w:b w:val="0"/>
          <w:bCs w:val="0"/>
          <w:color w:val="auto"/>
          <w:spacing w:val="0"/>
          <w:w w:val="100"/>
          <w:kern w:val="2"/>
          <w:sz w:val="32"/>
          <w:szCs w:val="32"/>
          <w:highlight w:val="none"/>
          <w:lang w:eastAsia="zh-CN"/>
        </w:rPr>
        <w:t>、商会</w:t>
      </w:r>
      <w:r>
        <w:rPr>
          <w:rFonts w:hint="eastAsia" w:ascii="仿宋_GB2312" w:hAnsi="仿宋_GB2312" w:eastAsia="仿宋_GB2312" w:cs="仿宋_GB2312"/>
          <w:b w:val="0"/>
          <w:bCs w:val="0"/>
          <w:color w:val="auto"/>
          <w:spacing w:val="0"/>
          <w:w w:val="100"/>
          <w:kern w:val="2"/>
          <w:sz w:val="32"/>
          <w:szCs w:val="32"/>
          <w:highlight w:val="none"/>
        </w:rPr>
        <w:t>，强制、组织或者引导经营者达成、垄断协议</w:t>
      </w:r>
      <w:r>
        <w:rPr>
          <w:rFonts w:hint="eastAsia" w:ascii="仿宋_GB2312" w:hAnsi="仿宋_GB2312" w:eastAsia="仿宋_GB2312" w:cs="仿宋_GB2312"/>
          <w:b w:val="0"/>
          <w:bCs w:val="0"/>
          <w:color w:val="auto"/>
          <w:spacing w:val="0"/>
          <w:w w:val="100"/>
          <w:kern w:val="2"/>
          <w:sz w:val="32"/>
          <w:szCs w:val="32"/>
          <w:highlight w:val="none"/>
          <w:lang w:eastAsia="zh-CN"/>
        </w:rPr>
        <w:t>、</w:t>
      </w:r>
      <w:r>
        <w:rPr>
          <w:rFonts w:hint="eastAsia" w:ascii="仿宋_GB2312" w:hAnsi="仿宋_GB2312" w:eastAsia="仿宋_GB2312" w:cs="仿宋_GB2312"/>
          <w:b w:val="0"/>
          <w:bCs w:val="0"/>
          <w:color w:val="auto"/>
          <w:spacing w:val="0"/>
          <w:w w:val="100"/>
          <w:kern w:val="2"/>
          <w:sz w:val="32"/>
          <w:szCs w:val="32"/>
          <w:highlight w:val="none"/>
        </w:rPr>
        <w:t>滥用市场支配地位</w:t>
      </w:r>
      <w:r>
        <w:rPr>
          <w:rFonts w:hint="eastAsia" w:ascii="仿宋_GB2312" w:hAnsi="仿宋_GB2312" w:eastAsia="仿宋_GB2312" w:cs="仿宋_GB2312"/>
          <w:b w:val="0"/>
          <w:bCs w:val="0"/>
          <w:color w:val="auto"/>
          <w:spacing w:val="0"/>
          <w:w w:val="100"/>
          <w:kern w:val="2"/>
          <w:sz w:val="32"/>
          <w:szCs w:val="32"/>
          <w:highlight w:val="none"/>
          <w:lang w:eastAsia="zh-CN"/>
        </w:rPr>
        <w:t>，以及实施具有或者可能具有排除、限制竞争效果的经营者集中等行为”的规定。</w:t>
      </w:r>
    </w:p>
    <w:p>
      <w:pPr>
        <w:pageBreakBefore w:val="0"/>
        <w:numPr>
          <w:ilvl w:val="0"/>
          <w:numId w:val="0"/>
        </w:numPr>
        <w:kinsoku/>
        <w:wordWrap/>
        <w:overflowPunct/>
        <w:topLinePunct/>
        <w:autoSpaceDE/>
        <w:autoSpaceDN/>
        <w:bidi w:val="0"/>
        <w:spacing w:beforeAutospacing="0" w:line="540" w:lineRule="exact"/>
        <w:ind w:left="0" w:leftChars="0" w:right="0" w:rightChars="0" w:firstLine="640" w:firstLineChars="200"/>
        <w:jc w:val="both"/>
        <w:textAlignment w:val="baseline"/>
        <w:rPr>
          <w:rFonts w:hint="eastAsia" w:ascii="楷体_GB2312" w:hAnsi="楷体_GB2312" w:eastAsia="楷体_GB2312" w:cs="楷体_GB2312"/>
          <w:b w:val="0"/>
          <w:bCs w:val="0"/>
          <w:color w:val="auto"/>
          <w:spacing w:val="0"/>
          <w:w w:val="100"/>
          <w:kern w:val="2"/>
          <w:sz w:val="32"/>
          <w:szCs w:val="32"/>
          <w:highlight w:val="none"/>
          <w:lang w:val="en-US" w:eastAsia="zh-CN" w:bidi="ar"/>
        </w:rPr>
      </w:pPr>
      <w:r>
        <w:rPr>
          <w:rFonts w:hint="eastAsia" w:ascii="楷体_GB2312" w:hAnsi="楷体_GB2312" w:eastAsia="楷体_GB2312" w:cs="楷体_GB2312"/>
          <w:b w:val="0"/>
          <w:bCs w:val="0"/>
          <w:color w:val="auto"/>
          <w:spacing w:val="0"/>
          <w:w w:val="100"/>
          <w:sz w:val="32"/>
          <w:szCs w:val="32"/>
          <w:highlight w:val="none"/>
          <w:shd w:val="clear" w:color="auto" w:fill="FFFFFF"/>
          <w:lang w:eastAsia="zh-CN"/>
        </w:rPr>
        <w:t>（四）《高台县农业保险助推乡村振兴工作实施方案》（</w:t>
      </w:r>
      <w:r>
        <w:rPr>
          <w:rFonts w:hint="eastAsia" w:ascii="楷体_GB2312" w:hAnsi="楷体_GB2312" w:eastAsia="楷体_GB2312" w:cs="楷体_GB2312"/>
          <w:b w:val="0"/>
          <w:bCs w:val="0"/>
          <w:color w:val="auto"/>
          <w:spacing w:val="0"/>
          <w:w w:val="100"/>
          <w:sz w:val="32"/>
          <w:szCs w:val="32"/>
          <w:highlight w:val="none"/>
          <w:u w:color="000000"/>
        </w:rPr>
        <w:t>高政发〔2021〕</w:t>
      </w:r>
      <w:r>
        <w:rPr>
          <w:rFonts w:hint="eastAsia" w:ascii="楷体_GB2312" w:hAnsi="楷体_GB2312" w:eastAsia="楷体_GB2312" w:cs="楷体_GB2312"/>
          <w:b w:val="0"/>
          <w:bCs w:val="0"/>
          <w:color w:val="auto"/>
          <w:spacing w:val="0"/>
          <w:w w:val="100"/>
          <w:sz w:val="32"/>
          <w:szCs w:val="32"/>
          <w:highlight w:val="none"/>
          <w:u w:color="000000"/>
          <w:lang w:val="en-US" w:eastAsia="zh-CN"/>
        </w:rPr>
        <w:t>10</w:t>
      </w:r>
      <w:r>
        <w:rPr>
          <w:rFonts w:hint="eastAsia" w:ascii="楷体_GB2312" w:hAnsi="楷体_GB2312" w:eastAsia="楷体_GB2312" w:cs="楷体_GB2312"/>
          <w:b w:val="0"/>
          <w:bCs w:val="0"/>
          <w:color w:val="auto"/>
          <w:spacing w:val="0"/>
          <w:w w:val="100"/>
          <w:sz w:val="32"/>
          <w:szCs w:val="32"/>
          <w:highlight w:val="none"/>
          <w:u w:color="000000"/>
        </w:rPr>
        <w:t>号</w:t>
      </w:r>
      <w:r>
        <w:rPr>
          <w:rFonts w:hint="eastAsia" w:ascii="楷体_GB2312" w:hAnsi="楷体_GB2312" w:eastAsia="楷体_GB2312" w:cs="楷体_GB2312"/>
          <w:b w:val="0"/>
          <w:bCs w:val="0"/>
          <w:color w:val="auto"/>
          <w:spacing w:val="0"/>
          <w:w w:val="100"/>
          <w:kern w:val="2"/>
          <w:sz w:val="32"/>
          <w:szCs w:val="32"/>
          <w:highlight w:val="none"/>
          <w:lang w:val="en-US" w:eastAsia="zh-CN" w:bidi="ar"/>
        </w:rPr>
        <w:t>）</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63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文件第4页</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（二）承办机构。</w:t>
            </w:r>
            <w:r>
              <w:rPr>
                <w:rFonts w:hint="eastAsia" w:ascii="仿宋_GB2312" w:hAnsi="仿宋_GB2312" w:eastAsia="仿宋_GB2312" w:cs="仿宋_GB2312"/>
                <w:b w:val="0"/>
                <w:bCs w:val="0"/>
                <w:color w:val="auto"/>
                <w:spacing w:val="0"/>
                <w:w w:val="100"/>
                <w:kern w:val="0"/>
                <w:sz w:val="32"/>
                <w:szCs w:val="32"/>
                <w:highlight w:val="none"/>
                <w:u w:val="single"/>
                <w:lang w:val="en-US" w:eastAsia="zh-CN" w:bidi="ar"/>
              </w:rPr>
              <w:t>中国人民财产保险股份有</w:t>
            </w:r>
            <w:r>
              <w:rPr>
                <w:rFonts w:hint="eastAsia" w:ascii="仿宋_GB2312" w:hAnsi="仿宋_GB2312" w:eastAsia="仿宋_GB2312" w:cs="仿宋_GB2312"/>
                <w:b w:val="0"/>
                <w:bCs w:val="0"/>
                <w:color w:val="auto"/>
                <w:spacing w:val="0"/>
                <w:w w:val="100"/>
                <w:kern w:val="0"/>
                <w:sz w:val="32"/>
                <w:szCs w:val="32"/>
                <w:highlight w:val="none"/>
                <w:u w:val="none"/>
                <w:lang w:val="en-US" w:eastAsia="zh-CN" w:bidi="ar"/>
              </w:rPr>
              <w:t>限公司高台支公司</w:t>
            </w:r>
            <w:r>
              <w:rPr>
                <w:rFonts w:hint="eastAsia" w:ascii="仿宋_GB2312" w:hAnsi="仿宋_GB2312" w:eastAsia="仿宋_GB2312" w:cs="仿宋_GB2312"/>
                <w:b w:val="0"/>
                <w:bCs w:val="0"/>
                <w:color w:val="auto"/>
                <w:spacing w:val="0"/>
                <w:w w:val="100"/>
                <w:kern w:val="0"/>
                <w:sz w:val="32"/>
                <w:szCs w:val="32"/>
                <w:highlight w:val="none"/>
                <w:lang w:val="en-US" w:eastAsia="zh-CN" w:bidi="ar"/>
              </w:rPr>
              <w:t>承办新坝镇、南华镇、合黎镇种养产业综合保险，</w:t>
            </w:r>
            <w:r>
              <w:rPr>
                <w:rFonts w:hint="eastAsia" w:ascii="仿宋_GB2312" w:hAnsi="仿宋_GB2312" w:eastAsia="仿宋_GB2312" w:cs="仿宋_GB2312"/>
                <w:b w:val="0"/>
                <w:bCs w:val="0"/>
                <w:color w:val="auto"/>
                <w:spacing w:val="0"/>
                <w:w w:val="100"/>
                <w:kern w:val="0"/>
                <w:sz w:val="32"/>
                <w:szCs w:val="32"/>
                <w:highlight w:val="none"/>
                <w:u w:val="single"/>
                <w:lang w:val="en-US" w:eastAsia="zh-CN" w:bidi="ar"/>
              </w:rPr>
              <w:t>中华联合财产保险股份有限公司高台县支公司</w:t>
            </w:r>
            <w:r>
              <w:rPr>
                <w:rFonts w:hint="eastAsia" w:ascii="仿宋_GB2312" w:hAnsi="仿宋_GB2312" w:eastAsia="仿宋_GB2312" w:cs="仿宋_GB2312"/>
                <w:b w:val="0"/>
                <w:bCs w:val="0"/>
                <w:color w:val="auto"/>
                <w:spacing w:val="0"/>
                <w:w w:val="100"/>
                <w:kern w:val="0"/>
                <w:sz w:val="32"/>
                <w:szCs w:val="32"/>
                <w:highlight w:val="none"/>
                <w:lang w:val="en-US" w:eastAsia="zh-CN" w:bidi="ar"/>
              </w:rPr>
              <w:t>承办巷道镇、骆驼城镇种养产业综合保险，</w:t>
            </w:r>
            <w:r>
              <w:rPr>
                <w:rFonts w:hint="eastAsia" w:ascii="仿宋_GB2312" w:hAnsi="仿宋_GB2312" w:eastAsia="仿宋_GB2312" w:cs="仿宋_GB2312"/>
                <w:b w:val="0"/>
                <w:bCs w:val="0"/>
                <w:color w:val="auto"/>
                <w:spacing w:val="0"/>
                <w:w w:val="100"/>
                <w:kern w:val="0"/>
                <w:sz w:val="32"/>
                <w:szCs w:val="32"/>
                <w:highlight w:val="none"/>
                <w:u w:val="single"/>
                <w:lang w:val="en-US" w:eastAsia="zh-CN" w:bidi="ar"/>
              </w:rPr>
              <w:t>中国人寿财产保险股份有限公司高台县支公司</w:t>
            </w:r>
            <w:r>
              <w:rPr>
                <w:rFonts w:hint="eastAsia" w:ascii="仿宋_GB2312" w:hAnsi="仿宋_GB2312" w:eastAsia="仿宋_GB2312" w:cs="仿宋_GB2312"/>
                <w:b w:val="0"/>
                <w:bCs w:val="0"/>
                <w:color w:val="auto"/>
                <w:spacing w:val="0"/>
                <w:w w:val="100"/>
                <w:kern w:val="0"/>
                <w:sz w:val="32"/>
                <w:szCs w:val="32"/>
                <w:highlight w:val="none"/>
                <w:lang w:val="en-US" w:eastAsia="zh-CN" w:bidi="ar"/>
              </w:rPr>
              <w:t>承办宣化镇、黑泉镇、罗城镇种养产业综合保险。</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b.剖析论证</w:t>
      </w:r>
    </w:p>
    <w:p>
      <w:pPr>
        <w:pStyle w:val="7"/>
        <w:keepNext w:val="0"/>
        <w:keepLines w:val="0"/>
        <w:pageBreakBefore w:val="0"/>
        <w:widowControl/>
        <w:suppressLineNumbers w:val="0"/>
        <w:kinsoku/>
        <w:wordWrap/>
        <w:overflowPunct/>
        <w:topLinePunct/>
        <w:autoSpaceDE/>
        <w:autoSpaceDN/>
        <w:bidi w:val="0"/>
        <w:spacing w:before="0" w:beforeAutospacing="0" w:after="0" w:line="540" w:lineRule="exact"/>
        <w:ind w:left="0" w:leftChars="0" w:right="0" w:firstLine="640" w:firstLineChars="200"/>
        <w:jc w:val="both"/>
        <w:rPr>
          <w:rFonts w:hint="eastAsia" w:ascii="仿宋_GB2312" w:hAnsi="仿宋_GB2312" w:eastAsia="仿宋_GB2312" w:cs="仿宋_GB2312"/>
          <w:b w:val="0"/>
          <w:bCs w:val="0"/>
          <w:snapToGrid/>
          <w:color w:val="auto"/>
          <w:spacing w:val="0"/>
          <w:w w:val="100"/>
          <w:kern w:val="0"/>
          <w:sz w:val="32"/>
          <w:szCs w:val="32"/>
          <w:highlight w:val="none"/>
          <w:lang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文件内容违反《公平竞争审查制度实施细则》“第十六条</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影响生产经营行为</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标准</w:t>
      </w:r>
      <w:r>
        <w:rPr>
          <w:rFonts w:hint="eastAsia" w:ascii="仿宋_GB2312" w:hAnsi="仿宋_GB2312" w:eastAsia="仿宋_GB2312" w:cs="仿宋_GB2312"/>
          <w:b w:val="0"/>
          <w:bCs w:val="0"/>
          <w:color w:val="auto"/>
          <w:spacing w:val="0"/>
          <w:w w:val="100"/>
          <w:kern w:val="2"/>
          <w:sz w:val="32"/>
          <w:szCs w:val="32"/>
          <w:highlight w:val="none"/>
          <w:lang w:eastAsia="zh-CN"/>
        </w:rPr>
        <w:t>（一）</w:t>
      </w:r>
      <w:r>
        <w:rPr>
          <w:rFonts w:hint="eastAsia" w:ascii="仿宋_GB2312" w:hAnsi="仿宋_GB2312" w:eastAsia="仿宋_GB2312" w:cs="仿宋_GB2312"/>
          <w:b w:val="0"/>
          <w:bCs w:val="0"/>
          <w:color w:val="auto"/>
          <w:spacing w:val="0"/>
          <w:w w:val="100"/>
          <w:kern w:val="2"/>
          <w:sz w:val="32"/>
          <w:szCs w:val="32"/>
          <w:highlight w:val="none"/>
        </w:rPr>
        <w:t>不得强制经营者从事《中华人民共和国反垄断法》</w:t>
      </w:r>
      <w:r>
        <w:rPr>
          <w:rFonts w:hint="eastAsia" w:ascii="仿宋_GB2312" w:hAnsi="仿宋_GB2312" w:eastAsia="仿宋_GB2312" w:cs="仿宋_GB2312"/>
          <w:b w:val="0"/>
          <w:bCs w:val="0"/>
          <w:color w:val="auto"/>
          <w:spacing w:val="0"/>
          <w:w w:val="100"/>
          <w:kern w:val="2"/>
          <w:sz w:val="32"/>
          <w:szCs w:val="32"/>
          <w:highlight w:val="none"/>
          <w:lang w:eastAsia="zh-CN"/>
        </w:rPr>
        <w:t>禁止</w:t>
      </w:r>
      <w:r>
        <w:rPr>
          <w:rFonts w:hint="eastAsia" w:ascii="仿宋_GB2312" w:hAnsi="仿宋_GB2312" w:eastAsia="仿宋_GB2312" w:cs="仿宋_GB2312"/>
          <w:b w:val="0"/>
          <w:bCs w:val="0"/>
          <w:color w:val="auto"/>
          <w:spacing w:val="0"/>
          <w:w w:val="100"/>
          <w:kern w:val="2"/>
          <w:sz w:val="32"/>
          <w:szCs w:val="32"/>
          <w:highlight w:val="none"/>
        </w:rPr>
        <w:t>的垄断行为，主要指以行政命令、行政授权、行政指导</w:t>
      </w:r>
      <w:r>
        <w:rPr>
          <w:rFonts w:hint="eastAsia" w:ascii="仿宋_GB2312" w:hAnsi="仿宋_GB2312" w:eastAsia="仿宋_GB2312" w:cs="仿宋_GB2312"/>
          <w:b w:val="0"/>
          <w:bCs w:val="0"/>
          <w:color w:val="auto"/>
          <w:spacing w:val="0"/>
          <w:w w:val="100"/>
          <w:kern w:val="2"/>
          <w:sz w:val="32"/>
          <w:szCs w:val="32"/>
          <w:highlight w:val="none"/>
          <w:lang w:eastAsia="zh-CN"/>
        </w:rPr>
        <w:t>等方式</w:t>
      </w:r>
      <w:r>
        <w:rPr>
          <w:rFonts w:hint="eastAsia" w:ascii="仿宋_GB2312" w:hAnsi="仿宋_GB2312" w:eastAsia="仿宋_GB2312" w:cs="仿宋_GB2312"/>
          <w:b w:val="0"/>
          <w:bCs w:val="0"/>
          <w:color w:val="auto"/>
          <w:spacing w:val="0"/>
          <w:w w:val="100"/>
          <w:kern w:val="2"/>
          <w:sz w:val="32"/>
          <w:szCs w:val="32"/>
          <w:highlight w:val="none"/>
        </w:rPr>
        <w:t>或者通过行业协会</w:t>
      </w:r>
      <w:r>
        <w:rPr>
          <w:rFonts w:hint="eastAsia" w:ascii="仿宋_GB2312" w:hAnsi="仿宋_GB2312" w:eastAsia="仿宋_GB2312" w:cs="仿宋_GB2312"/>
          <w:b w:val="0"/>
          <w:bCs w:val="0"/>
          <w:color w:val="auto"/>
          <w:spacing w:val="0"/>
          <w:w w:val="100"/>
          <w:kern w:val="2"/>
          <w:sz w:val="32"/>
          <w:szCs w:val="32"/>
          <w:highlight w:val="none"/>
          <w:lang w:eastAsia="zh-CN"/>
        </w:rPr>
        <w:t>、商会</w:t>
      </w:r>
      <w:r>
        <w:rPr>
          <w:rFonts w:hint="eastAsia" w:ascii="仿宋_GB2312" w:hAnsi="仿宋_GB2312" w:eastAsia="仿宋_GB2312" w:cs="仿宋_GB2312"/>
          <w:b w:val="0"/>
          <w:bCs w:val="0"/>
          <w:color w:val="auto"/>
          <w:spacing w:val="0"/>
          <w:w w:val="100"/>
          <w:kern w:val="2"/>
          <w:sz w:val="32"/>
          <w:szCs w:val="32"/>
          <w:highlight w:val="none"/>
        </w:rPr>
        <w:t>，强制、组织或者引导经营者达成、垄断协议</w:t>
      </w:r>
      <w:r>
        <w:rPr>
          <w:rFonts w:hint="eastAsia" w:ascii="仿宋_GB2312" w:hAnsi="仿宋_GB2312" w:eastAsia="仿宋_GB2312" w:cs="仿宋_GB2312"/>
          <w:b w:val="0"/>
          <w:bCs w:val="0"/>
          <w:color w:val="auto"/>
          <w:spacing w:val="0"/>
          <w:w w:val="100"/>
          <w:kern w:val="2"/>
          <w:sz w:val="32"/>
          <w:szCs w:val="32"/>
          <w:highlight w:val="none"/>
          <w:lang w:eastAsia="zh-CN"/>
        </w:rPr>
        <w:t>、</w:t>
      </w:r>
      <w:r>
        <w:rPr>
          <w:rFonts w:hint="eastAsia" w:ascii="仿宋_GB2312" w:hAnsi="仿宋_GB2312" w:eastAsia="仿宋_GB2312" w:cs="仿宋_GB2312"/>
          <w:b w:val="0"/>
          <w:bCs w:val="0"/>
          <w:color w:val="auto"/>
          <w:spacing w:val="0"/>
          <w:w w:val="100"/>
          <w:kern w:val="2"/>
          <w:sz w:val="32"/>
          <w:szCs w:val="32"/>
          <w:highlight w:val="none"/>
        </w:rPr>
        <w:t>滥用市场支配地位</w:t>
      </w:r>
      <w:r>
        <w:rPr>
          <w:rFonts w:hint="eastAsia" w:ascii="仿宋_GB2312" w:hAnsi="仿宋_GB2312" w:eastAsia="仿宋_GB2312" w:cs="仿宋_GB2312"/>
          <w:b w:val="0"/>
          <w:bCs w:val="0"/>
          <w:color w:val="auto"/>
          <w:spacing w:val="0"/>
          <w:w w:val="100"/>
          <w:kern w:val="2"/>
          <w:sz w:val="32"/>
          <w:szCs w:val="32"/>
          <w:highlight w:val="none"/>
          <w:lang w:eastAsia="zh-CN"/>
        </w:rPr>
        <w:t>，以及实施具有或者可能具有排除、限制竞争效果的经营者集中等行为”的规定。</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楷体_GB2312" w:hAnsi="楷体_GB2312" w:eastAsia="楷体_GB2312" w:cs="楷体_GB2312"/>
          <w:b w:val="0"/>
          <w:bCs w:val="0"/>
          <w:color w:val="auto"/>
          <w:spacing w:val="0"/>
          <w:w w:val="100"/>
          <w:kern w:val="2"/>
          <w:sz w:val="32"/>
          <w:szCs w:val="32"/>
          <w:highlight w:val="none"/>
          <w:lang w:val="en-US" w:eastAsia="zh-CN" w:bidi="ar"/>
        </w:rPr>
      </w:pPr>
      <w:r>
        <w:rPr>
          <w:rFonts w:hint="eastAsia" w:ascii="楷体_GB2312" w:hAnsi="楷体_GB2312" w:eastAsia="楷体_GB2312" w:cs="楷体_GB2312"/>
          <w:b w:val="0"/>
          <w:bCs w:val="0"/>
          <w:color w:val="auto"/>
          <w:spacing w:val="0"/>
          <w:w w:val="100"/>
          <w:kern w:val="2"/>
          <w:sz w:val="32"/>
          <w:szCs w:val="32"/>
          <w:highlight w:val="none"/>
          <w:lang w:val="en-US" w:eastAsia="zh-CN" w:bidi="ar"/>
        </w:rPr>
        <w:t>（五）《高台县突发事件应急处置生活物资保障工作方案》（高</w:t>
      </w:r>
      <w:r>
        <w:rPr>
          <w:rFonts w:hint="eastAsia" w:ascii="楷体_GB2312" w:hAnsi="楷体_GB2312" w:eastAsia="楷体_GB2312" w:cs="楷体_GB2312"/>
          <w:b w:val="0"/>
          <w:bCs w:val="0"/>
          <w:color w:val="auto"/>
          <w:spacing w:val="0"/>
          <w:w w:val="100"/>
          <w:kern w:val="2"/>
          <w:sz w:val="32"/>
          <w:szCs w:val="32"/>
          <w:highlight w:val="none"/>
          <w:lang w:eastAsia="zh-CN" w:bidi="ar"/>
        </w:rPr>
        <w:t>政</w:t>
      </w:r>
      <w:r>
        <w:rPr>
          <w:rFonts w:hint="eastAsia" w:ascii="楷体_GB2312" w:hAnsi="楷体_GB2312" w:eastAsia="楷体_GB2312" w:cs="楷体_GB2312"/>
          <w:b w:val="0"/>
          <w:bCs w:val="0"/>
          <w:color w:val="auto"/>
          <w:spacing w:val="0"/>
          <w:w w:val="100"/>
          <w:kern w:val="2"/>
          <w:sz w:val="32"/>
          <w:szCs w:val="32"/>
          <w:highlight w:val="none"/>
          <w:lang w:val="en-US" w:eastAsia="zh-CN" w:bidi="ar"/>
        </w:rPr>
        <w:t>办发[2022]13号）</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a.问题内容条款</w:t>
      </w:r>
    </w:p>
    <w:tbl>
      <w:tblPr>
        <w:tblStyle w:val="49"/>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63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kern w:val="2"/>
                <w:sz w:val="32"/>
                <w:szCs w:val="32"/>
                <w:highlight w:val="none"/>
                <w:lang w:val="en-US" w:eastAsia="zh-CN" w:bidi="ar"/>
              </w:rPr>
              <w:t>2.构建供配机制。</w:t>
            </w:r>
            <w:r>
              <w:rPr>
                <w:rFonts w:hint="eastAsia" w:ascii="仿宋_GB2312" w:hAnsi="仿宋_GB2312" w:eastAsia="仿宋_GB2312" w:cs="仿宋_GB2312"/>
                <w:b w:val="0"/>
                <w:bCs w:val="0"/>
                <w:color w:val="auto"/>
                <w:spacing w:val="0"/>
                <w:w w:val="100"/>
                <w:kern w:val="2"/>
                <w:sz w:val="32"/>
                <w:szCs w:val="32"/>
                <w:highlight w:val="none"/>
                <w:shd w:val="clear" w:fill="FFFFFF"/>
                <w:lang w:val="en-US" w:eastAsia="zh-CN" w:bidi="ar"/>
              </w:rPr>
              <w:t>实行</w:t>
            </w:r>
            <w:r>
              <w:rPr>
                <w:rFonts w:hint="eastAsia" w:ascii="仿宋_GB2312" w:hAnsi="仿宋_GB2312" w:eastAsia="仿宋_GB2312" w:cs="仿宋_GB2312"/>
                <w:b w:val="0"/>
                <w:bCs w:val="0"/>
                <w:color w:val="auto"/>
                <w:spacing w:val="0"/>
                <w:w w:val="100"/>
                <w:kern w:val="2"/>
                <w:sz w:val="32"/>
                <w:szCs w:val="32"/>
                <w:highlight w:val="none"/>
                <w:lang w:val="en-US" w:eastAsia="zh-CN" w:bidi="ar"/>
              </w:rPr>
              <w:t>“三定、六联、二简”供应、配送机制。“三定”：定供应配送主体，县生活物资应急保供企业、</w:t>
            </w:r>
            <w:r>
              <w:rPr>
                <w:rFonts w:hint="eastAsia" w:ascii="仿宋_GB2312" w:hAnsi="仿宋_GB2312" w:eastAsia="仿宋_GB2312" w:cs="仿宋_GB2312"/>
                <w:b w:val="0"/>
                <w:bCs w:val="0"/>
                <w:color w:val="auto"/>
                <w:spacing w:val="0"/>
                <w:w w:val="100"/>
                <w:kern w:val="2"/>
                <w:sz w:val="32"/>
                <w:szCs w:val="32"/>
                <w:highlight w:val="none"/>
                <w:u w:val="single"/>
                <w:lang w:val="en-US" w:eastAsia="zh-CN" w:bidi="ar"/>
              </w:rPr>
              <w:t>配送企业分别为兴粮贸易公司、景隆市场、新乐超市高台店、鸿丰超市、西部天地生活超市、永利超市、好东东超市等7家企业。</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val="0"/>
          <w:color w:val="auto"/>
          <w:spacing w:val="0"/>
          <w:w w:val="100"/>
          <w:kern w:val="0"/>
          <w:sz w:val="32"/>
          <w:szCs w:val="32"/>
          <w:highlight w:val="none"/>
          <w:vertAlign w:val="baseline"/>
        </w:rPr>
      </w:pPr>
      <w:r>
        <w:rPr>
          <w:rFonts w:hint="eastAsia" w:ascii="仿宋_GB2312" w:hAnsi="仿宋_GB2312" w:eastAsia="仿宋_GB2312" w:cs="仿宋_GB2312"/>
          <w:b w:val="0"/>
          <w:bCs w:val="0"/>
          <w:color w:val="auto"/>
          <w:spacing w:val="0"/>
          <w:w w:val="100"/>
          <w:kern w:val="0"/>
          <w:sz w:val="32"/>
          <w:szCs w:val="32"/>
          <w:highlight w:val="none"/>
          <w:vertAlign w:val="baseline"/>
          <w:lang w:val="en-US" w:eastAsia="zh-CN" w:bidi="ar"/>
        </w:rPr>
        <w:t>b.剖析论证</w:t>
      </w:r>
    </w:p>
    <w:p>
      <w:pPr>
        <w:pStyle w:val="7"/>
        <w:keepNext w:val="0"/>
        <w:keepLines w:val="0"/>
        <w:pageBreakBefore w:val="0"/>
        <w:widowControl/>
        <w:suppressLineNumbers w:val="0"/>
        <w:kinsoku/>
        <w:wordWrap/>
        <w:overflowPunct/>
        <w:topLinePunct/>
        <w:autoSpaceDE/>
        <w:autoSpaceDN/>
        <w:bidi w:val="0"/>
        <w:spacing w:before="0" w:beforeAutospacing="0" w:after="0" w:line="540" w:lineRule="exact"/>
        <w:ind w:left="0" w:leftChars="0" w:right="0" w:firstLine="640" w:firstLineChars="200"/>
        <w:jc w:val="both"/>
        <w:rPr>
          <w:rFonts w:hint="eastAsia" w:ascii="仿宋_GB2312" w:hAnsi="仿宋_GB2312" w:eastAsia="仿宋_GB2312" w:cs="仿宋_GB2312"/>
          <w:b w:val="0"/>
          <w:bCs w:val="0"/>
          <w:snapToGrid/>
          <w:color w:val="auto"/>
          <w:spacing w:val="0"/>
          <w:w w:val="100"/>
          <w:kern w:val="0"/>
          <w:sz w:val="32"/>
          <w:szCs w:val="32"/>
          <w:highlight w:val="none"/>
          <w:lang w:eastAsia="zh-CN" w:bidi="ar"/>
        </w:rPr>
      </w:pPr>
      <w:r>
        <w:rPr>
          <w:rFonts w:hint="eastAsia" w:ascii="仿宋_GB2312" w:hAnsi="仿宋_GB2312" w:eastAsia="仿宋_GB2312" w:cs="仿宋_GB2312"/>
          <w:b w:val="0"/>
          <w:bCs w:val="0"/>
          <w:snapToGrid/>
          <w:color w:val="auto"/>
          <w:spacing w:val="0"/>
          <w:w w:val="100"/>
          <w:kern w:val="0"/>
          <w:sz w:val="32"/>
          <w:szCs w:val="32"/>
          <w:highlight w:val="none"/>
          <w:lang w:eastAsia="zh-CN" w:bidi="ar"/>
        </w:rPr>
        <w:t>文件内容违反《公平竞争审查制度实施细则》“第十六条</w:t>
      </w:r>
      <w:r>
        <w:rPr>
          <w:rFonts w:hint="eastAsia" w:ascii="仿宋_GB2312" w:hAnsi="仿宋_GB2312" w:eastAsia="仿宋_GB2312" w:cs="仿宋_GB2312"/>
          <w:b w:val="0"/>
          <w:bCs w:val="0"/>
          <w:snapToGrid/>
          <w:color w:val="auto"/>
          <w:spacing w:val="0"/>
          <w:w w:val="100"/>
          <w:kern w:val="0"/>
          <w:sz w:val="32"/>
          <w:szCs w:val="32"/>
          <w:highlight w:val="none"/>
          <w:lang w:val="en-US" w:eastAsia="zh-CN" w:bidi="ar"/>
        </w:rPr>
        <w:t>影响生产经营行为</w:t>
      </w:r>
      <w:r>
        <w:rPr>
          <w:rFonts w:hint="eastAsia" w:ascii="仿宋_GB2312" w:hAnsi="仿宋_GB2312" w:eastAsia="仿宋_GB2312" w:cs="仿宋_GB2312"/>
          <w:b w:val="0"/>
          <w:bCs w:val="0"/>
          <w:snapToGrid/>
          <w:color w:val="auto"/>
          <w:spacing w:val="0"/>
          <w:w w:val="100"/>
          <w:kern w:val="0"/>
          <w:sz w:val="32"/>
          <w:szCs w:val="32"/>
          <w:highlight w:val="none"/>
          <w:lang w:eastAsia="zh-CN" w:bidi="ar"/>
        </w:rPr>
        <w:t>标准</w:t>
      </w:r>
      <w:r>
        <w:rPr>
          <w:rFonts w:hint="eastAsia" w:ascii="仿宋_GB2312" w:hAnsi="仿宋_GB2312" w:eastAsia="仿宋_GB2312" w:cs="仿宋_GB2312"/>
          <w:b w:val="0"/>
          <w:bCs w:val="0"/>
          <w:color w:val="auto"/>
          <w:spacing w:val="0"/>
          <w:w w:val="100"/>
          <w:kern w:val="2"/>
          <w:sz w:val="32"/>
          <w:szCs w:val="32"/>
          <w:highlight w:val="none"/>
          <w:lang w:eastAsia="zh-CN"/>
        </w:rPr>
        <w:t>（一）</w:t>
      </w:r>
      <w:r>
        <w:rPr>
          <w:rFonts w:hint="eastAsia" w:ascii="仿宋_GB2312" w:hAnsi="仿宋_GB2312" w:eastAsia="仿宋_GB2312" w:cs="仿宋_GB2312"/>
          <w:b w:val="0"/>
          <w:bCs w:val="0"/>
          <w:color w:val="auto"/>
          <w:spacing w:val="0"/>
          <w:w w:val="100"/>
          <w:kern w:val="2"/>
          <w:sz w:val="32"/>
          <w:szCs w:val="32"/>
          <w:highlight w:val="none"/>
        </w:rPr>
        <w:t>不得强制经营者从事《中华人民共和国反垄断法》</w:t>
      </w:r>
      <w:r>
        <w:rPr>
          <w:rFonts w:hint="eastAsia" w:ascii="仿宋_GB2312" w:hAnsi="仿宋_GB2312" w:eastAsia="仿宋_GB2312" w:cs="仿宋_GB2312"/>
          <w:b w:val="0"/>
          <w:bCs w:val="0"/>
          <w:color w:val="auto"/>
          <w:spacing w:val="0"/>
          <w:w w:val="100"/>
          <w:kern w:val="2"/>
          <w:sz w:val="32"/>
          <w:szCs w:val="32"/>
          <w:highlight w:val="none"/>
          <w:lang w:eastAsia="zh-CN"/>
        </w:rPr>
        <w:t>禁止</w:t>
      </w:r>
      <w:r>
        <w:rPr>
          <w:rFonts w:hint="eastAsia" w:ascii="仿宋_GB2312" w:hAnsi="仿宋_GB2312" w:eastAsia="仿宋_GB2312" w:cs="仿宋_GB2312"/>
          <w:b w:val="0"/>
          <w:bCs w:val="0"/>
          <w:color w:val="auto"/>
          <w:spacing w:val="0"/>
          <w:w w:val="100"/>
          <w:kern w:val="2"/>
          <w:sz w:val="32"/>
          <w:szCs w:val="32"/>
          <w:highlight w:val="none"/>
        </w:rPr>
        <w:t>的垄断行为，主要指以行政命令、行政授权、行政指导</w:t>
      </w:r>
      <w:r>
        <w:rPr>
          <w:rFonts w:hint="eastAsia" w:ascii="仿宋_GB2312" w:hAnsi="仿宋_GB2312" w:eastAsia="仿宋_GB2312" w:cs="仿宋_GB2312"/>
          <w:b w:val="0"/>
          <w:bCs w:val="0"/>
          <w:color w:val="auto"/>
          <w:spacing w:val="0"/>
          <w:w w:val="100"/>
          <w:kern w:val="2"/>
          <w:sz w:val="32"/>
          <w:szCs w:val="32"/>
          <w:highlight w:val="none"/>
          <w:lang w:eastAsia="zh-CN"/>
        </w:rPr>
        <w:t>等方式</w:t>
      </w:r>
      <w:r>
        <w:rPr>
          <w:rFonts w:hint="eastAsia" w:ascii="仿宋_GB2312" w:hAnsi="仿宋_GB2312" w:eastAsia="仿宋_GB2312" w:cs="仿宋_GB2312"/>
          <w:b w:val="0"/>
          <w:bCs w:val="0"/>
          <w:color w:val="auto"/>
          <w:spacing w:val="0"/>
          <w:w w:val="100"/>
          <w:kern w:val="2"/>
          <w:sz w:val="32"/>
          <w:szCs w:val="32"/>
          <w:highlight w:val="none"/>
        </w:rPr>
        <w:t>或者通过行业协会</w:t>
      </w:r>
      <w:r>
        <w:rPr>
          <w:rFonts w:hint="eastAsia" w:ascii="仿宋_GB2312" w:hAnsi="仿宋_GB2312" w:eastAsia="仿宋_GB2312" w:cs="仿宋_GB2312"/>
          <w:b w:val="0"/>
          <w:bCs w:val="0"/>
          <w:color w:val="auto"/>
          <w:spacing w:val="0"/>
          <w:w w:val="100"/>
          <w:kern w:val="2"/>
          <w:sz w:val="32"/>
          <w:szCs w:val="32"/>
          <w:highlight w:val="none"/>
          <w:lang w:eastAsia="zh-CN"/>
        </w:rPr>
        <w:t>、商会</w:t>
      </w:r>
      <w:r>
        <w:rPr>
          <w:rFonts w:hint="eastAsia" w:ascii="仿宋_GB2312" w:hAnsi="仿宋_GB2312" w:eastAsia="仿宋_GB2312" w:cs="仿宋_GB2312"/>
          <w:b w:val="0"/>
          <w:bCs w:val="0"/>
          <w:color w:val="auto"/>
          <w:spacing w:val="0"/>
          <w:w w:val="100"/>
          <w:kern w:val="2"/>
          <w:sz w:val="32"/>
          <w:szCs w:val="32"/>
          <w:highlight w:val="none"/>
        </w:rPr>
        <w:t>，强制、组织或者引导经营者达成、垄断协议</w:t>
      </w:r>
      <w:r>
        <w:rPr>
          <w:rFonts w:hint="eastAsia" w:ascii="仿宋_GB2312" w:hAnsi="仿宋_GB2312" w:eastAsia="仿宋_GB2312" w:cs="仿宋_GB2312"/>
          <w:b w:val="0"/>
          <w:bCs w:val="0"/>
          <w:color w:val="auto"/>
          <w:spacing w:val="0"/>
          <w:w w:val="100"/>
          <w:kern w:val="2"/>
          <w:sz w:val="32"/>
          <w:szCs w:val="32"/>
          <w:highlight w:val="none"/>
          <w:lang w:eastAsia="zh-CN"/>
        </w:rPr>
        <w:t>、</w:t>
      </w:r>
      <w:r>
        <w:rPr>
          <w:rFonts w:hint="eastAsia" w:ascii="仿宋_GB2312" w:hAnsi="仿宋_GB2312" w:eastAsia="仿宋_GB2312" w:cs="仿宋_GB2312"/>
          <w:b w:val="0"/>
          <w:bCs w:val="0"/>
          <w:color w:val="auto"/>
          <w:spacing w:val="0"/>
          <w:w w:val="100"/>
          <w:kern w:val="2"/>
          <w:sz w:val="32"/>
          <w:szCs w:val="32"/>
          <w:highlight w:val="none"/>
        </w:rPr>
        <w:t>滥用市场支配地位</w:t>
      </w:r>
      <w:r>
        <w:rPr>
          <w:rFonts w:hint="eastAsia" w:ascii="仿宋_GB2312" w:hAnsi="仿宋_GB2312" w:eastAsia="仿宋_GB2312" w:cs="仿宋_GB2312"/>
          <w:b w:val="0"/>
          <w:bCs w:val="0"/>
          <w:color w:val="auto"/>
          <w:spacing w:val="0"/>
          <w:w w:val="100"/>
          <w:kern w:val="2"/>
          <w:sz w:val="32"/>
          <w:szCs w:val="32"/>
          <w:highlight w:val="none"/>
          <w:lang w:eastAsia="zh-CN"/>
        </w:rPr>
        <w:t>，以及实施具有或者可能具有排除、限制竞争效果的经营者集中等行为”的规定。</w:t>
      </w:r>
    </w:p>
    <w:bookmarkEnd w:id="74"/>
    <w:bookmarkEnd w:id="75"/>
    <w:bookmarkEnd w:id="76"/>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outlineLvl w:val="9"/>
        <w:rPr>
          <w:rFonts w:hint="eastAsia" w:ascii="仿宋_GB2312" w:hAnsi="仿宋_GB2312" w:eastAsia="仿宋_GB2312" w:cs="仿宋_GB2312"/>
          <w:b w:val="0"/>
          <w:bCs w:val="0"/>
          <w:color w:val="auto"/>
          <w:spacing w:val="0"/>
          <w:w w:val="100"/>
          <w:kern w:val="44"/>
          <w:sz w:val="32"/>
          <w:szCs w:val="32"/>
          <w:highlight w:val="none"/>
          <w:lang w:eastAsia="zh-CN" w:bidi="ar-SA"/>
        </w:rPr>
      </w:pPr>
      <w:bookmarkStart w:id="79" w:name="_Toc101045488"/>
    </w:p>
    <w:p>
      <w:pPr>
        <w:pStyle w:val="2"/>
        <w:rPr>
          <w:rFonts w:hint="eastAsia" w:ascii="仿宋_GB2312" w:hAnsi="仿宋_GB2312" w:eastAsia="仿宋_GB2312" w:cs="仿宋_GB2312"/>
          <w:b w:val="0"/>
          <w:bCs w:val="0"/>
          <w:color w:val="auto"/>
          <w:spacing w:val="0"/>
          <w:w w:val="100"/>
          <w:kern w:val="44"/>
          <w:sz w:val="32"/>
          <w:szCs w:val="32"/>
          <w:highlight w:val="none"/>
          <w:lang w:eastAsia="zh-CN" w:bidi="ar-SA"/>
        </w:rPr>
      </w:pPr>
    </w:p>
    <w:p>
      <w:pPr>
        <w:rPr>
          <w:rFonts w:hint="eastAsia" w:ascii="仿宋_GB2312" w:hAnsi="仿宋_GB2312" w:eastAsia="仿宋_GB2312" w:cs="仿宋_GB2312"/>
          <w:b w:val="0"/>
          <w:bCs w:val="0"/>
          <w:color w:val="auto"/>
          <w:spacing w:val="0"/>
          <w:w w:val="100"/>
          <w:kern w:val="44"/>
          <w:sz w:val="32"/>
          <w:szCs w:val="32"/>
          <w:highlight w:val="none"/>
          <w:lang w:eastAsia="zh-CN" w:bidi="ar-SA"/>
        </w:rPr>
      </w:pPr>
    </w:p>
    <w:p>
      <w:pPr>
        <w:pStyle w:val="2"/>
        <w:rPr>
          <w:rFonts w:hint="eastAsia" w:ascii="仿宋_GB2312" w:hAnsi="仿宋_GB2312" w:eastAsia="仿宋_GB2312" w:cs="仿宋_GB2312"/>
          <w:b w:val="0"/>
          <w:bCs w:val="0"/>
          <w:color w:val="auto"/>
          <w:spacing w:val="0"/>
          <w:w w:val="100"/>
          <w:kern w:val="44"/>
          <w:sz w:val="32"/>
          <w:szCs w:val="32"/>
          <w:highlight w:val="none"/>
          <w:lang w:eastAsia="zh-CN" w:bidi="ar-SA"/>
        </w:rPr>
      </w:pPr>
    </w:p>
    <w:p>
      <w:pPr>
        <w:rPr>
          <w:rFonts w:hint="eastAsia" w:ascii="仿宋_GB2312" w:hAnsi="仿宋_GB2312" w:eastAsia="仿宋_GB2312" w:cs="仿宋_GB2312"/>
          <w:b w:val="0"/>
          <w:bCs w:val="0"/>
          <w:color w:val="auto"/>
          <w:spacing w:val="0"/>
          <w:w w:val="100"/>
          <w:kern w:val="44"/>
          <w:sz w:val="32"/>
          <w:szCs w:val="32"/>
          <w:highlight w:val="none"/>
          <w:lang w:eastAsia="zh-CN" w:bidi="ar-SA"/>
        </w:rPr>
      </w:pPr>
    </w:p>
    <w:p>
      <w:pPr>
        <w:pStyle w:val="2"/>
        <w:rPr>
          <w:rFonts w:hint="eastAsia" w:ascii="仿宋_GB2312" w:hAnsi="仿宋_GB2312" w:eastAsia="仿宋_GB2312" w:cs="仿宋_GB2312"/>
          <w:b w:val="0"/>
          <w:bCs w:val="0"/>
          <w:color w:val="auto"/>
          <w:spacing w:val="0"/>
          <w:w w:val="100"/>
          <w:kern w:val="44"/>
          <w:sz w:val="32"/>
          <w:szCs w:val="32"/>
          <w:highlight w:val="none"/>
          <w:lang w:eastAsia="zh-CN" w:bidi="ar-SA"/>
        </w:rPr>
      </w:pPr>
    </w:p>
    <w:p>
      <w:pPr>
        <w:rPr>
          <w:rFonts w:hint="eastAsia" w:ascii="仿宋_GB2312" w:hAnsi="仿宋_GB2312" w:eastAsia="仿宋_GB2312" w:cs="仿宋_GB2312"/>
          <w:b w:val="0"/>
          <w:bCs w:val="0"/>
          <w:color w:val="auto"/>
          <w:spacing w:val="0"/>
          <w:w w:val="100"/>
          <w:kern w:val="44"/>
          <w:sz w:val="32"/>
          <w:szCs w:val="32"/>
          <w:highlight w:val="none"/>
          <w:lang w:eastAsia="zh-CN" w:bidi="ar-SA"/>
        </w:rPr>
      </w:pPr>
    </w:p>
    <w:p>
      <w:pPr>
        <w:pStyle w:val="2"/>
        <w:rPr>
          <w:rFonts w:hint="eastAsia" w:ascii="仿宋_GB2312" w:hAnsi="仿宋_GB2312" w:eastAsia="仿宋_GB2312" w:cs="仿宋_GB2312"/>
          <w:b w:val="0"/>
          <w:bCs w:val="0"/>
          <w:color w:val="auto"/>
          <w:spacing w:val="0"/>
          <w:w w:val="100"/>
          <w:kern w:val="44"/>
          <w:sz w:val="32"/>
          <w:szCs w:val="32"/>
          <w:highlight w:val="none"/>
          <w:lang w:eastAsia="zh-CN" w:bidi="ar-SA"/>
        </w:rPr>
      </w:pPr>
    </w:p>
    <w:p>
      <w:pPr>
        <w:pageBreakBefore w:val="0"/>
        <w:kinsoku/>
        <w:wordWrap/>
        <w:overflowPunct/>
        <w:topLinePunct/>
        <w:autoSpaceDE/>
        <w:autoSpaceDN/>
        <w:bidi w:val="0"/>
        <w:adjustRightInd w:val="0"/>
        <w:snapToGrid w:val="0"/>
        <w:spacing w:beforeAutospacing="0" w:line="540" w:lineRule="exact"/>
        <w:ind w:right="0"/>
        <w:jc w:val="center"/>
        <w:outlineLvl w:val="0"/>
        <w:rPr>
          <w:rFonts w:hint="eastAsia" w:ascii="方正小标宋简体" w:hAnsi="方正小标宋简体" w:eastAsia="方正小标宋简体" w:cs="方正小标宋简体"/>
          <w:b w:val="0"/>
          <w:bCs w:val="0"/>
          <w:color w:val="auto"/>
          <w:spacing w:val="0"/>
          <w:w w:val="100"/>
          <w:kern w:val="44"/>
          <w:sz w:val="36"/>
          <w:szCs w:val="36"/>
          <w:highlight w:val="none"/>
          <w:lang w:val="en-US" w:eastAsia="zh-CN" w:bidi="ar-SA"/>
        </w:rPr>
      </w:pPr>
      <w:bookmarkStart w:id="80" w:name="_Toc14791"/>
      <w:r>
        <w:rPr>
          <w:rFonts w:hint="eastAsia" w:ascii="方正小标宋简体" w:hAnsi="方正小标宋简体" w:eastAsia="方正小标宋简体" w:cs="方正小标宋简体"/>
          <w:b w:val="0"/>
          <w:bCs w:val="0"/>
          <w:color w:val="auto"/>
          <w:spacing w:val="0"/>
          <w:w w:val="100"/>
          <w:kern w:val="44"/>
          <w:sz w:val="36"/>
          <w:szCs w:val="36"/>
          <w:highlight w:val="none"/>
          <w:lang w:val="en-US" w:eastAsia="zh-CN" w:bidi="ar-SA"/>
        </w:rPr>
        <w:t>第四章  评估结论</w:t>
      </w:r>
      <w:bookmarkEnd w:id="79"/>
      <w:bookmarkEnd w:id="80"/>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lang w:eastAsia="zh-CN"/>
        </w:rPr>
      </w:pPr>
      <w:bookmarkStart w:id="81" w:name="_Toc101045489"/>
      <w:bookmarkStart w:id="82" w:name="_Toc28261"/>
      <w:r>
        <w:rPr>
          <w:rFonts w:hint="eastAsia" w:ascii="黑体" w:hAnsi="黑体" w:eastAsia="黑体" w:cs="黑体"/>
          <w:b w:val="0"/>
          <w:bCs w:val="0"/>
          <w:color w:val="auto"/>
          <w:spacing w:val="0"/>
          <w:w w:val="100"/>
          <w:sz w:val="32"/>
          <w:szCs w:val="32"/>
          <w:highlight w:val="none"/>
        </w:rPr>
        <w:t>第一节</w:t>
      </w:r>
      <w:r>
        <w:rPr>
          <w:rFonts w:hint="eastAsia"/>
          <w:lang w:val="en-US" w:eastAsia="zh-CN"/>
        </w:rPr>
        <w:t xml:space="preserve"> </w:t>
      </w:r>
      <w:r>
        <w:rPr>
          <w:rFonts w:hint="eastAsia" w:ascii="黑体" w:hAnsi="黑体" w:eastAsia="黑体" w:cs="黑体"/>
          <w:b w:val="0"/>
          <w:bCs w:val="0"/>
          <w:color w:val="auto"/>
          <w:spacing w:val="0"/>
          <w:w w:val="100"/>
          <w:sz w:val="32"/>
          <w:szCs w:val="32"/>
          <w:highlight w:val="none"/>
        </w:rPr>
        <w:t>评估</w:t>
      </w:r>
      <w:bookmarkEnd w:id="81"/>
      <w:r>
        <w:rPr>
          <w:rFonts w:hint="eastAsia" w:ascii="黑体" w:hAnsi="黑体" w:eastAsia="黑体" w:cs="黑体"/>
          <w:b w:val="0"/>
          <w:bCs w:val="0"/>
          <w:color w:val="auto"/>
          <w:spacing w:val="0"/>
          <w:w w:val="100"/>
          <w:sz w:val="32"/>
          <w:szCs w:val="32"/>
          <w:highlight w:val="none"/>
          <w:lang w:eastAsia="zh-CN"/>
        </w:rPr>
        <w:t>最终得分</w:t>
      </w:r>
      <w:bookmarkEnd w:id="82"/>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TW" w:eastAsia="zh-CN" w:bidi="zh-TW"/>
        </w:rPr>
      </w:pPr>
      <w:r>
        <w:rPr>
          <w:rFonts w:hint="eastAsia" w:ascii="仿宋_GB2312" w:hAnsi="仿宋_GB2312" w:eastAsia="仿宋_GB2312" w:cs="仿宋_GB2312"/>
          <w:b w:val="0"/>
          <w:bCs w:val="0"/>
          <w:color w:val="auto"/>
          <w:spacing w:val="0"/>
          <w:w w:val="100"/>
          <w:sz w:val="32"/>
          <w:szCs w:val="32"/>
          <w:highlight w:val="none"/>
          <w:lang w:eastAsia="zh-CN" w:bidi="zh-TW"/>
        </w:rPr>
        <w:t>评估机构</w:t>
      </w:r>
      <w:r>
        <w:rPr>
          <w:rFonts w:hint="eastAsia" w:ascii="仿宋_GB2312" w:hAnsi="仿宋_GB2312" w:eastAsia="仿宋_GB2312" w:cs="仿宋_GB2312"/>
          <w:b w:val="0"/>
          <w:bCs w:val="0"/>
          <w:color w:val="auto"/>
          <w:spacing w:val="0"/>
          <w:w w:val="100"/>
          <w:sz w:val="32"/>
          <w:szCs w:val="32"/>
          <w:highlight w:val="none"/>
          <w:lang w:val="zh-TW" w:eastAsia="zh-TW" w:bidi="zh-TW"/>
        </w:rPr>
        <w:t>严格按照《</w:t>
      </w:r>
      <w:r>
        <w:rPr>
          <w:rFonts w:hint="eastAsia" w:ascii="仿宋_GB2312" w:hAnsi="仿宋_GB2312" w:eastAsia="仿宋_GB2312" w:cs="仿宋_GB2312"/>
          <w:b w:val="0"/>
          <w:bCs w:val="0"/>
          <w:color w:val="auto"/>
          <w:spacing w:val="0"/>
          <w:w w:val="100"/>
          <w:sz w:val="32"/>
          <w:szCs w:val="32"/>
          <w:highlight w:val="none"/>
          <w:lang w:val="zh-TW" w:eastAsia="zh-CN" w:bidi="zh-TW"/>
        </w:rPr>
        <w:t>张掖市</w:t>
      </w:r>
      <w:r>
        <w:rPr>
          <w:rFonts w:hint="eastAsia" w:ascii="仿宋_GB2312" w:hAnsi="仿宋_GB2312" w:eastAsia="仿宋_GB2312" w:cs="仿宋_GB2312"/>
          <w:b w:val="0"/>
          <w:bCs w:val="0"/>
          <w:color w:val="auto"/>
          <w:spacing w:val="0"/>
          <w:w w:val="100"/>
          <w:sz w:val="32"/>
          <w:szCs w:val="32"/>
          <w:highlight w:val="none"/>
          <w:lang w:val="zh-TW" w:eastAsia="zh-TW" w:bidi="zh-TW"/>
        </w:rPr>
        <w:t>公平竞争审查工作第三方评估执行手册》中的评估指标量化打分，各被评估</w:t>
      </w:r>
      <w:r>
        <w:rPr>
          <w:rFonts w:hint="eastAsia" w:ascii="仿宋_GB2312" w:hAnsi="仿宋_GB2312" w:eastAsia="仿宋_GB2312" w:cs="仿宋_GB2312"/>
          <w:b w:val="0"/>
          <w:bCs w:val="0"/>
          <w:color w:val="auto"/>
          <w:spacing w:val="0"/>
          <w:w w:val="100"/>
          <w:sz w:val="32"/>
          <w:szCs w:val="32"/>
          <w:highlight w:val="none"/>
          <w:lang w:val="zh-TW" w:eastAsia="zh-CN" w:bidi="zh-TW"/>
        </w:rPr>
        <w:t>单位</w:t>
      </w:r>
      <w:r>
        <w:rPr>
          <w:rFonts w:hint="eastAsia" w:ascii="仿宋_GB2312" w:hAnsi="仿宋_GB2312" w:eastAsia="仿宋_GB2312" w:cs="仿宋_GB2312"/>
          <w:b w:val="0"/>
          <w:bCs w:val="0"/>
          <w:color w:val="auto"/>
          <w:spacing w:val="0"/>
          <w:w w:val="100"/>
          <w:sz w:val="32"/>
          <w:szCs w:val="32"/>
          <w:highlight w:val="none"/>
          <w:lang w:val="zh-TW" w:eastAsia="zh-TW" w:bidi="zh-TW"/>
        </w:rPr>
        <w:t>工作部署落实情况评估得分、政策措施抽样评估得分、工作配合情况得分、最终得分、评估</w:t>
      </w:r>
      <w:r>
        <w:rPr>
          <w:rFonts w:hint="eastAsia" w:ascii="仿宋_GB2312" w:hAnsi="仿宋_GB2312" w:eastAsia="仿宋_GB2312" w:cs="仿宋_GB2312"/>
          <w:b w:val="0"/>
          <w:bCs w:val="0"/>
          <w:color w:val="auto"/>
          <w:spacing w:val="0"/>
          <w:w w:val="100"/>
          <w:sz w:val="32"/>
          <w:szCs w:val="32"/>
          <w:highlight w:val="none"/>
          <w:lang w:val="zh-TW" w:eastAsia="zh-CN" w:bidi="zh-TW"/>
        </w:rPr>
        <w:t>最终得分如下：</w:t>
      </w:r>
    </w:p>
    <w:tbl>
      <w:tblPr>
        <w:tblStyle w:val="21"/>
        <w:tblW w:w="491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1657"/>
        <w:gridCol w:w="1210"/>
        <w:gridCol w:w="1305"/>
        <w:gridCol w:w="1162"/>
        <w:gridCol w:w="1162"/>
        <w:gridCol w:w="1168"/>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55" w:hRule="atLeast"/>
        </w:trPr>
        <w:tc>
          <w:tcPr>
            <w:tcW w:w="5000" w:type="pct"/>
            <w:gridSpan w:val="7"/>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2022年公平竞争审查（市直部门）第三方评估机构评分汇总表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078"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项目部门</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提供的政策措施数量</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审查的政策措施数量（2021-2022）</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工作部署落实得分</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政策措施评估得分</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工作配合情况得分</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最终得分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7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张掖市住房和城乡建设局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19</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95</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7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张掖市文化广电和旅游局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12</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95</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7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张掖市市场监督管理局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94</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8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张掖市科技局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94</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8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张掖市财政局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93</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64"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张掖市司法局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92</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7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张掖市卫生健康委员会</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91</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7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张掖市市教育局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91</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7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张掖市发展改革委员会</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90</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PrEx>
        <w:trPr>
          <w:trHeight w:val="37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张掖市林业和草原局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90</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7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张掖市畜牧兽医局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90</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1"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张掖市政府金融办公室</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90</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7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张掖市农业农村局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89</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7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张掖市交通运输局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88</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7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张掖市工业和信息化局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88</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8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张掖市水务局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87</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7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张掖市医疗保障局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86</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7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张掖市生态环境局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13</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84</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8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张掖市税务局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82</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8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张掖市商务局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76</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张掖市自然资源局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75</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张掖市经济技术开发区</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6</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6</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81</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83" w:hRule="atLeast"/>
        </w:trPr>
        <w:tc>
          <w:tcPr>
            <w:tcW w:w="931"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张掖市民政局</w:t>
            </w:r>
          </w:p>
        </w:tc>
        <w:tc>
          <w:tcPr>
            <w:tcW w:w="68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73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0</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65</w:t>
            </w:r>
          </w:p>
        </w:tc>
        <w:tc>
          <w:tcPr>
            <w:tcW w:w="653"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56"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9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000" w:type="pct"/>
            <w:gridSpan w:val="7"/>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计算公式：工作部署落实得分x50%＋政策措施评估得分x40%＋工作配合得分x10%=最终得分</w:t>
            </w:r>
          </w:p>
        </w:tc>
      </w:tr>
    </w:tbl>
    <w:p/>
    <w:p/>
    <w:tbl>
      <w:tblPr>
        <w:tblStyle w:val="21"/>
        <w:tblW w:w="495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1534"/>
        <w:gridCol w:w="1325"/>
        <w:gridCol w:w="1327"/>
        <w:gridCol w:w="1185"/>
        <w:gridCol w:w="1185"/>
        <w:gridCol w:w="1185"/>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70" w:hRule="atLeast"/>
        </w:trPr>
        <w:tc>
          <w:tcPr>
            <w:tcW w:w="5000" w:type="pct"/>
            <w:gridSpan w:val="7"/>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2022年公平竞争审查（县区）第三方评估机构评分汇总表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770" w:hRule="atLeast"/>
        </w:trPr>
        <w:tc>
          <w:tcPr>
            <w:tcW w:w="854"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项目</w:t>
            </w:r>
            <w:r>
              <w:rPr>
                <w:rFonts w:hint="eastAsia" w:ascii="仿宋_GB2312" w:hAnsi="仿宋_GB2312" w:eastAsia="仿宋_GB2312" w:cs="仿宋_GB2312"/>
                <w:b w:val="0"/>
                <w:bCs/>
                <w:spacing w:val="0"/>
                <w:kern w:val="2"/>
                <w:position w:val="0"/>
                <w:sz w:val="24"/>
                <w:szCs w:val="24"/>
                <w:lang w:val="en-US" w:eastAsia="zh-CN" w:bidi="ar-SA"/>
              </w:rPr>
              <w:br w:type="textWrapping"/>
            </w:r>
            <w:r>
              <w:rPr>
                <w:rFonts w:hint="eastAsia" w:ascii="仿宋_GB2312" w:hAnsi="仿宋_GB2312" w:eastAsia="仿宋_GB2312" w:cs="仿宋_GB2312"/>
                <w:b w:val="0"/>
                <w:bCs/>
                <w:spacing w:val="0"/>
                <w:kern w:val="2"/>
                <w:position w:val="0"/>
                <w:sz w:val="24"/>
                <w:szCs w:val="24"/>
                <w:lang w:val="en-US" w:eastAsia="zh-CN" w:bidi="ar-SA"/>
              </w:rPr>
              <w:br w:type="textWrapping"/>
            </w:r>
            <w:r>
              <w:rPr>
                <w:rFonts w:hint="eastAsia" w:ascii="仿宋_GB2312" w:hAnsi="仿宋_GB2312" w:eastAsia="仿宋_GB2312" w:cs="仿宋_GB2312"/>
                <w:b w:val="0"/>
                <w:bCs/>
                <w:spacing w:val="0"/>
                <w:kern w:val="2"/>
                <w:position w:val="0"/>
                <w:sz w:val="24"/>
                <w:szCs w:val="24"/>
                <w:lang w:val="en-US" w:eastAsia="zh-CN" w:bidi="ar-SA"/>
              </w:rPr>
              <w:br w:type="textWrapping"/>
            </w:r>
            <w:r>
              <w:rPr>
                <w:rFonts w:hint="eastAsia" w:ascii="仿宋_GB2312" w:hAnsi="仿宋_GB2312" w:eastAsia="仿宋_GB2312" w:cs="仿宋_GB2312"/>
                <w:b w:val="0"/>
                <w:bCs/>
                <w:spacing w:val="0"/>
                <w:kern w:val="2"/>
                <w:position w:val="0"/>
                <w:sz w:val="24"/>
                <w:szCs w:val="24"/>
                <w:lang w:val="en-US" w:eastAsia="zh-CN" w:bidi="ar-SA"/>
              </w:rPr>
              <w:br w:type="textWrapping"/>
            </w:r>
            <w:r>
              <w:rPr>
                <w:rFonts w:hint="eastAsia" w:ascii="仿宋_GB2312" w:hAnsi="仿宋_GB2312" w:eastAsia="仿宋_GB2312" w:cs="仿宋_GB2312"/>
                <w:b w:val="0"/>
                <w:bCs/>
                <w:spacing w:val="0"/>
                <w:kern w:val="2"/>
                <w:position w:val="0"/>
                <w:sz w:val="24"/>
                <w:szCs w:val="24"/>
                <w:lang w:val="en-US" w:eastAsia="zh-CN" w:bidi="ar-SA"/>
              </w:rPr>
              <w:t>部门</w:t>
            </w:r>
          </w:p>
        </w:tc>
        <w:tc>
          <w:tcPr>
            <w:tcW w:w="738"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提供的政策措施数量</w:t>
            </w:r>
          </w:p>
        </w:tc>
        <w:tc>
          <w:tcPr>
            <w:tcW w:w="739"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审查的政策措施数量（2021-2022）</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工作部署落实得分</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政策措施评估得分</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工作配合情况得分</w:t>
            </w:r>
          </w:p>
        </w:tc>
        <w:tc>
          <w:tcPr>
            <w:tcW w:w="684"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最终得分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20" w:hRule="atLeast"/>
        </w:trPr>
        <w:tc>
          <w:tcPr>
            <w:tcW w:w="854"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甘州区</w:t>
            </w:r>
          </w:p>
        </w:tc>
        <w:tc>
          <w:tcPr>
            <w:tcW w:w="738"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16</w:t>
            </w:r>
          </w:p>
        </w:tc>
        <w:tc>
          <w:tcPr>
            <w:tcW w:w="739"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90</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84"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50" w:hRule="atLeast"/>
        </w:trPr>
        <w:tc>
          <w:tcPr>
            <w:tcW w:w="854"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民乐县</w:t>
            </w:r>
          </w:p>
        </w:tc>
        <w:tc>
          <w:tcPr>
            <w:tcW w:w="738"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13</w:t>
            </w:r>
          </w:p>
        </w:tc>
        <w:tc>
          <w:tcPr>
            <w:tcW w:w="739"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13</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80</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84"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54"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山丹县</w:t>
            </w:r>
          </w:p>
        </w:tc>
        <w:tc>
          <w:tcPr>
            <w:tcW w:w="738"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w:t>
            </w:r>
          </w:p>
        </w:tc>
        <w:tc>
          <w:tcPr>
            <w:tcW w:w="739"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82</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84"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54"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肃南县</w:t>
            </w:r>
          </w:p>
        </w:tc>
        <w:tc>
          <w:tcPr>
            <w:tcW w:w="738"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w:t>
            </w:r>
          </w:p>
        </w:tc>
        <w:tc>
          <w:tcPr>
            <w:tcW w:w="739"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5</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80</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84"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54"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临泽县</w:t>
            </w:r>
          </w:p>
        </w:tc>
        <w:tc>
          <w:tcPr>
            <w:tcW w:w="738"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41</w:t>
            </w:r>
          </w:p>
        </w:tc>
        <w:tc>
          <w:tcPr>
            <w:tcW w:w="739"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35</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96</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80</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84"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50" w:hRule="atLeast"/>
        </w:trPr>
        <w:tc>
          <w:tcPr>
            <w:tcW w:w="854"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高台县</w:t>
            </w:r>
          </w:p>
        </w:tc>
        <w:tc>
          <w:tcPr>
            <w:tcW w:w="738"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30</w:t>
            </w:r>
          </w:p>
        </w:tc>
        <w:tc>
          <w:tcPr>
            <w:tcW w:w="739"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30</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96</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80</w:t>
            </w:r>
          </w:p>
        </w:tc>
        <w:tc>
          <w:tcPr>
            <w:tcW w:w="660"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100</w:t>
            </w:r>
          </w:p>
        </w:tc>
        <w:tc>
          <w:tcPr>
            <w:tcW w:w="684" w:type="pct"/>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50" w:hRule="atLeast"/>
        </w:trPr>
        <w:tc>
          <w:tcPr>
            <w:tcW w:w="5000" w:type="pct"/>
            <w:gridSpan w:val="7"/>
            <w:tcBorders>
              <w:tl2br w:val="nil"/>
              <w:tr2bl w:val="nil"/>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计算公式：工作部署落实得分x50%＋政策措施评估得分x40%＋工作配合得分x10%=最终得分</w:t>
            </w:r>
          </w:p>
        </w:tc>
      </w:tr>
    </w:tbl>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TW" w:eastAsia="zh-CN" w:bidi="zh-TW"/>
        </w:rPr>
      </w:pPr>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lang w:eastAsia="zh-CN"/>
        </w:rPr>
      </w:pPr>
      <w:bookmarkStart w:id="83" w:name="_Toc101045490"/>
      <w:bookmarkStart w:id="84" w:name="_Toc26671"/>
      <w:r>
        <w:rPr>
          <w:rFonts w:hint="eastAsia" w:ascii="黑体" w:hAnsi="黑体" w:eastAsia="黑体" w:cs="黑体"/>
          <w:b w:val="0"/>
          <w:bCs w:val="0"/>
          <w:color w:val="auto"/>
          <w:spacing w:val="0"/>
          <w:w w:val="100"/>
          <w:sz w:val="32"/>
          <w:szCs w:val="32"/>
          <w:highlight w:val="none"/>
          <w:lang w:eastAsia="zh-CN"/>
        </w:rPr>
        <w:t>第二节</w:t>
      </w:r>
      <w:r>
        <w:rPr>
          <w:rFonts w:hint="eastAsia"/>
          <w:lang w:val="en-US" w:eastAsia="zh-CN"/>
        </w:rPr>
        <w:t xml:space="preserve"> </w:t>
      </w:r>
      <w:r>
        <w:rPr>
          <w:rFonts w:hint="eastAsia" w:ascii="黑体" w:hAnsi="黑体" w:eastAsia="黑体" w:cs="黑体"/>
          <w:b w:val="0"/>
          <w:bCs w:val="0"/>
          <w:color w:val="auto"/>
          <w:spacing w:val="0"/>
          <w:w w:val="100"/>
          <w:sz w:val="32"/>
          <w:szCs w:val="32"/>
          <w:highlight w:val="none"/>
          <w:lang w:eastAsia="zh-CN"/>
        </w:rPr>
        <w:t>工作部署落实情况</w:t>
      </w:r>
      <w:bookmarkEnd w:id="83"/>
      <w:bookmarkEnd w:id="84"/>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近年来</w:t>
      </w:r>
      <w:r>
        <w:rPr>
          <w:rFonts w:hint="eastAsia" w:ascii="仿宋_GB2312" w:hAnsi="仿宋_GB2312" w:eastAsia="仿宋_GB2312" w:cs="仿宋_GB2312"/>
          <w:b w:val="0"/>
          <w:bCs w:val="0"/>
          <w:color w:val="auto"/>
          <w:spacing w:val="0"/>
          <w:w w:val="100"/>
          <w:sz w:val="32"/>
          <w:szCs w:val="32"/>
          <w:highlight w:val="none"/>
          <w:lang w:eastAsia="zh-CN"/>
        </w:rPr>
        <w:t>，张掖市</w:t>
      </w:r>
      <w:r>
        <w:rPr>
          <w:rFonts w:hint="eastAsia" w:ascii="仿宋_GB2312" w:hAnsi="仿宋_GB2312" w:eastAsia="仿宋_GB2312" w:cs="仿宋_GB2312"/>
          <w:b w:val="0"/>
          <w:bCs w:val="0"/>
          <w:color w:val="auto"/>
          <w:spacing w:val="0"/>
          <w:w w:val="100"/>
          <w:sz w:val="32"/>
          <w:szCs w:val="32"/>
          <w:highlight w:val="none"/>
        </w:rPr>
        <w:t>政府加快转变政府职能，深化“放管服”改革，持续优化营商环境，增强企业和群众的获得感、满意度，为推动经济社会高质量发展赋能增效。在落实公平竞争审查制度方面，</w:t>
      </w:r>
      <w:r>
        <w:rPr>
          <w:rFonts w:hint="eastAsia" w:ascii="仿宋_GB2312" w:hAnsi="仿宋_GB2312" w:eastAsia="仿宋_GB2312" w:cs="仿宋_GB2312"/>
          <w:b w:val="0"/>
          <w:bCs w:val="0"/>
          <w:color w:val="auto"/>
          <w:spacing w:val="0"/>
          <w:w w:val="100"/>
          <w:sz w:val="32"/>
          <w:szCs w:val="32"/>
          <w:highlight w:val="none"/>
          <w:lang w:eastAsia="zh-CN"/>
        </w:rPr>
        <w:t>张掖市</w:t>
      </w:r>
      <w:r>
        <w:rPr>
          <w:rFonts w:hint="eastAsia" w:ascii="仿宋_GB2312" w:hAnsi="仿宋_GB2312" w:eastAsia="仿宋_GB2312" w:cs="仿宋_GB2312"/>
          <w:b w:val="0"/>
          <w:bCs w:val="0"/>
          <w:color w:val="auto"/>
          <w:spacing w:val="0"/>
          <w:w w:val="100"/>
          <w:sz w:val="32"/>
          <w:szCs w:val="32"/>
          <w:highlight w:val="none"/>
        </w:rPr>
        <w:t>政府积极践行中央部署，根据《意见》</w:t>
      </w:r>
      <w:r>
        <w:rPr>
          <w:rFonts w:hint="eastAsia"/>
          <w:lang w:eastAsia="zh-CN"/>
        </w:rPr>
        <w:t>、</w:t>
      </w:r>
      <w:r>
        <w:rPr>
          <w:rFonts w:hint="eastAsia" w:ascii="仿宋_GB2312" w:hAnsi="仿宋_GB2312" w:eastAsia="仿宋_GB2312" w:cs="仿宋_GB2312"/>
          <w:b w:val="0"/>
          <w:bCs w:val="0"/>
          <w:color w:val="auto"/>
          <w:spacing w:val="0"/>
          <w:w w:val="100"/>
          <w:sz w:val="32"/>
          <w:szCs w:val="32"/>
          <w:highlight w:val="none"/>
        </w:rPr>
        <w:t>《实施细则》等文件要求，以通知形式下发</w:t>
      </w:r>
      <w:r>
        <w:rPr>
          <w:rFonts w:hint="eastAsia" w:ascii="仿宋_GB2312" w:hAnsi="仿宋_GB2312" w:eastAsia="仿宋_GB2312" w:cs="仿宋_GB2312"/>
          <w:b w:val="0"/>
          <w:bCs w:val="0"/>
          <w:color w:val="auto"/>
          <w:spacing w:val="0"/>
          <w:w w:val="100"/>
          <w:sz w:val="32"/>
          <w:szCs w:val="32"/>
          <w:highlight w:val="none"/>
          <w:lang w:eastAsia="zh-CN"/>
        </w:rPr>
        <w:t>市</w:t>
      </w:r>
      <w:r>
        <w:rPr>
          <w:rFonts w:hint="eastAsia" w:ascii="仿宋_GB2312" w:hAnsi="仿宋_GB2312" w:eastAsia="仿宋_GB2312" w:cs="仿宋_GB2312"/>
          <w:b w:val="0"/>
          <w:bCs w:val="0"/>
          <w:color w:val="auto"/>
          <w:spacing w:val="0"/>
          <w:w w:val="100"/>
          <w:sz w:val="32"/>
          <w:szCs w:val="32"/>
          <w:highlight w:val="none"/>
        </w:rPr>
        <w:t>政府各</w:t>
      </w:r>
      <w:r>
        <w:rPr>
          <w:rFonts w:hint="eastAsia" w:ascii="仿宋_GB2312" w:hAnsi="仿宋_GB2312" w:eastAsia="仿宋_GB2312" w:cs="仿宋_GB2312"/>
          <w:b w:val="0"/>
          <w:bCs w:val="0"/>
          <w:color w:val="auto"/>
          <w:spacing w:val="0"/>
          <w:w w:val="100"/>
          <w:sz w:val="32"/>
          <w:szCs w:val="32"/>
          <w:highlight w:val="none"/>
          <w:lang w:eastAsia="zh-CN"/>
        </w:rPr>
        <w:t>部门单位、各县区</w:t>
      </w:r>
      <w:r>
        <w:rPr>
          <w:rFonts w:hint="eastAsia" w:ascii="仿宋_GB2312" w:hAnsi="仿宋_GB2312" w:eastAsia="仿宋_GB2312" w:cs="仿宋_GB2312"/>
          <w:b w:val="0"/>
          <w:bCs w:val="0"/>
          <w:color w:val="auto"/>
          <w:spacing w:val="0"/>
          <w:w w:val="100"/>
          <w:sz w:val="32"/>
          <w:szCs w:val="32"/>
          <w:highlight w:val="none"/>
        </w:rPr>
        <w:t>，要求各部门</w:t>
      </w:r>
      <w:r>
        <w:rPr>
          <w:rFonts w:hint="eastAsia" w:ascii="仿宋_GB2312" w:hAnsi="仿宋_GB2312" w:eastAsia="仿宋_GB2312" w:cs="仿宋_GB2312"/>
          <w:b w:val="0"/>
          <w:bCs w:val="0"/>
          <w:color w:val="auto"/>
          <w:spacing w:val="0"/>
          <w:w w:val="100"/>
          <w:sz w:val="32"/>
          <w:szCs w:val="32"/>
          <w:highlight w:val="none"/>
          <w:lang w:eastAsia="zh-CN"/>
        </w:rPr>
        <w:t>单位、各县区</w:t>
      </w:r>
      <w:r>
        <w:rPr>
          <w:rFonts w:hint="eastAsia" w:ascii="仿宋_GB2312" w:hAnsi="仿宋_GB2312" w:eastAsia="仿宋_GB2312" w:cs="仿宋_GB2312"/>
          <w:b w:val="0"/>
          <w:bCs w:val="0"/>
          <w:color w:val="auto"/>
          <w:spacing w:val="0"/>
          <w:w w:val="100"/>
          <w:sz w:val="32"/>
          <w:szCs w:val="32"/>
          <w:highlight w:val="none"/>
        </w:rPr>
        <w:t>高度重视公平竞争审查工作，加强组织领导。建立健全相应工作机制，明确机构和责任人，充实审查力量，不断提高公平竞争审查的能力和水平，切实维护公平竞争的市场秩序。各部门</w:t>
      </w:r>
      <w:r>
        <w:rPr>
          <w:rFonts w:hint="eastAsia" w:ascii="仿宋_GB2312" w:hAnsi="仿宋_GB2312" w:eastAsia="仿宋_GB2312" w:cs="仿宋_GB2312"/>
          <w:b w:val="0"/>
          <w:bCs w:val="0"/>
          <w:color w:val="auto"/>
          <w:spacing w:val="0"/>
          <w:w w:val="100"/>
          <w:sz w:val="32"/>
          <w:szCs w:val="32"/>
          <w:highlight w:val="none"/>
          <w:lang w:eastAsia="zh-CN"/>
        </w:rPr>
        <w:t>单位、各县区</w:t>
      </w:r>
      <w:r>
        <w:rPr>
          <w:rFonts w:hint="eastAsia" w:ascii="仿宋_GB2312" w:hAnsi="仿宋_GB2312" w:eastAsia="仿宋_GB2312" w:cs="仿宋_GB2312"/>
          <w:b w:val="0"/>
          <w:bCs w:val="0"/>
          <w:color w:val="auto"/>
          <w:spacing w:val="0"/>
          <w:w w:val="100"/>
          <w:sz w:val="32"/>
          <w:szCs w:val="32"/>
          <w:highlight w:val="none"/>
        </w:rPr>
        <w:t>也积极响应</w:t>
      </w:r>
      <w:r>
        <w:rPr>
          <w:rFonts w:hint="eastAsia" w:ascii="仿宋_GB2312" w:hAnsi="仿宋_GB2312" w:eastAsia="仿宋_GB2312" w:cs="仿宋_GB2312"/>
          <w:b w:val="0"/>
          <w:bCs w:val="0"/>
          <w:color w:val="auto"/>
          <w:spacing w:val="0"/>
          <w:w w:val="100"/>
          <w:sz w:val="32"/>
          <w:szCs w:val="32"/>
          <w:highlight w:val="none"/>
          <w:lang w:eastAsia="zh-CN"/>
        </w:rPr>
        <w:t>市</w:t>
      </w:r>
      <w:r>
        <w:rPr>
          <w:rFonts w:hint="eastAsia" w:ascii="仿宋_GB2312" w:hAnsi="仿宋_GB2312" w:eastAsia="仿宋_GB2312" w:cs="仿宋_GB2312"/>
          <w:b w:val="0"/>
          <w:bCs w:val="0"/>
          <w:color w:val="auto"/>
          <w:spacing w:val="0"/>
          <w:w w:val="100"/>
          <w:sz w:val="32"/>
          <w:szCs w:val="32"/>
          <w:highlight w:val="none"/>
        </w:rPr>
        <w:t>上要求，认真部署落实开展公平竞争审查工作。</w:t>
      </w:r>
    </w:p>
    <w:p>
      <w:pPr>
        <w:pStyle w:val="4"/>
        <w:pageBreakBefore w:val="0"/>
        <w:kinsoku/>
        <w:wordWrap/>
        <w:overflowPunct/>
        <w:topLinePunct/>
        <w:autoSpaceDE/>
        <w:autoSpaceDN/>
        <w:bidi w:val="0"/>
        <w:adjustRightInd w:val="0"/>
        <w:snapToGrid w:val="0"/>
        <w:spacing w:before="0" w:beforeAutospacing="0" w:after="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bookmarkStart w:id="85" w:name="_Toc3929"/>
      <w:bookmarkStart w:id="86" w:name="_Toc12348"/>
      <w:bookmarkStart w:id="87" w:name="_Toc101045491"/>
      <w:bookmarkStart w:id="88" w:name="_Toc15"/>
      <w:r>
        <w:rPr>
          <w:rFonts w:hint="eastAsia" w:ascii="黑体" w:hAnsi="黑体" w:eastAsia="黑体" w:cs="黑体"/>
          <w:b w:val="0"/>
          <w:bCs w:val="0"/>
          <w:color w:val="auto"/>
          <w:spacing w:val="0"/>
          <w:w w:val="100"/>
          <w:sz w:val="32"/>
          <w:szCs w:val="32"/>
          <w:highlight w:val="none"/>
        </w:rPr>
        <w:t>一、项目评估</w:t>
      </w:r>
      <w:r>
        <w:rPr>
          <w:rFonts w:hint="eastAsia" w:ascii="黑体" w:hAnsi="黑体" w:eastAsia="黑体" w:cs="黑体"/>
          <w:b w:val="0"/>
          <w:bCs w:val="0"/>
          <w:color w:val="auto"/>
          <w:spacing w:val="0"/>
          <w:w w:val="100"/>
          <w:sz w:val="32"/>
          <w:szCs w:val="32"/>
          <w:highlight w:val="none"/>
          <w:lang w:eastAsia="zh-CN"/>
        </w:rPr>
        <w:t>部门</w:t>
      </w:r>
      <w:r>
        <w:rPr>
          <w:rFonts w:hint="eastAsia" w:ascii="黑体" w:hAnsi="黑体" w:eastAsia="黑体" w:cs="黑体"/>
          <w:b w:val="0"/>
          <w:bCs w:val="0"/>
          <w:color w:val="auto"/>
          <w:spacing w:val="0"/>
          <w:w w:val="100"/>
          <w:sz w:val="32"/>
          <w:szCs w:val="32"/>
          <w:highlight w:val="none"/>
        </w:rPr>
        <w:t>工作部署落实情况</w:t>
      </w:r>
      <w:bookmarkEnd w:id="85"/>
      <w:bookmarkEnd w:id="86"/>
      <w:bookmarkEnd w:id="87"/>
      <w:bookmarkEnd w:id="88"/>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楷体_GB2312" w:hAnsi="楷体_GB2312" w:eastAsia="楷体_GB2312" w:cs="楷体_GB2312"/>
          <w:b w:val="0"/>
          <w:bCs w:val="0"/>
          <w:color w:val="auto"/>
          <w:spacing w:val="0"/>
          <w:w w:val="100"/>
          <w:kern w:val="0"/>
          <w:sz w:val="32"/>
          <w:szCs w:val="32"/>
          <w:highlight w:val="none"/>
          <w:lang w:eastAsia="zh-CN"/>
        </w:rPr>
      </w:pPr>
      <w:r>
        <w:rPr>
          <w:rFonts w:hint="eastAsia" w:ascii="楷体_GB2312" w:hAnsi="楷体_GB2312" w:eastAsia="楷体_GB2312" w:cs="楷体_GB2312"/>
          <w:b w:val="0"/>
          <w:bCs w:val="0"/>
          <w:color w:val="auto"/>
          <w:spacing w:val="0"/>
          <w:w w:val="100"/>
          <w:kern w:val="0"/>
          <w:sz w:val="32"/>
          <w:szCs w:val="32"/>
          <w:highlight w:val="none"/>
          <w:lang w:eastAsia="zh-CN"/>
        </w:rPr>
        <w:t>（一）公平竞争审查制度建立与运行情况</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rPr>
        <w:t>公平竞争审查制度是优化营商环境、释放市场主体活力的有效举措。为建立健全公平竞争审查工作机制，推动本区域公平竞争审查工作的贯彻落实，被评估的</w:t>
      </w:r>
      <w:r>
        <w:rPr>
          <w:rFonts w:hint="eastAsia" w:ascii="仿宋_GB2312" w:hAnsi="仿宋_GB2312" w:eastAsia="仿宋_GB2312" w:cs="仿宋_GB2312"/>
          <w:b w:val="0"/>
          <w:bCs w:val="0"/>
          <w:color w:val="auto"/>
          <w:spacing w:val="0"/>
          <w:w w:val="100"/>
          <w:sz w:val="32"/>
          <w:szCs w:val="32"/>
          <w:highlight w:val="none"/>
          <w:lang w:eastAsia="zh-CN"/>
        </w:rPr>
        <w:t>各单位</w:t>
      </w:r>
      <w:r>
        <w:rPr>
          <w:rFonts w:hint="eastAsia" w:ascii="仿宋_GB2312" w:hAnsi="仿宋_GB2312" w:eastAsia="仿宋_GB2312" w:cs="仿宋_GB2312"/>
          <w:b w:val="0"/>
          <w:bCs w:val="0"/>
          <w:color w:val="auto"/>
          <w:spacing w:val="0"/>
          <w:w w:val="100"/>
          <w:sz w:val="32"/>
          <w:szCs w:val="32"/>
          <w:highlight w:val="none"/>
        </w:rPr>
        <w:t>均按照《国务院关于在市场体系建设中建立公平竞争审查制度的意见》（国发〔2016〕34号）等文件精神要求，印发了公平竞争审查工作实施方案、明确了</w:t>
      </w:r>
      <w:r>
        <w:rPr>
          <w:rFonts w:hint="eastAsia" w:ascii="仿宋_GB2312" w:hAnsi="仿宋_GB2312" w:eastAsia="仿宋_GB2312" w:cs="仿宋_GB2312"/>
          <w:b w:val="0"/>
          <w:bCs w:val="0"/>
          <w:color w:val="auto"/>
          <w:spacing w:val="0"/>
          <w:w w:val="100"/>
          <w:sz w:val="32"/>
          <w:szCs w:val="32"/>
          <w:highlight w:val="none"/>
          <w:lang w:eastAsia="zh-CN"/>
        </w:rPr>
        <w:t>各单位</w:t>
      </w:r>
      <w:r>
        <w:rPr>
          <w:rFonts w:hint="eastAsia" w:ascii="仿宋_GB2312" w:hAnsi="仿宋_GB2312" w:eastAsia="仿宋_GB2312" w:cs="仿宋_GB2312"/>
          <w:b w:val="0"/>
          <w:bCs w:val="0"/>
          <w:color w:val="auto"/>
          <w:spacing w:val="0"/>
          <w:w w:val="100"/>
          <w:sz w:val="32"/>
          <w:szCs w:val="32"/>
          <w:highlight w:val="none"/>
        </w:rPr>
        <w:t>公平竞争审查工作流程、开展了公平竞争审查工作，建立起本</w:t>
      </w:r>
      <w:r>
        <w:rPr>
          <w:rFonts w:hint="eastAsia" w:ascii="仿宋_GB2312" w:hAnsi="仿宋_GB2312" w:eastAsia="仿宋_GB2312" w:cs="仿宋_GB2312"/>
          <w:b w:val="0"/>
          <w:bCs w:val="0"/>
          <w:color w:val="auto"/>
          <w:spacing w:val="0"/>
          <w:w w:val="100"/>
          <w:sz w:val="32"/>
          <w:szCs w:val="32"/>
          <w:highlight w:val="none"/>
          <w:lang w:eastAsia="zh-CN"/>
        </w:rPr>
        <w:t>单位</w:t>
      </w:r>
      <w:r>
        <w:rPr>
          <w:rFonts w:hint="eastAsia" w:ascii="仿宋_GB2312" w:hAnsi="仿宋_GB2312" w:eastAsia="仿宋_GB2312" w:cs="仿宋_GB2312"/>
          <w:b w:val="0"/>
          <w:bCs w:val="0"/>
          <w:color w:val="auto"/>
          <w:spacing w:val="0"/>
          <w:w w:val="100"/>
          <w:sz w:val="32"/>
          <w:szCs w:val="32"/>
          <w:highlight w:val="none"/>
        </w:rPr>
        <w:t>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kern w:val="0"/>
          <w:sz w:val="32"/>
          <w:szCs w:val="32"/>
          <w:highlight w:val="none"/>
          <w:lang w:val="en-US" w:eastAsia="zh-CN"/>
        </w:rPr>
        <w:t>1.市市场监管局</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kern w:val="0"/>
          <w:sz w:val="32"/>
          <w:szCs w:val="32"/>
          <w:highlight w:val="none"/>
          <w:lang w:eastAsia="zh-CN"/>
        </w:rPr>
        <w:t>市市场监管局印发了</w:t>
      </w:r>
      <w:r>
        <w:rPr>
          <w:rFonts w:hint="eastAsia" w:ascii="仿宋_GB2312" w:hAnsi="仿宋_GB2312" w:eastAsia="仿宋_GB2312" w:cs="仿宋_GB2312"/>
          <w:b w:val="0"/>
          <w:bCs w:val="0"/>
          <w:color w:val="auto"/>
          <w:spacing w:val="0"/>
          <w:w w:val="100"/>
          <w:kern w:val="2"/>
          <w:sz w:val="32"/>
          <w:szCs w:val="32"/>
          <w:lang w:val="en-US" w:eastAsia="zh-CN" w:bidi="ar"/>
        </w:rPr>
        <w:t>《张掖市公平竞争审查工作部门联席会议办公室关于开展公平竞争审查工作第三方评估的通知》（张公竞〔2022〕10号），结合工作实际制定了《张掖市公平竞争审查工作政策措施抽查制度》、《张掖市重大政策措施公平竞争审查会审制度》、《张掖市公平竞争审查投诉举报和处理回应制度》等制度</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kern w:val="2"/>
          <w:sz w:val="32"/>
          <w:szCs w:val="32"/>
          <w:lang w:val="en-US" w:eastAsia="zh-CN" w:bidi="zh-TW"/>
        </w:rPr>
        <w:t>2</w:t>
      </w:r>
      <w:r>
        <w:rPr>
          <w:rFonts w:hint="eastAsia" w:ascii="仿宋_GB2312" w:hAnsi="仿宋_GB2312" w:eastAsia="仿宋_GB2312" w:cs="仿宋_GB2312"/>
          <w:b w:val="0"/>
          <w:bCs w:val="0"/>
          <w:color w:val="auto"/>
          <w:spacing w:val="0"/>
          <w:w w:val="100"/>
          <w:kern w:val="2"/>
          <w:sz w:val="32"/>
          <w:szCs w:val="32"/>
          <w:lang w:val="zh-CN" w:eastAsia="zh-TW" w:bidi="zh-TW"/>
        </w:rPr>
        <w:t>.</w:t>
      </w:r>
      <w:r>
        <w:rPr>
          <w:rFonts w:hint="eastAsia" w:ascii="仿宋_GB2312" w:hAnsi="仿宋_GB2312" w:eastAsia="仿宋_GB2312" w:cs="仿宋_GB2312"/>
          <w:b w:val="0"/>
          <w:bCs w:val="0"/>
          <w:color w:val="auto"/>
          <w:spacing w:val="0"/>
          <w:w w:val="100"/>
          <w:sz w:val="32"/>
          <w:szCs w:val="32"/>
          <w:highlight w:val="none"/>
          <w:lang w:val="zh-CN"/>
        </w:rPr>
        <w:t>市发展改革委</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sz w:val="32"/>
          <w:szCs w:val="32"/>
          <w:highlight w:val="none"/>
          <w:lang w:val="zh-CN"/>
        </w:rPr>
        <w:t>市发展改革委</w:t>
      </w:r>
      <w:r>
        <w:rPr>
          <w:rFonts w:hint="eastAsia" w:ascii="仿宋_GB2312" w:hAnsi="仿宋_GB2312" w:eastAsia="仿宋_GB2312" w:cs="仿宋_GB2312"/>
          <w:b w:val="0"/>
          <w:bCs w:val="0"/>
          <w:color w:val="auto"/>
          <w:spacing w:val="0"/>
          <w:w w:val="100"/>
          <w:kern w:val="0"/>
          <w:sz w:val="32"/>
          <w:szCs w:val="32"/>
          <w:highlight w:val="none"/>
          <w:lang w:eastAsia="zh-CN"/>
        </w:rPr>
        <w:t>印发了</w:t>
      </w:r>
      <w:r>
        <w:rPr>
          <w:rFonts w:hint="eastAsia" w:ascii="仿宋_GB2312" w:hAnsi="仿宋_GB2312" w:eastAsia="仿宋_GB2312" w:cs="仿宋_GB2312"/>
          <w:b w:val="0"/>
          <w:bCs w:val="0"/>
          <w:color w:val="auto"/>
          <w:spacing w:val="0"/>
          <w:w w:val="100"/>
          <w:kern w:val="2"/>
          <w:sz w:val="32"/>
          <w:szCs w:val="32"/>
          <w:lang w:val="en-US" w:eastAsia="zh-CN" w:bidi="ar"/>
        </w:rPr>
        <w:t>《张掖市公平竞争审查工作部门联席会议办公室关于开展公平竞争审查工作第三方评估的通知》，制定了《张掖市发展和改革委公平竞争审查制度》、《张掖市发展和改革委公平竞争审查受理举报投诉工作机制》，</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kern w:val="2"/>
          <w:sz w:val="32"/>
          <w:szCs w:val="32"/>
          <w:lang w:val="en-US" w:eastAsia="zh-CN" w:bidi="zh-TW"/>
        </w:rPr>
        <w:t>3</w:t>
      </w:r>
      <w:r>
        <w:rPr>
          <w:rFonts w:hint="eastAsia" w:ascii="仿宋_GB2312" w:hAnsi="仿宋_GB2312" w:eastAsia="仿宋_GB2312" w:cs="仿宋_GB2312"/>
          <w:b w:val="0"/>
          <w:bCs w:val="0"/>
          <w:color w:val="auto"/>
          <w:spacing w:val="0"/>
          <w:w w:val="100"/>
          <w:kern w:val="2"/>
          <w:sz w:val="32"/>
          <w:szCs w:val="32"/>
          <w:lang w:val="zh-CN" w:eastAsia="zh-TW" w:bidi="zh-TW"/>
        </w:rPr>
        <w:t>.</w:t>
      </w:r>
      <w:r>
        <w:rPr>
          <w:rFonts w:hint="eastAsia" w:ascii="仿宋_GB2312" w:hAnsi="仿宋_GB2312" w:eastAsia="仿宋_GB2312" w:cs="仿宋_GB2312"/>
          <w:b w:val="0"/>
          <w:bCs w:val="0"/>
          <w:color w:val="auto"/>
          <w:spacing w:val="0"/>
          <w:w w:val="100"/>
          <w:sz w:val="32"/>
          <w:szCs w:val="32"/>
          <w:highlight w:val="none"/>
          <w:lang w:val="zh-CN"/>
        </w:rPr>
        <w:t>市财政局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sz w:val="32"/>
          <w:szCs w:val="32"/>
          <w:highlight w:val="none"/>
          <w:lang w:val="zh-CN"/>
        </w:rPr>
        <w:t>市财政局</w:t>
      </w:r>
      <w:r>
        <w:rPr>
          <w:rFonts w:hint="eastAsia" w:ascii="仿宋_GB2312" w:hAnsi="仿宋_GB2312" w:eastAsia="仿宋_GB2312" w:cs="仿宋_GB2312"/>
          <w:b w:val="0"/>
          <w:bCs w:val="0"/>
          <w:color w:val="auto"/>
          <w:spacing w:val="0"/>
          <w:w w:val="100"/>
          <w:kern w:val="2"/>
          <w:sz w:val="32"/>
          <w:szCs w:val="32"/>
          <w:lang w:val="en-US" w:eastAsia="zh-CN" w:bidi="ar"/>
        </w:rPr>
        <w:t>印发了《市公平竞争审查工作部门联席会议2022年工作要点的通知》，结合工作实际制定了《张掖市财政局公平竞争审查工作规定》，发布《张掖市财政局关于进一步规范政府采购投诉举报处理工作的通知》，</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kern w:val="2"/>
          <w:sz w:val="32"/>
          <w:szCs w:val="32"/>
          <w:lang w:val="en-US" w:eastAsia="zh-CN" w:bidi="zh-TW"/>
        </w:rPr>
        <w:t>4</w:t>
      </w:r>
      <w:r>
        <w:rPr>
          <w:rFonts w:hint="eastAsia" w:ascii="仿宋_GB2312" w:hAnsi="仿宋_GB2312" w:eastAsia="仿宋_GB2312" w:cs="仿宋_GB2312"/>
          <w:b w:val="0"/>
          <w:bCs w:val="0"/>
          <w:color w:val="auto"/>
          <w:spacing w:val="0"/>
          <w:w w:val="100"/>
          <w:kern w:val="2"/>
          <w:sz w:val="32"/>
          <w:szCs w:val="32"/>
          <w:lang w:val="zh-CN" w:eastAsia="zh-TW" w:bidi="zh-TW"/>
        </w:rPr>
        <w:t>.</w:t>
      </w:r>
      <w:r>
        <w:rPr>
          <w:rFonts w:hint="eastAsia" w:ascii="仿宋_GB2312" w:hAnsi="仿宋_GB2312" w:eastAsia="仿宋_GB2312" w:cs="仿宋_GB2312"/>
          <w:b w:val="0"/>
          <w:bCs w:val="0"/>
          <w:color w:val="auto"/>
          <w:spacing w:val="0"/>
          <w:w w:val="100"/>
          <w:sz w:val="32"/>
          <w:szCs w:val="32"/>
          <w:highlight w:val="none"/>
          <w:lang w:val="zh-CN"/>
        </w:rPr>
        <w:t>市商务局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sz w:val="32"/>
          <w:szCs w:val="32"/>
          <w:highlight w:val="none"/>
          <w:lang w:val="zh-CN"/>
        </w:rPr>
        <w:t>市商务局印发了相关文件</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，结合工作实际制定了《张掖市商务局公平竞争审查工作规定》，</w:t>
      </w:r>
      <w:r>
        <w:rPr>
          <w:rFonts w:hint="eastAsia" w:ascii="仿宋_GB2312" w:hAnsi="仿宋_GB2312" w:eastAsia="仿宋_GB2312" w:cs="仿宋_GB2312"/>
          <w:b w:val="0"/>
          <w:bCs w:val="0"/>
          <w:color w:val="auto"/>
          <w:spacing w:val="0"/>
          <w:w w:val="100"/>
          <w:kern w:val="0"/>
          <w:sz w:val="32"/>
          <w:szCs w:val="32"/>
          <w:highlight w:val="none"/>
        </w:rPr>
        <w:t>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kern w:val="2"/>
          <w:sz w:val="32"/>
          <w:szCs w:val="32"/>
          <w:lang w:val="en-US" w:eastAsia="zh-CN" w:bidi="zh-TW"/>
        </w:rPr>
        <w:t>5</w:t>
      </w:r>
      <w:r>
        <w:rPr>
          <w:rFonts w:hint="eastAsia" w:ascii="仿宋_GB2312" w:hAnsi="仿宋_GB2312" w:eastAsia="仿宋_GB2312" w:cs="仿宋_GB2312"/>
          <w:b w:val="0"/>
          <w:bCs w:val="0"/>
          <w:color w:val="auto"/>
          <w:spacing w:val="0"/>
          <w:w w:val="100"/>
          <w:kern w:val="2"/>
          <w:sz w:val="32"/>
          <w:szCs w:val="32"/>
          <w:lang w:val="zh-CN" w:eastAsia="zh-TW" w:bidi="zh-TW"/>
        </w:rPr>
        <w:t>.</w:t>
      </w:r>
      <w:r>
        <w:rPr>
          <w:rFonts w:hint="eastAsia" w:ascii="仿宋_GB2312" w:hAnsi="仿宋_GB2312" w:eastAsia="仿宋_GB2312" w:cs="仿宋_GB2312"/>
          <w:b w:val="0"/>
          <w:bCs w:val="0"/>
          <w:color w:val="auto"/>
          <w:spacing w:val="0"/>
          <w:w w:val="100"/>
          <w:sz w:val="32"/>
          <w:szCs w:val="32"/>
          <w:highlight w:val="none"/>
          <w:lang w:val="zh-CN"/>
        </w:rPr>
        <w:t>市司法局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sz w:val="32"/>
          <w:szCs w:val="32"/>
          <w:highlight w:val="none"/>
          <w:lang w:val="zh-CN"/>
        </w:rPr>
        <w:t>市司法局印发</w:t>
      </w:r>
      <w:r>
        <w:rPr>
          <w:rFonts w:hint="eastAsia" w:ascii="仿宋_GB2312" w:hAnsi="仿宋_GB2312" w:eastAsia="仿宋_GB2312" w:cs="仿宋_GB2312"/>
          <w:b w:val="0"/>
          <w:bCs w:val="0"/>
          <w:color w:val="auto"/>
          <w:spacing w:val="0"/>
          <w:w w:val="100"/>
          <w:kern w:val="2"/>
          <w:sz w:val="32"/>
          <w:szCs w:val="32"/>
          <w:lang w:val="en-US" w:eastAsia="zh-CN" w:bidi="ar"/>
        </w:rPr>
        <w:t>了相关文件，结合工作实际制定《张掖市司法局公平竞争审查工作办法》，</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kern w:val="2"/>
          <w:sz w:val="32"/>
          <w:szCs w:val="32"/>
          <w:lang w:val="en-US" w:eastAsia="zh-CN" w:bidi="zh-TW"/>
        </w:rPr>
        <w:t>6</w:t>
      </w:r>
      <w:r>
        <w:rPr>
          <w:rFonts w:hint="eastAsia" w:ascii="仿宋_GB2312" w:hAnsi="仿宋_GB2312" w:eastAsia="仿宋_GB2312" w:cs="仿宋_GB2312"/>
          <w:b w:val="0"/>
          <w:bCs w:val="0"/>
          <w:color w:val="auto"/>
          <w:spacing w:val="0"/>
          <w:w w:val="100"/>
          <w:kern w:val="2"/>
          <w:sz w:val="32"/>
          <w:szCs w:val="32"/>
          <w:lang w:val="zh-TW" w:eastAsia="zh-TW" w:bidi="zh-TW"/>
        </w:rPr>
        <w:t>.</w:t>
      </w:r>
      <w:r>
        <w:rPr>
          <w:rFonts w:hint="eastAsia" w:ascii="仿宋_GB2312" w:hAnsi="仿宋_GB2312" w:eastAsia="仿宋_GB2312" w:cs="仿宋_GB2312"/>
          <w:b w:val="0"/>
          <w:bCs w:val="0"/>
          <w:color w:val="auto"/>
          <w:spacing w:val="0"/>
          <w:w w:val="100"/>
          <w:sz w:val="32"/>
          <w:szCs w:val="32"/>
          <w:highlight w:val="none"/>
          <w:lang w:val="zh-CN"/>
        </w:rPr>
        <w:t>市教育局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lang w:val="zh-CN"/>
        </w:rPr>
        <w:t>市教育局印发</w:t>
      </w:r>
      <w:r>
        <w:rPr>
          <w:rFonts w:hint="eastAsia" w:ascii="仿宋_GB2312" w:hAnsi="仿宋_GB2312" w:eastAsia="仿宋_GB2312" w:cs="仿宋_GB2312"/>
          <w:b w:val="0"/>
          <w:bCs w:val="0"/>
          <w:color w:val="auto"/>
          <w:spacing w:val="0"/>
          <w:w w:val="100"/>
          <w:kern w:val="2"/>
          <w:sz w:val="32"/>
          <w:szCs w:val="32"/>
          <w:lang w:val="en-US" w:eastAsia="zh-CN" w:bidi="ar"/>
        </w:rPr>
        <w:t>了相关文件，结合工作实际制定了《</w:t>
      </w:r>
      <w:r>
        <w:rPr>
          <w:rFonts w:hint="eastAsia" w:ascii="仿宋_GB2312" w:hAnsi="仿宋_GB2312" w:eastAsia="仿宋_GB2312" w:cs="仿宋_GB2312"/>
          <w:b w:val="0"/>
          <w:bCs w:val="0"/>
          <w:color w:val="auto"/>
          <w:spacing w:val="0"/>
          <w:w w:val="100"/>
          <w:kern w:val="2"/>
          <w:sz w:val="32"/>
          <w:szCs w:val="32"/>
          <w:lang w:eastAsia="zh-CN" w:bidi="ar"/>
        </w:rPr>
        <w:t>张掖市教育局</w:t>
      </w:r>
      <w:r>
        <w:rPr>
          <w:rFonts w:hint="eastAsia" w:ascii="仿宋_GB2312" w:hAnsi="仿宋_GB2312" w:eastAsia="仿宋_GB2312" w:cs="仿宋_GB2312"/>
          <w:b w:val="0"/>
          <w:bCs w:val="0"/>
          <w:color w:val="auto"/>
          <w:spacing w:val="0"/>
          <w:w w:val="100"/>
          <w:kern w:val="2"/>
          <w:sz w:val="32"/>
          <w:szCs w:val="32"/>
          <w:lang w:val="en-US" w:eastAsia="zh-CN" w:bidi="ar"/>
        </w:rPr>
        <w:t>公平竞争审查工作规程》，</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kern w:val="2"/>
          <w:sz w:val="32"/>
          <w:szCs w:val="32"/>
          <w:lang w:val="en-US" w:eastAsia="zh-CN" w:bidi="zh-TW"/>
        </w:rPr>
        <w:t>7</w:t>
      </w:r>
      <w:r>
        <w:rPr>
          <w:rFonts w:hint="eastAsia" w:ascii="仿宋_GB2312" w:hAnsi="仿宋_GB2312" w:eastAsia="仿宋_GB2312" w:cs="仿宋_GB2312"/>
          <w:b w:val="0"/>
          <w:bCs w:val="0"/>
          <w:color w:val="auto"/>
          <w:spacing w:val="0"/>
          <w:w w:val="100"/>
          <w:kern w:val="2"/>
          <w:sz w:val="32"/>
          <w:szCs w:val="32"/>
          <w:lang w:val="zh-CN" w:eastAsia="zh-TW" w:bidi="zh-TW"/>
        </w:rPr>
        <w:t>.</w:t>
      </w:r>
      <w:r>
        <w:rPr>
          <w:rFonts w:hint="eastAsia" w:ascii="仿宋_GB2312" w:hAnsi="仿宋_GB2312" w:eastAsia="仿宋_GB2312" w:cs="仿宋_GB2312"/>
          <w:b w:val="0"/>
          <w:bCs w:val="0"/>
          <w:color w:val="auto"/>
          <w:spacing w:val="0"/>
          <w:w w:val="100"/>
          <w:sz w:val="32"/>
          <w:szCs w:val="32"/>
          <w:highlight w:val="none"/>
          <w:lang w:val="zh-CN"/>
        </w:rPr>
        <w:t>市科技局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sz w:val="32"/>
          <w:szCs w:val="32"/>
          <w:highlight w:val="none"/>
          <w:lang w:val="zh-CN"/>
        </w:rPr>
        <w:t>市科技局印发</w:t>
      </w:r>
      <w:r>
        <w:rPr>
          <w:rFonts w:hint="eastAsia" w:ascii="仿宋_GB2312" w:hAnsi="仿宋_GB2312" w:eastAsia="仿宋_GB2312" w:cs="仿宋_GB2312"/>
          <w:b w:val="0"/>
          <w:bCs w:val="0"/>
          <w:color w:val="auto"/>
          <w:spacing w:val="0"/>
          <w:w w:val="100"/>
          <w:kern w:val="2"/>
          <w:sz w:val="32"/>
          <w:szCs w:val="32"/>
          <w:lang w:val="en-US" w:eastAsia="zh-CN" w:bidi="ar"/>
        </w:rPr>
        <w:t>了相关文件，结合工作实际制定</w:t>
      </w:r>
      <w:r>
        <w:rPr>
          <w:rFonts w:hint="eastAsia"/>
          <w:lang w:val="en-US" w:eastAsia="zh-CN"/>
        </w:rPr>
        <w:t>了</w:t>
      </w:r>
      <w:r>
        <w:rPr>
          <w:rFonts w:hint="eastAsia" w:ascii="仿宋_GB2312" w:hAnsi="仿宋_GB2312" w:eastAsia="仿宋_GB2312" w:cs="仿宋_GB2312"/>
          <w:b w:val="0"/>
          <w:bCs w:val="0"/>
          <w:color w:val="auto"/>
          <w:spacing w:val="0"/>
          <w:w w:val="100"/>
          <w:kern w:val="2"/>
          <w:sz w:val="32"/>
          <w:szCs w:val="32"/>
          <w:lang w:val="en-US" w:eastAsia="zh-CN" w:bidi="ar"/>
        </w:rPr>
        <w:t>《张掖市科学技术局公平竞争审查工作规定》，</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kern w:val="2"/>
          <w:sz w:val="32"/>
          <w:szCs w:val="32"/>
          <w:lang w:val="en-US" w:eastAsia="zh-CN" w:bidi="zh-TW"/>
        </w:rPr>
        <w:t>8</w:t>
      </w:r>
      <w:r>
        <w:rPr>
          <w:rFonts w:hint="eastAsia" w:ascii="仿宋_GB2312" w:hAnsi="仿宋_GB2312" w:eastAsia="仿宋_GB2312" w:cs="仿宋_GB2312"/>
          <w:b w:val="0"/>
          <w:bCs w:val="0"/>
          <w:color w:val="auto"/>
          <w:spacing w:val="0"/>
          <w:w w:val="100"/>
          <w:kern w:val="2"/>
          <w:sz w:val="32"/>
          <w:szCs w:val="32"/>
          <w:lang w:val="zh-CN" w:eastAsia="zh-TW" w:bidi="zh-TW"/>
        </w:rPr>
        <w:t>.</w:t>
      </w:r>
      <w:r>
        <w:rPr>
          <w:rFonts w:hint="eastAsia" w:ascii="仿宋_GB2312" w:hAnsi="仿宋_GB2312" w:eastAsia="仿宋_GB2312" w:cs="仿宋_GB2312"/>
          <w:b w:val="0"/>
          <w:bCs w:val="0"/>
          <w:color w:val="auto"/>
          <w:spacing w:val="0"/>
          <w:w w:val="100"/>
          <w:sz w:val="32"/>
          <w:szCs w:val="32"/>
          <w:highlight w:val="none"/>
          <w:lang w:val="zh-CN"/>
        </w:rPr>
        <w:t>市工信局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sz w:val="32"/>
          <w:szCs w:val="32"/>
          <w:highlight w:val="none"/>
          <w:lang w:val="zh-CN"/>
        </w:rPr>
        <w:t>市工信局印发</w:t>
      </w:r>
      <w:r>
        <w:rPr>
          <w:rFonts w:hint="eastAsia" w:ascii="仿宋_GB2312" w:hAnsi="仿宋_GB2312" w:eastAsia="仿宋_GB2312" w:cs="仿宋_GB2312"/>
          <w:b w:val="0"/>
          <w:bCs w:val="0"/>
          <w:color w:val="auto"/>
          <w:spacing w:val="0"/>
          <w:w w:val="100"/>
          <w:kern w:val="2"/>
          <w:sz w:val="32"/>
          <w:szCs w:val="32"/>
          <w:lang w:val="en-US" w:eastAsia="zh-CN" w:bidi="ar"/>
        </w:rPr>
        <w:t>了《市公平竞争审查工作部门联席会议2022年工作要点的通知》，结合工作实际制定了《张掖市工业和信息化局公平竞争审查机制》</w:t>
      </w:r>
      <w:r>
        <w:rPr>
          <w:rFonts w:hint="eastAsia" w:ascii="仿宋_GB2312" w:hAnsi="仿宋_GB2312" w:eastAsia="仿宋_GB2312" w:cs="仿宋_GB2312"/>
          <w:b w:val="0"/>
          <w:bCs w:val="0"/>
          <w:color w:val="auto"/>
          <w:spacing w:val="0"/>
          <w:w w:val="100"/>
          <w:kern w:val="0"/>
          <w:sz w:val="32"/>
          <w:szCs w:val="32"/>
          <w:highlight w:val="none"/>
        </w:rPr>
        <w:t>，建立起本部门的公平竞争审查制度。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kern w:val="2"/>
          <w:sz w:val="32"/>
          <w:szCs w:val="32"/>
          <w:lang w:val="en-US" w:eastAsia="zh-CN" w:bidi="zh-TW"/>
        </w:rPr>
        <w:t>9</w:t>
      </w:r>
      <w:r>
        <w:rPr>
          <w:rFonts w:hint="eastAsia" w:ascii="仿宋_GB2312" w:hAnsi="仿宋_GB2312" w:eastAsia="仿宋_GB2312" w:cs="仿宋_GB2312"/>
          <w:b w:val="0"/>
          <w:bCs w:val="0"/>
          <w:color w:val="auto"/>
          <w:spacing w:val="0"/>
          <w:w w:val="100"/>
          <w:kern w:val="2"/>
          <w:sz w:val="32"/>
          <w:szCs w:val="32"/>
          <w:lang w:val="zh-CN" w:eastAsia="zh-TW" w:bidi="zh-TW"/>
        </w:rPr>
        <w:t>.</w:t>
      </w:r>
      <w:r>
        <w:rPr>
          <w:rFonts w:hint="eastAsia" w:ascii="仿宋_GB2312" w:hAnsi="仿宋_GB2312" w:eastAsia="仿宋_GB2312" w:cs="仿宋_GB2312"/>
          <w:b w:val="0"/>
          <w:bCs w:val="0"/>
          <w:color w:val="auto"/>
          <w:spacing w:val="0"/>
          <w:w w:val="100"/>
          <w:sz w:val="32"/>
          <w:szCs w:val="32"/>
          <w:highlight w:val="none"/>
          <w:lang w:val="zh-CN"/>
        </w:rPr>
        <w:t>市民政局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sz w:val="32"/>
          <w:szCs w:val="32"/>
          <w:highlight w:val="none"/>
          <w:lang w:val="zh-CN"/>
        </w:rPr>
        <w:t>市民政局印发</w:t>
      </w:r>
      <w:r>
        <w:rPr>
          <w:rFonts w:hint="eastAsia" w:ascii="仿宋_GB2312" w:hAnsi="仿宋_GB2312" w:eastAsia="仿宋_GB2312" w:cs="仿宋_GB2312"/>
          <w:b w:val="0"/>
          <w:bCs w:val="0"/>
          <w:color w:val="auto"/>
          <w:spacing w:val="0"/>
          <w:w w:val="100"/>
          <w:kern w:val="2"/>
          <w:sz w:val="32"/>
          <w:szCs w:val="32"/>
          <w:lang w:val="en-US" w:eastAsia="zh-CN" w:bidi="ar"/>
        </w:rPr>
        <w:t>了相关文件，结合工作实际制定《张掖市民政局公平竞争审查管理办法》</w:t>
      </w:r>
      <w:r>
        <w:rPr>
          <w:rFonts w:hint="eastAsia" w:ascii="仿宋_GB2312" w:hAnsi="仿宋_GB2312" w:eastAsia="仿宋_GB2312" w:cs="仿宋_GB2312"/>
          <w:b w:val="0"/>
          <w:bCs w:val="0"/>
          <w:color w:val="auto"/>
          <w:spacing w:val="0"/>
          <w:w w:val="100"/>
          <w:kern w:val="0"/>
          <w:sz w:val="32"/>
          <w:szCs w:val="32"/>
          <w:highlight w:val="none"/>
        </w:rPr>
        <w:t>，建立起本部门的公平竞争审查制度。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10.</w:t>
      </w:r>
      <w:r>
        <w:rPr>
          <w:rFonts w:hint="eastAsia" w:ascii="仿宋_GB2312" w:hAnsi="仿宋_GB2312" w:eastAsia="仿宋_GB2312" w:cs="仿宋_GB2312"/>
          <w:b w:val="0"/>
          <w:bCs w:val="0"/>
          <w:color w:val="auto"/>
          <w:spacing w:val="0"/>
          <w:w w:val="100"/>
          <w:sz w:val="32"/>
          <w:szCs w:val="32"/>
          <w:highlight w:val="none"/>
          <w:lang w:val="zh-CN"/>
        </w:rPr>
        <w:t>市自然资源局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val="zh-CN"/>
        </w:rPr>
      </w:pPr>
      <w:r>
        <w:rPr>
          <w:rFonts w:hint="eastAsia" w:ascii="仿宋_GB2312" w:hAnsi="仿宋_GB2312" w:eastAsia="仿宋_GB2312" w:cs="仿宋_GB2312"/>
          <w:b w:val="0"/>
          <w:bCs w:val="0"/>
          <w:color w:val="auto"/>
          <w:spacing w:val="0"/>
          <w:w w:val="100"/>
          <w:sz w:val="32"/>
          <w:szCs w:val="32"/>
          <w:highlight w:val="none"/>
          <w:lang w:val="zh-CN"/>
        </w:rPr>
        <w:t>市自然资源局印发</w:t>
      </w:r>
      <w:r>
        <w:rPr>
          <w:rFonts w:hint="eastAsia" w:ascii="仿宋_GB2312" w:hAnsi="仿宋_GB2312" w:eastAsia="仿宋_GB2312" w:cs="仿宋_GB2312"/>
          <w:b w:val="0"/>
          <w:bCs w:val="0"/>
          <w:color w:val="auto"/>
          <w:spacing w:val="0"/>
          <w:w w:val="100"/>
          <w:kern w:val="2"/>
          <w:sz w:val="32"/>
          <w:szCs w:val="32"/>
          <w:lang w:val="en-US" w:eastAsia="zh-CN" w:bidi="ar"/>
        </w:rPr>
        <w:t>了相关文件，结合工作实际制定了《张掖市自然资源局公平竞争审查工作实施办法》，</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lang w:val="zh-TW" w:eastAsia="zh-CN" w:bidi="zh-TW"/>
        </w:rPr>
        <w:t>1</w:t>
      </w:r>
      <w:r>
        <w:rPr>
          <w:rFonts w:hint="eastAsia" w:ascii="仿宋_GB2312" w:hAnsi="仿宋_GB2312" w:eastAsia="仿宋_GB2312" w:cs="仿宋_GB2312"/>
          <w:b w:val="0"/>
          <w:bCs w:val="0"/>
          <w:color w:val="auto"/>
          <w:spacing w:val="0"/>
          <w:w w:val="100"/>
          <w:kern w:val="0"/>
          <w:sz w:val="32"/>
          <w:szCs w:val="32"/>
          <w:lang w:val="en-US" w:eastAsia="zh-CN" w:bidi="zh-TW"/>
        </w:rPr>
        <w:t>1</w:t>
      </w:r>
      <w:r>
        <w:rPr>
          <w:rFonts w:hint="eastAsia" w:ascii="仿宋_GB2312" w:hAnsi="仿宋_GB2312" w:eastAsia="仿宋_GB2312" w:cs="仿宋_GB2312"/>
          <w:b w:val="0"/>
          <w:bCs w:val="0"/>
          <w:color w:val="auto"/>
          <w:spacing w:val="0"/>
          <w:w w:val="100"/>
          <w:kern w:val="0"/>
          <w:sz w:val="32"/>
          <w:szCs w:val="32"/>
          <w:lang w:val="zh-TW" w:eastAsia="zh-CN" w:bidi="zh-TW"/>
        </w:rPr>
        <w:t>.</w:t>
      </w:r>
      <w:r>
        <w:rPr>
          <w:rFonts w:hint="eastAsia" w:ascii="仿宋_GB2312" w:hAnsi="仿宋_GB2312" w:eastAsia="仿宋_GB2312" w:cs="仿宋_GB2312"/>
          <w:b w:val="0"/>
          <w:bCs w:val="0"/>
          <w:color w:val="auto"/>
          <w:spacing w:val="0"/>
          <w:w w:val="100"/>
          <w:kern w:val="0"/>
          <w:sz w:val="32"/>
          <w:szCs w:val="32"/>
          <w:highlight w:val="none"/>
          <w:lang w:val="en-US" w:eastAsia="zh-CN"/>
        </w:rPr>
        <w:t>市生态环境局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rPr>
        <w:t>市生态环境局</w:t>
      </w:r>
      <w:r>
        <w:rPr>
          <w:rFonts w:hint="eastAsia" w:ascii="仿宋_GB2312" w:hAnsi="仿宋_GB2312" w:eastAsia="仿宋_GB2312" w:cs="仿宋_GB2312"/>
          <w:b w:val="0"/>
          <w:bCs w:val="0"/>
          <w:color w:val="auto"/>
          <w:spacing w:val="0"/>
          <w:w w:val="100"/>
          <w:sz w:val="32"/>
          <w:szCs w:val="32"/>
          <w:highlight w:val="none"/>
          <w:lang w:val="zh-CN"/>
        </w:rPr>
        <w:t>印发了相关文件</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w:t>
      </w:r>
      <w:r>
        <w:rPr>
          <w:rFonts w:hint="eastAsia" w:ascii="仿宋_GB2312" w:hAnsi="仿宋_GB2312" w:eastAsia="仿宋_GB2312" w:cs="仿宋_GB2312"/>
          <w:b w:val="0"/>
          <w:bCs w:val="0"/>
          <w:color w:val="auto"/>
          <w:spacing w:val="0"/>
          <w:w w:val="100"/>
          <w:sz w:val="32"/>
          <w:szCs w:val="32"/>
          <w:highlight w:val="none"/>
        </w:rPr>
        <w:t>《</w:t>
      </w:r>
      <w:r>
        <w:rPr>
          <w:rFonts w:hint="eastAsia" w:ascii="仿宋_GB2312" w:hAnsi="仿宋_GB2312" w:eastAsia="仿宋_GB2312" w:cs="仿宋_GB2312"/>
          <w:b w:val="0"/>
          <w:bCs w:val="0"/>
          <w:color w:val="auto"/>
          <w:spacing w:val="0"/>
          <w:w w:val="100"/>
          <w:sz w:val="32"/>
          <w:szCs w:val="32"/>
          <w:highlight w:val="none"/>
          <w:lang w:val="en-US" w:eastAsia="zh-CN"/>
        </w:rPr>
        <w:t>张掖市生态环境局公平竞争审查工作规定》</w:t>
      </w:r>
      <w:r>
        <w:rPr>
          <w:rFonts w:hint="eastAsia" w:ascii="仿宋_GB2312" w:hAnsi="仿宋_GB2312" w:eastAsia="仿宋_GB2312" w:cs="仿宋_GB2312"/>
          <w:b w:val="0"/>
          <w:bCs w:val="0"/>
          <w:color w:val="auto"/>
          <w:spacing w:val="0"/>
          <w:w w:val="100"/>
          <w:kern w:val="2"/>
          <w:sz w:val="32"/>
          <w:szCs w:val="32"/>
          <w:lang w:val="en-US" w:eastAsia="zh-CN" w:bidi="ar"/>
        </w:rPr>
        <w:t>，</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lang w:val="zh-TW" w:eastAsia="zh-CN" w:bidi="zh-TW"/>
        </w:rPr>
        <w:t>1</w:t>
      </w:r>
      <w:r>
        <w:rPr>
          <w:rFonts w:hint="eastAsia" w:ascii="仿宋_GB2312" w:hAnsi="仿宋_GB2312" w:eastAsia="仿宋_GB2312" w:cs="仿宋_GB2312"/>
          <w:b w:val="0"/>
          <w:bCs w:val="0"/>
          <w:color w:val="auto"/>
          <w:spacing w:val="0"/>
          <w:w w:val="100"/>
          <w:kern w:val="0"/>
          <w:sz w:val="32"/>
          <w:szCs w:val="32"/>
          <w:lang w:val="en-US" w:eastAsia="zh-CN" w:bidi="zh-TW"/>
        </w:rPr>
        <w:t>2</w:t>
      </w:r>
      <w:r>
        <w:rPr>
          <w:rFonts w:hint="eastAsia" w:ascii="仿宋_GB2312" w:hAnsi="仿宋_GB2312" w:eastAsia="仿宋_GB2312" w:cs="仿宋_GB2312"/>
          <w:b w:val="0"/>
          <w:bCs w:val="0"/>
          <w:color w:val="auto"/>
          <w:spacing w:val="0"/>
          <w:w w:val="100"/>
          <w:kern w:val="0"/>
          <w:sz w:val="32"/>
          <w:szCs w:val="32"/>
          <w:lang w:val="zh-TW" w:eastAsia="zh-CN" w:bidi="zh-TW"/>
        </w:rPr>
        <w:t>.</w:t>
      </w:r>
      <w:r>
        <w:rPr>
          <w:rFonts w:hint="eastAsia" w:ascii="仿宋_GB2312" w:hAnsi="仿宋_GB2312" w:eastAsia="仿宋_GB2312" w:cs="仿宋_GB2312"/>
          <w:b w:val="0"/>
          <w:bCs w:val="0"/>
          <w:color w:val="auto"/>
          <w:spacing w:val="0"/>
          <w:w w:val="100"/>
          <w:kern w:val="0"/>
          <w:sz w:val="32"/>
          <w:szCs w:val="32"/>
          <w:highlight w:val="none"/>
          <w:lang w:eastAsia="zh-CN"/>
        </w:rPr>
        <w:t>市住建局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市住建局</w:t>
      </w:r>
      <w:r>
        <w:rPr>
          <w:rFonts w:hint="eastAsia" w:ascii="仿宋_GB2312" w:hAnsi="仿宋_GB2312" w:eastAsia="仿宋_GB2312" w:cs="仿宋_GB2312"/>
          <w:b w:val="0"/>
          <w:bCs w:val="0"/>
          <w:color w:val="auto"/>
          <w:spacing w:val="0"/>
          <w:w w:val="100"/>
          <w:sz w:val="32"/>
          <w:szCs w:val="32"/>
          <w:highlight w:val="none"/>
          <w:lang w:val="zh-CN"/>
        </w:rPr>
        <w:t>印发</w:t>
      </w:r>
      <w:r>
        <w:rPr>
          <w:rFonts w:hint="eastAsia" w:ascii="仿宋_GB2312" w:hAnsi="仿宋_GB2312" w:eastAsia="仿宋_GB2312" w:cs="仿宋_GB2312"/>
          <w:b w:val="0"/>
          <w:bCs w:val="0"/>
          <w:color w:val="auto"/>
          <w:spacing w:val="0"/>
          <w:w w:val="100"/>
          <w:kern w:val="2"/>
          <w:sz w:val="32"/>
          <w:szCs w:val="32"/>
          <w:lang w:val="en-US" w:eastAsia="zh-CN" w:bidi="ar"/>
        </w:rPr>
        <w:t>了相关文件，结合工作实际制定了《公平竞争审查工作实施方案》，</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lang w:val="zh-TW" w:eastAsia="zh-CN" w:bidi="zh-TW"/>
        </w:rPr>
        <w:t>1</w:t>
      </w:r>
      <w:r>
        <w:rPr>
          <w:rFonts w:hint="eastAsia" w:ascii="仿宋_GB2312" w:hAnsi="仿宋_GB2312" w:eastAsia="仿宋_GB2312" w:cs="仿宋_GB2312"/>
          <w:b w:val="0"/>
          <w:bCs w:val="0"/>
          <w:color w:val="auto"/>
          <w:spacing w:val="0"/>
          <w:w w:val="100"/>
          <w:kern w:val="0"/>
          <w:sz w:val="32"/>
          <w:szCs w:val="32"/>
          <w:lang w:val="en-US" w:eastAsia="zh-CN" w:bidi="zh-TW"/>
        </w:rPr>
        <w:t>3</w:t>
      </w:r>
      <w:r>
        <w:rPr>
          <w:rFonts w:hint="eastAsia" w:ascii="仿宋_GB2312" w:hAnsi="仿宋_GB2312" w:eastAsia="仿宋_GB2312" w:cs="仿宋_GB2312"/>
          <w:b w:val="0"/>
          <w:bCs w:val="0"/>
          <w:color w:val="auto"/>
          <w:spacing w:val="0"/>
          <w:w w:val="100"/>
          <w:kern w:val="0"/>
          <w:sz w:val="32"/>
          <w:szCs w:val="32"/>
          <w:lang w:val="zh-TW" w:eastAsia="zh-CN" w:bidi="zh-TW"/>
        </w:rPr>
        <w:t>.</w:t>
      </w:r>
      <w:r>
        <w:rPr>
          <w:rFonts w:hint="eastAsia" w:ascii="仿宋_GB2312" w:hAnsi="仿宋_GB2312" w:eastAsia="仿宋_GB2312" w:cs="仿宋_GB2312"/>
          <w:b w:val="0"/>
          <w:bCs w:val="0"/>
          <w:color w:val="auto"/>
          <w:spacing w:val="0"/>
          <w:w w:val="100"/>
          <w:kern w:val="0"/>
          <w:sz w:val="32"/>
          <w:szCs w:val="32"/>
          <w:highlight w:val="none"/>
          <w:lang w:eastAsia="zh-CN"/>
        </w:rPr>
        <w:t>市交通运输局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市交通运输局</w:t>
      </w:r>
      <w:r>
        <w:rPr>
          <w:rFonts w:hint="eastAsia" w:ascii="仿宋_GB2312" w:hAnsi="仿宋_GB2312" w:eastAsia="仿宋_GB2312" w:cs="仿宋_GB2312"/>
          <w:b w:val="0"/>
          <w:bCs w:val="0"/>
          <w:color w:val="auto"/>
          <w:spacing w:val="0"/>
          <w:w w:val="100"/>
          <w:sz w:val="32"/>
          <w:szCs w:val="32"/>
          <w:highlight w:val="none"/>
          <w:lang w:val="zh-CN"/>
        </w:rPr>
        <w:t>印发了相关文件</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，结合工作实际制定了《张掖市交通运输局公平竞争审查工作规定》，</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14.</w:t>
      </w:r>
      <w:r>
        <w:rPr>
          <w:rFonts w:hint="eastAsia" w:ascii="仿宋_GB2312" w:hAnsi="仿宋_GB2312" w:eastAsia="仿宋_GB2312" w:cs="仿宋_GB2312"/>
          <w:b w:val="0"/>
          <w:bCs w:val="0"/>
          <w:color w:val="auto"/>
          <w:spacing w:val="0"/>
          <w:w w:val="100"/>
          <w:kern w:val="0"/>
          <w:sz w:val="32"/>
          <w:szCs w:val="32"/>
          <w:highlight w:val="none"/>
          <w:lang w:eastAsia="zh-CN"/>
        </w:rPr>
        <w:t>市水务局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lang w:eastAsia="zh-CN"/>
        </w:rPr>
        <w:t>市水务局</w:t>
      </w:r>
      <w:r>
        <w:rPr>
          <w:rFonts w:hint="eastAsia" w:ascii="仿宋_GB2312" w:hAnsi="仿宋_GB2312" w:eastAsia="仿宋_GB2312" w:cs="仿宋_GB2312"/>
          <w:b w:val="0"/>
          <w:bCs w:val="0"/>
          <w:color w:val="auto"/>
          <w:spacing w:val="0"/>
          <w:w w:val="100"/>
          <w:sz w:val="32"/>
          <w:szCs w:val="32"/>
          <w:highlight w:val="none"/>
          <w:lang w:val="zh-CN"/>
        </w:rPr>
        <w:t>印发了相关文件</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，结合工作实际，制定了《张掖市水务局公平竞争审查制度实施方案》，</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15.</w:t>
      </w:r>
      <w:r>
        <w:rPr>
          <w:rFonts w:hint="eastAsia" w:ascii="仿宋_GB2312" w:hAnsi="仿宋_GB2312" w:eastAsia="仿宋_GB2312" w:cs="仿宋_GB2312"/>
          <w:b w:val="0"/>
          <w:bCs w:val="0"/>
          <w:color w:val="auto"/>
          <w:spacing w:val="0"/>
          <w:w w:val="100"/>
          <w:kern w:val="0"/>
          <w:sz w:val="32"/>
          <w:szCs w:val="32"/>
          <w:highlight w:val="none"/>
          <w:lang w:val="en-US" w:eastAsia="zh-CN"/>
        </w:rPr>
        <w:t>市农业局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rPr>
        <w:t>市农业局</w:t>
      </w:r>
      <w:r>
        <w:rPr>
          <w:rFonts w:hint="eastAsia" w:ascii="仿宋_GB2312" w:hAnsi="仿宋_GB2312" w:eastAsia="仿宋_GB2312" w:cs="仿宋_GB2312"/>
          <w:b w:val="0"/>
          <w:bCs w:val="0"/>
          <w:color w:val="auto"/>
          <w:spacing w:val="0"/>
          <w:w w:val="100"/>
          <w:sz w:val="32"/>
          <w:szCs w:val="32"/>
          <w:highlight w:val="none"/>
          <w:lang w:val="zh-CN"/>
        </w:rPr>
        <w:t>印发了相关文件</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，结合工作实际，制定了《张掖市农业农村局公平竞争审查工作方案》，</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16.</w:t>
      </w:r>
      <w:r>
        <w:rPr>
          <w:rFonts w:hint="eastAsia" w:ascii="仿宋_GB2312" w:hAnsi="仿宋_GB2312" w:eastAsia="仿宋_GB2312" w:cs="仿宋_GB2312"/>
          <w:b w:val="0"/>
          <w:bCs w:val="0"/>
          <w:color w:val="auto"/>
          <w:spacing w:val="0"/>
          <w:w w:val="100"/>
          <w:kern w:val="0"/>
          <w:sz w:val="32"/>
          <w:szCs w:val="32"/>
          <w:highlight w:val="none"/>
          <w:lang w:val="en-US" w:eastAsia="zh-CN"/>
        </w:rPr>
        <w:t>市林草局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rPr>
        <w:t>市林草局</w:t>
      </w:r>
      <w:r>
        <w:rPr>
          <w:rFonts w:hint="eastAsia" w:ascii="仿宋_GB2312" w:hAnsi="仿宋_GB2312" w:eastAsia="仿宋_GB2312" w:cs="仿宋_GB2312"/>
          <w:b w:val="0"/>
          <w:bCs w:val="0"/>
          <w:color w:val="auto"/>
          <w:spacing w:val="0"/>
          <w:w w:val="100"/>
          <w:kern w:val="2"/>
          <w:sz w:val="32"/>
          <w:szCs w:val="32"/>
          <w:lang w:val="en-US" w:eastAsia="zh-CN" w:bidi="ar"/>
        </w:rPr>
        <w:t>印发了《关于做好公平竞争审查工作的通知》，结合工作实际制定了《关于建立公平性竞争内部审查机制的通知》，</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17.</w:t>
      </w:r>
      <w:r>
        <w:rPr>
          <w:rFonts w:hint="eastAsia" w:ascii="仿宋_GB2312" w:hAnsi="仿宋_GB2312" w:eastAsia="仿宋_GB2312" w:cs="仿宋_GB2312"/>
          <w:b w:val="0"/>
          <w:bCs w:val="0"/>
          <w:color w:val="auto"/>
          <w:spacing w:val="0"/>
          <w:w w:val="100"/>
          <w:kern w:val="0"/>
          <w:sz w:val="32"/>
          <w:szCs w:val="32"/>
          <w:highlight w:val="none"/>
          <w:lang w:val="en-US" w:eastAsia="zh-CN"/>
        </w:rPr>
        <w:t>市畜牧局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rPr>
        <w:t>市畜牧局</w:t>
      </w:r>
      <w:r>
        <w:rPr>
          <w:rFonts w:hint="eastAsia" w:ascii="仿宋_GB2312" w:hAnsi="仿宋_GB2312" w:eastAsia="仿宋_GB2312" w:cs="仿宋_GB2312"/>
          <w:b w:val="0"/>
          <w:bCs w:val="0"/>
          <w:color w:val="auto"/>
          <w:spacing w:val="0"/>
          <w:w w:val="100"/>
          <w:sz w:val="32"/>
          <w:szCs w:val="32"/>
          <w:highlight w:val="none"/>
          <w:lang w:val="zh-CN"/>
        </w:rPr>
        <w:t>印发了相关文件</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，结合工作实际，制定了《张掖市畜牧兽医局公平竞争内部审查工作制度》，</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18.</w:t>
      </w:r>
      <w:r>
        <w:rPr>
          <w:rFonts w:hint="eastAsia" w:ascii="仿宋_GB2312" w:hAnsi="仿宋_GB2312" w:eastAsia="仿宋_GB2312" w:cs="仿宋_GB2312"/>
          <w:b w:val="0"/>
          <w:bCs w:val="0"/>
          <w:color w:val="auto"/>
          <w:spacing w:val="0"/>
          <w:w w:val="100"/>
          <w:kern w:val="0"/>
          <w:sz w:val="32"/>
          <w:szCs w:val="32"/>
          <w:highlight w:val="none"/>
          <w:lang w:val="en-US" w:eastAsia="zh-CN"/>
        </w:rPr>
        <w:t>市文广旅游局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rPr>
        <w:t>市文广旅游局</w:t>
      </w:r>
      <w:r>
        <w:rPr>
          <w:rFonts w:hint="eastAsia" w:ascii="仿宋_GB2312" w:hAnsi="仿宋_GB2312" w:eastAsia="仿宋_GB2312" w:cs="仿宋_GB2312"/>
          <w:b w:val="0"/>
          <w:bCs w:val="0"/>
          <w:color w:val="auto"/>
          <w:spacing w:val="0"/>
          <w:w w:val="100"/>
          <w:sz w:val="32"/>
          <w:szCs w:val="32"/>
          <w:highlight w:val="none"/>
          <w:lang w:val="zh-CN"/>
        </w:rPr>
        <w:t>印发了相关文件</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，结合工作实际制定了《张掖市文化广电和旅游局公平竞争审查制度实施细则（试行）》，</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19.</w:t>
      </w:r>
      <w:r>
        <w:rPr>
          <w:rFonts w:hint="eastAsia" w:ascii="仿宋_GB2312" w:hAnsi="仿宋_GB2312" w:eastAsia="仿宋_GB2312" w:cs="仿宋_GB2312"/>
          <w:b w:val="0"/>
          <w:bCs w:val="0"/>
          <w:color w:val="auto"/>
          <w:spacing w:val="0"/>
          <w:w w:val="100"/>
          <w:kern w:val="0"/>
          <w:sz w:val="32"/>
          <w:szCs w:val="32"/>
          <w:highlight w:val="none"/>
          <w:lang w:val="en-US" w:eastAsia="zh-CN"/>
        </w:rPr>
        <w:t>市卫生健康委</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rPr>
        <w:t>市卫生健康委</w:t>
      </w:r>
      <w:r>
        <w:rPr>
          <w:rFonts w:hint="eastAsia" w:ascii="仿宋_GB2312" w:hAnsi="仿宋_GB2312" w:eastAsia="仿宋_GB2312" w:cs="仿宋_GB2312"/>
          <w:b w:val="0"/>
          <w:bCs w:val="0"/>
          <w:color w:val="auto"/>
          <w:spacing w:val="0"/>
          <w:w w:val="100"/>
          <w:sz w:val="32"/>
          <w:szCs w:val="32"/>
          <w:highlight w:val="none"/>
          <w:lang w:val="zh-CN"/>
        </w:rPr>
        <w:t>印发了相关文件</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，结合工作实际制定了《张掖市卫生健康委员会公平竞争审查工作办法》，</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20.</w:t>
      </w:r>
      <w:r>
        <w:rPr>
          <w:rFonts w:hint="eastAsia" w:ascii="仿宋_GB2312" w:hAnsi="仿宋_GB2312" w:eastAsia="仿宋_GB2312" w:cs="仿宋_GB2312"/>
          <w:b w:val="0"/>
          <w:bCs w:val="0"/>
          <w:color w:val="auto"/>
          <w:spacing w:val="0"/>
          <w:w w:val="100"/>
          <w:kern w:val="0"/>
          <w:sz w:val="32"/>
          <w:szCs w:val="32"/>
          <w:highlight w:val="none"/>
          <w:lang w:val="en-US" w:eastAsia="zh-CN"/>
        </w:rPr>
        <w:t>市税务局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rPr>
        <w:t>市税务局</w:t>
      </w:r>
      <w:r>
        <w:rPr>
          <w:rFonts w:hint="eastAsia" w:ascii="仿宋_GB2312" w:hAnsi="仿宋_GB2312" w:eastAsia="仿宋_GB2312" w:cs="仿宋_GB2312"/>
          <w:b w:val="0"/>
          <w:bCs w:val="0"/>
          <w:color w:val="auto"/>
          <w:spacing w:val="0"/>
          <w:w w:val="100"/>
          <w:kern w:val="2"/>
          <w:sz w:val="32"/>
          <w:szCs w:val="32"/>
          <w:lang w:val="en-US" w:eastAsia="zh-CN" w:bidi="ar"/>
        </w:rPr>
        <w:t>印发了《国家税务总局关于修改&lt;税务规范性文件制定管理办法&gt;的决定》、制定</w:t>
      </w:r>
      <w:r>
        <w:rPr>
          <w:rFonts w:hint="eastAsia"/>
          <w:lang w:val="en-US" w:eastAsia="zh-CN"/>
        </w:rPr>
        <w:t>了</w:t>
      </w:r>
      <w:r>
        <w:rPr>
          <w:rFonts w:hint="eastAsia" w:ascii="仿宋_GB2312" w:hAnsi="仿宋_GB2312" w:eastAsia="仿宋_GB2312" w:cs="仿宋_GB2312"/>
          <w:b w:val="0"/>
          <w:bCs w:val="0"/>
          <w:color w:val="auto"/>
          <w:spacing w:val="0"/>
          <w:w w:val="100"/>
          <w:kern w:val="2"/>
          <w:sz w:val="32"/>
          <w:szCs w:val="32"/>
          <w:lang w:val="en-US" w:eastAsia="zh-CN" w:bidi="ar"/>
        </w:rPr>
        <w:t>《国家税务总局张掖市税务局关于开展妨碍统一市场和公平竞争政策措施清理工作的通知》，</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21.</w:t>
      </w:r>
      <w:r>
        <w:rPr>
          <w:rFonts w:hint="eastAsia" w:ascii="仿宋_GB2312" w:hAnsi="仿宋_GB2312" w:eastAsia="仿宋_GB2312" w:cs="仿宋_GB2312"/>
          <w:b w:val="0"/>
          <w:bCs w:val="0"/>
          <w:color w:val="auto"/>
          <w:spacing w:val="0"/>
          <w:w w:val="100"/>
          <w:kern w:val="0"/>
          <w:sz w:val="32"/>
          <w:szCs w:val="32"/>
          <w:highlight w:val="none"/>
          <w:lang w:val="en-US" w:eastAsia="zh-CN"/>
        </w:rPr>
        <w:t>市医保局</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rPr>
        <w:t>市医保局</w:t>
      </w:r>
      <w:r>
        <w:rPr>
          <w:rFonts w:hint="eastAsia" w:ascii="仿宋_GB2312" w:hAnsi="仿宋_GB2312" w:eastAsia="仿宋_GB2312" w:cs="仿宋_GB2312"/>
          <w:b w:val="0"/>
          <w:bCs w:val="0"/>
          <w:color w:val="auto"/>
          <w:spacing w:val="0"/>
          <w:w w:val="100"/>
          <w:sz w:val="32"/>
          <w:szCs w:val="32"/>
          <w:highlight w:val="none"/>
          <w:lang w:val="zh-CN"/>
        </w:rPr>
        <w:t>印发了相关文件</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，结合工作实际制定了《张掖市医疗保障局公平竞争审查工作规定》，</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22.</w:t>
      </w:r>
      <w:r>
        <w:rPr>
          <w:rFonts w:hint="eastAsia" w:ascii="仿宋_GB2312" w:hAnsi="仿宋_GB2312" w:eastAsia="仿宋_GB2312" w:cs="仿宋_GB2312"/>
          <w:b w:val="0"/>
          <w:bCs w:val="0"/>
          <w:color w:val="auto"/>
          <w:spacing w:val="0"/>
          <w:w w:val="100"/>
          <w:kern w:val="0"/>
          <w:sz w:val="32"/>
          <w:szCs w:val="32"/>
          <w:highlight w:val="none"/>
          <w:lang w:val="en-US" w:eastAsia="zh-CN"/>
        </w:rPr>
        <w:t>市政府金融办</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rPr>
        <w:t>市政府金融办</w:t>
      </w:r>
      <w:r>
        <w:rPr>
          <w:rFonts w:hint="eastAsia" w:ascii="仿宋_GB2312" w:hAnsi="仿宋_GB2312" w:eastAsia="仿宋_GB2312" w:cs="仿宋_GB2312"/>
          <w:b w:val="0"/>
          <w:bCs w:val="0"/>
          <w:color w:val="auto"/>
          <w:spacing w:val="0"/>
          <w:w w:val="100"/>
          <w:sz w:val="32"/>
          <w:szCs w:val="32"/>
          <w:highlight w:val="none"/>
          <w:lang w:val="zh-CN"/>
        </w:rPr>
        <w:t>印发了相关文件</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w:t>
      </w:r>
      <w:r>
        <w:rPr>
          <w:rFonts w:hint="eastAsia" w:ascii="仿宋_GB2312" w:hAnsi="仿宋_GB2312" w:eastAsia="仿宋_GB2312" w:cs="仿宋_GB2312"/>
          <w:b w:val="0"/>
          <w:bCs w:val="0"/>
          <w:color w:val="auto"/>
          <w:spacing w:val="0"/>
          <w:w w:val="100"/>
          <w:sz w:val="32"/>
          <w:szCs w:val="32"/>
          <w:highlight w:val="none"/>
          <w:u w:val="none"/>
        </w:rPr>
        <w:t>《</w:t>
      </w:r>
      <w:r>
        <w:rPr>
          <w:rFonts w:hint="eastAsia" w:ascii="仿宋_GB2312" w:hAnsi="仿宋_GB2312" w:eastAsia="仿宋_GB2312" w:cs="仿宋_GB2312"/>
          <w:b w:val="0"/>
          <w:bCs w:val="0"/>
          <w:color w:val="auto"/>
          <w:spacing w:val="0"/>
          <w:w w:val="100"/>
          <w:sz w:val="32"/>
          <w:szCs w:val="32"/>
          <w:highlight w:val="none"/>
          <w:u w:val="none"/>
          <w:lang w:eastAsia="zh-CN"/>
        </w:rPr>
        <w:t>市政府金融办公平竞争审查工作制度</w:t>
      </w:r>
      <w:r>
        <w:rPr>
          <w:rFonts w:hint="eastAsia" w:ascii="仿宋_GB2312" w:hAnsi="仿宋_GB2312" w:eastAsia="仿宋_GB2312" w:cs="仿宋_GB2312"/>
          <w:b w:val="0"/>
          <w:bCs w:val="0"/>
          <w:color w:val="auto"/>
          <w:spacing w:val="0"/>
          <w:w w:val="100"/>
          <w:sz w:val="32"/>
          <w:szCs w:val="32"/>
          <w:highlight w:val="none"/>
          <w:u w:val="none"/>
        </w:rPr>
        <w:t>》</w:t>
      </w:r>
      <w:r>
        <w:rPr>
          <w:rFonts w:hint="eastAsia" w:ascii="仿宋_GB2312" w:hAnsi="仿宋_GB2312" w:eastAsia="仿宋_GB2312" w:cs="仿宋_GB2312"/>
          <w:b w:val="0"/>
          <w:bCs w:val="0"/>
          <w:color w:val="auto"/>
          <w:spacing w:val="0"/>
          <w:w w:val="100"/>
          <w:kern w:val="2"/>
          <w:sz w:val="32"/>
          <w:szCs w:val="32"/>
          <w:lang w:val="en-US" w:eastAsia="zh-CN" w:bidi="ar"/>
        </w:rPr>
        <w:t>，</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23.</w:t>
      </w:r>
      <w:r>
        <w:rPr>
          <w:rFonts w:hint="eastAsia" w:ascii="仿宋_GB2312" w:hAnsi="仿宋_GB2312" w:eastAsia="仿宋_GB2312" w:cs="仿宋_GB2312"/>
          <w:b w:val="0"/>
          <w:bCs w:val="0"/>
          <w:color w:val="auto"/>
          <w:spacing w:val="0"/>
          <w:w w:val="100"/>
          <w:kern w:val="0"/>
          <w:sz w:val="32"/>
          <w:szCs w:val="32"/>
          <w:highlight w:val="none"/>
          <w:lang w:val="en-US" w:eastAsia="zh-CN"/>
        </w:rPr>
        <w:t>市经开区</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rPr>
        <w:t>市经开区</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w:t>
      </w:r>
      <w:r>
        <w:rPr>
          <w:rFonts w:hint="eastAsia" w:ascii="仿宋_GB2312" w:hAnsi="仿宋_GB2312" w:eastAsia="仿宋_GB2312" w:cs="仿宋_GB2312"/>
          <w:b w:val="0"/>
          <w:bCs w:val="0"/>
          <w:color w:val="auto"/>
          <w:spacing w:val="0"/>
          <w:w w:val="100"/>
          <w:sz w:val="32"/>
          <w:szCs w:val="32"/>
          <w:lang w:val="en-US" w:eastAsia="zh-CN"/>
        </w:rPr>
        <w:t>张掖市经济技术开发区</w:t>
      </w:r>
      <w:r>
        <w:rPr>
          <w:rFonts w:hint="eastAsia" w:ascii="仿宋_GB2312" w:hAnsi="仿宋_GB2312" w:eastAsia="仿宋_GB2312" w:cs="仿宋_GB2312"/>
          <w:b w:val="0"/>
          <w:bCs w:val="0"/>
          <w:color w:val="auto"/>
          <w:spacing w:val="0"/>
          <w:w w:val="100"/>
          <w:kern w:val="2"/>
          <w:sz w:val="32"/>
          <w:szCs w:val="32"/>
          <w:lang w:val="en-US" w:eastAsia="zh-CN" w:bidi="ar"/>
        </w:rPr>
        <w:t>公平竞争实施细则》，</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对公平竞争审查人员组成与职责分工进行了明确安排，建立起本部门的公平竞争审查制度。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24.</w:t>
      </w:r>
      <w:r>
        <w:rPr>
          <w:rFonts w:hint="eastAsia" w:ascii="仿宋_GB2312" w:hAnsi="仿宋_GB2312" w:eastAsia="仿宋_GB2312" w:cs="仿宋_GB2312"/>
          <w:b w:val="0"/>
          <w:bCs w:val="0"/>
          <w:color w:val="auto"/>
          <w:spacing w:val="0"/>
          <w:w w:val="100"/>
          <w:kern w:val="0"/>
          <w:sz w:val="32"/>
          <w:szCs w:val="32"/>
          <w:highlight w:val="none"/>
          <w:lang w:val="en-US" w:eastAsia="zh-CN"/>
        </w:rPr>
        <w:t>甘州区</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rPr>
        <w:t>甘州区</w:t>
      </w:r>
      <w:r>
        <w:rPr>
          <w:rFonts w:hint="eastAsia" w:ascii="仿宋_GB2312" w:hAnsi="仿宋_GB2312" w:eastAsia="仿宋_GB2312" w:cs="仿宋_GB2312"/>
          <w:b w:val="0"/>
          <w:bCs w:val="0"/>
          <w:color w:val="auto"/>
          <w:spacing w:val="0"/>
          <w:w w:val="100"/>
          <w:sz w:val="32"/>
          <w:szCs w:val="32"/>
          <w:highlight w:val="none"/>
          <w:lang w:val="zh-CN"/>
        </w:rPr>
        <w:t>印发了相关文件</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，结合工作实际制定了《甘州区公平竞争审查工作政策措施抽查制度》、《甘州区重大政策措施公平竞争审查会审制度》、《甘州区公平竞争审查投诉举报和处理回应制度》制度，</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w:t>
      </w:r>
      <w:r>
        <w:rPr>
          <w:rFonts w:hint="eastAsia" w:ascii="仿宋_GB2312" w:hAnsi="仿宋_GB2312" w:eastAsia="仿宋_GB2312" w:cs="仿宋_GB2312"/>
          <w:b w:val="0"/>
          <w:bCs w:val="0"/>
          <w:color w:val="auto"/>
          <w:spacing w:val="0"/>
          <w:w w:val="100"/>
          <w:kern w:val="0"/>
          <w:sz w:val="32"/>
          <w:szCs w:val="32"/>
          <w:highlight w:val="none"/>
          <w:lang w:eastAsia="zh-CN"/>
        </w:rPr>
        <w:t>区域</w:t>
      </w:r>
      <w:r>
        <w:rPr>
          <w:rFonts w:hint="eastAsia" w:ascii="仿宋_GB2312" w:hAnsi="仿宋_GB2312" w:eastAsia="仿宋_GB2312" w:cs="仿宋_GB2312"/>
          <w:b w:val="0"/>
          <w:bCs w:val="0"/>
          <w:color w:val="auto"/>
          <w:spacing w:val="0"/>
          <w:w w:val="100"/>
          <w:kern w:val="0"/>
          <w:sz w:val="32"/>
          <w:szCs w:val="32"/>
          <w:highlight w:val="none"/>
        </w:rPr>
        <w:t>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25.</w:t>
      </w:r>
      <w:r>
        <w:rPr>
          <w:rFonts w:hint="eastAsia" w:ascii="仿宋_GB2312" w:hAnsi="仿宋_GB2312" w:eastAsia="仿宋_GB2312" w:cs="仿宋_GB2312"/>
          <w:b w:val="0"/>
          <w:bCs w:val="0"/>
          <w:color w:val="auto"/>
          <w:spacing w:val="0"/>
          <w:w w:val="100"/>
          <w:kern w:val="0"/>
          <w:sz w:val="32"/>
          <w:szCs w:val="32"/>
          <w:highlight w:val="none"/>
          <w:lang w:val="en-US" w:eastAsia="zh-CN"/>
        </w:rPr>
        <w:t>临泽县</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rPr>
        <w:t>临泽县</w:t>
      </w:r>
      <w:r>
        <w:rPr>
          <w:rFonts w:hint="eastAsia" w:ascii="仿宋_GB2312" w:hAnsi="仿宋_GB2312" w:eastAsia="仿宋_GB2312" w:cs="仿宋_GB2312"/>
          <w:b w:val="0"/>
          <w:bCs w:val="0"/>
          <w:color w:val="auto"/>
          <w:spacing w:val="0"/>
          <w:w w:val="100"/>
          <w:sz w:val="32"/>
          <w:szCs w:val="32"/>
          <w:highlight w:val="none"/>
          <w:lang w:val="zh-CN"/>
        </w:rPr>
        <w:t>印发了相关文件</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w:t>
      </w:r>
      <w:r>
        <w:rPr>
          <w:rFonts w:hint="eastAsia" w:ascii="仿宋_GB2312" w:hAnsi="仿宋_GB2312" w:eastAsia="仿宋_GB2312" w:cs="仿宋_GB2312"/>
          <w:b w:val="0"/>
          <w:bCs w:val="0"/>
          <w:color w:val="auto"/>
          <w:spacing w:val="0"/>
          <w:w w:val="100"/>
          <w:kern w:val="2"/>
          <w:sz w:val="32"/>
          <w:szCs w:val="32"/>
          <w:highlight w:val="none"/>
          <w:lang w:val="en-US" w:eastAsia="zh-CN" w:bidi="ar"/>
        </w:rPr>
        <w:t>《临泽县公平竞争审查工作政策措施抽查制度》、《临泽县公平竞争审查工作政策措施会审制度》、《临泽县公平竞争审查投诉举报处理回应制度》</w:t>
      </w:r>
      <w:r>
        <w:rPr>
          <w:rFonts w:hint="eastAsia" w:ascii="仿宋_GB2312" w:hAnsi="仿宋_GB2312" w:eastAsia="仿宋_GB2312" w:cs="仿宋_GB2312"/>
          <w:b w:val="0"/>
          <w:bCs w:val="0"/>
          <w:color w:val="auto"/>
          <w:spacing w:val="0"/>
          <w:w w:val="100"/>
          <w:kern w:val="2"/>
          <w:sz w:val="32"/>
          <w:szCs w:val="32"/>
          <w:lang w:val="en-US" w:eastAsia="zh-CN" w:bidi="ar"/>
        </w:rPr>
        <w:t>制度，</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w:t>
      </w:r>
      <w:r>
        <w:rPr>
          <w:rFonts w:hint="eastAsia" w:ascii="仿宋_GB2312" w:hAnsi="仿宋_GB2312" w:eastAsia="仿宋_GB2312" w:cs="仿宋_GB2312"/>
          <w:b w:val="0"/>
          <w:bCs w:val="0"/>
          <w:color w:val="auto"/>
          <w:spacing w:val="0"/>
          <w:w w:val="100"/>
          <w:kern w:val="0"/>
          <w:sz w:val="32"/>
          <w:szCs w:val="32"/>
          <w:highlight w:val="none"/>
          <w:lang w:eastAsia="zh-CN"/>
        </w:rPr>
        <w:t>区域</w:t>
      </w:r>
      <w:r>
        <w:rPr>
          <w:rFonts w:hint="eastAsia" w:ascii="仿宋_GB2312" w:hAnsi="仿宋_GB2312" w:eastAsia="仿宋_GB2312" w:cs="仿宋_GB2312"/>
          <w:b w:val="0"/>
          <w:bCs w:val="0"/>
          <w:color w:val="auto"/>
          <w:spacing w:val="0"/>
          <w:w w:val="100"/>
          <w:kern w:val="0"/>
          <w:sz w:val="32"/>
          <w:szCs w:val="32"/>
          <w:highlight w:val="none"/>
        </w:rPr>
        <w:t>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26.</w:t>
      </w:r>
      <w:r>
        <w:rPr>
          <w:rFonts w:hint="eastAsia" w:ascii="仿宋_GB2312" w:hAnsi="仿宋_GB2312" w:eastAsia="仿宋_GB2312" w:cs="仿宋_GB2312"/>
          <w:b w:val="0"/>
          <w:bCs w:val="0"/>
          <w:color w:val="auto"/>
          <w:spacing w:val="0"/>
          <w:w w:val="100"/>
          <w:kern w:val="0"/>
          <w:sz w:val="32"/>
          <w:szCs w:val="32"/>
          <w:highlight w:val="none"/>
          <w:lang w:val="en-US" w:eastAsia="zh-CN"/>
        </w:rPr>
        <w:t>高台县</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rPr>
        <w:t>高台县</w:t>
      </w:r>
      <w:r>
        <w:rPr>
          <w:rFonts w:hint="eastAsia" w:ascii="仿宋_GB2312" w:hAnsi="仿宋_GB2312" w:eastAsia="仿宋_GB2312" w:cs="仿宋_GB2312"/>
          <w:b w:val="0"/>
          <w:bCs w:val="0"/>
          <w:color w:val="auto"/>
          <w:spacing w:val="0"/>
          <w:w w:val="100"/>
          <w:sz w:val="32"/>
          <w:szCs w:val="32"/>
          <w:highlight w:val="none"/>
          <w:lang w:val="zh-CN"/>
        </w:rPr>
        <w:t>印发了相关文件</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，结合工作实际制定了《高台县公平竞争审查工作政策措施抽查制度(试行)》、《高台县重大政策措施公平竞争审查会审制度(试行)》、《高台县公平竞争审查投诉举报和处理回应制度(试行)》制度，</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w:t>
      </w:r>
      <w:r>
        <w:rPr>
          <w:rFonts w:hint="eastAsia" w:ascii="仿宋_GB2312" w:hAnsi="仿宋_GB2312" w:eastAsia="仿宋_GB2312" w:cs="仿宋_GB2312"/>
          <w:b w:val="0"/>
          <w:bCs w:val="0"/>
          <w:color w:val="auto"/>
          <w:spacing w:val="0"/>
          <w:w w:val="100"/>
          <w:kern w:val="0"/>
          <w:sz w:val="32"/>
          <w:szCs w:val="32"/>
          <w:highlight w:val="none"/>
          <w:lang w:eastAsia="zh-CN"/>
        </w:rPr>
        <w:t>区域</w:t>
      </w:r>
      <w:r>
        <w:rPr>
          <w:rFonts w:hint="eastAsia" w:ascii="仿宋_GB2312" w:hAnsi="仿宋_GB2312" w:eastAsia="仿宋_GB2312" w:cs="仿宋_GB2312"/>
          <w:b w:val="0"/>
          <w:bCs w:val="0"/>
          <w:color w:val="auto"/>
          <w:spacing w:val="0"/>
          <w:w w:val="100"/>
          <w:kern w:val="0"/>
          <w:sz w:val="32"/>
          <w:szCs w:val="32"/>
          <w:highlight w:val="none"/>
        </w:rPr>
        <w:t>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27.</w:t>
      </w:r>
      <w:r>
        <w:rPr>
          <w:rFonts w:hint="eastAsia" w:ascii="仿宋_GB2312" w:hAnsi="仿宋_GB2312" w:eastAsia="仿宋_GB2312" w:cs="仿宋_GB2312"/>
          <w:b w:val="0"/>
          <w:bCs w:val="0"/>
          <w:color w:val="auto"/>
          <w:spacing w:val="0"/>
          <w:w w:val="100"/>
          <w:kern w:val="0"/>
          <w:sz w:val="32"/>
          <w:szCs w:val="32"/>
          <w:highlight w:val="none"/>
          <w:lang w:val="en-US" w:eastAsia="zh-CN"/>
        </w:rPr>
        <w:t>山丹县</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highlight w:val="none"/>
          <w:lang w:val="en-US" w:eastAsia="zh-CN"/>
        </w:rPr>
        <w:t>山丹县</w:t>
      </w:r>
      <w:r>
        <w:rPr>
          <w:rFonts w:hint="eastAsia" w:ascii="仿宋_GB2312" w:hAnsi="仿宋_GB2312" w:eastAsia="仿宋_GB2312" w:cs="仿宋_GB2312"/>
          <w:b w:val="0"/>
          <w:bCs w:val="0"/>
          <w:color w:val="auto"/>
          <w:spacing w:val="0"/>
          <w:w w:val="100"/>
          <w:sz w:val="32"/>
          <w:szCs w:val="32"/>
          <w:highlight w:val="none"/>
          <w:lang w:val="zh-CN"/>
        </w:rPr>
        <w:t>印发了</w:t>
      </w:r>
      <w:r>
        <w:rPr>
          <w:rFonts w:hint="eastAsia" w:ascii="仿宋_GB2312" w:hAnsi="仿宋_GB2312" w:eastAsia="仿宋_GB2312" w:cs="仿宋_GB2312"/>
          <w:b w:val="0"/>
          <w:bCs w:val="0"/>
          <w:color w:val="auto"/>
          <w:spacing w:val="0"/>
          <w:w w:val="100"/>
          <w:sz w:val="32"/>
          <w:szCs w:val="32"/>
          <w:lang w:val="en-US" w:eastAsia="zh-CN"/>
        </w:rPr>
        <w:t>《关于印发县公平竞争审查工作联席会议2022年工作要点的通知》</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w:t>
      </w:r>
      <w:r>
        <w:rPr>
          <w:rFonts w:hint="eastAsia" w:ascii="仿宋_GB2312" w:hAnsi="仿宋_GB2312" w:eastAsia="仿宋_GB2312" w:cs="仿宋_GB2312"/>
          <w:b w:val="0"/>
          <w:bCs w:val="0"/>
          <w:color w:val="auto"/>
          <w:spacing w:val="0"/>
          <w:w w:val="100"/>
          <w:sz w:val="32"/>
          <w:szCs w:val="32"/>
          <w:lang w:val="en-US" w:eastAsia="zh-CN"/>
        </w:rPr>
        <w:t>《公平竞争审查制度实施细则》，《公平竞争审查基本流程》、《山丹县公平竞争审查工作部门联席会议制度》、</w:t>
      </w:r>
      <w:r>
        <w:rPr>
          <w:rFonts w:hint="eastAsia" w:ascii="仿宋_GB2312" w:hAnsi="仿宋_GB2312" w:eastAsia="仿宋_GB2312" w:cs="仿宋_GB2312"/>
          <w:b w:val="0"/>
          <w:bCs w:val="0"/>
          <w:color w:val="auto"/>
          <w:spacing w:val="0"/>
          <w:w w:val="100"/>
          <w:sz w:val="32"/>
          <w:szCs w:val="32"/>
          <w:lang w:eastAsia="zh-CN"/>
        </w:rPr>
        <w:t>《</w:t>
      </w:r>
      <w:r>
        <w:rPr>
          <w:rFonts w:hint="eastAsia" w:ascii="仿宋_GB2312" w:hAnsi="仿宋_GB2312" w:eastAsia="仿宋_GB2312" w:cs="仿宋_GB2312"/>
          <w:b w:val="0"/>
          <w:bCs w:val="0"/>
          <w:color w:val="auto"/>
          <w:spacing w:val="0"/>
          <w:w w:val="100"/>
          <w:sz w:val="32"/>
          <w:szCs w:val="32"/>
          <w:lang w:val="en-US" w:eastAsia="zh-CN"/>
        </w:rPr>
        <w:t>山丹县公平竞争审查工作政策措施抽查制度（试行）</w:t>
      </w:r>
      <w:r>
        <w:rPr>
          <w:rFonts w:hint="eastAsia" w:ascii="仿宋_GB2312" w:hAnsi="仿宋_GB2312" w:eastAsia="仿宋_GB2312" w:cs="仿宋_GB2312"/>
          <w:b w:val="0"/>
          <w:bCs w:val="0"/>
          <w:color w:val="auto"/>
          <w:spacing w:val="0"/>
          <w:w w:val="100"/>
          <w:sz w:val="32"/>
          <w:szCs w:val="32"/>
          <w:lang w:eastAsia="zh-CN"/>
        </w:rPr>
        <w:t>》、《</w:t>
      </w:r>
      <w:r>
        <w:rPr>
          <w:rFonts w:hint="eastAsia" w:ascii="仿宋_GB2312" w:hAnsi="仿宋_GB2312" w:eastAsia="仿宋_GB2312" w:cs="仿宋_GB2312"/>
          <w:b w:val="0"/>
          <w:bCs w:val="0"/>
          <w:color w:val="auto"/>
          <w:spacing w:val="0"/>
          <w:w w:val="100"/>
          <w:sz w:val="32"/>
          <w:szCs w:val="32"/>
          <w:lang w:val="en-US" w:eastAsia="zh-CN"/>
        </w:rPr>
        <w:t>山丹县重大政策措施公平竞争审查会审制度（试行）</w:t>
      </w:r>
      <w:r>
        <w:rPr>
          <w:rFonts w:hint="eastAsia" w:ascii="仿宋_GB2312" w:hAnsi="仿宋_GB2312" w:eastAsia="仿宋_GB2312" w:cs="仿宋_GB2312"/>
          <w:b w:val="0"/>
          <w:bCs w:val="0"/>
          <w:color w:val="auto"/>
          <w:spacing w:val="0"/>
          <w:w w:val="100"/>
          <w:sz w:val="32"/>
          <w:szCs w:val="32"/>
          <w:lang w:eastAsia="zh-CN"/>
        </w:rPr>
        <w:t>》</w:t>
      </w:r>
      <w:r>
        <w:rPr>
          <w:rFonts w:hint="eastAsia" w:ascii="仿宋_GB2312" w:hAnsi="仿宋_GB2312" w:eastAsia="仿宋_GB2312" w:cs="仿宋_GB2312"/>
          <w:b w:val="0"/>
          <w:bCs w:val="0"/>
          <w:color w:val="auto"/>
          <w:spacing w:val="0"/>
          <w:w w:val="100"/>
          <w:sz w:val="32"/>
          <w:szCs w:val="32"/>
          <w:lang w:val="en-US" w:eastAsia="zh-CN"/>
        </w:rPr>
        <w:t>和《山丹县公平竞争审查投诉举报和处理回应制度》</w:t>
      </w:r>
      <w:r>
        <w:rPr>
          <w:rFonts w:hint="eastAsia" w:ascii="仿宋_GB2312" w:hAnsi="仿宋_GB2312" w:eastAsia="仿宋_GB2312" w:cs="仿宋_GB2312"/>
          <w:b w:val="0"/>
          <w:bCs w:val="0"/>
          <w:color w:val="auto"/>
          <w:spacing w:val="0"/>
          <w:w w:val="100"/>
          <w:kern w:val="2"/>
          <w:sz w:val="32"/>
          <w:szCs w:val="32"/>
          <w:lang w:val="en-US" w:eastAsia="zh-CN" w:bidi="ar"/>
        </w:rPr>
        <w:t>制度，</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w:t>
      </w:r>
      <w:r>
        <w:rPr>
          <w:rFonts w:hint="eastAsia" w:ascii="仿宋_GB2312" w:hAnsi="仿宋_GB2312" w:eastAsia="仿宋_GB2312" w:cs="仿宋_GB2312"/>
          <w:b w:val="0"/>
          <w:bCs w:val="0"/>
          <w:color w:val="auto"/>
          <w:spacing w:val="0"/>
          <w:w w:val="100"/>
          <w:kern w:val="0"/>
          <w:sz w:val="32"/>
          <w:szCs w:val="32"/>
          <w:highlight w:val="none"/>
          <w:lang w:eastAsia="zh-CN"/>
        </w:rPr>
        <w:t>区域</w:t>
      </w:r>
      <w:r>
        <w:rPr>
          <w:rFonts w:hint="eastAsia" w:ascii="仿宋_GB2312" w:hAnsi="仿宋_GB2312" w:eastAsia="仿宋_GB2312" w:cs="仿宋_GB2312"/>
          <w:b w:val="0"/>
          <w:bCs w:val="0"/>
          <w:color w:val="auto"/>
          <w:spacing w:val="0"/>
          <w:w w:val="100"/>
          <w:kern w:val="0"/>
          <w:sz w:val="32"/>
          <w:szCs w:val="32"/>
          <w:highlight w:val="none"/>
        </w:rPr>
        <w:t>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28.</w:t>
      </w:r>
      <w:r>
        <w:rPr>
          <w:rFonts w:hint="eastAsia" w:ascii="仿宋_GB2312" w:hAnsi="仿宋_GB2312" w:eastAsia="仿宋_GB2312" w:cs="仿宋_GB2312"/>
          <w:b w:val="0"/>
          <w:bCs w:val="0"/>
          <w:color w:val="auto"/>
          <w:spacing w:val="0"/>
          <w:w w:val="100"/>
          <w:kern w:val="0"/>
          <w:sz w:val="32"/>
          <w:szCs w:val="32"/>
          <w:highlight w:val="none"/>
          <w:lang w:val="en-US" w:eastAsia="zh-CN"/>
        </w:rPr>
        <w:t>民乐县</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2"/>
          <w:sz w:val="32"/>
          <w:szCs w:val="32"/>
          <w:lang w:val="en-US" w:eastAsia="zh-CN" w:bidi="ar"/>
        </w:rPr>
        <w:t>民乐县</w:t>
      </w:r>
      <w:r>
        <w:rPr>
          <w:rFonts w:hint="eastAsia" w:ascii="仿宋_GB2312" w:hAnsi="仿宋_GB2312" w:eastAsia="仿宋_GB2312" w:cs="仿宋_GB2312"/>
          <w:b w:val="0"/>
          <w:bCs w:val="0"/>
          <w:color w:val="auto"/>
          <w:spacing w:val="0"/>
          <w:w w:val="100"/>
          <w:sz w:val="32"/>
          <w:szCs w:val="32"/>
          <w:highlight w:val="none"/>
          <w:lang w:val="zh-CN"/>
        </w:rPr>
        <w:t>印发了相关文件</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，结合工作实际制定了《民乐县公平竞争审查工作政策措施抽查制度(试行)》、《民乐县重大政策措施公平竞争审查会审制度(试行)》、《民乐县公平竞争审查投诉举报和处理回应制度(试行)》三项制度，</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w:t>
      </w:r>
      <w:r>
        <w:rPr>
          <w:rFonts w:hint="eastAsia" w:ascii="仿宋_GB2312" w:hAnsi="仿宋_GB2312" w:eastAsia="仿宋_GB2312" w:cs="仿宋_GB2312"/>
          <w:b w:val="0"/>
          <w:bCs w:val="0"/>
          <w:color w:val="auto"/>
          <w:spacing w:val="0"/>
          <w:w w:val="100"/>
          <w:kern w:val="0"/>
          <w:sz w:val="32"/>
          <w:szCs w:val="32"/>
          <w:highlight w:val="none"/>
          <w:lang w:eastAsia="zh-CN"/>
        </w:rPr>
        <w:t>区域</w:t>
      </w:r>
      <w:r>
        <w:rPr>
          <w:rFonts w:hint="eastAsia" w:ascii="仿宋_GB2312" w:hAnsi="仿宋_GB2312" w:eastAsia="仿宋_GB2312" w:cs="仿宋_GB2312"/>
          <w:b w:val="0"/>
          <w:bCs w:val="0"/>
          <w:color w:val="auto"/>
          <w:spacing w:val="0"/>
          <w:w w:val="100"/>
          <w:kern w:val="0"/>
          <w:sz w:val="32"/>
          <w:szCs w:val="32"/>
          <w:highlight w:val="none"/>
        </w:rPr>
        <w:t>的公平竞争审查制度。</w:t>
      </w:r>
    </w:p>
    <w:p>
      <w:pPr>
        <w:pStyle w:val="34"/>
        <w:pageBreakBefore w:val="0"/>
        <w:numPr>
          <w:ilvl w:val="0"/>
          <w:numId w:val="0"/>
        </w:numPr>
        <w:kinsoku/>
        <w:wordWrap/>
        <w:overflowPunct/>
        <w:topLinePunct/>
        <w:autoSpaceDE/>
        <w:autoSpaceDN/>
        <w:bidi w:val="0"/>
        <w:adjustRightInd w:val="0"/>
        <w:snapToGrid w:val="0"/>
        <w:spacing w:beforeAutospacing="0" w:line="540" w:lineRule="exact"/>
        <w:ind w:left="0" w:leftChars="0" w:right="0" w:rightChars="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val="en-US" w:eastAsia="zh-CN"/>
        </w:rPr>
      </w:pPr>
      <w:r>
        <w:rPr>
          <w:rFonts w:hint="eastAsia" w:ascii="仿宋_GB2312" w:hAnsi="仿宋_GB2312" w:eastAsia="仿宋_GB2312" w:cs="仿宋_GB2312"/>
          <w:b w:val="0"/>
          <w:bCs w:val="0"/>
          <w:color w:val="auto"/>
          <w:spacing w:val="0"/>
          <w:w w:val="100"/>
          <w:kern w:val="0"/>
          <w:sz w:val="32"/>
          <w:szCs w:val="32"/>
          <w:lang w:val="en-US" w:eastAsia="zh-CN" w:bidi="zh-TW"/>
        </w:rPr>
        <w:t>29.</w:t>
      </w:r>
      <w:r>
        <w:rPr>
          <w:rFonts w:hint="eastAsia" w:ascii="仿宋_GB2312" w:hAnsi="仿宋_GB2312" w:eastAsia="仿宋_GB2312" w:cs="仿宋_GB2312"/>
          <w:b w:val="0"/>
          <w:bCs w:val="0"/>
          <w:color w:val="auto"/>
          <w:spacing w:val="0"/>
          <w:w w:val="100"/>
          <w:kern w:val="0"/>
          <w:sz w:val="32"/>
          <w:szCs w:val="32"/>
          <w:highlight w:val="none"/>
          <w:lang w:val="en-US" w:eastAsia="zh-CN"/>
        </w:rPr>
        <w:t>肃南县</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lang w:val="en-US" w:eastAsia="zh-CN"/>
        </w:rPr>
        <w:t>肃南县</w:t>
      </w:r>
      <w:r>
        <w:rPr>
          <w:rFonts w:hint="eastAsia" w:ascii="仿宋_GB2312" w:hAnsi="仿宋_GB2312" w:eastAsia="仿宋_GB2312" w:cs="仿宋_GB2312"/>
          <w:b w:val="0"/>
          <w:bCs w:val="0"/>
          <w:color w:val="auto"/>
          <w:spacing w:val="0"/>
          <w:w w:val="100"/>
          <w:sz w:val="32"/>
          <w:szCs w:val="32"/>
          <w:highlight w:val="none"/>
          <w:lang w:val="zh-CN"/>
        </w:rPr>
        <w:t>印发了相关文件</w:t>
      </w:r>
      <w:r>
        <w:rPr>
          <w:rFonts w:hint="eastAsia" w:ascii="仿宋_GB2312" w:hAnsi="仿宋_GB2312" w:eastAsia="仿宋_GB2312" w:cs="仿宋_GB2312"/>
          <w:b w:val="0"/>
          <w:bCs w:val="0"/>
          <w:color w:val="auto"/>
          <w:spacing w:val="0"/>
          <w:w w:val="100"/>
          <w:kern w:val="2"/>
          <w:sz w:val="32"/>
          <w:szCs w:val="32"/>
          <w:lang w:val="en-US" w:eastAsia="zh-CN" w:bidi="ar"/>
        </w:rPr>
        <w:t>，结合工作实际制定了《肃南县公平竞争审查工作政策措施抽查制度(试行)》、《肃南县重大政策措施公平竞争审查会审制度(试行)》、《肃南县公平竞争审查投诉举报和处理回应制度(试行)》制度，</w:t>
      </w:r>
      <w:r>
        <w:rPr>
          <w:rFonts w:hint="eastAsia" w:ascii="仿宋_GB2312" w:hAnsi="仿宋_GB2312" w:eastAsia="仿宋_GB2312" w:cs="仿宋_GB2312"/>
          <w:b w:val="0"/>
          <w:bCs w:val="0"/>
          <w:color w:val="auto"/>
          <w:spacing w:val="0"/>
          <w:w w:val="100"/>
          <w:kern w:val="0"/>
          <w:sz w:val="32"/>
          <w:szCs w:val="32"/>
          <w:highlight w:val="none"/>
        </w:rPr>
        <w:t>对公平竞争审查人员组成与职责分工进行了明确安排，建立起本</w:t>
      </w:r>
      <w:r>
        <w:rPr>
          <w:rFonts w:hint="eastAsia" w:ascii="仿宋_GB2312" w:hAnsi="仿宋_GB2312" w:eastAsia="仿宋_GB2312" w:cs="仿宋_GB2312"/>
          <w:b w:val="0"/>
          <w:bCs w:val="0"/>
          <w:color w:val="auto"/>
          <w:spacing w:val="0"/>
          <w:w w:val="100"/>
          <w:kern w:val="0"/>
          <w:sz w:val="32"/>
          <w:szCs w:val="32"/>
          <w:highlight w:val="none"/>
          <w:lang w:eastAsia="zh-CN"/>
        </w:rPr>
        <w:t>区域</w:t>
      </w:r>
      <w:r>
        <w:rPr>
          <w:rFonts w:hint="eastAsia" w:ascii="仿宋_GB2312" w:hAnsi="仿宋_GB2312" w:eastAsia="仿宋_GB2312" w:cs="仿宋_GB2312"/>
          <w:b w:val="0"/>
          <w:bCs w:val="0"/>
          <w:color w:val="auto"/>
          <w:spacing w:val="0"/>
          <w:w w:val="100"/>
          <w:kern w:val="0"/>
          <w:sz w:val="32"/>
          <w:szCs w:val="32"/>
          <w:highlight w:val="none"/>
        </w:rPr>
        <w:t>的公平竞争审查制度。</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rPr>
        <w:t>总体而言，各</w:t>
      </w:r>
      <w:r>
        <w:rPr>
          <w:rFonts w:hint="eastAsia" w:ascii="仿宋_GB2312" w:hAnsi="仿宋_GB2312" w:eastAsia="仿宋_GB2312" w:cs="仿宋_GB2312"/>
          <w:b w:val="0"/>
          <w:bCs w:val="0"/>
          <w:color w:val="auto"/>
          <w:spacing w:val="0"/>
          <w:w w:val="100"/>
          <w:kern w:val="0"/>
          <w:sz w:val="32"/>
          <w:szCs w:val="32"/>
          <w:highlight w:val="none"/>
          <w:lang w:eastAsia="zh-CN"/>
        </w:rPr>
        <w:t>部门单位</w:t>
      </w:r>
      <w:r>
        <w:rPr>
          <w:rFonts w:hint="eastAsia" w:ascii="仿宋_GB2312" w:hAnsi="仿宋_GB2312" w:eastAsia="仿宋_GB2312" w:cs="仿宋_GB2312"/>
          <w:b w:val="0"/>
          <w:bCs w:val="0"/>
          <w:color w:val="auto"/>
          <w:spacing w:val="0"/>
          <w:w w:val="100"/>
          <w:kern w:val="0"/>
          <w:sz w:val="32"/>
          <w:szCs w:val="32"/>
          <w:highlight w:val="none"/>
        </w:rPr>
        <w:t>均印发了公平竞争审查工作的实施方案，建立了公平竞争审查机制，但具体机制的完善程度有一定差异。</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楷体_GB2312" w:hAnsi="楷体_GB2312" w:eastAsia="楷体_GB2312" w:cs="楷体_GB2312"/>
          <w:b w:val="0"/>
          <w:bCs w:val="0"/>
          <w:color w:val="auto"/>
          <w:spacing w:val="0"/>
          <w:w w:val="100"/>
          <w:kern w:val="0"/>
          <w:sz w:val="32"/>
          <w:szCs w:val="32"/>
          <w:highlight w:val="none"/>
          <w:lang w:eastAsia="zh-CN"/>
        </w:rPr>
      </w:pPr>
      <w:r>
        <w:rPr>
          <w:rFonts w:hint="eastAsia" w:ascii="楷体_GB2312" w:hAnsi="楷体_GB2312" w:eastAsia="楷体_GB2312" w:cs="楷体_GB2312"/>
          <w:b w:val="0"/>
          <w:bCs w:val="0"/>
          <w:color w:val="auto"/>
          <w:spacing w:val="0"/>
          <w:w w:val="100"/>
          <w:kern w:val="0"/>
          <w:sz w:val="32"/>
          <w:szCs w:val="32"/>
          <w:highlight w:val="none"/>
          <w:lang w:eastAsia="zh-CN"/>
        </w:rPr>
        <w:t>（二）</w:t>
      </w:r>
      <w:bookmarkStart w:id="89" w:name="_Hlk93172194"/>
      <w:r>
        <w:rPr>
          <w:rFonts w:hint="eastAsia" w:ascii="楷体_GB2312" w:hAnsi="楷体_GB2312" w:eastAsia="楷体_GB2312" w:cs="楷体_GB2312"/>
          <w:b w:val="0"/>
          <w:bCs w:val="0"/>
          <w:color w:val="auto"/>
          <w:spacing w:val="0"/>
          <w:w w:val="100"/>
          <w:kern w:val="0"/>
          <w:sz w:val="32"/>
          <w:szCs w:val="32"/>
          <w:highlight w:val="none"/>
          <w:lang w:eastAsia="zh-CN"/>
        </w:rPr>
        <w:t>投诉举报回应机制建立与运行情况</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lang w:eastAsia="zh-CN"/>
        </w:rPr>
      </w:pPr>
      <w:r>
        <w:rPr>
          <w:rFonts w:hint="eastAsia" w:ascii="仿宋_GB2312" w:hAnsi="仿宋_GB2312" w:eastAsia="仿宋_GB2312" w:cs="仿宋_GB2312"/>
          <w:b w:val="0"/>
          <w:bCs w:val="0"/>
          <w:color w:val="auto"/>
          <w:spacing w:val="0"/>
          <w:w w:val="100"/>
          <w:kern w:val="0"/>
          <w:sz w:val="32"/>
          <w:szCs w:val="32"/>
          <w:highlight w:val="none"/>
        </w:rPr>
        <w:t>投诉举报回应机制的建立有助于充分发挥公平竞争审查工作中社会监督的作用，是提高公平竞争审查政策透明度的有效途径，各</w:t>
      </w:r>
      <w:r>
        <w:rPr>
          <w:rFonts w:hint="eastAsia" w:ascii="仿宋_GB2312" w:hAnsi="仿宋_GB2312" w:eastAsia="仿宋_GB2312" w:cs="仿宋_GB2312"/>
          <w:b w:val="0"/>
          <w:bCs w:val="0"/>
          <w:color w:val="auto"/>
          <w:spacing w:val="0"/>
          <w:w w:val="100"/>
          <w:kern w:val="0"/>
          <w:sz w:val="32"/>
          <w:szCs w:val="32"/>
          <w:highlight w:val="none"/>
          <w:lang w:eastAsia="zh-CN"/>
        </w:rPr>
        <w:t>单位</w:t>
      </w:r>
      <w:r>
        <w:rPr>
          <w:rFonts w:hint="eastAsia" w:ascii="仿宋_GB2312" w:hAnsi="仿宋_GB2312" w:eastAsia="仿宋_GB2312" w:cs="仿宋_GB2312"/>
          <w:b w:val="0"/>
          <w:bCs w:val="0"/>
          <w:color w:val="auto"/>
          <w:spacing w:val="0"/>
          <w:w w:val="100"/>
          <w:kern w:val="0"/>
          <w:sz w:val="32"/>
          <w:szCs w:val="32"/>
          <w:highlight w:val="none"/>
        </w:rPr>
        <w:t>应当建立公平竞争审查投诉举报“一站式”受理与处理机制，精准对接群众诉求</w:t>
      </w:r>
      <w:r>
        <w:rPr>
          <w:rFonts w:hint="eastAsia" w:ascii="仿宋_GB2312" w:hAnsi="仿宋_GB2312" w:eastAsia="仿宋_GB2312" w:cs="仿宋_GB2312"/>
          <w:b w:val="0"/>
          <w:bCs w:val="0"/>
          <w:color w:val="auto"/>
          <w:spacing w:val="0"/>
          <w:w w:val="100"/>
          <w:kern w:val="0"/>
          <w:sz w:val="32"/>
          <w:szCs w:val="32"/>
          <w:highlight w:val="none"/>
          <w:lang w:eastAsia="zh-CN"/>
        </w:rPr>
        <w:t>，</w:t>
      </w:r>
      <w:r>
        <w:rPr>
          <w:rFonts w:hint="eastAsia" w:ascii="仿宋_GB2312" w:hAnsi="仿宋_GB2312" w:eastAsia="仿宋_GB2312" w:cs="仿宋_GB2312"/>
          <w:b w:val="0"/>
          <w:bCs w:val="0"/>
          <w:color w:val="auto"/>
          <w:spacing w:val="0"/>
          <w:w w:val="100"/>
          <w:kern w:val="0"/>
          <w:sz w:val="32"/>
          <w:szCs w:val="32"/>
          <w:highlight w:val="none"/>
        </w:rPr>
        <w:t>及时回应社会关切，发现和纠正政策措施中出现排除和限制竞争的问题。</w:t>
      </w:r>
      <w:bookmarkEnd w:id="89"/>
      <w:r>
        <w:rPr>
          <w:rFonts w:hint="eastAsia" w:ascii="仿宋_GB2312" w:hAnsi="仿宋_GB2312" w:eastAsia="仿宋_GB2312" w:cs="仿宋_GB2312"/>
          <w:b w:val="0"/>
          <w:bCs w:val="0"/>
          <w:color w:val="auto"/>
          <w:spacing w:val="0"/>
          <w:w w:val="100"/>
          <w:kern w:val="0"/>
          <w:sz w:val="32"/>
          <w:szCs w:val="32"/>
          <w:highlight w:val="none"/>
        </w:rPr>
        <w:t>本次被评估的</w:t>
      </w:r>
      <w:r>
        <w:rPr>
          <w:rFonts w:hint="eastAsia" w:ascii="仿宋_GB2312" w:hAnsi="仿宋_GB2312" w:eastAsia="仿宋_GB2312" w:cs="仿宋_GB2312"/>
          <w:b w:val="0"/>
          <w:bCs w:val="0"/>
          <w:color w:val="auto"/>
          <w:spacing w:val="0"/>
          <w:w w:val="100"/>
          <w:kern w:val="0"/>
          <w:sz w:val="32"/>
          <w:szCs w:val="32"/>
          <w:highlight w:val="none"/>
          <w:lang w:val="en-US" w:eastAsia="zh-CN"/>
        </w:rPr>
        <w:t>29个单位</w:t>
      </w:r>
      <w:r>
        <w:rPr>
          <w:rFonts w:hint="eastAsia" w:ascii="仿宋_GB2312" w:hAnsi="仿宋_GB2312" w:eastAsia="仿宋_GB2312" w:cs="仿宋_GB2312"/>
          <w:b w:val="0"/>
          <w:bCs w:val="0"/>
          <w:color w:val="auto"/>
          <w:spacing w:val="0"/>
          <w:w w:val="100"/>
          <w:kern w:val="0"/>
          <w:sz w:val="32"/>
          <w:szCs w:val="32"/>
          <w:highlight w:val="none"/>
        </w:rPr>
        <w:t>的公平竞争审查投诉举报回应机制建立情况差异较大</w:t>
      </w:r>
      <w:r>
        <w:rPr>
          <w:rFonts w:hint="eastAsia" w:ascii="仿宋_GB2312" w:hAnsi="仿宋_GB2312" w:eastAsia="仿宋_GB2312" w:cs="仿宋_GB2312"/>
          <w:b w:val="0"/>
          <w:bCs w:val="0"/>
          <w:color w:val="auto"/>
          <w:spacing w:val="0"/>
          <w:w w:val="100"/>
          <w:kern w:val="0"/>
          <w:sz w:val="32"/>
          <w:szCs w:val="32"/>
          <w:highlight w:val="none"/>
          <w:lang w:eastAsia="zh-CN"/>
        </w:rPr>
        <w:t>。</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lang w:eastAsia="zh-CN"/>
        </w:rPr>
        <w:t>市市场监管局</w:t>
      </w:r>
      <w:r>
        <w:rPr>
          <w:rFonts w:hint="eastAsia" w:ascii="仿宋_GB2312" w:hAnsi="仿宋_GB2312" w:eastAsia="仿宋_GB2312" w:cs="仿宋_GB2312"/>
          <w:b w:val="0"/>
          <w:bCs w:val="0"/>
          <w:color w:val="auto"/>
          <w:spacing w:val="0"/>
          <w:w w:val="100"/>
          <w:kern w:val="0"/>
          <w:sz w:val="32"/>
          <w:szCs w:val="32"/>
          <w:highlight w:val="none"/>
        </w:rPr>
        <w:t>、</w:t>
      </w:r>
      <w:r>
        <w:rPr>
          <w:rFonts w:hint="eastAsia" w:ascii="仿宋_GB2312" w:hAnsi="仿宋_GB2312" w:eastAsia="仿宋_GB2312" w:cs="仿宋_GB2312"/>
          <w:b w:val="0"/>
          <w:bCs w:val="0"/>
          <w:color w:val="auto"/>
          <w:spacing w:val="0"/>
          <w:w w:val="100"/>
          <w:kern w:val="0"/>
          <w:sz w:val="32"/>
          <w:szCs w:val="32"/>
          <w:highlight w:val="none"/>
          <w:lang w:eastAsia="zh-CN"/>
        </w:rPr>
        <w:t>市发改委、市财政局、市司法局、市教育局、市科技局、市工信局、市生态环境局、市</w:t>
      </w:r>
      <w:r>
        <w:rPr>
          <w:rFonts w:hint="eastAsia" w:ascii="仿宋_GB2312" w:hAnsi="仿宋_GB2312" w:eastAsia="仿宋_GB2312" w:cs="仿宋_GB2312"/>
          <w:b w:val="0"/>
          <w:bCs w:val="0"/>
          <w:color w:val="auto"/>
          <w:spacing w:val="0"/>
          <w:w w:val="100"/>
          <w:kern w:val="0"/>
          <w:sz w:val="32"/>
          <w:szCs w:val="32"/>
          <w:highlight w:val="none"/>
        </w:rPr>
        <w:t>住建</w:t>
      </w:r>
      <w:r>
        <w:rPr>
          <w:rFonts w:hint="eastAsia" w:ascii="仿宋_GB2312" w:hAnsi="仿宋_GB2312" w:eastAsia="仿宋_GB2312" w:cs="仿宋_GB2312"/>
          <w:b w:val="0"/>
          <w:bCs w:val="0"/>
          <w:color w:val="auto"/>
          <w:spacing w:val="0"/>
          <w:w w:val="100"/>
          <w:kern w:val="0"/>
          <w:sz w:val="32"/>
          <w:szCs w:val="32"/>
          <w:highlight w:val="none"/>
          <w:lang w:eastAsia="zh-CN"/>
        </w:rPr>
        <w:t>局</w:t>
      </w:r>
      <w:r>
        <w:rPr>
          <w:rFonts w:hint="eastAsia" w:ascii="仿宋_GB2312" w:hAnsi="仿宋_GB2312" w:eastAsia="仿宋_GB2312" w:cs="仿宋_GB2312"/>
          <w:b w:val="0"/>
          <w:bCs w:val="0"/>
          <w:color w:val="auto"/>
          <w:spacing w:val="0"/>
          <w:w w:val="100"/>
          <w:kern w:val="0"/>
          <w:sz w:val="32"/>
          <w:szCs w:val="32"/>
          <w:highlight w:val="none"/>
        </w:rPr>
        <w:t>、</w:t>
      </w:r>
      <w:r>
        <w:rPr>
          <w:rFonts w:hint="eastAsia" w:ascii="仿宋_GB2312" w:hAnsi="仿宋_GB2312" w:eastAsia="仿宋_GB2312" w:cs="仿宋_GB2312"/>
          <w:b w:val="0"/>
          <w:bCs w:val="0"/>
          <w:color w:val="auto"/>
          <w:spacing w:val="0"/>
          <w:w w:val="100"/>
          <w:kern w:val="0"/>
          <w:sz w:val="32"/>
          <w:szCs w:val="32"/>
          <w:highlight w:val="none"/>
          <w:lang w:eastAsia="zh-CN"/>
        </w:rPr>
        <w:t>市交通运输局、市水务局、市农业农村局、市林草局、市畜牧局、市文广旅游局</w:t>
      </w:r>
      <w:r>
        <w:rPr>
          <w:rFonts w:hint="eastAsia" w:ascii="仿宋_GB2312" w:hAnsi="仿宋_GB2312" w:eastAsia="仿宋_GB2312" w:cs="仿宋_GB2312"/>
          <w:b w:val="0"/>
          <w:bCs w:val="0"/>
          <w:color w:val="auto"/>
          <w:spacing w:val="0"/>
          <w:w w:val="100"/>
          <w:kern w:val="0"/>
          <w:sz w:val="32"/>
          <w:szCs w:val="32"/>
          <w:highlight w:val="none"/>
        </w:rPr>
        <w:t>、</w:t>
      </w:r>
      <w:r>
        <w:rPr>
          <w:rFonts w:hint="eastAsia" w:ascii="仿宋_GB2312" w:hAnsi="仿宋_GB2312" w:eastAsia="仿宋_GB2312" w:cs="仿宋_GB2312"/>
          <w:b w:val="0"/>
          <w:bCs w:val="0"/>
          <w:color w:val="auto"/>
          <w:spacing w:val="0"/>
          <w:w w:val="100"/>
          <w:kern w:val="0"/>
          <w:sz w:val="32"/>
          <w:szCs w:val="32"/>
          <w:highlight w:val="none"/>
          <w:lang w:eastAsia="zh-CN"/>
        </w:rPr>
        <w:t>市卫健委、市税务局、市医保局、市金融办、市经开区、甘州区、临泽县、山丹县、民乐县、高台县和肃南县</w:t>
      </w:r>
      <w:r>
        <w:rPr>
          <w:rFonts w:hint="eastAsia" w:ascii="仿宋_GB2312" w:hAnsi="仿宋_GB2312" w:eastAsia="仿宋_GB2312" w:cs="仿宋_GB2312"/>
          <w:b w:val="0"/>
          <w:bCs w:val="0"/>
          <w:color w:val="auto"/>
          <w:spacing w:val="0"/>
          <w:w w:val="100"/>
          <w:kern w:val="0"/>
          <w:sz w:val="32"/>
          <w:szCs w:val="32"/>
          <w:highlight w:val="none"/>
        </w:rPr>
        <w:t>建立了较为完善的投诉举报回应机制，公布了投诉举报方式，暂无投诉举报记录。</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lang w:eastAsia="zh-CN"/>
        </w:rPr>
        <w:t>市商务局、市民政</w:t>
      </w:r>
      <w:r>
        <w:rPr>
          <w:rFonts w:hint="eastAsia" w:ascii="仿宋_GB2312" w:hAnsi="仿宋_GB2312" w:eastAsia="仿宋_GB2312" w:cs="仿宋_GB2312"/>
          <w:b w:val="0"/>
          <w:bCs w:val="0"/>
          <w:color w:val="auto"/>
          <w:spacing w:val="0"/>
          <w:w w:val="100"/>
          <w:kern w:val="0"/>
          <w:sz w:val="32"/>
          <w:szCs w:val="32"/>
          <w:highlight w:val="none"/>
        </w:rPr>
        <w:t>局、</w:t>
      </w:r>
      <w:r>
        <w:rPr>
          <w:rFonts w:hint="eastAsia" w:ascii="仿宋_GB2312" w:hAnsi="仿宋_GB2312" w:eastAsia="仿宋_GB2312" w:cs="仿宋_GB2312"/>
          <w:b w:val="0"/>
          <w:bCs w:val="0"/>
          <w:color w:val="auto"/>
          <w:spacing w:val="0"/>
          <w:w w:val="100"/>
          <w:kern w:val="0"/>
          <w:sz w:val="32"/>
          <w:szCs w:val="32"/>
          <w:highlight w:val="none"/>
          <w:lang w:eastAsia="zh-CN"/>
        </w:rPr>
        <w:t>市自然资源局</w:t>
      </w:r>
      <w:r>
        <w:rPr>
          <w:rFonts w:hint="eastAsia" w:ascii="仿宋_GB2312" w:hAnsi="仿宋_GB2312" w:eastAsia="仿宋_GB2312" w:cs="仿宋_GB2312"/>
          <w:b w:val="0"/>
          <w:bCs w:val="0"/>
          <w:color w:val="auto"/>
          <w:spacing w:val="0"/>
          <w:w w:val="100"/>
          <w:kern w:val="0"/>
          <w:sz w:val="32"/>
          <w:szCs w:val="32"/>
          <w:highlight w:val="none"/>
        </w:rPr>
        <w:t>并未建立相应投诉举报回应机制或缺少相关佐证材料。</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楷体_GB2312" w:hAnsi="楷体_GB2312" w:eastAsia="楷体_GB2312" w:cs="楷体_GB2312"/>
          <w:b w:val="0"/>
          <w:bCs w:val="0"/>
          <w:color w:val="auto"/>
          <w:spacing w:val="0"/>
          <w:w w:val="100"/>
          <w:kern w:val="0"/>
          <w:sz w:val="32"/>
          <w:szCs w:val="32"/>
          <w:highlight w:val="none"/>
          <w:lang w:eastAsia="zh-CN"/>
        </w:rPr>
      </w:pPr>
      <w:r>
        <w:rPr>
          <w:rFonts w:hint="eastAsia" w:ascii="楷体_GB2312" w:hAnsi="楷体_GB2312" w:eastAsia="楷体_GB2312" w:cs="楷体_GB2312"/>
          <w:b w:val="0"/>
          <w:bCs w:val="0"/>
          <w:color w:val="auto"/>
          <w:spacing w:val="0"/>
          <w:w w:val="100"/>
          <w:kern w:val="0"/>
          <w:sz w:val="32"/>
          <w:szCs w:val="32"/>
          <w:highlight w:val="none"/>
          <w:lang w:eastAsia="zh-CN"/>
        </w:rPr>
        <w:t>（三）公平竞争审查的学习、培训与宣传情况</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rPr>
        <w:t>对公平竞争审查的学习、培训与宣传是公平竞争审查工作顺利开展的必要准备工作，可以有效提高各</w:t>
      </w:r>
      <w:r>
        <w:rPr>
          <w:rFonts w:hint="eastAsia" w:ascii="仿宋_GB2312" w:hAnsi="仿宋_GB2312" w:eastAsia="仿宋_GB2312" w:cs="仿宋_GB2312"/>
          <w:b w:val="0"/>
          <w:bCs w:val="0"/>
          <w:color w:val="auto"/>
          <w:spacing w:val="0"/>
          <w:w w:val="100"/>
          <w:kern w:val="0"/>
          <w:sz w:val="32"/>
          <w:szCs w:val="32"/>
          <w:highlight w:val="none"/>
          <w:lang w:eastAsia="zh-CN"/>
        </w:rPr>
        <w:t>单位</w:t>
      </w:r>
      <w:r>
        <w:rPr>
          <w:rFonts w:hint="eastAsia" w:ascii="仿宋_GB2312" w:hAnsi="仿宋_GB2312" w:eastAsia="仿宋_GB2312" w:cs="仿宋_GB2312"/>
          <w:b w:val="0"/>
          <w:bCs w:val="0"/>
          <w:color w:val="auto"/>
          <w:spacing w:val="0"/>
          <w:w w:val="100"/>
          <w:kern w:val="0"/>
          <w:sz w:val="32"/>
          <w:szCs w:val="32"/>
          <w:highlight w:val="none"/>
        </w:rPr>
        <w:t>公平竞争审查意识与工作效率。</w:t>
      </w:r>
      <w:r>
        <w:rPr>
          <w:rFonts w:hint="eastAsia" w:ascii="仿宋_GB2312" w:hAnsi="仿宋_GB2312" w:eastAsia="仿宋_GB2312" w:cs="仿宋_GB2312"/>
          <w:b w:val="0"/>
          <w:bCs w:val="0"/>
          <w:color w:val="auto"/>
          <w:spacing w:val="0"/>
          <w:w w:val="100"/>
          <w:kern w:val="0"/>
          <w:sz w:val="32"/>
          <w:szCs w:val="32"/>
          <w:highlight w:val="none"/>
          <w:lang w:val="en-US" w:eastAsia="zh-CN"/>
        </w:rPr>
        <w:t>29个单位</w:t>
      </w:r>
      <w:r>
        <w:rPr>
          <w:rFonts w:hint="eastAsia" w:ascii="仿宋_GB2312" w:hAnsi="仿宋_GB2312" w:eastAsia="仿宋_GB2312" w:cs="仿宋_GB2312"/>
          <w:b w:val="0"/>
          <w:bCs w:val="0"/>
          <w:color w:val="auto"/>
          <w:spacing w:val="0"/>
          <w:w w:val="100"/>
          <w:kern w:val="0"/>
          <w:sz w:val="32"/>
          <w:szCs w:val="32"/>
          <w:highlight w:val="none"/>
        </w:rPr>
        <w:t>均对公平竞争审查工作内容进行了相关培训与宣传，具体内容、形式有所差异，佐证材料齐全程度也有</w:t>
      </w:r>
      <w:r>
        <w:rPr>
          <w:rFonts w:hint="eastAsia" w:ascii="仿宋_GB2312" w:hAnsi="仿宋_GB2312" w:eastAsia="仿宋_GB2312" w:cs="仿宋_GB2312"/>
          <w:b w:val="0"/>
          <w:bCs w:val="0"/>
          <w:color w:val="auto"/>
          <w:spacing w:val="0"/>
          <w:w w:val="100"/>
          <w:kern w:val="0"/>
          <w:sz w:val="32"/>
          <w:szCs w:val="32"/>
          <w:highlight w:val="none"/>
          <w:lang w:val="en-US" w:eastAsia="zh-CN"/>
        </w:rPr>
        <w:t>所</w:t>
      </w:r>
      <w:r>
        <w:rPr>
          <w:rFonts w:hint="eastAsia" w:ascii="仿宋_GB2312" w:hAnsi="仿宋_GB2312" w:eastAsia="仿宋_GB2312" w:cs="仿宋_GB2312"/>
          <w:b w:val="0"/>
          <w:bCs w:val="0"/>
          <w:color w:val="auto"/>
          <w:spacing w:val="0"/>
          <w:w w:val="100"/>
          <w:kern w:val="0"/>
          <w:sz w:val="32"/>
          <w:szCs w:val="32"/>
          <w:highlight w:val="none"/>
        </w:rPr>
        <w:t>不同。</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lang w:eastAsia="zh-CN"/>
        </w:rPr>
        <w:t>市市场监管局</w:t>
      </w:r>
      <w:r>
        <w:rPr>
          <w:rFonts w:hint="eastAsia" w:ascii="仿宋_GB2312" w:hAnsi="仿宋_GB2312" w:eastAsia="仿宋_GB2312" w:cs="仿宋_GB2312"/>
          <w:b w:val="0"/>
          <w:bCs w:val="0"/>
          <w:color w:val="auto"/>
          <w:spacing w:val="0"/>
          <w:w w:val="100"/>
          <w:kern w:val="0"/>
          <w:sz w:val="32"/>
          <w:szCs w:val="32"/>
          <w:highlight w:val="none"/>
        </w:rPr>
        <w:t>、</w:t>
      </w:r>
      <w:r>
        <w:rPr>
          <w:rFonts w:hint="eastAsia" w:ascii="仿宋_GB2312" w:hAnsi="仿宋_GB2312" w:eastAsia="仿宋_GB2312" w:cs="仿宋_GB2312"/>
          <w:b w:val="0"/>
          <w:bCs w:val="0"/>
          <w:color w:val="auto"/>
          <w:spacing w:val="0"/>
          <w:w w:val="100"/>
          <w:kern w:val="0"/>
          <w:sz w:val="32"/>
          <w:szCs w:val="32"/>
          <w:highlight w:val="none"/>
          <w:lang w:eastAsia="zh-CN"/>
        </w:rPr>
        <w:t>市发改委、市司法局、市教育局、市科技局、市工信局、市</w:t>
      </w:r>
      <w:r>
        <w:rPr>
          <w:rFonts w:hint="eastAsia" w:ascii="仿宋_GB2312" w:hAnsi="仿宋_GB2312" w:eastAsia="仿宋_GB2312" w:cs="仿宋_GB2312"/>
          <w:b w:val="0"/>
          <w:bCs w:val="0"/>
          <w:color w:val="auto"/>
          <w:spacing w:val="0"/>
          <w:w w:val="100"/>
          <w:kern w:val="0"/>
          <w:sz w:val="32"/>
          <w:szCs w:val="32"/>
          <w:highlight w:val="none"/>
        </w:rPr>
        <w:t>住建</w:t>
      </w:r>
      <w:r>
        <w:rPr>
          <w:rFonts w:hint="eastAsia" w:ascii="仿宋_GB2312" w:hAnsi="仿宋_GB2312" w:eastAsia="仿宋_GB2312" w:cs="仿宋_GB2312"/>
          <w:b w:val="0"/>
          <w:bCs w:val="0"/>
          <w:color w:val="auto"/>
          <w:spacing w:val="0"/>
          <w:w w:val="100"/>
          <w:kern w:val="0"/>
          <w:sz w:val="32"/>
          <w:szCs w:val="32"/>
          <w:highlight w:val="none"/>
          <w:lang w:eastAsia="zh-CN"/>
        </w:rPr>
        <w:t>局</w:t>
      </w:r>
      <w:r>
        <w:rPr>
          <w:rFonts w:hint="eastAsia" w:ascii="仿宋_GB2312" w:hAnsi="仿宋_GB2312" w:eastAsia="仿宋_GB2312" w:cs="仿宋_GB2312"/>
          <w:b w:val="0"/>
          <w:bCs w:val="0"/>
          <w:color w:val="auto"/>
          <w:spacing w:val="0"/>
          <w:w w:val="100"/>
          <w:kern w:val="0"/>
          <w:sz w:val="32"/>
          <w:szCs w:val="32"/>
          <w:highlight w:val="none"/>
        </w:rPr>
        <w:t>、</w:t>
      </w:r>
      <w:r>
        <w:rPr>
          <w:rFonts w:hint="eastAsia" w:ascii="仿宋_GB2312" w:hAnsi="仿宋_GB2312" w:eastAsia="仿宋_GB2312" w:cs="仿宋_GB2312"/>
          <w:b w:val="0"/>
          <w:bCs w:val="0"/>
          <w:color w:val="auto"/>
          <w:spacing w:val="0"/>
          <w:w w:val="100"/>
          <w:kern w:val="0"/>
          <w:sz w:val="32"/>
          <w:szCs w:val="32"/>
          <w:highlight w:val="none"/>
          <w:lang w:eastAsia="zh-CN"/>
        </w:rPr>
        <w:t>市交通运输局、市林草局、市畜牧局</w:t>
      </w:r>
      <w:r>
        <w:rPr>
          <w:rFonts w:hint="eastAsia" w:ascii="仿宋_GB2312" w:hAnsi="仿宋_GB2312" w:eastAsia="仿宋_GB2312" w:cs="仿宋_GB2312"/>
          <w:b w:val="0"/>
          <w:bCs w:val="0"/>
          <w:color w:val="auto"/>
          <w:spacing w:val="0"/>
          <w:w w:val="100"/>
          <w:kern w:val="0"/>
          <w:sz w:val="32"/>
          <w:szCs w:val="32"/>
          <w:highlight w:val="none"/>
        </w:rPr>
        <w:t>、</w:t>
      </w:r>
      <w:r>
        <w:rPr>
          <w:rFonts w:hint="eastAsia" w:ascii="仿宋_GB2312" w:hAnsi="仿宋_GB2312" w:eastAsia="仿宋_GB2312" w:cs="仿宋_GB2312"/>
          <w:b w:val="0"/>
          <w:bCs w:val="0"/>
          <w:color w:val="auto"/>
          <w:spacing w:val="0"/>
          <w:w w:val="100"/>
          <w:kern w:val="0"/>
          <w:sz w:val="32"/>
          <w:szCs w:val="32"/>
          <w:highlight w:val="none"/>
          <w:lang w:eastAsia="zh-CN"/>
        </w:rPr>
        <w:t>市文广旅游局、市卫健委、市医保局、市金融办、甘州区、临泽县、山丹县、民乐县、高台县和肃南县</w:t>
      </w:r>
      <w:r>
        <w:rPr>
          <w:rFonts w:hint="eastAsia" w:ascii="仿宋_GB2312" w:hAnsi="仿宋_GB2312" w:eastAsia="仿宋_GB2312" w:cs="仿宋_GB2312"/>
          <w:b w:val="0"/>
          <w:bCs w:val="0"/>
          <w:color w:val="auto"/>
          <w:spacing w:val="0"/>
          <w:w w:val="100"/>
          <w:kern w:val="0"/>
          <w:sz w:val="32"/>
          <w:szCs w:val="32"/>
          <w:highlight w:val="none"/>
        </w:rPr>
        <w:t>宣传与培训工作完成程度较高，有网页</w:t>
      </w:r>
      <w:r>
        <w:rPr>
          <w:rFonts w:hint="eastAsia" w:ascii="仿宋_GB2312" w:hAnsi="仿宋_GB2312" w:eastAsia="仿宋_GB2312" w:cs="仿宋_GB2312"/>
          <w:b w:val="0"/>
          <w:bCs w:val="0"/>
          <w:color w:val="auto"/>
          <w:spacing w:val="0"/>
          <w:w w:val="100"/>
          <w:kern w:val="0"/>
          <w:sz w:val="32"/>
          <w:szCs w:val="32"/>
          <w:highlight w:val="none"/>
          <w:lang w:eastAsia="zh-CN"/>
        </w:rPr>
        <w:t>或</w:t>
      </w:r>
      <w:r>
        <w:rPr>
          <w:rFonts w:hint="eastAsia" w:ascii="仿宋_GB2312" w:hAnsi="仿宋_GB2312" w:eastAsia="仿宋_GB2312" w:cs="仿宋_GB2312"/>
          <w:b w:val="0"/>
          <w:bCs w:val="0"/>
          <w:color w:val="auto"/>
          <w:spacing w:val="0"/>
          <w:w w:val="100"/>
          <w:kern w:val="0"/>
          <w:sz w:val="32"/>
          <w:szCs w:val="32"/>
          <w:highlight w:val="none"/>
        </w:rPr>
        <w:t>微信公众号截图</w:t>
      </w:r>
      <w:r>
        <w:rPr>
          <w:rFonts w:hint="eastAsia" w:ascii="仿宋_GB2312" w:hAnsi="仿宋_GB2312" w:eastAsia="仿宋_GB2312" w:cs="仿宋_GB2312"/>
          <w:b w:val="0"/>
          <w:bCs w:val="0"/>
          <w:color w:val="auto"/>
          <w:spacing w:val="0"/>
          <w:w w:val="100"/>
          <w:kern w:val="0"/>
          <w:sz w:val="32"/>
          <w:szCs w:val="32"/>
          <w:highlight w:val="none"/>
          <w:lang w:eastAsia="zh-CN"/>
        </w:rPr>
        <w:t>和</w:t>
      </w:r>
      <w:r>
        <w:rPr>
          <w:rFonts w:hint="eastAsia" w:ascii="仿宋_GB2312" w:hAnsi="仿宋_GB2312" w:eastAsia="仿宋_GB2312" w:cs="仿宋_GB2312"/>
          <w:b w:val="0"/>
          <w:bCs w:val="0"/>
          <w:color w:val="auto"/>
          <w:spacing w:val="0"/>
          <w:w w:val="100"/>
          <w:kern w:val="0"/>
          <w:sz w:val="32"/>
          <w:szCs w:val="32"/>
          <w:highlight w:val="none"/>
        </w:rPr>
        <w:t>学习会场照片等相关佐证材料。</w:t>
      </w:r>
    </w:p>
    <w:p>
      <w:pPr>
        <w:pStyle w:val="34"/>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kern w:val="0"/>
          <w:sz w:val="32"/>
          <w:szCs w:val="32"/>
          <w:highlight w:val="none"/>
        </w:rPr>
      </w:pPr>
      <w:r>
        <w:rPr>
          <w:rFonts w:hint="eastAsia" w:ascii="仿宋_GB2312" w:hAnsi="仿宋_GB2312" w:eastAsia="仿宋_GB2312" w:cs="仿宋_GB2312"/>
          <w:b w:val="0"/>
          <w:bCs w:val="0"/>
          <w:color w:val="auto"/>
          <w:spacing w:val="0"/>
          <w:w w:val="100"/>
          <w:kern w:val="0"/>
          <w:sz w:val="32"/>
          <w:szCs w:val="32"/>
          <w:highlight w:val="none"/>
          <w:lang w:eastAsia="zh-CN"/>
        </w:rPr>
        <w:t>市财政局</w:t>
      </w:r>
      <w:r>
        <w:rPr>
          <w:rFonts w:hint="eastAsia" w:ascii="仿宋_GB2312" w:hAnsi="仿宋_GB2312" w:eastAsia="仿宋_GB2312" w:cs="仿宋_GB2312"/>
          <w:b w:val="0"/>
          <w:bCs w:val="0"/>
          <w:color w:val="auto"/>
          <w:spacing w:val="0"/>
          <w:w w:val="100"/>
          <w:kern w:val="0"/>
          <w:sz w:val="32"/>
          <w:szCs w:val="32"/>
          <w:highlight w:val="none"/>
        </w:rPr>
        <w:t>、</w:t>
      </w:r>
      <w:r>
        <w:rPr>
          <w:rFonts w:hint="eastAsia" w:ascii="仿宋_GB2312" w:hAnsi="仿宋_GB2312" w:eastAsia="仿宋_GB2312" w:cs="仿宋_GB2312"/>
          <w:b w:val="0"/>
          <w:bCs w:val="0"/>
          <w:color w:val="auto"/>
          <w:spacing w:val="0"/>
          <w:w w:val="100"/>
          <w:kern w:val="0"/>
          <w:sz w:val="32"/>
          <w:szCs w:val="32"/>
          <w:highlight w:val="none"/>
          <w:lang w:eastAsia="zh-CN"/>
        </w:rPr>
        <w:t>市商务局、市民政局、市自然资源局、市生态环境局、市水务局、市农业农村局、市税务局、市经开区缺少</w:t>
      </w:r>
      <w:r>
        <w:rPr>
          <w:rFonts w:hint="eastAsia" w:ascii="仿宋_GB2312" w:hAnsi="仿宋_GB2312" w:eastAsia="仿宋_GB2312" w:cs="仿宋_GB2312"/>
          <w:b w:val="0"/>
          <w:bCs w:val="0"/>
          <w:color w:val="auto"/>
          <w:spacing w:val="0"/>
          <w:w w:val="100"/>
          <w:kern w:val="0"/>
          <w:sz w:val="32"/>
          <w:szCs w:val="32"/>
          <w:highlight w:val="none"/>
        </w:rPr>
        <w:t>学习、培训佐证材料</w:t>
      </w:r>
      <w:r>
        <w:rPr>
          <w:rFonts w:hint="eastAsia" w:ascii="仿宋_GB2312" w:hAnsi="仿宋_GB2312" w:eastAsia="仿宋_GB2312" w:cs="仿宋_GB2312"/>
          <w:b w:val="0"/>
          <w:bCs w:val="0"/>
          <w:color w:val="auto"/>
          <w:spacing w:val="0"/>
          <w:w w:val="100"/>
          <w:kern w:val="0"/>
          <w:sz w:val="32"/>
          <w:szCs w:val="32"/>
          <w:highlight w:val="none"/>
          <w:lang w:eastAsia="zh-CN"/>
        </w:rPr>
        <w:t>或</w:t>
      </w:r>
      <w:r>
        <w:rPr>
          <w:rFonts w:hint="eastAsia" w:ascii="仿宋_GB2312" w:hAnsi="仿宋_GB2312" w:eastAsia="仿宋_GB2312" w:cs="仿宋_GB2312"/>
          <w:b w:val="0"/>
          <w:bCs w:val="0"/>
          <w:color w:val="auto"/>
          <w:spacing w:val="0"/>
          <w:w w:val="100"/>
          <w:kern w:val="0"/>
          <w:sz w:val="32"/>
          <w:szCs w:val="32"/>
          <w:highlight w:val="none"/>
        </w:rPr>
        <w:t>对外宣传工作的相关佐证材料。</w:t>
      </w:r>
    </w:p>
    <w:p>
      <w:pPr>
        <w:pStyle w:val="4"/>
        <w:pageBreakBefore w:val="0"/>
        <w:kinsoku/>
        <w:wordWrap/>
        <w:overflowPunct/>
        <w:topLinePunct/>
        <w:autoSpaceDE/>
        <w:autoSpaceDN/>
        <w:bidi w:val="0"/>
        <w:adjustRightInd w:val="0"/>
        <w:snapToGrid w:val="0"/>
        <w:spacing w:before="0" w:beforeAutospacing="0" w:after="0" w:line="540" w:lineRule="exact"/>
        <w:ind w:left="0" w:leftChars="0" w:right="0" w:firstLine="640" w:firstLineChars="200"/>
        <w:jc w:val="both"/>
        <w:rPr>
          <w:rFonts w:hint="eastAsia" w:ascii="黑体" w:hAnsi="黑体" w:eastAsia="黑体" w:cs="黑体"/>
          <w:b w:val="0"/>
          <w:bCs w:val="0"/>
          <w:color w:val="auto"/>
          <w:spacing w:val="0"/>
          <w:w w:val="100"/>
          <w:sz w:val="32"/>
          <w:szCs w:val="32"/>
          <w:highlight w:val="none"/>
        </w:rPr>
      </w:pPr>
      <w:bookmarkStart w:id="90" w:name="_Toc101045492"/>
      <w:bookmarkStart w:id="91" w:name="_Toc1877"/>
      <w:bookmarkStart w:id="92" w:name="_Toc7566"/>
      <w:bookmarkStart w:id="93" w:name="_Toc1055"/>
      <w:r>
        <w:rPr>
          <w:rFonts w:hint="eastAsia" w:ascii="黑体" w:hAnsi="黑体" w:eastAsia="黑体" w:cs="黑体"/>
          <w:b w:val="0"/>
          <w:bCs w:val="0"/>
          <w:color w:val="auto"/>
          <w:spacing w:val="0"/>
          <w:w w:val="100"/>
          <w:sz w:val="32"/>
          <w:szCs w:val="32"/>
          <w:highlight w:val="none"/>
        </w:rPr>
        <w:t>二、审查清理情况</w:t>
      </w:r>
      <w:bookmarkEnd w:id="90"/>
      <w:bookmarkEnd w:id="91"/>
      <w:bookmarkEnd w:id="92"/>
      <w:bookmarkEnd w:id="93"/>
    </w:p>
    <w:p>
      <w:pPr>
        <w:pStyle w:val="34"/>
        <w:pageBreakBefore w:val="0"/>
        <w:widowControl w:val="0"/>
        <w:kinsoku/>
        <w:wordWrap/>
        <w:overflowPunct/>
        <w:topLinePunct/>
        <w:autoSpaceDE/>
        <w:autoSpaceDN/>
        <w:bidi w:val="0"/>
        <w:adjustRightInd w:val="0"/>
        <w:snapToGrid w:val="0"/>
        <w:spacing w:beforeAutospacing="0" w:line="520" w:lineRule="exact"/>
        <w:ind w:left="0" w:leftChars="0" w:right="0" w:firstLine="640" w:firstLineChars="200"/>
        <w:jc w:val="both"/>
        <w:textAlignment w:val="auto"/>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根据“谁起草，谁审查”的原则，各被评估</w:t>
      </w:r>
      <w:r>
        <w:rPr>
          <w:rFonts w:hint="eastAsia" w:ascii="仿宋_GB2312" w:hAnsi="仿宋_GB2312" w:eastAsia="仿宋_GB2312" w:cs="仿宋_GB2312"/>
          <w:b w:val="0"/>
          <w:bCs w:val="0"/>
          <w:color w:val="auto"/>
          <w:spacing w:val="0"/>
          <w:w w:val="100"/>
          <w:sz w:val="32"/>
          <w:szCs w:val="32"/>
          <w:highlight w:val="none"/>
          <w:lang w:eastAsia="zh-CN"/>
        </w:rPr>
        <w:t>单位</w:t>
      </w:r>
      <w:r>
        <w:rPr>
          <w:rFonts w:hint="eastAsia" w:ascii="仿宋_GB2312" w:hAnsi="仿宋_GB2312" w:eastAsia="仿宋_GB2312" w:cs="仿宋_GB2312"/>
          <w:b w:val="0"/>
          <w:bCs w:val="0"/>
          <w:color w:val="auto"/>
          <w:spacing w:val="0"/>
          <w:w w:val="100"/>
          <w:sz w:val="32"/>
          <w:szCs w:val="32"/>
          <w:highlight w:val="none"/>
        </w:rPr>
        <w:t>在公平竞争审查过程中，</w:t>
      </w:r>
      <w:r>
        <w:rPr>
          <w:rFonts w:hint="eastAsia" w:ascii="仿宋_GB2312" w:hAnsi="仿宋_GB2312" w:eastAsia="仿宋_GB2312" w:cs="仿宋_GB2312"/>
          <w:b w:val="0"/>
          <w:bCs w:val="0"/>
          <w:color w:val="auto"/>
          <w:spacing w:val="0"/>
          <w:w w:val="100"/>
          <w:sz w:val="32"/>
          <w:szCs w:val="32"/>
          <w:highlight w:val="none"/>
          <w:lang w:eastAsia="zh-CN"/>
        </w:rPr>
        <w:t>针对</w:t>
      </w:r>
      <w:r>
        <w:rPr>
          <w:rFonts w:hint="eastAsia" w:ascii="仿宋_GB2312" w:hAnsi="仿宋_GB2312" w:eastAsia="仿宋_GB2312" w:cs="仿宋_GB2312"/>
          <w:b w:val="0"/>
          <w:bCs w:val="0"/>
          <w:color w:val="auto"/>
          <w:spacing w:val="0"/>
          <w:w w:val="100"/>
          <w:sz w:val="32"/>
          <w:szCs w:val="32"/>
          <w:highlight w:val="none"/>
          <w:lang w:val="en-US" w:eastAsia="zh-CN"/>
        </w:rPr>
        <w:t>2021年前的政策措施</w:t>
      </w:r>
      <w:r>
        <w:rPr>
          <w:rFonts w:hint="eastAsia" w:ascii="仿宋_GB2312" w:hAnsi="仿宋_GB2312" w:eastAsia="仿宋_GB2312" w:cs="仿宋_GB2312"/>
          <w:b w:val="0"/>
          <w:bCs w:val="0"/>
          <w:color w:val="auto"/>
          <w:spacing w:val="0"/>
          <w:w w:val="100"/>
          <w:sz w:val="32"/>
          <w:szCs w:val="32"/>
          <w:highlight w:val="none"/>
        </w:rPr>
        <w:t>均</w:t>
      </w:r>
      <w:bookmarkStart w:id="94" w:name="_Hlk93171931"/>
      <w:r>
        <w:rPr>
          <w:rFonts w:hint="eastAsia" w:ascii="仿宋_GB2312" w:hAnsi="仿宋_GB2312" w:eastAsia="仿宋_GB2312" w:cs="仿宋_GB2312"/>
          <w:b w:val="0"/>
          <w:bCs w:val="0"/>
          <w:color w:val="auto"/>
          <w:spacing w:val="0"/>
          <w:w w:val="100"/>
          <w:sz w:val="32"/>
          <w:szCs w:val="32"/>
          <w:highlight w:val="none"/>
        </w:rPr>
        <w:t>进行了本</w:t>
      </w:r>
      <w:r>
        <w:rPr>
          <w:rFonts w:hint="eastAsia" w:ascii="仿宋_GB2312" w:hAnsi="仿宋_GB2312" w:eastAsia="仿宋_GB2312" w:cs="仿宋_GB2312"/>
          <w:b w:val="0"/>
          <w:bCs w:val="0"/>
          <w:color w:val="auto"/>
          <w:spacing w:val="0"/>
          <w:w w:val="100"/>
          <w:sz w:val="32"/>
          <w:szCs w:val="32"/>
          <w:highlight w:val="none"/>
          <w:lang w:eastAsia="zh-CN"/>
        </w:rPr>
        <w:t>单位</w:t>
      </w:r>
      <w:r>
        <w:rPr>
          <w:rFonts w:hint="eastAsia" w:ascii="仿宋_GB2312" w:hAnsi="仿宋_GB2312" w:eastAsia="仿宋_GB2312" w:cs="仿宋_GB2312"/>
          <w:b w:val="0"/>
          <w:bCs w:val="0"/>
          <w:color w:val="auto"/>
          <w:spacing w:val="0"/>
          <w:w w:val="100"/>
          <w:sz w:val="32"/>
          <w:szCs w:val="32"/>
          <w:highlight w:val="none"/>
        </w:rPr>
        <w:t>内的自查</w:t>
      </w:r>
      <w:r>
        <w:rPr>
          <w:rFonts w:hint="eastAsia" w:ascii="仿宋_GB2312" w:hAnsi="仿宋_GB2312" w:eastAsia="仿宋_GB2312" w:cs="仿宋_GB2312"/>
          <w:b w:val="0"/>
          <w:bCs w:val="0"/>
          <w:color w:val="auto"/>
          <w:spacing w:val="0"/>
          <w:w w:val="100"/>
          <w:sz w:val="32"/>
          <w:szCs w:val="32"/>
          <w:highlight w:val="none"/>
          <w:lang w:eastAsia="zh-CN"/>
        </w:rPr>
        <w:t>，</w:t>
      </w:r>
      <w:r>
        <w:rPr>
          <w:rFonts w:hint="eastAsia" w:ascii="仿宋_GB2312" w:hAnsi="仿宋_GB2312" w:eastAsia="仿宋_GB2312" w:cs="仿宋_GB2312"/>
          <w:b w:val="0"/>
          <w:bCs w:val="0"/>
          <w:color w:val="auto"/>
          <w:spacing w:val="0"/>
          <w:w w:val="100"/>
          <w:sz w:val="32"/>
          <w:szCs w:val="32"/>
          <w:highlight w:val="none"/>
        </w:rPr>
        <w:t>并形成了自查报告或自评报告，</w:t>
      </w:r>
      <w:bookmarkEnd w:id="94"/>
      <w:r>
        <w:rPr>
          <w:rFonts w:hint="eastAsia" w:ascii="仿宋_GB2312" w:hAnsi="仿宋_GB2312" w:eastAsia="仿宋_GB2312" w:cs="仿宋_GB2312"/>
          <w:b w:val="0"/>
          <w:bCs w:val="0"/>
          <w:color w:val="auto"/>
          <w:spacing w:val="0"/>
          <w:w w:val="100"/>
          <w:sz w:val="32"/>
          <w:szCs w:val="32"/>
          <w:highlight w:val="none"/>
        </w:rPr>
        <w:t>安排了专项人员进行公平竞争审查工作，对</w:t>
      </w:r>
      <w:r>
        <w:rPr>
          <w:rFonts w:hint="eastAsia" w:ascii="仿宋_GB2312" w:hAnsi="仿宋_GB2312" w:eastAsia="仿宋_GB2312" w:cs="仿宋_GB2312"/>
          <w:b w:val="0"/>
          <w:bCs w:val="0"/>
          <w:color w:val="auto"/>
          <w:spacing w:val="0"/>
          <w:w w:val="100"/>
          <w:sz w:val="32"/>
          <w:szCs w:val="32"/>
          <w:highlight w:val="none"/>
          <w:lang w:eastAsia="zh-CN"/>
        </w:rPr>
        <w:t>本单位</w:t>
      </w:r>
      <w:r>
        <w:rPr>
          <w:rFonts w:hint="eastAsia" w:ascii="仿宋_GB2312" w:hAnsi="仿宋_GB2312" w:eastAsia="仿宋_GB2312" w:cs="仿宋_GB2312"/>
          <w:b w:val="0"/>
          <w:bCs w:val="0"/>
          <w:color w:val="auto"/>
          <w:spacing w:val="0"/>
          <w:w w:val="100"/>
          <w:sz w:val="32"/>
          <w:szCs w:val="32"/>
          <w:highlight w:val="none"/>
        </w:rPr>
        <w:t>内部公平竞争审查制度推进落实情况以及清理妨碍公平竞争政策措施情况进行了</w:t>
      </w:r>
      <w:r>
        <w:rPr>
          <w:rFonts w:hint="eastAsia" w:ascii="仿宋_GB2312" w:hAnsi="仿宋_GB2312" w:eastAsia="仿宋_GB2312" w:cs="仿宋_GB2312"/>
          <w:b w:val="0"/>
          <w:bCs w:val="0"/>
          <w:color w:val="auto"/>
          <w:spacing w:val="0"/>
          <w:w w:val="100"/>
          <w:sz w:val="32"/>
          <w:szCs w:val="32"/>
          <w:highlight w:val="none"/>
          <w:lang w:eastAsia="zh-CN"/>
        </w:rPr>
        <w:t>总结</w:t>
      </w:r>
      <w:r>
        <w:rPr>
          <w:rFonts w:hint="eastAsia" w:ascii="仿宋_GB2312" w:hAnsi="仿宋_GB2312" w:eastAsia="仿宋_GB2312" w:cs="仿宋_GB2312"/>
          <w:b w:val="0"/>
          <w:bCs w:val="0"/>
          <w:color w:val="auto"/>
          <w:spacing w:val="0"/>
          <w:w w:val="100"/>
          <w:sz w:val="32"/>
          <w:szCs w:val="32"/>
          <w:highlight w:val="none"/>
        </w:rPr>
        <w:t>。</w:t>
      </w:r>
    </w:p>
    <w:p>
      <w:pPr>
        <w:pStyle w:val="34"/>
        <w:pageBreakBefore w:val="0"/>
        <w:widowControl w:val="0"/>
        <w:kinsoku/>
        <w:wordWrap/>
        <w:overflowPunct/>
        <w:topLinePunct/>
        <w:autoSpaceDE/>
        <w:autoSpaceDN/>
        <w:bidi w:val="0"/>
        <w:adjustRightInd w:val="0"/>
        <w:snapToGrid w:val="0"/>
        <w:spacing w:beforeAutospacing="0" w:line="520" w:lineRule="exact"/>
        <w:ind w:left="0" w:leftChars="0" w:right="0" w:firstLine="640" w:firstLineChars="200"/>
        <w:jc w:val="both"/>
        <w:textAlignment w:val="auto"/>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但</w:t>
      </w:r>
      <w:r>
        <w:rPr>
          <w:rFonts w:hint="eastAsia" w:ascii="仿宋_GB2312" w:hAnsi="仿宋_GB2312" w:eastAsia="仿宋_GB2312" w:cs="仿宋_GB2312"/>
          <w:b w:val="0"/>
          <w:bCs w:val="0"/>
          <w:color w:val="auto"/>
          <w:spacing w:val="0"/>
          <w:w w:val="100"/>
          <w:sz w:val="32"/>
          <w:szCs w:val="32"/>
          <w:highlight w:val="none"/>
          <w:lang w:val="en-US" w:eastAsia="zh-CN"/>
        </w:rPr>
        <w:t>在评估过程中</w:t>
      </w:r>
      <w:r>
        <w:rPr>
          <w:rFonts w:hint="eastAsia" w:ascii="仿宋_GB2312" w:hAnsi="仿宋_GB2312" w:eastAsia="仿宋_GB2312" w:cs="仿宋_GB2312"/>
          <w:b w:val="0"/>
          <w:bCs w:val="0"/>
          <w:color w:val="auto"/>
          <w:spacing w:val="0"/>
          <w:w w:val="100"/>
          <w:sz w:val="32"/>
          <w:szCs w:val="32"/>
          <w:highlight w:val="none"/>
        </w:rPr>
        <w:t>也注意到，</w:t>
      </w:r>
      <w:r>
        <w:rPr>
          <w:rFonts w:hint="eastAsia" w:ascii="仿宋_GB2312" w:hAnsi="仿宋_GB2312" w:eastAsia="仿宋_GB2312" w:cs="仿宋_GB2312"/>
          <w:b w:val="0"/>
          <w:bCs w:val="0"/>
          <w:color w:val="auto"/>
          <w:spacing w:val="0"/>
          <w:w w:val="100"/>
          <w:sz w:val="32"/>
          <w:szCs w:val="32"/>
          <w:highlight w:val="none"/>
          <w:lang w:eastAsia="zh-CN"/>
        </w:rPr>
        <w:t>各单位自查报告中清理</w:t>
      </w:r>
      <w:r>
        <w:rPr>
          <w:rFonts w:hint="eastAsia" w:ascii="仿宋_GB2312" w:hAnsi="仿宋_GB2312" w:eastAsia="仿宋_GB2312" w:cs="仿宋_GB2312"/>
          <w:b w:val="0"/>
          <w:bCs w:val="0"/>
          <w:color w:val="auto"/>
          <w:spacing w:val="0"/>
          <w:w w:val="100"/>
          <w:sz w:val="32"/>
          <w:szCs w:val="32"/>
          <w:highlight w:val="none"/>
        </w:rPr>
        <w:t>涉及市场主体经济活动的</w:t>
      </w:r>
      <w:r>
        <w:rPr>
          <w:rFonts w:hint="eastAsia" w:ascii="仿宋_GB2312" w:hAnsi="仿宋_GB2312" w:eastAsia="仿宋_GB2312" w:cs="仿宋_GB2312"/>
          <w:b w:val="0"/>
          <w:bCs w:val="0"/>
          <w:color w:val="auto"/>
          <w:spacing w:val="0"/>
          <w:w w:val="100"/>
          <w:sz w:val="32"/>
          <w:szCs w:val="32"/>
          <w:highlight w:val="none"/>
          <w:lang w:eastAsia="zh-CN"/>
        </w:rPr>
        <w:t>存量政策</w:t>
      </w:r>
      <w:r>
        <w:rPr>
          <w:rFonts w:hint="eastAsia" w:ascii="仿宋_GB2312" w:hAnsi="仿宋_GB2312" w:eastAsia="仿宋_GB2312" w:cs="仿宋_GB2312"/>
          <w:b w:val="0"/>
          <w:bCs w:val="0"/>
          <w:color w:val="auto"/>
          <w:spacing w:val="0"/>
          <w:w w:val="100"/>
          <w:sz w:val="32"/>
          <w:szCs w:val="32"/>
          <w:highlight w:val="none"/>
        </w:rPr>
        <w:t>措施</w:t>
      </w:r>
      <w:r>
        <w:rPr>
          <w:rFonts w:hint="eastAsia" w:ascii="仿宋_GB2312" w:hAnsi="仿宋_GB2312" w:eastAsia="仿宋_GB2312" w:cs="仿宋_GB2312"/>
          <w:b w:val="0"/>
          <w:bCs w:val="0"/>
          <w:color w:val="auto"/>
          <w:spacing w:val="0"/>
          <w:w w:val="100"/>
          <w:sz w:val="32"/>
          <w:szCs w:val="32"/>
          <w:highlight w:val="none"/>
          <w:lang w:eastAsia="zh-CN"/>
        </w:rPr>
        <w:t>数量、</w:t>
      </w:r>
      <w:r>
        <w:rPr>
          <w:rFonts w:hint="eastAsia" w:ascii="仿宋_GB2312" w:hAnsi="仿宋_GB2312" w:eastAsia="仿宋_GB2312" w:cs="仿宋_GB2312"/>
          <w:b w:val="0"/>
          <w:bCs w:val="0"/>
          <w:color w:val="auto"/>
          <w:spacing w:val="0"/>
          <w:w w:val="100"/>
          <w:sz w:val="32"/>
          <w:szCs w:val="32"/>
          <w:highlight w:val="none"/>
        </w:rPr>
        <w:t>清理工作</w:t>
      </w:r>
      <w:r>
        <w:rPr>
          <w:rFonts w:hint="eastAsia" w:ascii="仿宋_GB2312" w:hAnsi="仿宋_GB2312" w:eastAsia="仿宋_GB2312" w:cs="仿宋_GB2312"/>
          <w:b w:val="0"/>
          <w:bCs w:val="0"/>
          <w:color w:val="auto"/>
          <w:spacing w:val="0"/>
          <w:w w:val="100"/>
          <w:sz w:val="32"/>
          <w:szCs w:val="32"/>
          <w:highlight w:val="none"/>
          <w:lang w:eastAsia="zh-CN"/>
        </w:rPr>
        <w:t>具体</w:t>
      </w:r>
      <w:r>
        <w:rPr>
          <w:rFonts w:hint="eastAsia" w:ascii="仿宋_GB2312" w:hAnsi="仿宋_GB2312" w:eastAsia="仿宋_GB2312" w:cs="仿宋_GB2312"/>
          <w:b w:val="0"/>
          <w:bCs w:val="0"/>
          <w:color w:val="auto"/>
          <w:spacing w:val="0"/>
          <w:w w:val="100"/>
          <w:sz w:val="32"/>
          <w:szCs w:val="32"/>
          <w:highlight w:val="none"/>
        </w:rPr>
        <w:t>内容</w:t>
      </w:r>
      <w:r>
        <w:rPr>
          <w:rFonts w:hint="eastAsia" w:ascii="仿宋_GB2312" w:hAnsi="仿宋_GB2312" w:eastAsia="仿宋_GB2312" w:cs="仿宋_GB2312"/>
          <w:b w:val="0"/>
          <w:bCs w:val="0"/>
          <w:color w:val="auto"/>
          <w:spacing w:val="0"/>
          <w:w w:val="100"/>
          <w:sz w:val="32"/>
          <w:szCs w:val="32"/>
          <w:highlight w:val="none"/>
          <w:lang w:eastAsia="zh-CN"/>
        </w:rPr>
        <w:t>和</w:t>
      </w:r>
      <w:r>
        <w:rPr>
          <w:rFonts w:hint="eastAsia" w:ascii="仿宋_GB2312" w:hAnsi="仿宋_GB2312" w:eastAsia="仿宋_GB2312" w:cs="仿宋_GB2312"/>
          <w:b w:val="0"/>
          <w:bCs w:val="0"/>
          <w:color w:val="auto"/>
          <w:spacing w:val="0"/>
          <w:w w:val="100"/>
          <w:sz w:val="32"/>
          <w:szCs w:val="32"/>
          <w:highlight w:val="none"/>
        </w:rPr>
        <w:t>清理工作</w:t>
      </w:r>
      <w:r>
        <w:rPr>
          <w:rFonts w:hint="eastAsia" w:ascii="仿宋_GB2312" w:hAnsi="仿宋_GB2312" w:eastAsia="仿宋_GB2312" w:cs="仿宋_GB2312"/>
          <w:b w:val="0"/>
          <w:bCs w:val="0"/>
          <w:color w:val="auto"/>
          <w:spacing w:val="0"/>
          <w:w w:val="100"/>
          <w:sz w:val="32"/>
          <w:szCs w:val="32"/>
          <w:highlight w:val="none"/>
          <w:lang w:eastAsia="zh-CN"/>
        </w:rPr>
        <w:t>是否</w:t>
      </w:r>
      <w:r>
        <w:rPr>
          <w:rFonts w:hint="eastAsia" w:ascii="仿宋_GB2312" w:hAnsi="仿宋_GB2312" w:eastAsia="仿宋_GB2312" w:cs="仿宋_GB2312"/>
          <w:b w:val="0"/>
          <w:bCs w:val="0"/>
          <w:color w:val="auto"/>
          <w:spacing w:val="0"/>
          <w:w w:val="100"/>
          <w:sz w:val="32"/>
          <w:szCs w:val="32"/>
          <w:highlight w:val="none"/>
        </w:rPr>
        <w:t>做到留痕可回溯</w:t>
      </w:r>
      <w:r>
        <w:rPr>
          <w:rFonts w:hint="eastAsia" w:ascii="仿宋_GB2312" w:hAnsi="仿宋_GB2312" w:eastAsia="仿宋_GB2312" w:cs="仿宋_GB2312"/>
          <w:b w:val="0"/>
          <w:bCs w:val="0"/>
          <w:color w:val="auto"/>
          <w:spacing w:val="0"/>
          <w:w w:val="100"/>
          <w:sz w:val="32"/>
          <w:szCs w:val="32"/>
          <w:highlight w:val="none"/>
          <w:lang w:eastAsia="zh-CN"/>
        </w:rPr>
        <w:t>、存量政策措施是否按照公平竞争审查基本流程开展审查、是否</w:t>
      </w:r>
      <w:r>
        <w:rPr>
          <w:rFonts w:hint="eastAsia" w:ascii="仿宋_GB2312" w:hAnsi="仿宋_GB2312" w:eastAsia="仿宋_GB2312" w:cs="仿宋_GB2312"/>
          <w:b w:val="0"/>
          <w:bCs w:val="0"/>
          <w:color w:val="auto"/>
          <w:spacing w:val="0"/>
          <w:w w:val="100"/>
          <w:sz w:val="32"/>
          <w:szCs w:val="32"/>
          <w:highlight w:val="none"/>
        </w:rPr>
        <w:t>附有《公平竞争审查表》</w:t>
      </w:r>
      <w:r>
        <w:rPr>
          <w:rFonts w:hint="eastAsia" w:ascii="仿宋_GB2312" w:hAnsi="仿宋_GB2312" w:eastAsia="仿宋_GB2312" w:cs="仿宋_GB2312"/>
          <w:b w:val="0"/>
          <w:bCs w:val="0"/>
          <w:color w:val="auto"/>
          <w:spacing w:val="0"/>
          <w:w w:val="100"/>
          <w:sz w:val="32"/>
          <w:szCs w:val="32"/>
          <w:highlight w:val="none"/>
          <w:lang w:eastAsia="zh-CN"/>
        </w:rPr>
        <w:t>在自查报告中均未标注说明。</w:t>
      </w:r>
    </w:p>
    <w:p>
      <w:pPr>
        <w:pStyle w:val="4"/>
        <w:pageBreakBefore w:val="0"/>
        <w:widowControl w:val="0"/>
        <w:kinsoku/>
        <w:wordWrap/>
        <w:overflowPunct/>
        <w:topLinePunct/>
        <w:autoSpaceDE/>
        <w:autoSpaceDN/>
        <w:bidi w:val="0"/>
        <w:adjustRightInd w:val="0"/>
        <w:snapToGrid w:val="0"/>
        <w:spacing w:before="0" w:beforeAutospacing="0" w:after="0" w:line="520" w:lineRule="exact"/>
        <w:ind w:left="0" w:leftChars="0" w:right="0" w:firstLine="640" w:firstLineChars="200"/>
        <w:jc w:val="both"/>
        <w:textAlignment w:val="auto"/>
        <w:rPr>
          <w:rFonts w:hint="eastAsia" w:ascii="黑体" w:hAnsi="黑体" w:eastAsia="黑体" w:cs="黑体"/>
          <w:b w:val="0"/>
          <w:bCs w:val="0"/>
          <w:color w:val="auto"/>
          <w:spacing w:val="0"/>
          <w:w w:val="100"/>
          <w:sz w:val="32"/>
          <w:szCs w:val="32"/>
          <w:highlight w:val="none"/>
        </w:rPr>
      </w:pPr>
      <w:bookmarkStart w:id="95" w:name="_Toc15875"/>
      <w:bookmarkStart w:id="96" w:name="_Toc18745"/>
      <w:bookmarkStart w:id="97" w:name="_Toc101045493"/>
      <w:bookmarkStart w:id="98" w:name="_Toc17041"/>
      <w:r>
        <w:rPr>
          <w:rFonts w:hint="eastAsia" w:ascii="黑体" w:hAnsi="黑体" w:eastAsia="黑体" w:cs="黑体"/>
          <w:b w:val="0"/>
          <w:bCs w:val="0"/>
          <w:color w:val="auto"/>
          <w:spacing w:val="0"/>
          <w:w w:val="100"/>
          <w:sz w:val="32"/>
          <w:szCs w:val="32"/>
          <w:highlight w:val="none"/>
        </w:rPr>
        <w:t>三、整改落实情况</w:t>
      </w:r>
      <w:bookmarkEnd w:id="95"/>
      <w:bookmarkEnd w:id="96"/>
      <w:bookmarkEnd w:id="97"/>
      <w:bookmarkEnd w:id="98"/>
    </w:p>
    <w:p>
      <w:pPr>
        <w:pStyle w:val="34"/>
        <w:pageBreakBefore w:val="0"/>
        <w:widowControl w:val="0"/>
        <w:kinsoku/>
        <w:wordWrap/>
        <w:overflowPunct/>
        <w:topLinePunct/>
        <w:autoSpaceDE/>
        <w:autoSpaceDN/>
        <w:bidi w:val="0"/>
        <w:adjustRightInd w:val="0"/>
        <w:snapToGrid w:val="0"/>
        <w:spacing w:beforeAutospacing="0" w:line="520" w:lineRule="exact"/>
        <w:ind w:left="0" w:leftChars="0" w:right="0" w:firstLine="640" w:firstLineChars="200"/>
        <w:jc w:val="both"/>
        <w:textAlignment w:val="auto"/>
        <w:rPr>
          <w:rFonts w:hint="eastAsia" w:ascii="仿宋_GB2312" w:hAnsi="仿宋_GB2312" w:eastAsia="仿宋_GB2312" w:cs="仿宋_GB2312"/>
          <w:b w:val="0"/>
          <w:bCs w:val="0"/>
          <w:color w:val="auto"/>
          <w:spacing w:val="0"/>
          <w:w w:val="100"/>
          <w:sz w:val="32"/>
          <w:szCs w:val="32"/>
          <w:highlight w:val="none"/>
        </w:rPr>
      </w:pPr>
      <w:r>
        <w:rPr>
          <w:rFonts w:hint="eastAsia" w:ascii="仿宋_GB2312" w:hAnsi="仿宋_GB2312" w:eastAsia="仿宋_GB2312" w:cs="仿宋_GB2312"/>
          <w:b w:val="0"/>
          <w:bCs w:val="0"/>
          <w:color w:val="auto"/>
          <w:spacing w:val="0"/>
          <w:w w:val="100"/>
          <w:sz w:val="32"/>
          <w:szCs w:val="32"/>
          <w:highlight w:val="none"/>
        </w:rPr>
        <w:t>各</w:t>
      </w:r>
      <w:r>
        <w:rPr>
          <w:rFonts w:hint="eastAsia" w:ascii="仿宋_GB2312" w:hAnsi="仿宋_GB2312" w:eastAsia="仿宋_GB2312" w:cs="仿宋_GB2312"/>
          <w:b w:val="0"/>
          <w:bCs w:val="0"/>
          <w:color w:val="auto"/>
          <w:spacing w:val="0"/>
          <w:w w:val="100"/>
          <w:sz w:val="32"/>
          <w:szCs w:val="32"/>
          <w:highlight w:val="none"/>
          <w:lang w:eastAsia="zh-CN"/>
        </w:rPr>
        <w:t>单位</w:t>
      </w:r>
      <w:r>
        <w:rPr>
          <w:rFonts w:hint="eastAsia" w:ascii="仿宋_GB2312" w:hAnsi="仿宋_GB2312" w:eastAsia="仿宋_GB2312" w:cs="仿宋_GB2312"/>
          <w:b w:val="0"/>
          <w:bCs w:val="0"/>
          <w:color w:val="auto"/>
          <w:spacing w:val="0"/>
          <w:w w:val="100"/>
          <w:sz w:val="32"/>
          <w:szCs w:val="32"/>
          <w:highlight w:val="none"/>
          <w:lang w:val="en-US" w:eastAsia="zh-CN"/>
        </w:rPr>
        <w:t>在</w:t>
      </w:r>
      <w:r>
        <w:rPr>
          <w:rFonts w:hint="eastAsia" w:ascii="仿宋_GB2312" w:hAnsi="仿宋_GB2312" w:eastAsia="仿宋_GB2312" w:cs="仿宋_GB2312"/>
          <w:b w:val="0"/>
          <w:bCs w:val="0"/>
          <w:color w:val="auto"/>
          <w:spacing w:val="0"/>
          <w:w w:val="100"/>
          <w:sz w:val="32"/>
          <w:szCs w:val="32"/>
          <w:highlight w:val="none"/>
        </w:rPr>
        <w:t>自查过程中，均对本</w:t>
      </w:r>
      <w:r>
        <w:rPr>
          <w:rFonts w:hint="eastAsia" w:ascii="仿宋_GB2312" w:hAnsi="仿宋_GB2312" w:eastAsia="仿宋_GB2312" w:cs="仿宋_GB2312"/>
          <w:b w:val="0"/>
          <w:bCs w:val="0"/>
          <w:color w:val="auto"/>
          <w:spacing w:val="0"/>
          <w:w w:val="100"/>
          <w:sz w:val="32"/>
          <w:szCs w:val="32"/>
          <w:highlight w:val="none"/>
          <w:lang w:eastAsia="zh-CN"/>
        </w:rPr>
        <w:t>单位</w:t>
      </w:r>
      <w:r>
        <w:rPr>
          <w:rFonts w:hint="eastAsia" w:ascii="仿宋_GB2312" w:hAnsi="仿宋_GB2312" w:eastAsia="仿宋_GB2312" w:cs="仿宋_GB2312"/>
          <w:b w:val="0"/>
          <w:bCs w:val="0"/>
          <w:color w:val="auto"/>
          <w:spacing w:val="0"/>
          <w:w w:val="100"/>
          <w:sz w:val="32"/>
          <w:szCs w:val="32"/>
          <w:highlight w:val="none"/>
        </w:rPr>
        <w:t>出台的政策</w:t>
      </w:r>
      <w:r>
        <w:rPr>
          <w:rFonts w:hint="eastAsia" w:ascii="仿宋_GB2312" w:hAnsi="仿宋_GB2312" w:eastAsia="仿宋_GB2312" w:cs="仿宋_GB2312"/>
          <w:b w:val="0"/>
          <w:bCs w:val="0"/>
          <w:color w:val="auto"/>
          <w:spacing w:val="0"/>
          <w:w w:val="100"/>
          <w:sz w:val="32"/>
          <w:szCs w:val="32"/>
          <w:highlight w:val="none"/>
          <w:lang w:eastAsia="zh-CN"/>
        </w:rPr>
        <w:t>措施</w:t>
      </w:r>
      <w:r>
        <w:rPr>
          <w:rFonts w:hint="eastAsia" w:ascii="仿宋_GB2312" w:hAnsi="仿宋_GB2312" w:eastAsia="仿宋_GB2312" w:cs="仿宋_GB2312"/>
          <w:b w:val="0"/>
          <w:bCs w:val="0"/>
          <w:color w:val="auto"/>
          <w:spacing w:val="0"/>
          <w:w w:val="100"/>
          <w:sz w:val="32"/>
          <w:szCs w:val="32"/>
          <w:highlight w:val="none"/>
        </w:rPr>
        <w:t>进行了审查，且在自查报告中有所体现</w:t>
      </w:r>
      <w:r>
        <w:rPr>
          <w:rFonts w:hint="eastAsia" w:ascii="仿宋_GB2312" w:hAnsi="仿宋_GB2312" w:eastAsia="仿宋_GB2312" w:cs="仿宋_GB2312"/>
          <w:b w:val="0"/>
          <w:bCs w:val="0"/>
          <w:color w:val="auto"/>
          <w:spacing w:val="0"/>
          <w:w w:val="100"/>
          <w:sz w:val="32"/>
          <w:szCs w:val="32"/>
          <w:highlight w:val="none"/>
          <w:lang w:eastAsia="zh-CN"/>
        </w:rPr>
        <w:t>。部分单位</w:t>
      </w:r>
      <w:r>
        <w:rPr>
          <w:rFonts w:hint="eastAsia" w:ascii="仿宋_GB2312" w:hAnsi="仿宋_GB2312" w:eastAsia="仿宋_GB2312" w:cs="仿宋_GB2312"/>
          <w:b w:val="0"/>
          <w:bCs w:val="0"/>
          <w:color w:val="auto"/>
          <w:spacing w:val="0"/>
          <w:w w:val="100"/>
          <w:sz w:val="32"/>
          <w:szCs w:val="32"/>
          <w:highlight w:val="none"/>
        </w:rPr>
        <w:t>通过自我审查和清理，对存在违反公平竞争审查标准的</w:t>
      </w:r>
      <w:r>
        <w:rPr>
          <w:rFonts w:hint="eastAsia" w:ascii="仿宋_GB2312" w:hAnsi="仿宋_GB2312" w:eastAsia="仿宋_GB2312" w:cs="仿宋_GB2312"/>
          <w:b w:val="0"/>
          <w:bCs w:val="0"/>
          <w:color w:val="auto"/>
          <w:spacing w:val="0"/>
          <w:w w:val="100"/>
          <w:sz w:val="32"/>
          <w:szCs w:val="32"/>
          <w:highlight w:val="none"/>
          <w:lang w:eastAsia="zh-CN"/>
        </w:rPr>
        <w:t>政策措施</w:t>
      </w:r>
      <w:r>
        <w:rPr>
          <w:rFonts w:hint="eastAsia" w:ascii="仿宋_GB2312" w:hAnsi="仿宋_GB2312" w:eastAsia="仿宋_GB2312" w:cs="仿宋_GB2312"/>
          <w:b w:val="0"/>
          <w:bCs w:val="0"/>
          <w:color w:val="auto"/>
          <w:spacing w:val="0"/>
          <w:w w:val="100"/>
          <w:sz w:val="32"/>
          <w:szCs w:val="32"/>
          <w:highlight w:val="none"/>
        </w:rPr>
        <w:t>予以修改或废止，进行了及时的整改</w:t>
      </w:r>
      <w:r>
        <w:rPr>
          <w:rFonts w:hint="eastAsia" w:ascii="仿宋_GB2312" w:hAnsi="仿宋_GB2312" w:eastAsia="仿宋_GB2312" w:cs="仿宋_GB2312"/>
          <w:b w:val="0"/>
          <w:bCs w:val="0"/>
          <w:color w:val="auto"/>
          <w:spacing w:val="0"/>
          <w:w w:val="100"/>
          <w:sz w:val="32"/>
          <w:szCs w:val="32"/>
          <w:highlight w:val="none"/>
          <w:lang w:eastAsia="zh-CN"/>
        </w:rPr>
        <w:t>。个别单位</w:t>
      </w:r>
      <w:r>
        <w:rPr>
          <w:rFonts w:hint="eastAsia" w:ascii="仿宋_GB2312" w:hAnsi="仿宋_GB2312" w:eastAsia="仿宋_GB2312" w:cs="仿宋_GB2312"/>
          <w:b w:val="0"/>
          <w:bCs w:val="0"/>
          <w:color w:val="auto"/>
          <w:spacing w:val="0"/>
          <w:w w:val="100"/>
          <w:sz w:val="32"/>
          <w:szCs w:val="32"/>
          <w:highlight w:val="none"/>
        </w:rPr>
        <w:t>在自我审查过程中未发现妨碍公平竞争的政策</w:t>
      </w:r>
      <w:r>
        <w:rPr>
          <w:rFonts w:hint="eastAsia" w:ascii="仿宋_GB2312" w:hAnsi="仿宋_GB2312" w:eastAsia="仿宋_GB2312" w:cs="仿宋_GB2312"/>
          <w:b w:val="0"/>
          <w:bCs w:val="0"/>
          <w:color w:val="auto"/>
          <w:spacing w:val="0"/>
          <w:w w:val="100"/>
          <w:sz w:val="32"/>
          <w:szCs w:val="32"/>
          <w:highlight w:val="none"/>
          <w:lang w:eastAsia="zh-CN"/>
        </w:rPr>
        <w:t>措施，</w:t>
      </w:r>
      <w:r>
        <w:rPr>
          <w:rFonts w:hint="eastAsia" w:ascii="仿宋_GB2312" w:hAnsi="仿宋_GB2312" w:eastAsia="仿宋_GB2312" w:cs="仿宋_GB2312"/>
          <w:b w:val="0"/>
          <w:bCs w:val="0"/>
          <w:color w:val="auto"/>
          <w:spacing w:val="0"/>
          <w:w w:val="100"/>
          <w:sz w:val="32"/>
          <w:szCs w:val="32"/>
          <w:highlight w:val="none"/>
        </w:rPr>
        <w:t>对存在违反公平竞争审查标准的</w:t>
      </w:r>
      <w:r>
        <w:rPr>
          <w:rFonts w:hint="eastAsia" w:ascii="仿宋_GB2312" w:hAnsi="仿宋_GB2312" w:eastAsia="仿宋_GB2312" w:cs="仿宋_GB2312"/>
          <w:b w:val="0"/>
          <w:bCs w:val="0"/>
          <w:color w:val="auto"/>
          <w:spacing w:val="0"/>
          <w:w w:val="100"/>
          <w:sz w:val="32"/>
          <w:szCs w:val="32"/>
          <w:highlight w:val="none"/>
          <w:lang w:eastAsia="zh-CN"/>
        </w:rPr>
        <w:t>政策措施也未进行</w:t>
      </w:r>
      <w:r>
        <w:rPr>
          <w:rFonts w:hint="eastAsia" w:ascii="仿宋_GB2312" w:hAnsi="仿宋_GB2312" w:eastAsia="仿宋_GB2312" w:cs="仿宋_GB2312"/>
          <w:b w:val="0"/>
          <w:bCs w:val="0"/>
          <w:color w:val="auto"/>
          <w:spacing w:val="0"/>
          <w:w w:val="100"/>
          <w:sz w:val="32"/>
          <w:szCs w:val="32"/>
          <w:highlight w:val="none"/>
        </w:rPr>
        <w:t>修改或废止。</w:t>
      </w:r>
    </w:p>
    <w:p>
      <w:pPr>
        <w:pStyle w:val="34"/>
        <w:pageBreakBefore w:val="0"/>
        <w:kinsoku/>
        <w:wordWrap/>
        <w:overflowPunct/>
        <w:topLinePunct/>
        <w:autoSpaceDE/>
        <w:autoSpaceDN/>
        <w:bidi w:val="0"/>
        <w:adjustRightInd w:val="0"/>
        <w:snapToGrid w:val="0"/>
        <w:spacing w:beforeAutospacing="0" w:line="540" w:lineRule="exact"/>
        <w:ind w:left="0" w:leftChars="0" w:right="0" w:firstLine="0" w:firstLineChars="0"/>
        <w:jc w:val="center"/>
        <w:outlineLvl w:val="0"/>
        <w:rPr>
          <w:rFonts w:hint="eastAsia" w:ascii="方正小标宋简体" w:hAnsi="方正小标宋简体" w:eastAsia="方正小标宋简体" w:cs="方正小标宋简体"/>
          <w:b w:val="0"/>
          <w:bCs w:val="0"/>
          <w:color w:val="auto"/>
          <w:spacing w:val="0"/>
          <w:w w:val="100"/>
          <w:kern w:val="44"/>
          <w:sz w:val="36"/>
          <w:szCs w:val="36"/>
          <w:highlight w:val="none"/>
          <w:lang w:val="en-US" w:eastAsia="zh-CN" w:bidi="ar-SA"/>
        </w:rPr>
      </w:pPr>
      <w:bookmarkStart w:id="99" w:name="_Toc101045494"/>
      <w:bookmarkStart w:id="100" w:name="_Toc24138"/>
      <w:r>
        <w:rPr>
          <w:rFonts w:hint="eastAsia" w:ascii="方正小标宋简体" w:hAnsi="方正小标宋简体" w:eastAsia="方正小标宋简体" w:cs="方正小标宋简体"/>
          <w:b w:val="0"/>
          <w:bCs w:val="0"/>
          <w:color w:val="auto"/>
          <w:spacing w:val="0"/>
          <w:w w:val="100"/>
          <w:kern w:val="44"/>
          <w:sz w:val="36"/>
          <w:szCs w:val="36"/>
          <w:highlight w:val="none"/>
          <w:lang w:val="en-US" w:eastAsia="zh-CN" w:bidi="ar-SA"/>
        </w:rPr>
        <w:t>第五章  整改及工作建议</w:t>
      </w:r>
      <w:bookmarkEnd w:id="99"/>
      <w:bookmarkEnd w:id="100"/>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101" w:name="_Toc101045495"/>
      <w:bookmarkStart w:id="102" w:name="_Toc8488"/>
      <w:r>
        <w:rPr>
          <w:rFonts w:hint="eastAsia" w:ascii="黑体" w:hAnsi="黑体" w:eastAsia="黑体" w:cs="黑体"/>
          <w:b w:val="0"/>
          <w:bCs w:val="0"/>
          <w:color w:val="auto"/>
          <w:spacing w:val="0"/>
          <w:w w:val="100"/>
          <w:sz w:val="32"/>
          <w:szCs w:val="32"/>
          <w:highlight w:val="none"/>
        </w:rPr>
        <w:t>第一节</w:t>
      </w:r>
      <w:r>
        <w:rPr>
          <w:rFonts w:hint="eastAsia" w:ascii="黑体" w:hAnsi="黑体" w:eastAsia="黑体" w:cs="黑体"/>
          <w:b w:val="0"/>
          <w:bCs w:val="0"/>
          <w:color w:val="auto"/>
          <w:spacing w:val="0"/>
          <w:w w:val="100"/>
          <w:sz w:val="32"/>
          <w:szCs w:val="32"/>
          <w:highlight w:val="none"/>
          <w:lang w:val="en-US" w:eastAsia="zh-CN"/>
        </w:rPr>
        <w:t xml:space="preserve"> </w:t>
      </w:r>
      <w:r>
        <w:rPr>
          <w:rFonts w:hint="eastAsia" w:ascii="黑体" w:hAnsi="黑体" w:eastAsia="黑体" w:cs="黑体"/>
          <w:b w:val="0"/>
          <w:bCs w:val="0"/>
          <w:color w:val="auto"/>
          <w:spacing w:val="0"/>
          <w:w w:val="100"/>
          <w:sz w:val="32"/>
          <w:szCs w:val="32"/>
          <w:highlight w:val="none"/>
        </w:rPr>
        <w:t>强化公平竞争审查意识</w:t>
      </w:r>
      <w:bookmarkEnd w:id="101"/>
      <w:bookmarkEnd w:id="102"/>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val="0"/>
          <w:bCs w:val="0"/>
          <w:color w:val="auto"/>
          <w:spacing w:val="0"/>
          <w:w w:val="100"/>
          <w:sz w:val="32"/>
          <w:szCs w:val="32"/>
          <w:highlight w:val="none"/>
          <w:lang w:eastAsia="zh-CN"/>
        </w:rPr>
        <w:t>为保证各单位公平竞争审查机制顺畅运行，公平竞争审查工作能够更好</w:t>
      </w:r>
      <w:r>
        <w:rPr>
          <w:rFonts w:hint="eastAsia" w:ascii="仿宋_GB2312" w:hAnsi="仿宋_GB2312" w:eastAsia="仿宋_GB2312" w:cs="仿宋_GB2312"/>
          <w:b w:val="0"/>
          <w:bCs w:val="0"/>
          <w:color w:val="auto"/>
          <w:spacing w:val="0"/>
          <w:w w:val="100"/>
          <w:sz w:val="32"/>
          <w:szCs w:val="32"/>
          <w:highlight w:val="none"/>
          <w:lang w:val="en-US" w:eastAsia="zh-CN"/>
        </w:rPr>
        <w:t>地</w:t>
      </w:r>
      <w:r>
        <w:rPr>
          <w:rFonts w:hint="eastAsia" w:ascii="仿宋_GB2312" w:hAnsi="仿宋_GB2312" w:eastAsia="仿宋_GB2312" w:cs="仿宋_GB2312"/>
          <w:b w:val="0"/>
          <w:bCs w:val="0"/>
          <w:color w:val="auto"/>
          <w:spacing w:val="0"/>
          <w:w w:val="100"/>
          <w:sz w:val="32"/>
          <w:szCs w:val="32"/>
          <w:highlight w:val="none"/>
          <w:lang w:eastAsia="zh-CN"/>
        </w:rPr>
        <w:t>开展，各单位应提高对公平竞争审查工作的重视程度，明确公平竞争审查机制的建立是释放市场主体活力、维护统一市场、确保政府依法行政的重要举措，可以通过安排负责公平竞争审查的科室组织各科室学习培训、定期检查各科室公平竞争审查工作开展情况等方式，提高本单位整体的公平竞争审查意识，改变认为公平竞争审查工作是负责公平竞争审查科室职能而与其他职能科室无关的观念。</w:t>
      </w:r>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103" w:name="_Toc101045496"/>
      <w:bookmarkStart w:id="104" w:name="_Toc1250"/>
      <w:r>
        <w:rPr>
          <w:rFonts w:hint="eastAsia" w:ascii="黑体" w:hAnsi="黑体" w:eastAsia="黑体" w:cs="黑体"/>
          <w:b w:val="0"/>
          <w:bCs w:val="0"/>
          <w:color w:val="auto"/>
          <w:spacing w:val="0"/>
          <w:w w:val="100"/>
          <w:sz w:val="32"/>
          <w:szCs w:val="32"/>
          <w:highlight w:val="none"/>
        </w:rPr>
        <w:t>第二节</w:t>
      </w:r>
      <w:r>
        <w:rPr>
          <w:rFonts w:hint="eastAsia" w:ascii="黑体" w:hAnsi="黑体" w:eastAsia="黑体" w:cs="黑体"/>
          <w:b w:val="0"/>
          <w:bCs w:val="0"/>
          <w:color w:val="auto"/>
          <w:spacing w:val="0"/>
          <w:w w:val="100"/>
          <w:sz w:val="32"/>
          <w:szCs w:val="32"/>
          <w:highlight w:val="none"/>
          <w:lang w:val="en-US" w:eastAsia="zh-CN"/>
        </w:rPr>
        <w:t xml:space="preserve"> </w:t>
      </w:r>
      <w:r>
        <w:rPr>
          <w:rFonts w:hint="eastAsia" w:ascii="黑体" w:hAnsi="黑体" w:eastAsia="黑体" w:cs="黑体"/>
          <w:b w:val="0"/>
          <w:bCs w:val="0"/>
          <w:color w:val="auto"/>
          <w:spacing w:val="0"/>
          <w:w w:val="100"/>
          <w:sz w:val="32"/>
          <w:szCs w:val="32"/>
          <w:highlight w:val="none"/>
        </w:rPr>
        <w:t>完善公平竞争审查制度</w:t>
      </w:r>
      <w:bookmarkEnd w:id="103"/>
      <w:bookmarkEnd w:id="104"/>
    </w:p>
    <w:p>
      <w:pPr>
        <w:pageBreakBefore w:val="0"/>
        <w:kinsoku/>
        <w:wordWrap/>
        <w:overflowPunct/>
        <w:topLinePunct/>
        <w:autoSpaceDE/>
        <w:autoSpaceDN/>
        <w:bidi w:val="0"/>
        <w:adjustRightInd w:val="0"/>
        <w:snapToGrid w:val="0"/>
        <w:spacing w:beforeAutospacing="0" w:line="540" w:lineRule="exact"/>
        <w:ind w:left="0" w:leftChars="0" w:right="0" w:firstLine="643"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bCs/>
          <w:color w:val="auto"/>
          <w:spacing w:val="0"/>
          <w:w w:val="100"/>
          <w:sz w:val="32"/>
          <w:szCs w:val="32"/>
          <w:highlight w:val="none"/>
          <w:lang w:eastAsia="zh-CN"/>
        </w:rPr>
        <w:t>一是根据公平竞争审查工作要求</w:t>
      </w:r>
      <w:r>
        <w:rPr>
          <w:rFonts w:hint="eastAsia" w:ascii="仿宋_GB2312" w:hAnsi="仿宋_GB2312" w:eastAsia="仿宋_GB2312" w:cs="仿宋_GB2312"/>
          <w:b w:val="0"/>
          <w:bCs w:val="0"/>
          <w:color w:val="auto"/>
          <w:spacing w:val="0"/>
          <w:w w:val="100"/>
          <w:sz w:val="32"/>
          <w:szCs w:val="32"/>
          <w:highlight w:val="none"/>
          <w:lang w:eastAsia="zh-CN"/>
        </w:rPr>
        <w:t>，实现对存量政策措施全面的梳理，坚持“谁制定、谁清理”的原则，紧紧围绕“放管服”改革、优化营商环境、建设现代化市场体系的要求，严格对照清理，逐项研究分析相关政策措施，认真做好清理工作，确保妨碍统一市场和公平竞争的各项规定与做法应废尽废、应改尽改。</w:t>
      </w:r>
    </w:p>
    <w:p>
      <w:pPr>
        <w:pageBreakBefore w:val="0"/>
        <w:kinsoku/>
        <w:wordWrap/>
        <w:overflowPunct/>
        <w:topLinePunct/>
        <w:autoSpaceDE/>
        <w:autoSpaceDN/>
        <w:bidi w:val="0"/>
        <w:adjustRightInd w:val="0"/>
        <w:snapToGrid w:val="0"/>
        <w:spacing w:beforeAutospacing="0" w:line="540" w:lineRule="exact"/>
        <w:ind w:left="0" w:leftChars="0" w:right="0" w:firstLine="643"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bCs/>
          <w:color w:val="auto"/>
          <w:spacing w:val="0"/>
          <w:w w:val="100"/>
          <w:sz w:val="32"/>
          <w:szCs w:val="32"/>
          <w:highlight w:val="none"/>
          <w:lang w:eastAsia="zh-CN"/>
        </w:rPr>
        <w:t>二是建立各单位公平竞争审查联席会议机制</w:t>
      </w:r>
      <w:r>
        <w:rPr>
          <w:rFonts w:hint="eastAsia" w:ascii="仿宋_GB2312" w:hAnsi="仿宋_GB2312" w:eastAsia="仿宋_GB2312" w:cs="仿宋_GB2312"/>
          <w:b w:val="0"/>
          <w:bCs w:val="0"/>
          <w:color w:val="auto"/>
          <w:spacing w:val="0"/>
          <w:w w:val="100"/>
          <w:sz w:val="32"/>
          <w:szCs w:val="32"/>
          <w:highlight w:val="none"/>
          <w:lang w:eastAsia="zh-CN"/>
        </w:rPr>
        <w:t>，强化对本系统、本区域内公平竞争审查工作的指导与监督，建立重大政策措施法制审核制度，在制定政策措施及开展公平竞争审查工作过程中积极征求各方面意见，把公众参与、专家论证、风险评估、合法性与合规性审核及公平竞争审查、集体讨论作为重大行政决策的必需程序。</w:t>
      </w:r>
    </w:p>
    <w:p>
      <w:pPr>
        <w:pageBreakBefore w:val="0"/>
        <w:kinsoku/>
        <w:wordWrap/>
        <w:overflowPunct/>
        <w:topLinePunct/>
        <w:autoSpaceDE/>
        <w:autoSpaceDN/>
        <w:bidi w:val="0"/>
        <w:adjustRightInd w:val="0"/>
        <w:snapToGrid w:val="0"/>
        <w:spacing w:beforeAutospacing="0" w:line="540" w:lineRule="exact"/>
        <w:ind w:left="0" w:leftChars="0" w:right="0" w:firstLine="643"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bCs/>
          <w:color w:val="auto"/>
          <w:spacing w:val="0"/>
          <w:w w:val="100"/>
          <w:sz w:val="32"/>
          <w:szCs w:val="32"/>
          <w:highlight w:val="none"/>
          <w:lang w:eastAsia="zh-CN"/>
        </w:rPr>
        <w:t>三是建立公平竞争审查工作台账</w:t>
      </w:r>
      <w:r>
        <w:rPr>
          <w:rFonts w:hint="eastAsia" w:ascii="仿宋_GB2312" w:hAnsi="仿宋_GB2312" w:eastAsia="仿宋_GB2312" w:cs="仿宋_GB2312"/>
          <w:b w:val="0"/>
          <w:bCs w:val="0"/>
          <w:color w:val="auto"/>
          <w:spacing w:val="0"/>
          <w:w w:val="100"/>
          <w:sz w:val="32"/>
          <w:szCs w:val="32"/>
          <w:highlight w:val="none"/>
          <w:lang w:eastAsia="zh-CN"/>
        </w:rPr>
        <w:t>，要求各相关科室负责人对本单位制定的政策措施的公平竞争审查工作负主要责任，同时结合规范性文件审查等工作，由政策措施起草部门初审后交至指定科室进行复审并出具审核意见书，逐步形成由指定科室牵头、政策措施制定科室齐抓共推的工作局面。</w:t>
      </w:r>
    </w:p>
    <w:p>
      <w:pPr>
        <w:pageBreakBefore w:val="0"/>
        <w:kinsoku/>
        <w:wordWrap/>
        <w:overflowPunct/>
        <w:topLinePunct/>
        <w:autoSpaceDE/>
        <w:autoSpaceDN/>
        <w:bidi w:val="0"/>
        <w:adjustRightInd w:val="0"/>
        <w:snapToGrid w:val="0"/>
        <w:spacing w:beforeAutospacing="0" w:line="540" w:lineRule="exact"/>
        <w:ind w:left="0" w:leftChars="0" w:right="0" w:firstLine="643"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bCs/>
          <w:color w:val="auto"/>
          <w:spacing w:val="0"/>
          <w:w w:val="100"/>
          <w:sz w:val="32"/>
          <w:szCs w:val="32"/>
          <w:highlight w:val="none"/>
          <w:lang w:eastAsia="zh-CN"/>
        </w:rPr>
        <w:t>四是贯彻落实工作要求</w:t>
      </w:r>
      <w:r>
        <w:rPr>
          <w:rFonts w:hint="eastAsia" w:ascii="仿宋_GB2312" w:hAnsi="仿宋_GB2312" w:eastAsia="仿宋_GB2312" w:cs="仿宋_GB2312"/>
          <w:b w:val="0"/>
          <w:bCs w:val="0"/>
          <w:color w:val="auto"/>
          <w:spacing w:val="0"/>
          <w:w w:val="100"/>
          <w:sz w:val="32"/>
          <w:szCs w:val="32"/>
          <w:highlight w:val="none"/>
          <w:lang w:eastAsia="zh-CN"/>
        </w:rPr>
        <w:t>，在《公平竞争审查制度实施细则》及张掖市政府具体工作方案指导下，各单位应做好政策衔接，研究并制定相应的实施方案，并根据公平竞争审查制度的要求，及时调整审查方案与审查流程。根据审查工作的基本流程开展排除限制竞争存量政策措施的清理工作以及增量政策措施的审查工作，定期组织效果评估，完善并推进公平竞争审查工作。</w:t>
      </w:r>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105" w:name="_Toc101045497"/>
      <w:bookmarkStart w:id="106" w:name="_Toc18787"/>
      <w:r>
        <w:rPr>
          <w:rFonts w:hint="eastAsia" w:ascii="黑体" w:hAnsi="黑体" w:eastAsia="黑体" w:cs="黑体"/>
          <w:b w:val="0"/>
          <w:bCs w:val="0"/>
          <w:color w:val="auto"/>
          <w:spacing w:val="0"/>
          <w:w w:val="100"/>
          <w:sz w:val="32"/>
          <w:szCs w:val="32"/>
          <w:highlight w:val="none"/>
        </w:rPr>
        <w:t>第三节</w:t>
      </w:r>
      <w:r>
        <w:rPr>
          <w:rFonts w:hint="eastAsia" w:ascii="黑体" w:hAnsi="黑体" w:eastAsia="黑体" w:cs="黑体"/>
          <w:b w:val="0"/>
          <w:bCs w:val="0"/>
          <w:color w:val="auto"/>
          <w:spacing w:val="0"/>
          <w:w w:val="100"/>
          <w:sz w:val="32"/>
          <w:szCs w:val="32"/>
          <w:highlight w:val="none"/>
          <w:lang w:val="en-US" w:eastAsia="zh-CN"/>
        </w:rPr>
        <w:t xml:space="preserve"> </w:t>
      </w:r>
      <w:r>
        <w:rPr>
          <w:rFonts w:hint="eastAsia" w:ascii="黑体" w:hAnsi="黑体" w:eastAsia="黑体" w:cs="黑体"/>
          <w:b w:val="0"/>
          <w:bCs w:val="0"/>
          <w:color w:val="auto"/>
          <w:spacing w:val="0"/>
          <w:w w:val="100"/>
          <w:sz w:val="32"/>
          <w:szCs w:val="32"/>
          <w:highlight w:val="none"/>
        </w:rPr>
        <w:t>规范公平竞争审查实施程序</w:t>
      </w:r>
      <w:bookmarkEnd w:id="105"/>
      <w:bookmarkEnd w:id="106"/>
    </w:p>
    <w:p>
      <w:pPr>
        <w:pageBreakBefore w:val="0"/>
        <w:kinsoku/>
        <w:wordWrap/>
        <w:overflowPunct/>
        <w:topLinePunct/>
        <w:autoSpaceDE/>
        <w:autoSpaceDN/>
        <w:bidi w:val="0"/>
        <w:adjustRightInd w:val="0"/>
        <w:snapToGrid w:val="0"/>
        <w:spacing w:beforeAutospacing="0" w:line="540" w:lineRule="exact"/>
        <w:ind w:left="0" w:leftChars="0" w:right="0" w:firstLine="643"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bCs/>
          <w:color w:val="auto"/>
          <w:spacing w:val="0"/>
          <w:w w:val="100"/>
          <w:sz w:val="32"/>
          <w:szCs w:val="32"/>
          <w:highlight w:val="none"/>
          <w:lang w:eastAsia="zh-CN"/>
        </w:rPr>
        <w:t>一是确保公平竞争审查工作程序的全面性</w:t>
      </w:r>
      <w:r>
        <w:rPr>
          <w:rFonts w:hint="eastAsia" w:ascii="仿宋_GB2312" w:hAnsi="仿宋_GB2312" w:eastAsia="仿宋_GB2312" w:cs="仿宋_GB2312"/>
          <w:b w:val="0"/>
          <w:bCs w:val="0"/>
          <w:color w:val="auto"/>
          <w:spacing w:val="0"/>
          <w:w w:val="100"/>
          <w:sz w:val="32"/>
          <w:szCs w:val="32"/>
          <w:highlight w:val="none"/>
          <w:lang w:eastAsia="zh-CN"/>
        </w:rPr>
        <w:t>。严格执行“谁起草、谁审查”的原则，根据《公平竞争审查制度实施细则》的标准开展审查工作，应当纳入公平竞争审查工作范围的包括涉及市场主体经济活动的增量政策措施及现行有效存量政策措施，同时应结合该项政策措施出台背景及张掖市实际情况对是否适用于例外情况的规定进行综合判定，对于科室不能明确判断是否应纳入公平竞争审查的，应交由负责公平竞争审查的科室进行，确保应审尽审。</w:t>
      </w:r>
    </w:p>
    <w:p>
      <w:pPr>
        <w:pageBreakBefore w:val="0"/>
        <w:kinsoku/>
        <w:wordWrap/>
        <w:overflowPunct/>
        <w:topLinePunct/>
        <w:autoSpaceDE/>
        <w:autoSpaceDN/>
        <w:bidi w:val="0"/>
        <w:adjustRightInd w:val="0"/>
        <w:snapToGrid w:val="0"/>
        <w:spacing w:beforeAutospacing="0" w:line="540" w:lineRule="exact"/>
        <w:ind w:left="0" w:leftChars="0" w:right="0" w:firstLine="643"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bCs/>
          <w:color w:val="auto"/>
          <w:spacing w:val="0"/>
          <w:w w:val="100"/>
          <w:sz w:val="32"/>
          <w:szCs w:val="32"/>
          <w:highlight w:val="none"/>
          <w:lang w:eastAsia="zh-CN"/>
        </w:rPr>
        <w:t>二是细化征求意见程序</w:t>
      </w:r>
      <w:r>
        <w:rPr>
          <w:rFonts w:hint="eastAsia" w:ascii="仿宋_GB2312" w:hAnsi="仿宋_GB2312" w:eastAsia="仿宋_GB2312" w:cs="仿宋_GB2312"/>
          <w:b w:val="0"/>
          <w:bCs w:val="0"/>
          <w:color w:val="auto"/>
          <w:spacing w:val="0"/>
          <w:w w:val="100"/>
          <w:sz w:val="32"/>
          <w:szCs w:val="32"/>
          <w:highlight w:val="none"/>
          <w:lang w:eastAsia="zh-CN"/>
        </w:rPr>
        <w:t>，坚持以“向社会公开征求竞争意见”为原则，“征求利害关系人竞争意见”为例外，就政策措施向社会公众公开征求意见，并在书面结论中对意见征求状况的结果予以说明。</w:t>
      </w:r>
    </w:p>
    <w:p>
      <w:pPr>
        <w:pageBreakBefore w:val="0"/>
        <w:kinsoku/>
        <w:wordWrap/>
        <w:overflowPunct/>
        <w:topLinePunct/>
        <w:autoSpaceDE/>
        <w:autoSpaceDN/>
        <w:bidi w:val="0"/>
        <w:adjustRightInd w:val="0"/>
        <w:snapToGrid w:val="0"/>
        <w:spacing w:beforeAutospacing="0" w:line="540" w:lineRule="exact"/>
        <w:ind w:left="0" w:leftChars="0" w:right="0" w:firstLine="643"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bCs/>
          <w:color w:val="auto"/>
          <w:spacing w:val="0"/>
          <w:w w:val="100"/>
          <w:sz w:val="32"/>
          <w:szCs w:val="32"/>
          <w:highlight w:val="none"/>
          <w:lang w:eastAsia="zh-CN"/>
        </w:rPr>
        <w:t>三是发挥好审核把关工作的重要作用</w:t>
      </w:r>
      <w:r>
        <w:rPr>
          <w:rFonts w:hint="eastAsia" w:ascii="仿宋_GB2312" w:hAnsi="仿宋_GB2312" w:eastAsia="仿宋_GB2312" w:cs="仿宋_GB2312"/>
          <w:b w:val="0"/>
          <w:bCs w:val="0"/>
          <w:color w:val="auto"/>
          <w:spacing w:val="0"/>
          <w:w w:val="100"/>
          <w:sz w:val="32"/>
          <w:szCs w:val="32"/>
          <w:highlight w:val="none"/>
          <w:lang w:eastAsia="zh-CN"/>
        </w:rPr>
        <w:t>，在政策措施制定过程中把好最后一道关，对于应审未审的、未严格经过审核流程的、仍存在妨碍公平竞争问题的文件，重新交由负责公平竞争审查的科室进行审核。</w:t>
      </w:r>
    </w:p>
    <w:p>
      <w:pPr>
        <w:pageBreakBefore w:val="0"/>
        <w:kinsoku/>
        <w:wordWrap/>
        <w:overflowPunct/>
        <w:topLinePunct/>
        <w:autoSpaceDE/>
        <w:autoSpaceDN/>
        <w:bidi w:val="0"/>
        <w:adjustRightInd w:val="0"/>
        <w:snapToGrid w:val="0"/>
        <w:spacing w:beforeAutospacing="0" w:line="540" w:lineRule="exact"/>
        <w:ind w:left="0" w:leftChars="0" w:right="0" w:firstLine="643"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bCs/>
          <w:color w:val="auto"/>
          <w:spacing w:val="0"/>
          <w:w w:val="100"/>
          <w:sz w:val="32"/>
          <w:szCs w:val="32"/>
          <w:highlight w:val="none"/>
          <w:lang w:eastAsia="zh-CN"/>
        </w:rPr>
        <w:t>四是规范公平竞争审查留痕工作</w:t>
      </w:r>
      <w:r>
        <w:rPr>
          <w:rFonts w:hint="eastAsia" w:ascii="仿宋_GB2312" w:hAnsi="仿宋_GB2312" w:eastAsia="仿宋_GB2312" w:cs="仿宋_GB2312"/>
          <w:b w:val="0"/>
          <w:bCs w:val="0"/>
          <w:color w:val="auto"/>
          <w:spacing w:val="0"/>
          <w:w w:val="100"/>
          <w:sz w:val="32"/>
          <w:szCs w:val="32"/>
          <w:highlight w:val="none"/>
          <w:lang w:eastAsia="zh-CN"/>
        </w:rPr>
        <w:t>，在完成公平竞争审查工作后应当随政策措施附有公平竞争审查意见和《公平竞争审查表》，并进行留档，确保公平竞争审查工作可回溯。</w:t>
      </w:r>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107" w:name="_Toc101045498"/>
      <w:bookmarkStart w:id="108" w:name="_Toc3777"/>
      <w:r>
        <w:rPr>
          <w:rFonts w:hint="eastAsia" w:ascii="黑体" w:hAnsi="黑体" w:eastAsia="黑体" w:cs="黑体"/>
          <w:b w:val="0"/>
          <w:bCs w:val="0"/>
          <w:color w:val="auto"/>
          <w:spacing w:val="0"/>
          <w:w w:val="100"/>
          <w:sz w:val="32"/>
          <w:szCs w:val="32"/>
          <w:highlight w:val="none"/>
        </w:rPr>
        <w:t>第四节</w:t>
      </w:r>
      <w:r>
        <w:rPr>
          <w:rFonts w:hint="eastAsia"/>
          <w:lang w:val="en-US" w:eastAsia="zh-CN"/>
        </w:rPr>
        <w:t xml:space="preserve"> </w:t>
      </w:r>
      <w:r>
        <w:rPr>
          <w:rFonts w:hint="eastAsia" w:ascii="黑体" w:hAnsi="黑体" w:eastAsia="黑体" w:cs="黑体"/>
          <w:b w:val="0"/>
          <w:bCs w:val="0"/>
          <w:color w:val="auto"/>
          <w:spacing w:val="0"/>
          <w:w w:val="100"/>
          <w:sz w:val="32"/>
          <w:szCs w:val="32"/>
          <w:highlight w:val="none"/>
        </w:rPr>
        <w:t>提高公平竞争审查能力</w:t>
      </w:r>
      <w:bookmarkEnd w:id="107"/>
      <w:bookmarkEnd w:id="108"/>
    </w:p>
    <w:p>
      <w:pPr>
        <w:pageBreakBefore w:val="0"/>
        <w:kinsoku/>
        <w:wordWrap/>
        <w:overflowPunct/>
        <w:topLinePunct/>
        <w:autoSpaceDE/>
        <w:autoSpaceDN/>
        <w:bidi w:val="0"/>
        <w:adjustRightInd w:val="0"/>
        <w:snapToGrid w:val="0"/>
        <w:spacing w:beforeAutospacing="0" w:line="540" w:lineRule="exact"/>
        <w:ind w:left="0" w:leftChars="0" w:right="0" w:firstLine="643"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bCs/>
          <w:color w:val="auto"/>
          <w:spacing w:val="0"/>
          <w:w w:val="100"/>
          <w:sz w:val="32"/>
          <w:szCs w:val="32"/>
          <w:highlight w:val="none"/>
          <w:lang w:eastAsia="zh-CN"/>
        </w:rPr>
        <w:t>一是积极参与市场监管等部门举办的</w:t>
      </w:r>
      <w:r>
        <w:rPr>
          <w:rFonts w:hint="eastAsia" w:ascii="仿宋_GB2312" w:hAnsi="仿宋_GB2312" w:eastAsia="仿宋_GB2312" w:cs="仿宋_GB2312"/>
          <w:b/>
          <w:bCs/>
          <w:color w:val="auto"/>
          <w:spacing w:val="0"/>
          <w:w w:val="100"/>
          <w:sz w:val="32"/>
          <w:szCs w:val="32"/>
          <w:highlight w:val="none"/>
          <w:lang w:val="en-US" w:eastAsia="zh-CN"/>
        </w:rPr>
        <w:t>相关</w:t>
      </w:r>
      <w:r>
        <w:rPr>
          <w:rFonts w:hint="eastAsia" w:ascii="仿宋_GB2312" w:hAnsi="仿宋_GB2312" w:eastAsia="仿宋_GB2312" w:cs="仿宋_GB2312"/>
          <w:b/>
          <w:bCs/>
          <w:color w:val="auto"/>
          <w:spacing w:val="0"/>
          <w:w w:val="100"/>
          <w:sz w:val="32"/>
          <w:szCs w:val="32"/>
          <w:highlight w:val="none"/>
          <w:lang w:eastAsia="zh-CN"/>
        </w:rPr>
        <w:t>专业培训</w:t>
      </w:r>
      <w:r>
        <w:rPr>
          <w:rFonts w:hint="eastAsia" w:ascii="仿宋_GB2312" w:hAnsi="仿宋_GB2312" w:eastAsia="仿宋_GB2312" w:cs="仿宋_GB2312"/>
          <w:b w:val="0"/>
          <w:bCs w:val="0"/>
          <w:color w:val="auto"/>
          <w:spacing w:val="0"/>
          <w:w w:val="100"/>
          <w:sz w:val="32"/>
          <w:szCs w:val="32"/>
          <w:highlight w:val="none"/>
          <w:lang w:eastAsia="zh-CN"/>
        </w:rPr>
        <w:t>，加强政策知识学习与研究，尤其增加公平竞争审查典型案例学习，不断提高审查工作人员专业能力水平。</w:t>
      </w:r>
    </w:p>
    <w:p>
      <w:pPr>
        <w:pageBreakBefore w:val="0"/>
        <w:kinsoku/>
        <w:wordWrap/>
        <w:overflowPunct/>
        <w:topLinePunct/>
        <w:autoSpaceDE/>
        <w:autoSpaceDN/>
        <w:bidi w:val="0"/>
        <w:adjustRightInd w:val="0"/>
        <w:snapToGrid w:val="0"/>
        <w:spacing w:beforeAutospacing="0" w:line="540" w:lineRule="exact"/>
        <w:ind w:left="0" w:leftChars="0" w:right="0" w:firstLine="643"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bCs/>
          <w:color w:val="auto"/>
          <w:spacing w:val="0"/>
          <w:w w:val="100"/>
          <w:sz w:val="32"/>
          <w:szCs w:val="32"/>
          <w:highlight w:val="none"/>
          <w:lang w:eastAsia="zh-CN"/>
        </w:rPr>
        <w:t>二是加大审查工作的宣传力度</w:t>
      </w:r>
      <w:r>
        <w:rPr>
          <w:rFonts w:hint="eastAsia" w:ascii="仿宋_GB2312" w:hAnsi="仿宋_GB2312" w:eastAsia="仿宋_GB2312" w:cs="仿宋_GB2312"/>
          <w:b w:val="0"/>
          <w:bCs w:val="0"/>
          <w:color w:val="auto"/>
          <w:spacing w:val="0"/>
          <w:w w:val="100"/>
          <w:sz w:val="32"/>
          <w:szCs w:val="32"/>
          <w:highlight w:val="none"/>
          <w:lang w:eastAsia="zh-CN"/>
        </w:rPr>
        <w:t>，对于公平竞争制度政策与审查标准进行详细解读，宣讲分析典型案例并提出相应的审查建议。将培训工作落实至各业务科室具体的政策措施制定工作中，强化业务部门对公平竞争审查工作重要性与必要性的认识，提高实施公平竞争审查工作的主动性与积极性。</w:t>
      </w:r>
    </w:p>
    <w:p>
      <w:pPr>
        <w:pageBreakBefore w:val="0"/>
        <w:kinsoku/>
        <w:wordWrap/>
        <w:overflowPunct/>
        <w:topLinePunct/>
        <w:autoSpaceDE/>
        <w:autoSpaceDN/>
        <w:bidi w:val="0"/>
        <w:adjustRightInd w:val="0"/>
        <w:snapToGrid w:val="0"/>
        <w:spacing w:beforeAutospacing="0" w:line="540" w:lineRule="exact"/>
        <w:ind w:left="0" w:leftChars="0" w:right="0" w:firstLine="643"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bCs/>
          <w:color w:val="auto"/>
          <w:spacing w:val="0"/>
          <w:w w:val="100"/>
          <w:sz w:val="32"/>
          <w:szCs w:val="32"/>
          <w:highlight w:val="none"/>
          <w:lang w:eastAsia="zh-CN"/>
        </w:rPr>
        <w:t>三是应充分利用各类新媒体平台</w:t>
      </w:r>
      <w:r>
        <w:rPr>
          <w:rFonts w:hint="eastAsia" w:ascii="仿宋_GB2312" w:hAnsi="仿宋_GB2312" w:eastAsia="仿宋_GB2312" w:cs="仿宋_GB2312"/>
          <w:b w:val="0"/>
          <w:bCs w:val="0"/>
          <w:color w:val="auto"/>
          <w:spacing w:val="0"/>
          <w:w w:val="100"/>
          <w:sz w:val="32"/>
          <w:szCs w:val="32"/>
          <w:highlight w:val="none"/>
          <w:lang w:eastAsia="zh-CN"/>
        </w:rPr>
        <w:t>，针对公平竞争审查工作制作专题宣传海报，利用各单位LED宣传屏进行滚动播放，并利用微信公众号等积极推送相关的政策解读、案例分析与宣传信息，提高工作人员对公平竞争审查制度的认识，推进公平竞争审查工作深入贯彻落实。</w:t>
      </w:r>
    </w:p>
    <w:p>
      <w:pPr>
        <w:pageBreakBefore w:val="0"/>
        <w:kinsoku/>
        <w:wordWrap/>
        <w:overflowPunct/>
        <w:topLinePunct/>
        <w:autoSpaceDE/>
        <w:autoSpaceDN/>
        <w:bidi w:val="0"/>
        <w:adjustRightInd w:val="0"/>
        <w:snapToGrid w:val="0"/>
        <w:spacing w:beforeAutospacing="0" w:line="540" w:lineRule="exact"/>
        <w:ind w:left="0" w:leftChars="0" w:right="0" w:firstLine="643" w:firstLineChars="200"/>
        <w:jc w:val="both"/>
        <w:rPr>
          <w:rFonts w:hint="eastAsia" w:ascii="仿宋_GB2312" w:hAnsi="仿宋_GB2312" w:eastAsia="仿宋_GB2312" w:cs="仿宋_GB2312"/>
          <w:b w:val="0"/>
          <w:bCs w:val="0"/>
          <w:color w:val="auto"/>
          <w:spacing w:val="0"/>
          <w:w w:val="100"/>
          <w:sz w:val="32"/>
          <w:szCs w:val="32"/>
          <w:highlight w:val="none"/>
          <w:lang w:eastAsia="zh-CN"/>
        </w:rPr>
      </w:pPr>
      <w:r>
        <w:rPr>
          <w:rFonts w:hint="eastAsia" w:ascii="仿宋_GB2312" w:hAnsi="仿宋_GB2312" w:eastAsia="仿宋_GB2312" w:cs="仿宋_GB2312"/>
          <w:b/>
          <w:bCs/>
          <w:color w:val="auto"/>
          <w:spacing w:val="0"/>
          <w:w w:val="100"/>
          <w:sz w:val="32"/>
          <w:szCs w:val="32"/>
          <w:highlight w:val="none"/>
          <w:lang w:eastAsia="zh-CN"/>
        </w:rPr>
        <w:t>四是建议联合外部的专业力量和团队</w:t>
      </w:r>
      <w:r>
        <w:rPr>
          <w:rFonts w:hint="eastAsia" w:ascii="仿宋_GB2312" w:hAnsi="仿宋_GB2312" w:eastAsia="仿宋_GB2312" w:cs="仿宋_GB2312"/>
          <w:b w:val="0"/>
          <w:bCs w:val="0"/>
          <w:color w:val="auto"/>
          <w:spacing w:val="0"/>
          <w:w w:val="100"/>
          <w:sz w:val="32"/>
          <w:szCs w:val="32"/>
          <w:highlight w:val="none"/>
          <w:lang w:eastAsia="zh-CN"/>
        </w:rPr>
        <w:t>，采取第三方审查方式，推动审查工作更精准、更专业、更高效。</w:t>
      </w:r>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109" w:name="_Toc101045499"/>
      <w:bookmarkStart w:id="110" w:name="_Toc8244"/>
      <w:r>
        <w:rPr>
          <w:rFonts w:hint="eastAsia" w:ascii="黑体" w:hAnsi="黑体" w:eastAsia="黑体" w:cs="黑体"/>
          <w:b w:val="0"/>
          <w:bCs w:val="0"/>
          <w:color w:val="auto"/>
          <w:spacing w:val="0"/>
          <w:w w:val="100"/>
          <w:sz w:val="32"/>
          <w:szCs w:val="32"/>
          <w:highlight w:val="none"/>
        </w:rPr>
        <w:t>第五节</w:t>
      </w:r>
      <w:r>
        <w:rPr>
          <w:rFonts w:hint="eastAsia"/>
          <w:lang w:val="en-US" w:eastAsia="zh-CN"/>
        </w:rPr>
        <w:t xml:space="preserve"> </w:t>
      </w:r>
      <w:r>
        <w:rPr>
          <w:rFonts w:hint="eastAsia" w:ascii="黑体" w:hAnsi="黑体" w:eastAsia="黑体" w:cs="黑体"/>
          <w:b w:val="0"/>
          <w:bCs w:val="0"/>
          <w:color w:val="auto"/>
          <w:spacing w:val="0"/>
          <w:w w:val="100"/>
          <w:sz w:val="32"/>
          <w:szCs w:val="32"/>
          <w:highlight w:val="none"/>
        </w:rPr>
        <w:t>健全公平竞争审查保障机制</w:t>
      </w:r>
      <w:bookmarkEnd w:id="109"/>
      <w:bookmarkEnd w:id="110"/>
    </w:p>
    <w:p>
      <w:pPr>
        <w:pageBreakBefore w:val="0"/>
        <w:kinsoku/>
        <w:wordWrap/>
        <w:overflowPunct/>
        <w:topLinePunct/>
        <w:autoSpaceDE/>
        <w:autoSpaceDN/>
        <w:bidi w:val="0"/>
        <w:adjustRightInd w:val="0"/>
        <w:snapToGrid w:val="0"/>
        <w:spacing w:beforeAutospacing="0" w:line="540" w:lineRule="exact"/>
        <w:ind w:left="0" w:leftChars="0" w:right="0" w:firstLine="643" w:firstLineChars="200"/>
        <w:jc w:val="both"/>
        <w:rPr>
          <w:rFonts w:hint="eastAsia" w:ascii="仿宋_GB2312" w:hAnsi="仿宋_GB2312" w:eastAsia="仿宋_GB2312" w:cs="仿宋_GB2312"/>
          <w:b w:val="0"/>
          <w:bCs w:val="0"/>
          <w:color w:val="auto"/>
          <w:spacing w:val="0"/>
          <w:w w:val="100"/>
          <w:sz w:val="32"/>
          <w:szCs w:val="32"/>
          <w:highlight w:val="none"/>
          <w:lang w:eastAsia="zh-CN" w:bidi="zh-TW"/>
        </w:rPr>
      </w:pPr>
      <w:r>
        <w:rPr>
          <w:rFonts w:hint="eastAsia" w:ascii="仿宋_GB2312" w:hAnsi="仿宋_GB2312" w:eastAsia="仿宋_GB2312" w:cs="仿宋_GB2312"/>
          <w:b/>
          <w:bCs/>
          <w:color w:val="auto"/>
          <w:spacing w:val="0"/>
          <w:w w:val="100"/>
          <w:sz w:val="32"/>
          <w:szCs w:val="32"/>
          <w:highlight w:val="none"/>
          <w:lang w:eastAsia="zh-CN" w:bidi="zh-TW"/>
        </w:rPr>
        <w:t>一是要建立健全监督机制</w:t>
      </w:r>
      <w:r>
        <w:rPr>
          <w:rFonts w:hint="eastAsia" w:ascii="仿宋_GB2312" w:hAnsi="仿宋_GB2312" w:eastAsia="仿宋_GB2312" w:cs="仿宋_GB2312"/>
          <w:b w:val="0"/>
          <w:bCs w:val="0"/>
          <w:color w:val="auto"/>
          <w:spacing w:val="0"/>
          <w:w w:val="100"/>
          <w:sz w:val="32"/>
          <w:szCs w:val="32"/>
          <w:highlight w:val="none"/>
          <w:lang w:eastAsia="zh-CN" w:bidi="zh-TW"/>
        </w:rPr>
        <w:t>，坚持以“向社会公开征求竞争意见”为原则，“征求利害关系人竞争意见”为例外。建议各单位在其官方网站及时公示公平竞争审查信息，设定向社会公开征集竞争意见的时限，并配合实施相应的激励制度，利用社会监督机制助力公平竞争审查制度的推进。</w:t>
      </w:r>
    </w:p>
    <w:p>
      <w:pPr>
        <w:pageBreakBefore w:val="0"/>
        <w:kinsoku/>
        <w:wordWrap/>
        <w:overflowPunct/>
        <w:topLinePunct/>
        <w:autoSpaceDE/>
        <w:autoSpaceDN/>
        <w:bidi w:val="0"/>
        <w:adjustRightInd w:val="0"/>
        <w:snapToGrid w:val="0"/>
        <w:spacing w:beforeAutospacing="0" w:line="540" w:lineRule="exact"/>
        <w:ind w:left="0" w:leftChars="0" w:right="0" w:firstLine="643" w:firstLineChars="200"/>
        <w:jc w:val="both"/>
        <w:rPr>
          <w:rFonts w:hint="eastAsia" w:ascii="仿宋_GB2312" w:hAnsi="仿宋_GB2312" w:eastAsia="仿宋_GB2312" w:cs="仿宋_GB2312"/>
          <w:b w:val="0"/>
          <w:bCs w:val="0"/>
          <w:color w:val="auto"/>
          <w:spacing w:val="0"/>
          <w:w w:val="100"/>
          <w:sz w:val="32"/>
          <w:szCs w:val="32"/>
          <w:highlight w:val="none"/>
          <w:lang w:eastAsia="zh-CN" w:bidi="zh-TW"/>
        </w:rPr>
      </w:pPr>
      <w:r>
        <w:rPr>
          <w:rFonts w:hint="eastAsia" w:ascii="仿宋_GB2312" w:hAnsi="仿宋_GB2312" w:eastAsia="仿宋_GB2312" w:cs="仿宋_GB2312"/>
          <w:b/>
          <w:bCs/>
          <w:color w:val="auto"/>
          <w:spacing w:val="0"/>
          <w:w w:val="100"/>
          <w:sz w:val="32"/>
          <w:szCs w:val="32"/>
          <w:highlight w:val="none"/>
          <w:lang w:eastAsia="zh-CN" w:bidi="zh-TW"/>
        </w:rPr>
        <w:t>二是要强化责任追究机制</w:t>
      </w:r>
      <w:r>
        <w:rPr>
          <w:rFonts w:hint="eastAsia" w:ascii="仿宋_GB2312" w:hAnsi="仿宋_GB2312" w:eastAsia="仿宋_GB2312" w:cs="仿宋_GB2312"/>
          <w:b w:val="0"/>
          <w:bCs w:val="0"/>
          <w:color w:val="auto"/>
          <w:spacing w:val="0"/>
          <w:w w:val="100"/>
          <w:sz w:val="32"/>
          <w:szCs w:val="32"/>
          <w:highlight w:val="none"/>
          <w:lang w:eastAsia="zh-CN" w:bidi="zh-TW"/>
        </w:rPr>
        <w:t>，将政策制定机关执行公平竞争审查制度的效果指标化，通过完善监督考核机制能够增强政策措施制定部门自我审查的动力。并在公平竞争审查制度中引入重大决策责任追究机制，对出台政策严重侵害公平竞争秩序的负有责任的相关责任人追究相应责任。</w:t>
      </w:r>
    </w:p>
    <w:p>
      <w:pPr>
        <w:pageBreakBefore w:val="0"/>
        <w:kinsoku/>
        <w:wordWrap/>
        <w:overflowPunct/>
        <w:topLinePunct/>
        <w:autoSpaceDE/>
        <w:autoSpaceDN/>
        <w:bidi w:val="0"/>
        <w:adjustRightInd w:val="0"/>
        <w:snapToGrid w:val="0"/>
        <w:spacing w:beforeAutospacing="0" w:line="540" w:lineRule="exact"/>
        <w:ind w:left="0" w:leftChars="0" w:right="0" w:firstLine="643" w:firstLineChars="200"/>
        <w:jc w:val="both"/>
        <w:rPr>
          <w:rFonts w:hint="eastAsia"/>
          <w:b w:val="0"/>
          <w:bCs w:val="0"/>
          <w:color w:val="auto"/>
          <w:spacing w:val="0"/>
          <w:w w:val="100"/>
          <w:sz w:val="32"/>
          <w:szCs w:val="32"/>
          <w:lang w:eastAsia="zh-CN"/>
        </w:rPr>
      </w:pPr>
      <w:r>
        <w:rPr>
          <w:rFonts w:hint="eastAsia" w:ascii="仿宋_GB2312" w:hAnsi="仿宋_GB2312" w:eastAsia="仿宋_GB2312" w:cs="仿宋_GB2312"/>
          <w:b/>
          <w:bCs/>
          <w:color w:val="auto"/>
          <w:spacing w:val="0"/>
          <w:w w:val="100"/>
          <w:sz w:val="32"/>
          <w:szCs w:val="32"/>
          <w:highlight w:val="none"/>
          <w:lang w:eastAsia="zh-CN" w:bidi="zh-TW"/>
        </w:rPr>
        <w:t>三是要完善竞争政策</w:t>
      </w:r>
      <w:r>
        <w:rPr>
          <w:rFonts w:hint="eastAsia" w:ascii="仿宋_GB2312" w:hAnsi="仿宋_GB2312" w:eastAsia="仿宋_GB2312" w:cs="仿宋_GB2312"/>
          <w:b w:val="0"/>
          <w:bCs w:val="0"/>
          <w:color w:val="auto"/>
          <w:spacing w:val="0"/>
          <w:w w:val="100"/>
          <w:sz w:val="32"/>
          <w:szCs w:val="32"/>
          <w:highlight w:val="none"/>
          <w:lang w:eastAsia="zh-CN" w:bidi="zh-TW"/>
        </w:rPr>
        <w:t>，针对本区域公平竞争营商环境改善制定相关政策措施，开展行业调研，及时研究本区域新经济领域市场监管新情况、新问题。</w:t>
      </w:r>
    </w:p>
    <w:p>
      <w:pPr>
        <w:rPr>
          <w:rFonts w:hint="eastAsia"/>
          <w:lang w:eastAsia="zh-CN"/>
        </w:rPr>
      </w:pPr>
    </w:p>
    <w:p>
      <w:pPr>
        <w:pageBreakBefore w:val="0"/>
        <w:kinsoku/>
        <w:wordWrap/>
        <w:overflowPunct/>
        <w:topLinePunct/>
        <w:autoSpaceDE/>
        <w:autoSpaceDN/>
        <w:bidi w:val="0"/>
        <w:adjustRightInd w:val="0"/>
        <w:snapToGrid w:val="0"/>
        <w:spacing w:beforeAutospacing="0" w:line="540" w:lineRule="exact"/>
        <w:ind w:right="0"/>
        <w:jc w:val="center"/>
        <w:outlineLvl w:val="0"/>
        <w:rPr>
          <w:rFonts w:hint="eastAsia" w:ascii="方正小标宋简体" w:hAnsi="方正小标宋简体" w:eastAsia="方正小标宋简体" w:cs="方正小标宋简体"/>
          <w:b w:val="0"/>
          <w:bCs w:val="0"/>
          <w:color w:val="auto"/>
          <w:spacing w:val="0"/>
          <w:w w:val="100"/>
          <w:kern w:val="44"/>
          <w:sz w:val="36"/>
          <w:szCs w:val="36"/>
          <w:highlight w:val="none"/>
          <w:lang w:val="en-US" w:eastAsia="zh-CN" w:bidi="ar-SA"/>
        </w:rPr>
      </w:pPr>
      <w:bookmarkStart w:id="111" w:name="_Toc101045500"/>
      <w:bookmarkStart w:id="112" w:name="_Toc14500"/>
      <w:r>
        <w:rPr>
          <w:rFonts w:hint="eastAsia" w:ascii="方正小标宋简体" w:hAnsi="方正小标宋简体" w:eastAsia="方正小标宋简体" w:cs="方正小标宋简体"/>
          <w:b w:val="0"/>
          <w:bCs w:val="0"/>
          <w:color w:val="auto"/>
          <w:spacing w:val="0"/>
          <w:w w:val="100"/>
          <w:kern w:val="44"/>
          <w:sz w:val="36"/>
          <w:szCs w:val="36"/>
          <w:highlight w:val="none"/>
          <w:lang w:val="en-US" w:eastAsia="zh-CN" w:bidi="ar-SA"/>
        </w:rPr>
        <w:t>第六章 评估工作经验总结</w:t>
      </w:r>
      <w:bookmarkEnd w:id="111"/>
      <w:bookmarkEnd w:id="112"/>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bidi="zh-TW"/>
        </w:rPr>
      </w:pPr>
      <w:r>
        <w:rPr>
          <w:rFonts w:hint="eastAsia" w:ascii="仿宋_GB2312" w:hAnsi="仿宋_GB2312" w:eastAsia="仿宋_GB2312" w:cs="仿宋_GB2312"/>
          <w:b w:val="0"/>
          <w:bCs w:val="0"/>
          <w:color w:val="auto"/>
          <w:spacing w:val="0"/>
          <w:w w:val="100"/>
          <w:sz w:val="32"/>
          <w:szCs w:val="32"/>
          <w:highlight w:val="none"/>
          <w:lang w:eastAsia="zh-CN" w:bidi="zh-TW"/>
        </w:rPr>
        <w:t>在本次张掖市</w:t>
      </w:r>
      <w:r>
        <w:rPr>
          <w:rFonts w:hint="eastAsia" w:ascii="仿宋_GB2312" w:hAnsi="仿宋_GB2312" w:eastAsia="仿宋_GB2312" w:cs="仿宋_GB2312"/>
          <w:b w:val="0"/>
          <w:bCs w:val="0"/>
          <w:color w:val="auto"/>
          <w:spacing w:val="0"/>
          <w:w w:val="100"/>
          <w:sz w:val="32"/>
          <w:szCs w:val="32"/>
          <w:highlight w:val="none"/>
          <w:lang w:val="en-US" w:eastAsia="zh-CN" w:bidi="zh-TW"/>
        </w:rPr>
        <w:t>2022年</w:t>
      </w:r>
      <w:r>
        <w:rPr>
          <w:rFonts w:hint="eastAsia" w:ascii="仿宋_GB2312" w:hAnsi="仿宋_GB2312" w:eastAsia="仿宋_GB2312" w:cs="仿宋_GB2312"/>
          <w:b w:val="0"/>
          <w:bCs w:val="0"/>
          <w:color w:val="auto"/>
          <w:spacing w:val="0"/>
          <w:w w:val="100"/>
          <w:sz w:val="32"/>
          <w:szCs w:val="32"/>
          <w:highlight w:val="none"/>
          <w:lang w:eastAsia="zh-CN" w:bidi="zh-TW"/>
        </w:rPr>
        <w:t>公平竞争审查工作第三方评估过程中，第三方评估机构</w:t>
      </w:r>
      <w:r>
        <w:rPr>
          <w:rFonts w:hint="eastAsia" w:ascii="仿宋_GB2312" w:hAnsi="仿宋_GB2312" w:eastAsia="仿宋_GB2312" w:cs="仿宋_GB2312"/>
          <w:b w:val="0"/>
          <w:bCs w:val="0"/>
          <w:color w:val="auto"/>
          <w:spacing w:val="0"/>
          <w:w w:val="100"/>
          <w:sz w:val="32"/>
          <w:szCs w:val="32"/>
          <w:highlight w:val="none"/>
          <w:lang w:eastAsia="zh-CN" w:bidi="zh-TW"/>
        </w:rPr>
        <w:t>对</w:t>
      </w:r>
      <w:r>
        <w:rPr>
          <w:rFonts w:hint="eastAsia" w:ascii="仿宋_GB2312" w:hAnsi="仿宋_GB2312" w:eastAsia="仿宋_GB2312" w:cs="仿宋_GB2312"/>
          <w:b w:val="0"/>
          <w:bCs w:val="0"/>
          <w:color w:val="auto"/>
          <w:spacing w:val="0"/>
          <w:w w:val="100"/>
          <w:sz w:val="32"/>
          <w:szCs w:val="32"/>
          <w:highlight w:val="none"/>
          <w:lang w:val="en-US" w:eastAsia="zh-CN" w:bidi="zh-TW"/>
        </w:rPr>
        <w:t>29个</w:t>
      </w:r>
      <w:r>
        <w:rPr>
          <w:rFonts w:hint="eastAsia" w:ascii="仿宋_GB2312" w:hAnsi="仿宋_GB2312" w:eastAsia="仿宋_GB2312" w:cs="仿宋_GB2312"/>
          <w:b w:val="0"/>
          <w:bCs w:val="0"/>
          <w:color w:val="auto"/>
          <w:spacing w:val="0"/>
          <w:w w:val="100"/>
          <w:sz w:val="32"/>
          <w:szCs w:val="32"/>
          <w:highlight w:val="none"/>
          <w:lang w:eastAsia="zh-CN" w:bidi="zh-TW"/>
        </w:rPr>
        <w:t>被评估部门单位的工作部署落实情况、审查清理情况、整改落实情况等内容进行了评估。在评估工作过程中，对</w:t>
      </w:r>
      <w:r>
        <w:rPr>
          <w:rFonts w:hint="eastAsia" w:ascii="仿宋_GB2312" w:hAnsi="仿宋_GB2312" w:eastAsia="仿宋_GB2312" w:cs="仿宋_GB2312"/>
          <w:b w:val="0"/>
          <w:bCs w:val="0"/>
          <w:color w:val="auto"/>
          <w:spacing w:val="0"/>
          <w:w w:val="100"/>
          <w:sz w:val="32"/>
          <w:szCs w:val="32"/>
          <w:highlight w:val="none"/>
          <w:lang w:val="en-US" w:eastAsia="zh-CN" w:bidi="zh-TW"/>
        </w:rPr>
        <w:t>29</w:t>
      </w:r>
      <w:r>
        <w:rPr>
          <w:rFonts w:hint="eastAsia" w:ascii="仿宋_GB2312" w:hAnsi="仿宋_GB2312" w:eastAsia="仿宋_GB2312" w:cs="仿宋_GB2312"/>
          <w:b w:val="0"/>
          <w:bCs w:val="0"/>
          <w:color w:val="auto"/>
          <w:spacing w:val="0"/>
          <w:w w:val="100"/>
          <w:sz w:val="32"/>
          <w:szCs w:val="32"/>
          <w:highlight w:val="none"/>
          <w:lang w:eastAsia="zh-CN" w:bidi="zh-TW"/>
        </w:rPr>
        <w:t>个部门单位的工作内容与成果进行了整理，从中总结了部分值得复制与推广的工作经验。</w:t>
      </w:r>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113" w:name="_Toc101045501"/>
      <w:bookmarkStart w:id="114" w:name="_Toc29870"/>
      <w:r>
        <w:rPr>
          <w:rFonts w:hint="eastAsia" w:ascii="黑体" w:hAnsi="黑体" w:eastAsia="黑体" w:cs="黑体"/>
          <w:b w:val="0"/>
          <w:bCs w:val="0"/>
          <w:color w:val="auto"/>
          <w:spacing w:val="0"/>
          <w:w w:val="100"/>
          <w:sz w:val="32"/>
          <w:szCs w:val="32"/>
          <w:highlight w:val="none"/>
        </w:rPr>
        <w:t>第一节</w:t>
      </w:r>
      <w:r>
        <w:rPr>
          <w:rFonts w:hint="eastAsia" w:ascii="黑体" w:hAnsi="黑体" w:eastAsia="黑体" w:cs="黑体"/>
          <w:b w:val="0"/>
          <w:bCs w:val="0"/>
          <w:color w:val="auto"/>
          <w:spacing w:val="0"/>
          <w:w w:val="100"/>
          <w:sz w:val="32"/>
          <w:szCs w:val="32"/>
          <w:highlight w:val="none"/>
          <w:lang w:val="en-US" w:eastAsia="zh-CN"/>
        </w:rPr>
        <w:t xml:space="preserve"> </w:t>
      </w:r>
      <w:r>
        <w:rPr>
          <w:rFonts w:hint="eastAsia" w:ascii="黑体" w:hAnsi="黑体" w:eastAsia="黑体" w:cs="黑体"/>
          <w:b w:val="0"/>
          <w:bCs w:val="0"/>
          <w:color w:val="auto"/>
          <w:spacing w:val="0"/>
          <w:w w:val="100"/>
          <w:sz w:val="32"/>
          <w:szCs w:val="32"/>
          <w:highlight w:val="none"/>
        </w:rPr>
        <w:t>切实提高对公平竞争审查工作的重视程度</w:t>
      </w:r>
      <w:bookmarkEnd w:id="113"/>
      <w:bookmarkEnd w:id="114"/>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bidi="zh-TW"/>
        </w:rPr>
      </w:pPr>
      <w:r>
        <w:rPr>
          <w:rFonts w:hint="eastAsia" w:ascii="仿宋_GB2312" w:hAnsi="仿宋_GB2312" w:eastAsia="仿宋_GB2312" w:cs="仿宋_GB2312"/>
          <w:b w:val="0"/>
          <w:bCs w:val="0"/>
          <w:color w:val="auto"/>
          <w:spacing w:val="0"/>
          <w:w w:val="100"/>
          <w:sz w:val="32"/>
          <w:szCs w:val="32"/>
          <w:highlight w:val="none"/>
          <w:lang w:eastAsia="zh-CN" w:bidi="zh-TW"/>
        </w:rPr>
        <w:t>单位领导整体对公平竞争工作的重视程度的高低，一定程度上决定了该项工作在各单位中成效的好坏。在本次审查过程中发现，整体重视程度较高的单位，如市市场监管局、市住建局、市文广旅游局、甘州区</w:t>
      </w:r>
      <w:r>
        <w:rPr>
          <w:rFonts w:hint="eastAsia" w:ascii="仿宋_GB2312" w:hAnsi="仿宋_GB2312" w:eastAsia="仿宋_GB2312" w:cs="仿宋_GB2312"/>
          <w:b w:val="0"/>
          <w:bCs w:val="0"/>
          <w:color w:val="auto"/>
          <w:spacing w:val="0"/>
          <w:w w:val="100"/>
          <w:sz w:val="32"/>
          <w:szCs w:val="32"/>
          <w:highlight w:val="none"/>
          <w:lang w:val="en-US" w:eastAsia="zh-CN" w:bidi="zh-TW"/>
        </w:rPr>
        <w:t>等单位</w:t>
      </w:r>
      <w:r>
        <w:rPr>
          <w:rFonts w:hint="eastAsia" w:ascii="仿宋_GB2312" w:hAnsi="仿宋_GB2312" w:eastAsia="仿宋_GB2312" w:cs="仿宋_GB2312"/>
          <w:b w:val="0"/>
          <w:bCs w:val="0"/>
          <w:color w:val="auto"/>
          <w:spacing w:val="0"/>
          <w:w w:val="100"/>
          <w:sz w:val="32"/>
          <w:szCs w:val="32"/>
          <w:highlight w:val="none"/>
          <w:lang w:eastAsia="zh-CN" w:bidi="zh-TW"/>
        </w:rPr>
        <w:t>工作部署落实状况较好、单位文件整理对接速度较快。整体重视程度主要体现在三个方面：</w:t>
      </w:r>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bidi="zh-TW"/>
        </w:rPr>
      </w:pPr>
      <w:r>
        <w:rPr>
          <w:rFonts w:hint="eastAsia" w:ascii="仿宋_GB2312" w:hAnsi="仿宋_GB2312" w:eastAsia="仿宋_GB2312" w:cs="仿宋_GB2312"/>
          <w:b w:val="0"/>
          <w:bCs w:val="0"/>
          <w:color w:val="auto"/>
          <w:spacing w:val="0"/>
          <w:w w:val="100"/>
          <w:sz w:val="32"/>
          <w:szCs w:val="32"/>
          <w:highlight w:val="none"/>
          <w:lang w:eastAsia="zh-CN" w:bidi="zh-TW"/>
        </w:rPr>
        <w:t>一是领导重视本单位公平竞争审查工作开展情况，重视本单位公平竞争审查的培训教育。</w:t>
      </w:r>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bidi="zh-TW"/>
        </w:rPr>
      </w:pPr>
      <w:r>
        <w:rPr>
          <w:rFonts w:hint="eastAsia" w:ascii="仿宋_GB2312" w:hAnsi="仿宋_GB2312" w:eastAsia="仿宋_GB2312" w:cs="仿宋_GB2312"/>
          <w:b w:val="0"/>
          <w:bCs w:val="0"/>
          <w:color w:val="auto"/>
          <w:spacing w:val="0"/>
          <w:w w:val="100"/>
          <w:sz w:val="32"/>
          <w:szCs w:val="32"/>
          <w:highlight w:val="none"/>
          <w:lang w:eastAsia="zh-CN" w:bidi="zh-TW"/>
        </w:rPr>
        <w:t>市市场监管局作为公平竞争审查工作的牵头部门之一，局领导极其重视机制建设等基础性工作，工作部署落实情况完成度高，体现了机制建设与程序运行上的完善，能够敦促各职能科室主动配合公平竞争审查工作。市住建局领导重视依法行政工作的开展，在审</w:t>
      </w:r>
      <w:r>
        <w:rPr>
          <w:rFonts w:hint="eastAsia" w:ascii="仿宋_GB2312" w:hAnsi="仿宋_GB2312" w:eastAsia="仿宋_GB2312" w:cs="仿宋_GB2312"/>
          <w:b w:val="0"/>
          <w:bCs w:val="0"/>
          <w:color w:val="auto"/>
          <w:spacing w:val="0"/>
          <w:w w:val="100"/>
          <w:sz w:val="32"/>
          <w:szCs w:val="32"/>
          <w:highlight w:val="none"/>
          <w:lang w:val="en-US" w:eastAsia="zh-CN" w:bidi="zh-TW"/>
        </w:rPr>
        <w:t>查</w:t>
      </w:r>
      <w:r>
        <w:rPr>
          <w:rFonts w:hint="eastAsia" w:ascii="仿宋_GB2312" w:hAnsi="仿宋_GB2312" w:eastAsia="仿宋_GB2312" w:cs="仿宋_GB2312"/>
          <w:b w:val="0"/>
          <w:bCs w:val="0"/>
          <w:color w:val="auto"/>
          <w:spacing w:val="0"/>
          <w:w w:val="100"/>
          <w:sz w:val="32"/>
          <w:szCs w:val="32"/>
          <w:highlight w:val="none"/>
          <w:lang w:eastAsia="zh-CN" w:bidi="zh-TW"/>
        </w:rPr>
        <w:t>文件过程中，参考法规科室意见，并严格履行公平竞争审查流程，在整个部门形成了重视法规科室作用与公平竞争审查工作的氛围。</w:t>
      </w:r>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bidi="zh-TW"/>
        </w:rPr>
      </w:pPr>
      <w:r>
        <w:rPr>
          <w:rFonts w:hint="eastAsia" w:ascii="仿宋_GB2312" w:hAnsi="仿宋_GB2312" w:eastAsia="仿宋_GB2312" w:cs="仿宋_GB2312"/>
          <w:b w:val="0"/>
          <w:bCs w:val="0"/>
          <w:color w:val="auto"/>
          <w:spacing w:val="0"/>
          <w:w w:val="100"/>
          <w:sz w:val="32"/>
          <w:szCs w:val="32"/>
          <w:highlight w:val="none"/>
          <w:lang w:eastAsia="zh-CN" w:bidi="zh-TW"/>
        </w:rPr>
        <w:t>二是甘州区、市文广旅游局相关科室作为本单位主要负责公平竞争审查工作的科室，重视对公平竞争审查工作的认识，以自身能力的提升，带动本单位审查意识的提高。</w:t>
      </w:r>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bidi="zh-TW"/>
        </w:rPr>
      </w:pPr>
      <w:r>
        <w:rPr>
          <w:rFonts w:hint="eastAsia" w:ascii="仿宋_GB2312" w:hAnsi="仿宋_GB2312" w:eastAsia="仿宋_GB2312" w:cs="仿宋_GB2312"/>
          <w:b w:val="0"/>
          <w:bCs w:val="0"/>
          <w:color w:val="auto"/>
          <w:spacing w:val="0"/>
          <w:w w:val="100"/>
          <w:sz w:val="32"/>
          <w:szCs w:val="32"/>
          <w:highlight w:val="none"/>
          <w:lang w:eastAsia="zh-CN" w:bidi="zh-TW"/>
        </w:rPr>
        <w:t>一般而言，负责公平竞争审查的科室并不只负责公平竞争审查工作，对于本单位的其他工作也一并负责，由于工作内容较为繁复，且专业性较强，各单位负责公平竞争审查工作的科室对于公平竞争的审查流程、审查标准、审查范围把握程度差异较大，负责公平竞争审查工作的科室应当加强自身的业务能力培训，开展政策学习、案例学习，规范审查流程，切实保证自身审查能力，在此基础上也要对其他科室进行公平竞争审查培训。</w:t>
      </w:r>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bidi="zh-TW"/>
        </w:rPr>
      </w:pPr>
      <w:r>
        <w:rPr>
          <w:rFonts w:hint="eastAsia" w:ascii="仿宋_GB2312" w:hAnsi="仿宋_GB2312" w:eastAsia="仿宋_GB2312" w:cs="仿宋_GB2312"/>
          <w:b w:val="0"/>
          <w:bCs w:val="0"/>
          <w:color w:val="auto"/>
          <w:spacing w:val="0"/>
          <w:w w:val="100"/>
          <w:sz w:val="32"/>
          <w:szCs w:val="32"/>
          <w:highlight w:val="none"/>
          <w:lang w:eastAsia="zh-CN" w:bidi="zh-TW"/>
        </w:rPr>
        <w:t>三是其它科室对公平竞争审查的重视，公平竞争审查并不是负责公平竞争审查的一个科室的工作，各单位普遍采取了由政策措施制定科室自行判断是否涉及公平竞争审查，对需要审查的再报送负责公平竞争审查科室进行审查的审查流程，这对各职能科室对审查范围的把握提出了较高的要求，如果单位各科室对公平竞争审查工作的重视程度不足，将本应进行审查的政策措施判断为不需进行公平竞争审查，就会造成审查流程流于形式、审查机制束之高阁的严重问题。在审查过程中发现，上述</w:t>
      </w:r>
      <w:r>
        <w:rPr>
          <w:rFonts w:hint="eastAsia" w:ascii="仿宋_GB2312" w:hAnsi="仿宋_GB2312" w:eastAsia="仿宋_GB2312" w:cs="仿宋_GB2312"/>
          <w:b w:val="0"/>
          <w:bCs w:val="0"/>
          <w:color w:val="auto"/>
          <w:spacing w:val="0"/>
          <w:w w:val="100"/>
          <w:sz w:val="32"/>
          <w:szCs w:val="32"/>
          <w:highlight w:val="none"/>
          <w:lang w:val="en-US" w:eastAsia="zh-CN" w:bidi="zh-TW"/>
        </w:rPr>
        <w:t>部门单位</w:t>
      </w:r>
      <w:r>
        <w:rPr>
          <w:rFonts w:hint="eastAsia" w:ascii="仿宋_GB2312" w:hAnsi="仿宋_GB2312" w:eastAsia="仿宋_GB2312" w:cs="仿宋_GB2312"/>
          <w:b w:val="0"/>
          <w:bCs w:val="0"/>
          <w:color w:val="auto"/>
          <w:spacing w:val="0"/>
          <w:w w:val="100"/>
          <w:sz w:val="32"/>
          <w:szCs w:val="32"/>
          <w:highlight w:val="none"/>
          <w:lang w:eastAsia="zh-CN" w:bidi="zh-TW"/>
        </w:rPr>
        <w:t>的业务科室对公平竞争审查的重视程度较高，对审查范围拿不准的情况，主动交由负责公平竞争审查科室进行判断是否需要进行审查，增强了单位整体对审查范围的整体把握能力。</w:t>
      </w:r>
      <w:r>
        <w:rPr>
          <w:rFonts w:hint="eastAsia" w:ascii="仿宋_GB2312" w:hAnsi="仿宋_GB2312" w:eastAsia="仿宋_GB2312" w:cs="仿宋_GB2312"/>
          <w:b w:val="0"/>
          <w:bCs w:val="0"/>
          <w:color w:val="auto"/>
          <w:spacing w:val="0"/>
          <w:w w:val="100"/>
          <w:sz w:val="32"/>
          <w:szCs w:val="32"/>
          <w:highlight w:val="none"/>
          <w:lang w:val="en-US" w:eastAsia="zh-CN" w:bidi="zh-TW"/>
        </w:rPr>
        <w:t>其他</w:t>
      </w:r>
      <w:r>
        <w:rPr>
          <w:rFonts w:hint="eastAsia" w:ascii="仿宋_GB2312" w:hAnsi="仿宋_GB2312" w:eastAsia="仿宋_GB2312" w:cs="仿宋_GB2312"/>
          <w:b w:val="0"/>
          <w:bCs w:val="0"/>
          <w:color w:val="auto"/>
          <w:spacing w:val="0"/>
          <w:w w:val="100"/>
          <w:sz w:val="32"/>
          <w:szCs w:val="32"/>
          <w:highlight w:val="none"/>
          <w:lang w:eastAsia="zh-CN" w:bidi="zh-TW"/>
        </w:rPr>
        <w:t>单位如存在职能科室对审查范围标准理解不清的情况，一方面可以从扩大培训范围、重点对此项内容加强培训等</w:t>
      </w:r>
      <w:r>
        <w:rPr>
          <w:rFonts w:hint="eastAsia" w:ascii="仿宋_GB2312" w:hAnsi="仿宋_GB2312" w:eastAsia="仿宋_GB2312" w:cs="仿宋_GB2312"/>
          <w:b w:val="0"/>
          <w:bCs w:val="0"/>
          <w:color w:val="auto"/>
          <w:spacing w:val="0"/>
          <w:w w:val="100"/>
          <w:sz w:val="32"/>
          <w:szCs w:val="32"/>
          <w:highlight w:val="none"/>
          <w:lang w:val="en-US" w:eastAsia="zh-CN" w:bidi="zh-TW"/>
        </w:rPr>
        <w:t>方面</w:t>
      </w:r>
      <w:r>
        <w:rPr>
          <w:rFonts w:hint="eastAsia" w:ascii="仿宋_GB2312" w:hAnsi="仿宋_GB2312" w:eastAsia="仿宋_GB2312" w:cs="仿宋_GB2312"/>
          <w:b w:val="0"/>
          <w:bCs w:val="0"/>
          <w:color w:val="auto"/>
          <w:spacing w:val="0"/>
          <w:w w:val="100"/>
          <w:sz w:val="32"/>
          <w:szCs w:val="32"/>
          <w:highlight w:val="none"/>
          <w:lang w:eastAsia="zh-CN" w:bidi="zh-TW"/>
        </w:rPr>
        <w:t>改善，另一方面也可以借鉴市市场监管局、市住建局、市文广旅游局、甘州区的做法，对较难判断的，交由负责公平竞争审查科室进行判断，确保“应审尽审”。</w:t>
      </w:r>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115" w:name="_Toc101045502"/>
      <w:bookmarkStart w:id="116" w:name="_Toc11633"/>
      <w:r>
        <w:rPr>
          <w:rFonts w:hint="eastAsia" w:ascii="黑体" w:hAnsi="黑体" w:eastAsia="黑体" w:cs="黑体"/>
          <w:b w:val="0"/>
          <w:bCs w:val="0"/>
          <w:color w:val="auto"/>
          <w:spacing w:val="0"/>
          <w:w w:val="100"/>
          <w:sz w:val="32"/>
          <w:szCs w:val="32"/>
          <w:highlight w:val="none"/>
        </w:rPr>
        <w:t>第二节</w:t>
      </w:r>
      <w:r>
        <w:rPr>
          <w:rFonts w:hint="eastAsia" w:ascii="黑体" w:hAnsi="黑体" w:eastAsia="黑体" w:cs="黑体"/>
          <w:b w:val="0"/>
          <w:bCs w:val="0"/>
          <w:color w:val="auto"/>
          <w:spacing w:val="0"/>
          <w:w w:val="100"/>
          <w:sz w:val="32"/>
          <w:szCs w:val="32"/>
          <w:highlight w:val="none"/>
          <w:lang w:val="en-US" w:eastAsia="zh-CN"/>
        </w:rPr>
        <w:t xml:space="preserve"> </w:t>
      </w:r>
      <w:r>
        <w:rPr>
          <w:rFonts w:hint="eastAsia" w:ascii="黑体" w:hAnsi="黑体" w:eastAsia="黑体" w:cs="黑体"/>
          <w:b w:val="0"/>
          <w:bCs w:val="0"/>
          <w:color w:val="auto"/>
          <w:spacing w:val="0"/>
          <w:w w:val="100"/>
          <w:sz w:val="32"/>
          <w:szCs w:val="32"/>
          <w:highlight w:val="none"/>
        </w:rPr>
        <w:t>发挥好办公室核稿把关工作的托底作用</w:t>
      </w:r>
      <w:bookmarkEnd w:id="115"/>
      <w:bookmarkEnd w:id="116"/>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bidi="zh-TW"/>
        </w:rPr>
      </w:pPr>
      <w:r>
        <w:rPr>
          <w:rFonts w:hint="eastAsia" w:ascii="仿宋_GB2312" w:hAnsi="仿宋_GB2312" w:eastAsia="仿宋_GB2312" w:cs="仿宋_GB2312"/>
          <w:b w:val="0"/>
          <w:bCs w:val="0"/>
          <w:color w:val="auto"/>
          <w:spacing w:val="0"/>
          <w:w w:val="100"/>
          <w:sz w:val="32"/>
          <w:szCs w:val="32"/>
          <w:highlight w:val="none"/>
          <w:lang w:eastAsia="zh-CN" w:bidi="zh-TW"/>
        </w:rPr>
        <w:t>在行政发文流程中，各单位办公室需要进行核稿，</w:t>
      </w:r>
      <w:r>
        <w:rPr>
          <w:rFonts w:hint="eastAsia" w:ascii="仿宋_GB2312" w:hAnsi="仿宋_GB2312" w:eastAsia="仿宋_GB2312" w:cs="仿宋_GB2312"/>
          <w:b w:val="0"/>
          <w:bCs w:val="0"/>
          <w:color w:val="auto"/>
          <w:spacing w:val="0"/>
          <w:w w:val="100"/>
          <w:sz w:val="32"/>
          <w:szCs w:val="32"/>
          <w:highlight w:val="none"/>
          <w:lang w:val="en-US" w:eastAsia="zh-CN" w:bidi="zh-TW"/>
        </w:rPr>
        <w:t>需要</w:t>
      </w:r>
      <w:r>
        <w:rPr>
          <w:rFonts w:hint="eastAsia" w:ascii="仿宋_GB2312" w:hAnsi="仿宋_GB2312" w:eastAsia="仿宋_GB2312" w:cs="仿宋_GB2312"/>
          <w:b w:val="0"/>
          <w:bCs w:val="0"/>
          <w:color w:val="auto"/>
          <w:spacing w:val="0"/>
          <w:w w:val="100"/>
          <w:sz w:val="32"/>
          <w:szCs w:val="32"/>
          <w:highlight w:val="none"/>
          <w:lang w:eastAsia="zh-CN" w:bidi="zh-TW"/>
        </w:rPr>
        <w:t>提高办公室工作人员依法行政意识，在核稿过程中提醒政策措施起草科室进行公平竞争审查，或将文件交由负责公平竞争审查科室进行审查，能够在公平竞争审查流程中形成托底的效果，在政策措施发布前为公平竞争审查把好最</w:t>
      </w:r>
      <w:r>
        <w:rPr>
          <w:rFonts w:hint="eastAsia" w:ascii="仿宋_GB2312" w:hAnsi="仿宋_GB2312" w:eastAsia="仿宋_GB2312" w:cs="仿宋_GB2312"/>
          <w:b w:val="0"/>
          <w:bCs w:val="0"/>
          <w:color w:val="auto"/>
          <w:spacing w:val="0"/>
          <w:w w:val="100"/>
          <w:sz w:val="32"/>
          <w:szCs w:val="32"/>
          <w:highlight w:val="none"/>
          <w:lang w:val="en-US" w:eastAsia="zh-CN" w:bidi="zh-TW"/>
        </w:rPr>
        <w:t>后</w:t>
      </w:r>
      <w:r>
        <w:rPr>
          <w:rFonts w:hint="eastAsia" w:ascii="仿宋_GB2312" w:hAnsi="仿宋_GB2312" w:eastAsia="仿宋_GB2312" w:cs="仿宋_GB2312"/>
          <w:b w:val="0"/>
          <w:bCs w:val="0"/>
          <w:color w:val="auto"/>
          <w:spacing w:val="0"/>
          <w:w w:val="100"/>
          <w:sz w:val="32"/>
          <w:szCs w:val="32"/>
          <w:highlight w:val="none"/>
          <w:lang w:eastAsia="zh-CN" w:bidi="zh-TW"/>
        </w:rPr>
        <w:t>一道关，从而确保公平竞争审查机制有效运行。</w:t>
      </w:r>
    </w:p>
    <w:p>
      <w:pPr>
        <w:pStyle w:val="3"/>
        <w:keepNext w:val="0"/>
        <w:keepLines w:val="0"/>
        <w:pageBreakBefore w:val="0"/>
        <w:widowControl w:val="0"/>
        <w:kinsoku/>
        <w:wordWrap/>
        <w:overflowPunct/>
        <w:topLinePunct/>
        <w:autoSpaceDE/>
        <w:autoSpaceDN/>
        <w:bidi w:val="0"/>
        <w:adjustRightInd w:val="0"/>
        <w:snapToGrid w:val="0"/>
        <w:spacing w:before="157" w:beforeLines="50" w:beforeAutospacing="0" w:after="157" w:afterLines="50" w:line="540" w:lineRule="exact"/>
        <w:ind w:left="0" w:leftChars="0" w:right="0" w:firstLine="0" w:firstLineChars="0"/>
        <w:jc w:val="center"/>
        <w:textAlignment w:val="auto"/>
        <w:outlineLvl w:val="1"/>
        <w:rPr>
          <w:rFonts w:hint="eastAsia" w:ascii="黑体" w:hAnsi="黑体" w:eastAsia="黑体" w:cs="黑体"/>
          <w:b w:val="0"/>
          <w:bCs w:val="0"/>
          <w:color w:val="auto"/>
          <w:spacing w:val="0"/>
          <w:w w:val="100"/>
          <w:sz w:val="32"/>
          <w:szCs w:val="32"/>
          <w:highlight w:val="none"/>
        </w:rPr>
      </w:pPr>
      <w:bookmarkStart w:id="117" w:name="_Toc101045503"/>
      <w:bookmarkStart w:id="118" w:name="_Toc1462"/>
      <w:r>
        <w:rPr>
          <w:rFonts w:hint="eastAsia" w:ascii="黑体" w:hAnsi="黑体" w:eastAsia="黑体" w:cs="黑体"/>
          <w:b w:val="0"/>
          <w:bCs w:val="0"/>
          <w:color w:val="auto"/>
          <w:spacing w:val="0"/>
          <w:w w:val="100"/>
          <w:sz w:val="32"/>
          <w:szCs w:val="32"/>
          <w:highlight w:val="none"/>
        </w:rPr>
        <w:t>第三节</w:t>
      </w:r>
      <w:bookmarkEnd w:id="117"/>
      <w:bookmarkStart w:id="119" w:name="_Toc101045504"/>
      <w:r>
        <w:rPr>
          <w:rFonts w:hint="eastAsia" w:ascii="黑体" w:hAnsi="黑体" w:eastAsia="黑体" w:cs="黑体"/>
          <w:b w:val="0"/>
          <w:bCs w:val="0"/>
          <w:color w:val="auto"/>
          <w:spacing w:val="0"/>
          <w:w w:val="100"/>
          <w:sz w:val="32"/>
          <w:szCs w:val="32"/>
          <w:highlight w:val="none"/>
          <w:lang w:val="en-US" w:eastAsia="zh-CN"/>
        </w:rPr>
        <w:t xml:space="preserve"> </w:t>
      </w:r>
      <w:r>
        <w:rPr>
          <w:rFonts w:hint="eastAsia" w:ascii="黑体" w:hAnsi="黑体" w:eastAsia="黑体" w:cs="黑体"/>
          <w:b w:val="0"/>
          <w:bCs w:val="0"/>
          <w:color w:val="auto"/>
          <w:spacing w:val="0"/>
          <w:w w:val="100"/>
          <w:sz w:val="32"/>
          <w:szCs w:val="32"/>
          <w:highlight w:val="none"/>
        </w:rPr>
        <w:t>年底对增量文件公平竞争审查工作进行统一清查</w:t>
      </w:r>
      <w:bookmarkEnd w:id="118"/>
      <w:bookmarkEnd w:id="119"/>
    </w:p>
    <w:p>
      <w:pPr>
        <w:pageBreakBefore w:val="0"/>
        <w:kinsoku/>
        <w:wordWrap/>
        <w:overflowPunct/>
        <w:topLinePunct/>
        <w:autoSpaceDE/>
        <w:autoSpaceDN/>
        <w:bidi w:val="0"/>
        <w:adjustRightInd w:val="0"/>
        <w:snapToGrid w:val="0"/>
        <w:spacing w:beforeAutospacing="0" w:line="540" w:lineRule="exact"/>
        <w:ind w:left="0" w:leftChars="0" w:right="0" w:firstLine="640" w:firstLineChars="200"/>
        <w:jc w:val="both"/>
        <w:rPr>
          <w:rFonts w:hint="eastAsia" w:ascii="仿宋_GB2312" w:hAnsi="仿宋_GB2312" w:eastAsia="仿宋_GB2312" w:cs="仿宋_GB2312"/>
          <w:b w:val="0"/>
          <w:bCs w:val="0"/>
          <w:color w:val="auto"/>
          <w:spacing w:val="0"/>
          <w:w w:val="100"/>
          <w:sz w:val="32"/>
          <w:szCs w:val="32"/>
          <w:highlight w:val="none"/>
          <w:lang w:eastAsia="zh-CN" w:bidi="zh-TW"/>
        </w:rPr>
      </w:pPr>
      <w:r>
        <w:rPr>
          <w:rFonts w:hint="eastAsia" w:ascii="仿宋_GB2312" w:hAnsi="仿宋_GB2312" w:eastAsia="仿宋_GB2312" w:cs="仿宋_GB2312"/>
          <w:b w:val="0"/>
          <w:bCs w:val="0"/>
          <w:color w:val="auto"/>
          <w:spacing w:val="0"/>
          <w:w w:val="100"/>
          <w:sz w:val="32"/>
          <w:szCs w:val="32"/>
          <w:highlight w:val="none"/>
          <w:lang w:eastAsia="zh-CN" w:bidi="zh-TW"/>
        </w:rPr>
        <w:t>在公平竞争审查过程中，各单位基本都形成了公平竞争审查工作的年度总结或报告，但个别单位存在年度报告涉及具体审查政策措施数量不清晰等问题。在进行公平竞争审查工作的年度总结时，首先应当将确认本年度政策措施是否已做到“应审尽审”纳入其中，具体而言，可以由各科室将本年度制定的政策措施目录均提交给负责公平竞争审查科室，由制定科室初步判断是否涉及市场主体经营行为并进行梳理，尤其是涉及到行业发展、产业政策以及招标项目的政策措施，应当尽数提交给负责公平竞争审查科室，由负责公平竞争审查科室进行仔细核查，确保年底清查工作有效进行，避免流于形式。</w:t>
      </w:r>
    </w:p>
    <w:p>
      <w:pPr>
        <w:pStyle w:val="2"/>
        <w:rPr>
          <w:rFonts w:hint="eastAsia" w:ascii="仿宋_GB2312" w:hAnsi="仿宋_GB2312" w:eastAsia="仿宋_GB2312" w:cs="仿宋_GB2312"/>
          <w:b w:val="0"/>
          <w:bCs w:val="0"/>
          <w:color w:val="auto"/>
          <w:spacing w:val="0"/>
          <w:w w:val="100"/>
          <w:sz w:val="32"/>
          <w:szCs w:val="32"/>
          <w:highlight w:val="none"/>
          <w:lang w:eastAsia="zh-CN" w:bidi="zh-TW"/>
        </w:rPr>
      </w:pPr>
    </w:p>
    <w:p>
      <w:pPr>
        <w:rPr>
          <w:rFonts w:hint="eastAsia"/>
          <w:lang w:eastAsia="zh-CN"/>
        </w:rPr>
      </w:pPr>
    </w:p>
    <w:p>
      <w:pPr>
        <w:pStyle w:val="2"/>
        <w:ind w:firstLine="5120" w:firstLineChars="1600"/>
        <w:rPr>
          <w:rFonts w:hint="eastAsia" w:ascii="仿宋_GB2312" w:hAnsi="仿宋_GB2312" w:eastAsia="仿宋_GB2312" w:cs="仿宋_GB2312"/>
          <w:b w:val="0"/>
          <w:bCs w:val="0"/>
          <w:color w:val="auto"/>
          <w:spacing w:val="0"/>
          <w:w w:val="100"/>
          <w:kern w:val="0"/>
          <w:sz w:val="32"/>
          <w:szCs w:val="32"/>
          <w:highlight w:val="none"/>
          <w:lang w:val="en-US" w:eastAsia="zh-CN" w:bidi="zh-TW"/>
        </w:rPr>
      </w:pPr>
      <w:r>
        <w:rPr>
          <w:rFonts w:hint="eastAsia" w:ascii="仿宋_GB2312" w:hAnsi="仿宋_GB2312" w:eastAsia="仿宋_GB2312" w:cs="仿宋_GB2312"/>
          <w:b w:val="0"/>
          <w:bCs w:val="0"/>
          <w:color w:val="auto"/>
          <w:spacing w:val="0"/>
          <w:w w:val="100"/>
          <w:kern w:val="0"/>
          <w:sz w:val="32"/>
          <w:szCs w:val="32"/>
          <w:highlight w:val="none"/>
          <w:lang w:val="en-US" w:eastAsia="zh-CN" w:bidi="zh-TW"/>
        </w:rPr>
        <w:t>甘肃金彤律师事务所</w:t>
      </w:r>
    </w:p>
    <w:p>
      <w:pPr>
        <w:ind w:firstLine="4800" w:firstLineChars="1500"/>
        <w:rPr>
          <w:rFonts w:hint="default" w:ascii="仿宋_GB2312" w:hAnsi="仿宋_GB2312" w:eastAsia="仿宋_GB2312" w:cs="仿宋_GB2312"/>
          <w:b w:val="0"/>
          <w:bCs w:val="0"/>
          <w:color w:val="auto"/>
          <w:spacing w:val="0"/>
          <w:w w:val="100"/>
          <w:kern w:val="0"/>
          <w:sz w:val="32"/>
          <w:szCs w:val="32"/>
          <w:highlight w:val="none"/>
          <w:lang w:val="en-US" w:eastAsia="zh-CN" w:bidi="zh-TW"/>
        </w:rPr>
      </w:pPr>
      <w:r>
        <w:rPr>
          <w:rFonts w:hint="eastAsia" w:ascii="仿宋_GB2312" w:hAnsi="仿宋_GB2312" w:eastAsia="仿宋_GB2312" w:cs="仿宋_GB2312"/>
          <w:b w:val="0"/>
          <w:bCs w:val="0"/>
          <w:color w:val="auto"/>
          <w:spacing w:val="0"/>
          <w:w w:val="100"/>
          <w:kern w:val="0"/>
          <w:sz w:val="32"/>
          <w:szCs w:val="32"/>
          <w:highlight w:val="none"/>
          <w:lang w:val="en-US" w:eastAsia="zh-CN" w:bidi="zh-TW"/>
        </w:rPr>
        <w:t xml:space="preserve">二零二三年四月三十日 </w:t>
      </w:r>
    </w:p>
    <w:sectPr>
      <w:footerReference r:id="rId8" w:type="default"/>
      <w:pgSz w:w="11906" w:h="16838"/>
      <w:pgMar w:top="2098" w:right="1474" w:bottom="1984" w:left="158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adjustRightInd w:val="0"/>
      <w:jc w:val="center"/>
    </w:pPr>
  </w:p>
  <w:p>
    <w:pPr>
      <w:spacing w:line="1" w:lineRule="exact"/>
      <w:jc w:val="both"/>
      <w:rPr>
        <w:rFonts w:ascii="宋体" w:hAnsi="宋体" w:eastAsia="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jc w:val="both"/>
      <w:rPr>
        <w:rFonts w:ascii="宋体" w:hAnsi="宋体" w:eastAsia="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jc w:val="both"/>
      <w:rPr>
        <w:rFonts w:ascii="宋体" w:hAnsi="宋体" w:eastAsia="宋体"/>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3"/>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13"/>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jc w:val="both"/>
      <w:rPr>
        <w:rFonts w:ascii="宋体" w:hAnsi="宋体" w:eastAsia="宋体"/>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jc w:val="both"/>
      <w:rPr>
        <w:rFonts w:ascii="宋体" w:hAnsi="宋体" w:eastAsia="宋体"/>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3"/>
                          </w:pPr>
                          <w:r>
                            <w:t xml:space="preserve">第 </w:t>
                          </w:r>
                          <w:r>
                            <w:fldChar w:fldCharType="begin"/>
                          </w:r>
                          <w:r>
                            <w:instrText xml:space="preserve"> PAGE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13"/>
                    </w:pPr>
                    <w:r>
                      <w:t xml:space="preserve">第 </w:t>
                    </w:r>
                    <w:r>
                      <w:fldChar w:fldCharType="begin"/>
                    </w:r>
                    <w:r>
                      <w:instrText xml:space="preserve"> PAGE  \* MERGEFORMAT </w:instrText>
                    </w:r>
                    <w:r>
                      <w:fldChar w:fldCharType="separate"/>
                    </w:r>
                    <w:r>
                      <w:t>12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D85FAD"/>
    <w:multiLevelType w:val="singleLevel"/>
    <w:tmpl w:val="D8D85FAD"/>
    <w:lvl w:ilvl="0" w:tentative="0">
      <w:start w:val="3"/>
      <w:numFmt w:val="chineseCounting"/>
      <w:suff w:val="nothing"/>
      <w:lvlText w:val="（%1）"/>
      <w:lvlJc w:val="left"/>
      <w:rPr>
        <w:rFonts w:hint="eastAsia"/>
      </w:rPr>
    </w:lvl>
  </w:abstractNum>
  <w:abstractNum w:abstractNumId="1">
    <w:nsid w:val="3DFD1841"/>
    <w:multiLevelType w:val="singleLevel"/>
    <w:tmpl w:val="3DFD1841"/>
    <w:lvl w:ilvl="0" w:tentative="0">
      <w:start w:val="4"/>
      <w:numFmt w:val="decimal"/>
      <w:lvlText w:val="%1."/>
      <w:lvlJc w:val="left"/>
      <w:pPr>
        <w:tabs>
          <w:tab w:val="left" w:pos="312"/>
        </w:tabs>
      </w:pPr>
    </w:lvl>
  </w:abstractNum>
  <w:abstractNum w:abstractNumId="2">
    <w:nsid w:val="618E72DB"/>
    <w:multiLevelType w:val="singleLevel"/>
    <w:tmpl w:val="618E72DB"/>
    <w:lvl w:ilvl="0" w:tentative="0">
      <w:start w:val="15"/>
      <w:numFmt w:val="decimal"/>
      <w:suff w:val="nothing"/>
      <w:lvlText w:val="%1、"/>
      <w:lvlJc w:val="left"/>
    </w:lvl>
  </w:abstractNum>
  <w:abstractNum w:abstractNumId="3">
    <w:nsid w:val="7FDF8D8E"/>
    <w:multiLevelType w:val="singleLevel"/>
    <w:tmpl w:val="7FDF8D8E"/>
    <w:lvl w:ilvl="0" w:tentative="0">
      <w:start w:val="5"/>
      <w:numFmt w:val="chineseCounting"/>
      <w:suff w:val="nothing"/>
      <w:lvlText w:val="%1、"/>
      <w:lvlJc w:val="left"/>
      <w:pPr>
        <w:ind w:left="0" w:leftChars="0" w:firstLine="0" w:firstLineChars="0"/>
      </w:pPr>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2"/>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0YzEzYmJkODhhM2U5ZWQyNjg4MWQxMzk0NWZiZTEifQ=="/>
  </w:docVars>
  <w:rsids>
    <w:rsidRoot w:val="00ED72A4"/>
    <w:rsid w:val="000041F4"/>
    <w:rsid w:val="0001434B"/>
    <w:rsid w:val="000208BE"/>
    <w:rsid w:val="000345C9"/>
    <w:rsid w:val="00037000"/>
    <w:rsid w:val="00050A8F"/>
    <w:rsid w:val="00052615"/>
    <w:rsid w:val="00053D11"/>
    <w:rsid w:val="00071714"/>
    <w:rsid w:val="00073347"/>
    <w:rsid w:val="000771ED"/>
    <w:rsid w:val="00084F9D"/>
    <w:rsid w:val="0009090D"/>
    <w:rsid w:val="00090BAE"/>
    <w:rsid w:val="00097AC2"/>
    <w:rsid w:val="000C5D0A"/>
    <w:rsid w:val="000D6D0C"/>
    <w:rsid w:val="00113B3D"/>
    <w:rsid w:val="00120722"/>
    <w:rsid w:val="00121873"/>
    <w:rsid w:val="0014672E"/>
    <w:rsid w:val="00161612"/>
    <w:rsid w:val="001718CD"/>
    <w:rsid w:val="00172EAA"/>
    <w:rsid w:val="00175F07"/>
    <w:rsid w:val="00182CD8"/>
    <w:rsid w:val="00190A36"/>
    <w:rsid w:val="0019228C"/>
    <w:rsid w:val="00197EF0"/>
    <w:rsid w:val="001A50E6"/>
    <w:rsid w:val="001A7C5F"/>
    <w:rsid w:val="001D6C4C"/>
    <w:rsid w:val="001F4E90"/>
    <w:rsid w:val="00206A90"/>
    <w:rsid w:val="00244222"/>
    <w:rsid w:val="00256618"/>
    <w:rsid w:val="002609A8"/>
    <w:rsid w:val="0026703F"/>
    <w:rsid w:val="00287B16"/>
    <w:rsid w:val="002926ED"/>
    <w:rsid w:val="002A2D30"/>
    <w:rsid w:val="002B763D"/>
    <w:rsid w:val="002B7924"/>
    <w:rsid w:val="002C274B"/>
    <w:rsid w:val="002C5C0B"/>
    <w:rsid w:val="002E16F6"/>
    <w:rsid w:val="002F7176"/>
    <w:rsid w:val="00315CAD"/>
    <w:rsid w:val="00327FB4"/>
    <w:rsid w:val="003309F9"/>
    <w:rsid w:val="00346643"/>
    <w:rsid w:val="003472ED"/>
    <w:rsid w:val="003541E9"/>
    <w:rsid w:val="00354E39"/>
    <w:rsid w:val="00357F39"/>
    <w:rsid w:val="00380DF2"/>
    <w:rsid w:val="0038161A"/>
    <w:rsid w:val="00386210"/>
    <w:rsid w:val="003864BA"/>
    <w:rsid w:val="0038734A"/>
    <w:rsid w:val="0039588D"/>
    <w:rsid w:val="003A0B98"/>
    <w:rsid w:val="003C1922"/>
    <w:rsid w:val="003C71B0"/>
    <w:rsid w:val="0041335A"/>
    <w:rsid w:val="00420CC1"/>
    <w:rsid w:val="00430218"/>
    <w:rsid w:val="00433368"/>
    <w:rsid w:val="00443269"/>
    <w:rsid w:val="004527D6"/>
    <w:rsid w:val="004667EF"/>
    <w:rsid w:val="004733C6"/>
    <w:rsid w:val="00476255"/>
    <w:rsid w:val="00483EB9"/>
    <w:rsid w:val="0049299C"/>
    <w:rsid w:val="00492EBD"/>
    <w:rsid w:val="004946E1"/>
    <w:rsid w:val="004969F7"/>
    <w:rsid w:val="004D5EE9"/>
    <w:rsid w:val="00511C2B"/>
    <w:rsid w:val="00513B85"/>
    <w:rsid w:val="0052732A"/>
    <w:rsid w:val="00553E57"/>
    <w:rsid w:val="0055506E"/>
    <w:rsid w:val="0056282B"/>
    <w:rsid w:val="0058729D"/>
    <w:rsid w:val="005B29F2"/>
    <w:rsid w:val="005B4620"/>
    <w:rsid w:val="005F388F"/>
    <w:rsid w:val="005F738D"/>
    <w:rsid w:val="00605A3F"/>
    <w:rsid w:val="00611F8F"/>
    <w:rsid w:val="0064025C"/>
    <w:rsid w:val="00647CD5"/>
    <w:rsid w:val="006765C5"/>
    <w:rsid w:val="00676CE1"/>
    <w:rsid w:val="00680A93"/>
    <w:rsid w:val="006A5AB8"/>
    <w:rsid w:val="006B22E7"/>
    <w:rsid w:val="006B3F5E"/>
    <w:rsid w:val="006C56C9"/>
    <w:rsid w:val="006D3EF6"/>
    <w:rsid w:val="006D4A18"/>
    <w:rsid w:val="006E5779"/>
    <w:rsid w:val="006F4270"/>
    <w:rsid w:val="006F584B"/>
    <w:rsid w:val="00703645"/>
    <w:rsid w:val="00703E86"/>
    <w:rsid w:val="00715FAD"/>
    <w:rsid w:val="0072171B"/>
    <w:rsid w:val="00734394"/>
    <w:rsid w:val="00734A7B"/>
    <w:rsid w:val="007369E6"/>
    <w:rsid w:val="007519BA"/>
    <w:rsid w:val="00763886"/>
    <w:rsid w:val="0076423B"/>
    <w:rsid w:val="007835B2"/>
    <w:rsid w:val="007934B5"/>
    <w:rsid w:val="007948AC"/>
    <w:rsid w:val="007A5254"/>
    <w:rsid w:val="007C6659"/>
    <w:rsid w:val="007D0292"/>
    <w:rsid w:val="007D732F"/>
    <w:rsid w:val="007E12FA"/>
    <w:rsid w:val="007F0FDB"/>
    <w:rsid w:val="00800994"/>
    <w:rsid w:val="00805806"/>
    <w:rsid w:val="00807853"/>
    <w:rsid w:val="00836E80"/>
    <w:rsid w:val="00845697"/>
    <w:rsid w:val="00853AC0"/>
    <w:rsid w:val="00856B0B"/>
    <w:rsid w:val="00873AB9"/>
    <w:rsid w:val="008879B6"/>
    <w:rsid w:val="008A6A49"/>
    <w:rsid w:val="008B33C6"/>
    <w:rsid w:val="008D18CA"/>
    <w:rsid w:val="008E0E49"/>
    <w:rsid w:val="00974E28"/>
    <w:rsid w:val="009826D4"/>
    <w:rsid w:val="00996547"/>
    <w:rsid w:val="009B15B1"/>
    <w:rsid w:val="009B1741"/>
    <w:rsid w:val="009B66D6"/>
    <w:rsid w:val="009C459F"/>
    <w:rsid w:val="009D0BF2"/>
    <w:rsid w:val="009D5709"/>
    <w:rsid w:val="009E1FE4"/>
    <w:rsid w:val="009F5843"/>
    <w:rsid w:val="00A205C0"/>
    <w:rsid w:val="00A246D4"/>
    <w:rsid w:val="00A27F9C"/>
    <w:rsid w:val="00A31FE0"/>
    <w:rsid w:val="00A35842"/>
    <w:rsid w:val="00A450D9"/>
    <w:rsid w:val="00A60CB1"/>
    <w:rsid w:val="00A70DB2"/>
    <w:rsid w:val="00A75CE6"/>
    <w:rsid w:val="00A83C3C"/>
    <w:rsid w:val="00A91F4E"/>
    <w:rsid w:val="00AB07E1"/>
    <w:rsid w:val="00AB5E68"/>
    <w:rsid w:val="00AC02F2"/>
    <w:rsid w:val="00AE6C17"/>
    <w:rsid w:val="00AE7818"/>
    <w:rsid w:val="00B066AB"/>
    <w:rsid w:val="00B12F51"/>
    <w:rsid w:val="00B20E7F"/>
    <w:rsid w:val="00B24A3F"/>
    <w:rsid w:val="00B40142"/>
    <w:rsid w:val="00B44802"/>
    <w:rsid w:val="00B45261"/>
    <w:rsid w:val="00B462A7"/>
    <w:rsid w:val="00B57E38"/>
    <w:rsid w:val="00B7294D"/>
    <w:rsid w:val="00B757C7"/>
    <w:rsid w:val="00B9798C"/>
    <w:rsid w:val="00B979FD"/>
    <w:rsid w:val="00BA2929"/>
    <w:rsid w:val="00BA3ACF"/>
    <w:rsid w:val="00BB406D"/>
    <w:rsid w:val="00BD0CD3"/>
    <w:rsid w:val="00BD0FA6"/>
    <w:rsid w:val="00BD694B"/>
    <w:rsid w:val="00BE75F8"/>
    <w:rsid w:val="00BF5330"/>
    <w:rsid w:val="00C22933"/>
    <w:rsid w:val="00C229BF"/>
    <w:rsid w:val="00C7051F"/>
    <w:rsid w:val="00CC45CD"/>
    <w:rsid w:val="00CC4827"/>
    <w:rsid w:val="00CF7EE2"/>
    <w:rsid w:val="00D1362C"/>
    <w:rsid w:val="00D47AEA"/>
    <w:rsid w:val="00D713C4"/>
    <w:rsid w:val="00D7206A"/>
    <w:rsid w:val="00D77A0E"/>
    <w:rsid w:val="00D97462"/>
    <w:rsid w:val="00DD0981"/>
    <w:rsid w:val="00DD3B40"/>
    <w:rsid w:val="00DD42C4"/>
    <w:rsid w:val="00E14AC8"/>
    <w:rsid w:val="00E53DFF"/>
    <w:rsid w:val="00E673F5"/>
    <w:rsid w:val="00E72602"/>
    <w:rsid w:val="00E83E31"/>
    <w:rsid w:val="00EA306F"/>
    <w:rsid w:val="00EB0078"/>
    <w:rsid w:val="00EC3EE6"/>
    <w:rsid w:val="00EC5394"/>
    <w:rsid w:val="00ED72A4"/>
    <w:rsid w:val="00F10B4A"/>
    <w:rsid w:val="00F21D13"/>
    <w:rsid w:val="00F36BFC"/>
    <w:rsid w:val="00F549E0"/>
    <w:rsid w:val="00F613E7"/>
    <w:rsid w:val="00F65D4B"/>
    <w:rsid w:val="00F70131"/>
    <w:rsid w:val="00F751F7"/>
    <w:rsid w:val="00F86724"/>
    <w:rsid w:val="00F96832"/>
    <w:rsid w:val="00FC1D37"/>
    <w:rsid w:val="00FC640D"/>
    <w:rsid w:val="00FD3F85"/>
    <w:rsid w:val="00FD4399"/>
    <w:rsid w:val="00FE505C"/>
    <w:rsid w:val="01253055"/>
    <w:rsid w:val="0126599F"/>
    <w:rsid w:val="014C639C"/>
    <w:rsid w:val="01544BBF"/>
    <w:rsid w:val="016F1640"/>
    <w:rsid w:val="0196601E"/>
    <w:rsid w:val="01B73009"/>
    <w:rsid w:val="01F364BA"/>
    <w:rsid w:val="023F02D5"/>
    <w:rsid w:val="02DC52DA"/>
    <w:rsid w:val="0415289F"/>
    <w:rsid w:val="04671EF4"/>
    <w:rsid w:val="047563BF"/>
    <w:rsid w:val="048C3056"/>
    <w:rsid w:val="04A411F2"/>
    <w:rsid w:val="04CA2A41"/>
    <w:rsid w:val="056801CC"/>
    <w:rsid w:val="05AF7B22"/>
    <w:rsid w:val="06AB469B"/>
    <w:rsid w:val="0720368A"/>
    <w:rsid w:val="077E533E"/>
    <w:rsid w:val="07C66F31"/>
    <w:rsid w:val="07E37AE3"/>
    <w:rsid w:val="08AB322E"/>
    <w:rsid w:val="08DD6459"/>
    <w:rsid w:val="08E3070F"/>
    <w:rsid w:val="08F47D03"/>
    <w:rsid w:val="09B514EA"/>
    <w:rsid w:val="0A061D50"/>
    <w:rsid w:val="0A3D442E"/>
    <w:rsid w:val="0A7F610C"/>
    <w:rsid w:val="0AE64D56"/>
    <w:rsid w:val="0C3849D0"/>
    <w:rsid w:val="0C423C48"/>
    <w:rsid w:val="0C95086D"/>
    <w:rsid w:val="0CD312D0"/>
    <w:rsid w:val="0CD96FEB"/>
    <w:rsid w:val="0CF84031"/>
    <w:rsid w:val="0CFD704B"/>
    <w:rsid w:val="0D183248"/>
    <w:rsid w:val="0D194A65"/>
    <w:rsid w:val="0D480B91"/>
    <w:rsid w:val="0D8B0A01"/>
    <w:rsid w:val="0D944EC8"/>
    <w:rsid w:val="0D9C49BC"/>
    <w:rsid w:val="0E5C60B0"/>
    <w:rsid w:val="0F6C63A4"/>
    <w:rsid w:val="0FD10701"/>
    <w:rsid w:val="10FD5330"/>
    <w:rsid w:val="11902A8A"/>
    <w:rsid w:val="11BC387F"/>
    <w:rsid w:val="1223622B"/>
    <w:rsid w:val="124473D0"/>
    <w:rsid w:val="129245E0"/>
    <w:rsid w:val="12D97A22"/>
    <w:rsid w:val="12E27159"/>
    <w:rsid w:val="13587825"/>
    <w:rsid w:val="13AB6944"/>
    <w:rsid w:val="142414F0"/>
    <w:rsid w:val="14A5257D"/>
    <w:rsid w:val="14C66AF5"/>
    <w:rsid w:val="14F4722E"/>
    <w:rsid w:val="15B85B0B"/>
    <w:rsid w:val="15FB0CF5"/>
    <w:rsid w:val="16157A01"/>
    <w:rsid w:val="16B92563"/>
    <w:rsid w:val="16CB4564"/>
    <w:rsid w:val="16F21AF1"/>
    <w:rsid w:val="17D31922"/>
    <w:rsid w:val="18287E7B"/>
    <w:rsid w:val="18AE2601"/>
    <w:rsid w:val="18C85C1C"/>
    <w:rsid w:val="18FE477D"/>
    <w:rsid w:val="19670E0E"/>
    <w:rsid w:val="19F31E08"/>
    <w:rsid w:val="19F71C34"/>
    <w:rsid w:val="1A1B310D"/>
    <w:rsid w:val="1A24151A"/>
    <w:rsid w:val="1A5F47FD"/>
    <w:rsid w:val="1B461441"/>
    <w:rsid w:val="1C1F2BD1"/>
    <w:rsid w:val="1CA4329E"/>
    <w:rsid w:val="1CC001D9"/>
    <w:rsid w:val="1D1A00CF"/>
    <w:rsid w:val="1D2A0BDE"/>
    <w:rsid w:val="1DDC0DD7"/>
    <w:rsid w:val="1E0D75FA"/>
    <w:rsid w:val="1E3C246F"/>
    <w:rsid w:val="1E65704C"/>
    <w:rsid w:val="1E7E1F44"/>
    <w:rsid w:val="1EA240CA"/>
    <w:rsid w:val="1F615A66"/>
    <w:rsid w:val="1F745799"/>
    <w:rsid w:val="1FA45952"/>
    <w:rsid w:val="201C2D6F"/>
    <w:rsid w:val="202C6070"/>
    <w:rsid w:val="205948D1"/>
    <w:rsid w:val="21830185"/>
    <w:rsid w:val="22486A69"/>
    <w:rsid w:val="226F4329"/>
    <w:rsid w:val="22C81958"/>
    <w:rsid w:val="23446A95"/>
    <w:rsid w:val="23D51466"/>
    <w:rsid w:val="25875AFA"/>
    <w:rsid w:val="258E25DB"/>
    <w:rsid w:val="259D5C09"/>
    <w:rsid w:val="2632184B"/>
    <w:rsid w:val="263920A0"/>
    <w:rsid w:val="266334AD"/>
    <w:rsid w:val="26D66D39"/>
    <w:rsid w:val="27026DF0"/>
    <w:rsid w:val="277D6A86"/>
    <w:rsid w:val="27976983"/>
    <w:rsid w:val="28B779FF"/>
    <w:rsid w:val="28CC797B"/>
    <w:rsid w:val="29D166A0"/>
    <w:rsid w:val="2A53610D"/>
    <w:rsid w:val="2A7F4FF2"/>
    <w:rsid w:val="2AA657E7"/>
    <w:rsid w:val="2B32769B"/>
    <w:rsid w:val="2B427967"/>
    <w:rsid w:val="2B67552E"/>
    <w:rsid w:val="2B735A8E"/>
    <w:rsid w:val="2BC520D0"/>
    <w:rsid w:val="2C293467"/>
    <w:rsid w:val="2C29790B"/>
    <w:rsid w:val="2D3579A8"/>
    <w:rsid w:val="2D450775"/>
    <w:rsid w:val="2D6A1F89"/>
    <w:rsid w:val="2DB0030D"/>
    <w:rsid w:val="2E13496F"/>
    <w:rsid w:val="2E9E09DE"/>
    <w:rsid w:val="2EDC0C1B"/>
    <w:rsid w:val="2EEF5F6E"/>
    <w:rsid w:val="2EF1278B"/>
    <w:rsid w:val="2F131BC2"/>
    <w:rsid w:val="2FB63264"/>
    <w:rsid w:val="2FD44032"/>
    <w:rsid w:val="2FDE6441"/>
    <w:rsid w:val="309D2777"/>
    <w:rsid w:val="31423060"/>
    <w:rsid w:val="3143498D"/>
    <w:rsid w:val="31E00A6C"/>
    <w:rsid w:val="327B0795"/>
    <w:rsid w:val="33F50F25"/>
    <w:rsid w:val="34AD7EA2"/>
    <w:rsid w:val="35042CC3"/>
    <w:rsid w:val="35BF6BEA"/>
    <w:rsid w:val="37015CC6"/>
    <w:rsid w:val="37025F4A"/>
    <w:rsid w:val="375B5F80"/>
    <w:rsid w:val="37B11547"/>
    <w:rsid w:val="381154E9"/>
    <w:rsid w:val="388A7AA2"/>
    <w:rsid w:val="389C5F2E"/>
    <w:rsid w:val="38A04E7B"/>
    <w:rsid w:val="393C7C8C"/>
    <w:rsid w:val="395A64C9"/>
    <w:rsid w:val="3A226F90"/>
    <w:rsid w:val="3ACF1FF7"/>
    <w:rsid w:val="3AD34DA9"/>
    <w:rsid w:val="3B337E5E"/>
    <w:rsid w:val="3B604ACB"/>
    <w:rsid w:val="3BBC42F8"/>
    <w:rsid w:val="3BD9557A"/>
    <w:rsid w:val="3CD22283"/>
    <w:rsid w:val="3CEA1466"/>
    <w:rsid w:val="3D080A9A"/>
    <w:rsid w:val="3D3954D4"/>
    <w:rsid w:val="3D4634DB"/>
    <w:rsid w:val="3D7309E6"/>
    <w:rsid w:val="3E1324C9"/>
    <w:rsid w:val="3E490138"/>
    <w:rsid w:val="3E5527E2"/>
    <w:rsid w:val="3EF75E0C"/>
    <w:rsid w:val="3F334FAD"/>
    <w:rsid w:val="3F7F6B48"/>
    <w:rsid w:val="3FC7326B"/>
    <w:rsid w:val="3FDB385A"/>
    <w:rsid w:val="404B3AB5"/>
    <w:rsid w:val="40CF1B6E"/>
    <w:rsid w:val="40E37C31"/>
    <w:rsid w:val="41325BAE"/>
    <w:rsid w:val="415B0D01"/>
    <w:rsid w:val="41630D72"/>
    <w:rsid w:val="41C90182"/>
    <w:rsid w:val="41EE5360"/>
    <w:rsid w:val="41FF325D"/>
    <w:rsid w:val="42025BE2"/>
    <w:rsid w:val="42C83582"/>
    <w:rsid w:val="43A86C1F"/>
    <w:rsid w:val="444103CF"/>
    <w:rsid w:val="44C6612E"/>
    <w:rsid w:val="455B0481"/>
    <w:rsid w:val="457E36C4"/>
    <w:rsid w:val="45827258"/>
    <w:rsid w:val="45DE30BD"/>
    <w:rsid w:val="47E06821"/>
    <w:rsid w:val="48066F53"/>
    <w:rsid w:val="48335942"/>
    <w:rsid w:val="48DE7532"/>
    <w:rsid w:val="492814CE"/>
    <w:rsid w:val="492A498E"/>
    <w:rsid w:val="49CC7AB7"/>
    <w:rsid w:val="4A4C6847"/>
    <w:rsid w:val="4B0F0DC5"/>
    <w:rsid w:val="4BE73BDE"/>
    <w:rsid w:val="4C1B2975"/>
    <w:rsid w:val="4C9E5354"/>
    <w:rsid w:val="4CA26436"/>
    <w:rsid w:val="4CB0266E"/>
    <w:rsid w:val="4D427BD0"/>
    <w:rsid w:val="4D4A5B09"/>
    <w:rsid w:val="4D5D1DFF"/>
    <w:rsid w:val="4DD229A6"/>
    <w:rsid w:val="4DDB1FD7"/>
    <w:rsid w:val="4DF176EF"/>
    <w:rsid w:val="4E51274A"/>
    <w:rsid w:val="4E946A0E"/>
    <w:rsid w:val="4F373BCF"/>
    <w:rsid w:val="4FC23925"/>
    <w:rsid w:val="50C91816"/>
    <w:rsid w:val="510724FC"/>
    <w:rsid w:val="511E3760"/>
    <w:rsid w:val="514209A3"/>
    <w:rsid w:val="51CB0999"/>
    <w:rsid w:val="51D718C7"/>
    <w:rsid w:val="524F2AE6"/>
    <w:rsid w:val="526D79A5"/>
    <w:rsid w:val="52A177A5"/>
    <w:rsid w:val="5305012E"/>
    <w:rsid w:val="532D5C7D"/>
    <w:rsid w:val="534A1D91"/>
    <w:rsid w:val="536D54B8"/>
    <w:rsid w:val="538E2565"/>
    <w:rsid w:val="53946809"/>
    <w:rsid w:val="53C733E2"/>
    <w:rsid w:val="54D437D1"/>
    <w:rsid w:val="552D54C7"/>
    <w:rsid w:val="55BD3628"/>
    <w:rsid w:val="55F57A8F"/>
    <w:rsid w:val="573C5E95"/>
    <w:rsid w:val="57990726"/>
    <w:rsid w:val="581110D0"/>
    <w:rsid w:val="582B0D2D"/>
    <w:rsid w:val="588673C8"/>
    <w:rsid w:val="58BC3120"/>
    <w:rsid w:val="58CB729C"/>
    <w:rsid w:val="594D6137"/>
    <w:rsid w:val="595A2602"/>
    <w:rsid w:val="5A2F3E29"/>
    <w:rsid w:val="5B066B68"/>
    <w:rsid w:val="5B3F6E58"/>
    <w:rsid w:val="5B7420A1"/>
    <w:rsid w:val="5B81031A"/>
    <w:rsid w:val="5C1509A3"/>
    <w:rsid w:val="5C191B77"/>
    <w:rsid w:val="5C8C7A0B"/>
    <w:rsid w:val="5C8F16D5"/>
    <w:rsid w:val="5CF1327E"/>
    <w:rsid w:val="5D395736"/>
    <w:rsid w:val="5D465545"/>
    <w:rsid w:val="5D991AFF"/>
    <w:rsid w:val="5E32584C"/>
    <w:rsid w:val="5F286AEB"/>
    <w:rsid w:val="60466CCA"/>
    <w:rsid w:val="608A7629"/>
    <w:rsid w:val="610D03E6"/>
    <w:rsid w:val="617F52FC"/>
    <w:rsid w:val="61FF602D"/>
    <w:rsid w:val="62B062F2"/>
    <w:rsid w:val="62D04151"/>
    <w:rsid w:val="638C35B4"/>
    <w:rsid w:val="63CE736D"/>
    <w:rsid w:val="63D21F33"/>
    <w:rsid w:val="64540CC2"/>
    <w:rsid w:val="647F15AB"/>
    <w:rsid w:val="64963C0F"/>
    <w:rsid w:val="64EB03F4"/>
    <w:rsid w:val="653A528D"/>
    <w:rsid w:val="654D0A20"/>
    <w:rsid w:val="662500A0"/>
    <w:rsid w:val="667C588F"/>
    <w:rsid w:val="669D5D0D"/>
    <w:rsid w:val="66A34B88"/>
    <w:rsid w:val="66F13EF1"/>
    <w:rsid w:val="66FD5393"/>
    <w:rsid w:val="67010561"/>
    <w:rsid w:val="672B4917"/>
    <w:rsid w:val="67492634"/>
    <w:rsid w:val="679A69EC"/>
    <w:rsid w:val="67E75169"/>
    <w:rsid w:val="682A4A2E"/>
    <w:rsid w:val="69215D17"/>
    <w:rsid w:val="69505024"/>
    <w:rsid w:val="6A3E006B"/>
    <w:rsid w:val="6A523408"/>
    <w:rsid w:val="6A63709B"/>
    <w:rsid w:val="6A7D5FB3"/>
    <w:rsid w:val="6AB0547C"/>
    <w:rsid w:val="6AB44268"/>
    <w:rsid w:val="6AE16126"/>
    <w:rsid w:val="6AF36CAC"/>
    <w:rsid w:val="6B6C7B36"/>
    <w:rsid w:val="6C2B2308"/>
    <w:rsid w:val="6C382982"/>
    <w:rsid w:val="6C781968"/>
    <w:rsid w:val="6CA1081C"/>
    <w:rsid w:val="6CDA3D2E"/>
    <w:rsid w:val="6D0923E6"/>
    <w:rsid w:val="6D540176"/>
    <w:rsid w:val="6DB86DEC"/>
    <w:rsid w:val="6DBA39EE"/>
    <w:rsid w:val="6DBF48FD"/>
    <w:rsid w:val="6DC66E6B"/>
    <w:rsid w:val="6DCC16C5"/>
    <w:rsid w:val="6EF015E7"/>
    <w:rsid w:val="6F280D81"/>
    <w:rsid w:val="6F5F675F"/>
    <w:rsid w:val="70586539"/>
    <w:rsid w:val="709F081A"/>
    <w:rsid w:val="7132205A"/>
    <w:rsid w:val="71443DB6"/>
    <w:rsid w:val="71724535"/>
    <w:rsid w:val="71D26982"/>
    <w:rsid w:val="71DB2264"/>
    <w:rsid w:val="726E16EF"/>
    <w:rsid w:val="72B15531"/>
    <w:rsid w:val="732174C8"/>
    <w:rsid w:val="73553211"/>
    <w:rsid w:val="73CE0A5D"/>
    <w:rsid w:val="73D55A81"/>
    <w:rsid w:val="74480E91"/>
    <w:rsid w:val="74C4654A"/>
    <w:rsid w:val="74CB364E"/>
    <w:rsid w:val="74D12AF4"/>
    <w:rsid w:val="74E03EAC"/>
    <w:rsid w:val="74EB4D2A"/>
    <w:rsid w:val="751976CB"/>
    <w:rsid w:val="7572415F"/>
    <w:rsid w:val="757A2E8E"/>
    <w:rsid w:val="7585732B"/>
    <w:rsid w:val="76330E8D"/>
    <w:rsid w:val="765C7562"/>
    <w:rsid w:val="76880357"/>
    <w:rsid w:val="76A97A3A"/>
    <w:rsid w:val="77177CAA"/>
    <w:rsid w:val="77AD4FDD"/>
    <w:rsid w:val="77C74EAF"/>
    <w:rsid w:val="77D4765F"/>
    <w:rsid w:val="789F5CA4"/>
    <w:rsid w:val="789F61E0"/>
    <w:rsid w:val="78B74D88"/>
    <w:rsid w:val="79A566A8"/>
    <w:rsid w:val="79F56A7F"/>
    <w:rsid w:val="7A081773"/>
    <w:rsid w:val="7A1103BC"/>
    <w:rsid w:val="7A9A5B50"/>
    <w:rsid w:val="7AB93293"/>
    <w:rsid w:val="7B8178AD"/>
    <w:rsid w:val="7B821819"/>
    <w:rsid w:val="7BCF1ECC"/>
    <w:rsid w:val="7CBA0964"/>
    <w:rsid w:val="7CDC4346"/>
    <w:rsid w:val="7D2D3A06"/>
    <w:rsid w:val="7DFD0B18"/>
    <w:rsid w:val="7E200DC8"/>
    <w:rsid w:val="7E894085"/>
    <w:rsid w:val="7EB47782"/>
    <w:rsid w:val="7EB67478"/>
    <w:rsid w:val="7EB77FC8"/>
    <w:rsid w:val="7EBD271A"/>
    <w:rsid w:val="7EFF123B"/>
    <w:rsid w:val="7F2826D7"/>
    <w:rsid w:val="7F347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3">
    <w:name w:val="heading 1"/>
    <w:basedOn w:val="1"/>
    <w:next w:val="1"/>
    <w:link w:val="28"/>
    <w:qFormat/>
    <w:uiPriority w:val="0"/>
    <w:pPr>
      <w:spacing w:before="320" w:after="240" w:line="400" w:lineRule="exact"/>
      <w:ind w:firstLine="883" w:firstLineChars="200"/>
      <w:outlineLvl w:val="0"/>
    </w:pPr>
    <w:rPr>
      <w:rFonts w:eastAsia="宋体"/>
      <w:b/>
      <w:bCs/>
      <w:color w:val="auto"/>
      <w:kern w:val="44"/>
      <w:sz w:val="36"/>
      <w:szCs w:val="44"/>
      <w:lang w:eastAsia="zh-CN" w:bidi="ar-SA"/>
    </w:rPr>
  </w:style>
  <w:style w:type="paragraph" w:styleId="4">
    <w:name w:val="heading 2"/>
    <w:basedOn w:val="1"/>
    <w:next w:val="1"/>
    <w:link w:val="29"/>
    <w:qFormat/>
    <w:uiPriority w:val="0"/>
    <w:pPr>
      <w:keepNext/>
      <w:keepLines/>
      <w:spacing w:before="320" w:after="240" w:line="400" w:lineRule="exact"/>
      <w:ind w:firstLine="883" w:firstLineChars="200"/>
      <w:outlineLvl w:val="1"/>
    </w:pPr>
    <w:rPr>
      <w:rFonts w:ascii="Cambria" w:hAnsi="Cambria" w:eastAsia="宋体"/>
      <w:b/>
      <w:bCs/>
      <w:color w:val="auto"/>
      <w:sz w:val="32"/>
      <w:szCs w:val="32"/>
      <w:lang w:eastAsia="zh-CN" w:bidi="ar-SA"/>
    </w:rPr>
  </w:style>
  <w:style w:type="paragraph" w:styleId="5">
    <w:name w:val="heading 4"/>
    <w:basedOn w:val="1"/>
    <w:next w:val="1"/>
    <w:link w:val="30"/>
    <w:qFormat/>
    <w:uiPriority w:val="0"/>
    <w:pPr>
      <w:keepNext/>
      <w:keepLines/>
      <w:spacing w:line="336" w:lineRule="auto"/>
      <w:ind w:firstLine="795" w:firstLineChars="220"/>
      <w:jc w:val="both"/>
      <w:outlineLvl w:val="3"/>
    </w:pPr>
    <w:rPr>
      <w:rFonts w:ascii="Cambria" w:hAnsi="Cambria" w:eastAsia="宋体"/>
      <w:b/>
      <w:bCs/>
      <w:color w:val="auto"/>
      <w:sz w:val="30"/>
      <w:szCs w:val="28"/>
      <w:lang w:eastAsia="zh-CN" w:bidi="ar-SA"/>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index 6"/>
    <w:basedOn w:val="1"/>
    <w:next w:val="1"/>
    <w:qFormat/>
    <w:uiPriority w:val="0"/>
    <w:pPr>
      <w:keepNext w:val="0"/>
      <w:keepLines w:val="0"/>
      <w:widowControl w:val="0"/>
      <w:suppressLineNumbers w:val="0"/>
      <w:spacing w:before="0" w:beforeAutospacing="0" w:after="0" w:afterAutospacing="0"/>
      <w:ind w:left="0" w:right="0"/>
      <w:jc w:val="both"/>
    </w:pPr>
    <w:rPr>
      <w:rFonts w:hint="default" w:ascii="仿宋_GB2312" w:hAnsi="宋体" w:eastAsia="仿宋_GB2312" w:cs="黑体"/>
      <w:color w:val="000000"/>
      <w:kern w:val="2"/>
      <w:sz w:val="32"/>
      <w:szCs w:val="32"/>
      <w:lang w:val="en-US" w:eastAsia="zh-CN" w:bidi="ar"/>
    </w:rPr>
  </w:style>
  <w:style w:type="paragraph" w:styleId="6">
    <w:name w:val="toc 7"/>
    <w:basedOn w:val="1"/>
    <w:next w:val="1"/>
    <w:unhideWhenUsed/>
    <w:qFormat/>
    <w:uiPriority w:val="39"/>
    <w:pPr>
      <w:ind w:left="2520" w:leftChars="1200"/>
      <w:jc w:val="both"/>
    </w:pPr>
    <w:rPr>
      <w:rFonts w:asciiTheme="minorHAnsi" w:hAnsiTheme="minorHAnsi" w:eastAsiaTheme="minorEastAsia" w:cstheme="minorBidi"/>
      <w:color w:val="auto"/>
      <w:kern w:val="2"/>
      <w:sz w:val="21"/>
      <w:szCs w:val="22"/>
      <w:lang w:eastAsia="zh-CN" w:bidi="ar-SA"/>
    </w:rPr>
  </w:style>
  <w:style w:type="paragraph" w:styleId="7">
    <w:name w:val="annotation text"/>
    <w:basedOn w:val="1"/>
    <w:next w:val="8"/>
    <w:qFormat/>
    <w:uiPriority w:val="0"/>
    <w:pPr>
      <w:keepNext w:val="0"/>
      <w:keepLines w:val="0"/>
      <w:widowControl w:val="0"/>
      <w:suppressLineNumbers w:val="0"/>
      <w:spacing w:before="0" w:beforeAutospacing="0" w:after="0" w:afterAutospacing="0"/>
      <w:ind w:left="0" w:right="0"/>
      <w:jc w:val="left"/>
    </w:pPr>
    <w:rPr>
      <w:rFonts w:hint="default" w:ascii="Calibri" w:hAnsi="Calibri" w:eastAsia="宋体" w:cs="Times New Roman"/>
      <w:kern w:val="2"/>
      <w:sz w:val="21"/>
      <w:szCs w:val="21"/>
      <w:lang w:val="en-US" w:eastAsia="zh-CN" w:bidi="ar"/>
    </w:rPr>
  </w:style>
  <w:style w:type="paragraph" w:styleId="8">
    <w:name w:val="Balloon Text"/>
    <w:basedOn w:val="1"/>
    <w:qFormat/>
    <w:uiPriority w:val="0"/>
    <w:rPr>
      <w:sz w:val="18"/>
    </w:rPr>
  </w:style>
  <w:style w:type="paragraph" w:styleId="9">
    <w:name w:val="Body Text"/>
    <w:basedOn w:val="1"/>
    <w:qFormat/>
    <w:uiPriority w:val="0"/>
    <w:pPr>
      <w:keepNext w:val="0"/>
      <w:keepLines w:val="0"/>
      <w:widowControl w:val="0"/>
      <w:suppressLineNumbers w:val="0"/>
      <w:spacing w:after="120" w:afterAutospacing="0"/>
      <w:jc w:val="both"/>
    </w:pPr>
    <w:rPr>
      <w:rFonts w:hint="default" w:ascii="Calibri" w:hAnsi="Calibri" w:eastAsia="宋体" w:cs="黑体"/>
      <w:kern w:val="2"/>
      <w:sz w:val="21"/>
      <w:szCs w:val="21"/>
      <w:lang w:val="en-US" w:eastAsia="zh-CN" w:bidi="ar"/>
    </w:rPr>
  </w:style>
  <w:style w:type="paragraph" w:styleId="10">
    <w:name w:val="toc 5"/>
    <w:basedOn w:val="1"/>
    <w:next w:val="1"/>
    <w:unhideWhenUsed/>
    <w:qFormat/>
    <w:uiPriority w:val="39"/>
    <w:pPr>
      <w:ind w:left="1680" w:leftChars="800"/>
      <w:jc w:val="both"/>
    </w:pPr>
    <w:rPr>
      <w:rFonts w:asciiTheme="minorHAnsi" w:hAnsiTheme="minorHAnsi" w:eastAsiaTheme="minorEastAsia" w:cstheme="minorBidi"/>
      <w:color w:val="auto"/>
      <w:kern w:val="2"/>
      <w:sz w:val="21"/>
      <w:szCs w:val="22"/>
      <w:lang w:eastAsia="zh-CN" w:bidi="ar-SA"/>
    </w:rPr>
  </w:style>
  <w:style w:type="paragraph" w:styleId="11">
    <w:name w:val="toc 3"/>
    <w:basedOn w:val="1"/>
    <w:next w:val="1"/>
    <w:unhideWhenUsed/>
    <w:qFormat/>
    <w:uiPriority w:val="39"/>
    <w:pPr>
      <w:ind w:left="840" w:leftChars="400"/>
      <w:jc w:val="both"/>
    </w:pPr>
    <w:rPr>
      <w:rFonts w:asciiTheme="minorHAnsi" w:hAnsiTheme="minorHAnsi" w:eastAsiaTheme="minorEastAsia" w:cstheme="minorBidi"/>
      <w:color w:val="auto"/>
      <w:kern w:val="2"/>
      <w:sz w:val="21"/>
      <w:szCs w:val="22"/>
      <w:lang w:eastAsia="zh-CN" w:bidi="ar-SA"/>
    </w:rPr>
  </w:style>
  <w:style w:type="paragraph" w:styleId="12">
    <w:name w:val="toc 8"/>
    <w:basedOn w:val="1"/>
    <w:next w:val="1"/>
    <w:unhideWhenUsed/>
    <w:qFormat/>
    <w:uiPriority w:val="39"/>
    <w:pPr>
      <w:ind w:left="2940" w:leftChars="1400"/>
      <w:jc w:val="both"/>
    </w:pPr>
    <w:rPr>
      <w:rFonts w:asciiTheme="minorHAnsi" w:hAnsiTheme="minorHAnsi" w:eastAsiaTheme="minorEastAsia" w:cstheme="minorBidi"/>
      <w:color w:val="auto"/>
      <w:kern w:val="2"/>
      <w:sz w:val="21"/>
      <w:szCs w:val="22"/>
      <w:lang w:eastAsia="zh-CN" w:bidi="ar-SA"/>
    </w:rPr>
  </w:style>
  <w:style w:type="paragraph" w:styleId="13">
    <w:name w:val="footer"/>
    <w:basedOn w:val="1"/>
    <w:link w:val="31"/>
    <w:unhideWhenUsed/>
    <w:qFormat/>
    <w:uiPriority w:val="99"/>
    <w:pPr>
      <w:tabs>
        <w:tab w:val="center" w:pos="4153"/>
        <w:tab w:val="right" w:pos="8306"/>
      </w:tabs>
      <w:snapToGrid w:val="0"/>
    </w:pPr>
    <w:rPr>
      <w:sz w:val="18"/>
      <w:szCs w:val="18"/>
    </w:rPr>
  </w:style>
  <w:style w:type="paragraph" w:styleId="14">
    <w:name w:val="header"/>
    <w:basedOn w:val="1"/>
    <w:link w:val="32"/>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pPr>
      <w:tabs>
        <w:tab w:val="right" w:leader="dot" w:pos="8296"/>
      </w:tabs>
      <w:spacing w:line="360" w:lineRule="auto"/>
    </w:pPr>
    <w:rPr>
      <w:rFonts w:ascii="宋体" w:hAnsi="宋体" w:eastAsia="宋体" w:cs="宋体"/>
      <w:b/>
      <w:bCs/>
      <w:kern w:val="44"/>
      <w:sz w:val="30"/>
      <w:szCs w:val="30"/>
      <w:lang w:eastAsia="zh-CN"/>
    </w:rPr>
  </w:style>
  <w:style w:type="paragraph" w:styleId="16">
    <w:name w:val="toc 4"/>
    <w:basedOn w:val="1"/>
    <w:next w:val="1"/>
    <w:unhideWhenUsed/>
    <w:qFormat/>
    <w:uiPriority w:val="39"/>
    <w:pPr>
      <w:ind w:left="1260" w:leftChars="600"/>
      <w:jc w:val="both"/>
    </w:pPr>
    <w:rPr>
      <w:rFonts w:asciiTheme="minorHAnsi" w:hAnsiTheme="minorHAnsi" w:eastAsiaTheme="minorEastAsia" w:cstheme="minorBidi"/>
      <w:color w:val="auto"/>
      <w:kern w:val="2"/>
      <w:sz w:val="21"/>
      <w:szCs w:val="22"/>
      <w:lang w:eastAsia="zh-CN" w:bidi="ar-SA"/>
    </w:rPr>
  </w:style>
  <w:style w:type="paragraph" w:styleId="17">
    <w:name w:val="toc 6"/>
    <w:basedOn w:val="1"/>
    <w:next w:val="1"/>
    <w:unhideWhenUsed/>
    <w:qFormat/>
    <w:uiPriority w:val="39"/>
    <w:pPr>
      <w:ind w:left="2100" w:leftChars="1000"/>
      <w:jc w:val="both"/>
    </w:pPr>
    <w:rPr>
      <w:rFonts w:asciiTheme="minorHAnsi" w:hAnsiTheme="minorHAnsi" w:eastAsiaTheme="minorEastAsia" w:cstheme="minorBidi"/>
      <w:color w:val="auto"/>
      <w:kern w:val="2"/>
      <w:sz w:val="21"/>
      <w:szCs w:val="22"/>
      <w:lang w:eastAsia="zh-CN" w:bidi="ar-SA"/>
    </w:rPr>
  </w:style>
  <w:style w:type="paragraph" w:styleId="18">
    <w:name w:val="toc 2"/>
    <w:basedOn w:val="1"/>
    <w:next w:val="1"/>
    <w:unhideWhenUsed/>
    <w:qFormat/>
    <w:uiPriority w:val="39"/>
    <w:pPr>
      <w:tabs>
        <w:tab w:val="right" w:leader="dot" w:pos="8296"/>
      </w:tabs>
      <w:ind w:left="480" w:leftChars="200"/>
    </w:pPr>
    <w:rPr>
      <w:rFonts w:ascii="宋体" w:hAnsi="宋体" w:eastAsia="宋体" w:cs="宋体"/>
      <w:bCs/>
      <w:color w:val="000000" w:themeColor="text1"/>
      <w:sz w:val="30"/>
      <w:szCs w:val="30"/>
      <w:lang w:eastAsia="zh-CN" w:bidi="ar-SA"/>
      <w14:textFill>
        <w14:solidFill>
          <w14:schemeClr w14:val="tx1"/>
        </w14:solidFill>
      </w14:textFill>
    </w:rPr>
  </w:style>
  <w:style w:type="paragraph" w:styleId="19">
    <w:name w:val="toc 9"/>
    <w:basedOn w:val="1"/>
    <w:next w:val="1"/>
    <w:unhideWhenUsed/>
    <w:qFormat/>
    <w:uiPriority w:val="39"/>
    <w:pPr>
      <w:ind w:left="3360" w:leftChars="1600"/>
      <w:jc w:val="both"/>
    </w:pPr>
    <w:rPr>
      <w:rFonts w:asciiTheme="minorHAnsi" w:hAnsiTheme="minorHAnsi" w:eastAsiaTheme="minorEastAsia" w:cstheme="minorBidi"/>
      <w:color w:val="auto"/>
      <w:kern w:val="2"/>
      <w:sz w:val="21"/>
      <w:szCs w:val="22"/>
      <w:lang w:eastAsia="zh-CN" w:bidi="ar-SA"/>
    </w:rPr>
  </w:style>
  <w:style w:type="paragraph" w:styleId="20">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FollowedHyperlink"/>
    <w:basedOn w:val="23"/>
    <w:semiHidden/>
    <w:unhideWhenUsed/>
    <w:qFormat/>
    <w:uiPriority w:val="99"/>
    <w:rPr>
      <w:color w:val="771CAA"/>
      <w:u w:val="none"/>
    </w:rPr>
  </w:style>
  <w:style w:type="character" w:styleId="25">
    <w:name w:val="Emphasis"/>
    <w:basedOn w:val="23"/>
    <w:qFormat/>
    <w:uiPriority w:val="20"/>
    <w:rPr>
      <w:color w:val="F73131"/>
    </w:rPr>
  </w:style>
  <w:style w:type="character" w:styleId="26">
    <w:name w:val="Hyperlink"/>
    <w:basedOn w:val="23"/>
    <w:unhideWhenUsed/>
    <w:qFormat/>
    <w:uiPriority w:val="99"/>
    <w:rPr>
      <w:color w:val="0563C1" w:themeColor="hyperlink"/>
      <w:u w:val="single"/>
      <w14:textFill>
        <w14:solidFill>
          <w14:schemeClr w14:val="hlink"/>
        </w14:solidFill>
      </w14:textFill>
    </w:rPr>
  </w:style>
  <w:style w:type="character" w:styleId="27">
    <w:name w:val="HTML Cite"/>
    <w:basedOn w:val="23"/>
    <w:semiHidden/>
    <w:unhideWhenUsed/>
    <w:qFormat/>
    <w:uiPriority w:val="99"/>
    <w:rPr>
      <w:color w:val="008000"/>
    </w:rPr>
  </w:style>
  <w:style w:type="character" w:customStyle="1" w:styleId="28">
    <w:name w:val="标题 1 字符"/>
    <w:basedOn w:val="23"/>
    <w:link w:val="3"/>
    <w:qFormat/>
    <w:uiPriority w:val="0"/>
    <w:rPr>
      <w:rFonts w:ascii="Times New Roman" w:hAnsi="Times New Roman" w:eastAsia="宋体" w:cs="Times New Roman"/>
      <w:b/>
      <w:bCs/>
      <w:kern w:val="44"/>
      <w:sz w:val="36"/>
      <w:szCs w:val="44"/>
    </w:rPr>
  </w:style>
  <w:style w:type="character" w:customStyle="1" w:styleId="29">
    <w:name w:val="标题 2 字符"/>
    <w:basedOn w:val="23"/>
    <w:link w:val="4"/>
    <w:qFormat/>
    <w:uiPriority w:val="0"/>
    <w:rPr>
      <w:rFonts w:ascii="Cambria" w:hAnsi="Cambria" w:eastAsia="宋体" w:cs="Times New Roman"/>
      <w:b/>
      <w:bCs/>
      <w:kern w:val="0"/>
      <w:sz w:val="32"/>
      <w:szCs w:val="32"/>
    </w:rPr>
  </w:style>
  <w:style w:type="character" w:customStyle="1" w:styleId="30">
    <w:name w:val="标题 4 字符"/>
    <w:basedOn w:val="23"/>
    <w:link w:val="5"/>
    <w:qFormat/>
    <w:uiPriority w:val="0"/>
    <w:rPr>
      <w:rFonts w:ascii="Cambria" w:hAnsi="Cambria" w:eastAsia="宋体" w:cs="Times New Roman"/>
      <w:b/>
      <w:bCs/>
      <w:kern w:val="0"/>
      <w:sz w:val="30"/>
      <w:szCs w:val="28"/>
    </w:rPr>
  </w:style>
  <w:style w:type="character" w:customStyle="1" w:styleId="31">
    <w:name w:val="页脚 字符"/>
    <w:basedOn w:val="23"/>
    <w:link w:val="13"/>
    <w:qFormat/>
    <w:uiPriority w:val="99"/>
    <w:rPr>
      <w:rFonts w:ascii="Times New Roman" w:hAnsi="Times New Roman" w:eastAsia="Times New Roman" w:cs="Times New Roman"/>
      <w:color w:val="000000"/>
      <w:kern w:val="0"/>
      <w:sz w:val="18"/>
      <w:szCs w:val="18"/>
      <w:lang w:eastAsia="en-US" w:bidi="en-US"/>
    </w:rPr>
  </w:style>
  <w:style w:type="character" w:customStyle="1" w:styleId="32">
    <w:name w:val="页眉 字符"/>
    <w:basedOn w:val="23"/>
    <w:link w:val="14"/>
    <w:qFormat/>
    <w:uiPriority w:val="0"/>
    <w:rPr>
      <w:rFonts w:ascii="Times New Roman" w:hAnsi="Times New Roman" w:eastAsia="Times New Roman" w:cs="Times New Roman"/>
      <w:color w:val="000000"/>
      <w:kern w:val="0"/>
      <w:sz w:val="18"/>
      <w:szCs w:val="18"/>
      <w:lang w:eastAsia="en-US" w:bidi="en-US"/>
    </w:rPr>
  </w:style>
  <w:style w:type="character" w:customStyle="1" w:styleId="33">
    <w:name w:val="Body text|1_"/>
    <w:basedOn w:val="23"/>
    <w:link w:val="34"/>
    <w:qFormat/>
    <w:uiPriority w:val="0"/>
    <w:rPr>
      <w:rFonts w:ascii="宋体" w:hAnsi="宋体" w:eastAsia="宋体" w:cs="宋体"/>
      <w:sz w:val="32"/>
      <w:szCs w:val="32"/>
      <w:lang w:val="zh-TW" w:eastAsia="zh-TW" w:bidi="zh-TW"/>
    </w:rPr>
  </w:style>
  <w:style w:type="paragraph" w:customStyle="1" w:styleId="34">
    <w:name w:val="Body text|1"/>
    <w:basedOn w:val="1"/>
    <w:link w:val="33"/>
    <w:qFormat/>
    <w:uiPriority w:val="0"/>
    <w:pPr>
      <w:spacing w:line="360" w:lineRule="auto"/>
      <w:ind w:firstLine="400"/>
    </w:pPr>
    <w:rPr>
      <w:rFonts w:ascii="宋体" w:hAnsi="宋体" w:eastAsia="宋体" w:cs="宋体"/>
      <w:color w:val="auto"/>
      <w:kern w:val="2"/>
      <w:sz w:val="32"/>
      <w:szCs w:val="32"/>
      <w:lang w:val="zh-TW" w:eastAsia="zh-TW" w:bidi="zh-TW"/>
    </w:rPr>
  </w:style>
  <w:style w:type="character" w:customStyle="1" w:styleId="35">
    <w:name w:val="Table caption|1_"/>
    <w:basedOn w:val="23"/>
    <w:link w:val="36"/>
    <w:qFormat/>
    <w:uiPriority w:val="0"/>
    <w:rPr>
      <w:rFonts w:ascii="宋体" w:hAnsi="宋体" w:eastAsia="宋体" w:cs="宋体"/>
      <w:sz w:val="28"/>
      <w:szCs w:val="28"/>
      <w:lang w:val="zh-TW" w:eastAsia="zh-TW" w:bidi="zh-TW"/>
    </w:rPr>
  </w:style>
  <w:style w:type="paragraph" w:customStyle="1" w:styleId="36">
    <w:name w:val="Table caption|1"/>
    <w:basedOn w:val="1"/>
    <w:link w:val="35"/>
    <w:qFormat/>
    <w:uiPriority w:val="0"/>
    <w:pPr>
      <w:jc w:val="center"/>
    </w:pPr>
    <w:rPr>
      <w:rFonts w:ascii="宋体" w:hAnsi="宋体" w:eastAsia="宋体" w:cs="宋体"/>
      <w:color w:val="auto"/>
      <w:kern w:val="2"/>
      <w:sz w:val="28"/>
      <w:szCs w:val="28"/>
      <w:lang w:val="zh-TW" w:eastAsia="zh-TW" w:bidi="zh-TW"/>
    </w:rPr>
  </w:style>
  <w:style w:type="paragraph" w:styleId="37">
    <w:name w:val="List Paragraph"/>
    <w:basedOn w:val="1"/>
    <w:qFormat/>
    <w:uiPriority w:val="34"/>
    <w:pPr>
      <w:ind w:firstLine="420" w:firstLineChars="200"/>
    </w:pPr>
  </w:style>
  <w:style w:type="paragraph" w:customStyle="1" w:styleId="38">
    <w:name w:val="样式1"/>
    <w:basedOn w:val="34"/>
    <w:link w:val="39"/>
    <w:qFormat/>
    <w:uiPriority w:val="0"/>
    <w:pPr>
      <w:adjustRightInd w:val="0"/>
      <w:snapToGrid w:val="0"/>
      <w:ind w:firstLine="723" w:firstLineChars="200"/>
      <w:jc w:val="both"/>
    </w:pPr>
    <w:rPr>
      <w:b/>
      <w:bCs/>
      <w:color w:val="000000" w:themeColor="text1"/>
      <w:sz w:val="36"/>
      <w:szCs w:val="36"/>
      <w14:textFill>
        <w14:solidFill>
          <w14:schemeClr w14:val="tx1"/>
        </w14:solidFill>
      </w14:textFill>
    </w:rPr>
  </w:style>
  <w:style w:type="character" w:customStyle="1" w:styleId="39">
    <w:name w:val="样式1 字符"/>
    <w:basedOn w:val="33"/>
    <w:link w:val="38"/>
    <w:qFormat/>
    <w:uiPriority w:val="0"/>
    <w:rPr>
      <w:rFonts w:ascii="宋体" w:hAnsi="宋体" w:eastAsia="宋体" w:cs="宋体"/>
      <w:b/>
      <w:bCs/>
      <w:color w:val="000000" w:themeColor="text1"/>
      <w:kern w:val="2"/>
      <w:sz w:val="36"/>
      <w:szCs w:val="36"/>
      <w:lang w:val="zh-TW" w:eastAsia="zh-TW" w:bidi="zh-TW"/>
      <w14:textFill>
        <w14:solidFill>
          <w14:schemeClr w14:val="tx1"/>
        </w14:solidFill>
      </w14:textFill>
    </w:rPr>
  </w:style>
  <w:style w:type="paragraph" w:customStyle="1" w:styleId="40">
    <w:name w:val="TOC 标题1"/>
    <w:basedOn w:val="3"/>
    <w:next w:val="1"/>
    <w:unhideWhenUsed/>
    <w:qFormat/>
    <w:uiPriority w:val="39"/>
    <w:pPr>
      <w:keepNext/>
      <w:keepLines/>
      <w:widowControl/>
      <w:spacing w:before="240" w:after="0" w:line="259" w:lineRule="auto"/>
      <w:ind w:firstLine="0" w:firstLineChars="0"/>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41">
    <w:name w:val="WPSOffice手动目录 1"/>
    <w:qFormat/>
    <w:uiPriority w:val="0"/>
    <w:rPr>
      <w:rFonts w:ascii="Times New Roman" w:hAnsi="Times New Roman" w:cs="Times New Roman" w:eastAsiaTheme="minorEastAsia"/>
      <w:lang w:val="en-US" w:eastAsia="zh-CN" w:bidi="ar-SA"/>
    </w:rPr>
  </w:style>
  <w:style w:type="paragraph" w:customStyle="1" w:styleId="42">
    <w:name w:val="样式2"/>
    <w:basedOn w:val="3"/>
    <w:link w:val="43"/>
    <w:qFormat/>
    <w:uiPriority w:val="0"/>
    <w:pPr>
      <w:adjustRightInd w:val="0"/>
      <w:snapToGrid w:val="0"/>
      <w:spacing w:before="0" w:after="0" w:line="360" w:lineRule="auto"/>
      <w:ind w:firstLine="723"/>
    </w:pPr>
  </w:style>
  <w:style w:type="character" w:customStyle="1" w:styleId="43">
    <w:name w:val="样式2 字符"/>
    <w:basedOn w:val="28"/>
    <w:link w:val="42"/>
    <w:qFormat/>
    <w:uiPriority w:val="0"/>
    <w:rPr>
      <w:rFonts w:ascii="Times New Roman" w:hAnsi="Times New Roman" w:eastAsia="宋体" w:cs="Times New Roman"/>
      <w:kern w:val="44"/>
      <w:sz w:val="36"/>
      <w:szCs w:val="44"/>
    </w:rPr>
  </w:style>
  <w:style w:type="character" w:customStyle="1" w:styleId="44">
    <w:name w:val="未处理的提及1"/>
    <w:basedOn w:val="23"/>
    <w:semiHidden/>
    <w:unhideWhenUsed/>
    <w:qFormat/>
    <w:uiPriority w:val="99"/>
    <w:rPr>
      <w:color w:val="605E5C"/>
      <w:shd w:val="clear" w:color="auto" w:fill="E1DFDD"/>
    </w:rPr>
  </w:style>
  <w:style w:type="character" w:customStyle="1" w:styleId="45">
    <w:name w:val="hover24"/>
    <w:basedOn w:val="23"/>
    <w:qFormat/>
    <w:uiPriority w:val="0"/>
    <w:rPr>
      <w:color w:val="315EFB"/>
    </w:rPr>
  </w:style>
  <w:style w:type="character" w:customStyle="1" w:styleId="46">
    <w:name w:val="hover25"/>
    <w:basedOn w:val="23"/>
    <w:qFormat/>
    <w:uiPriority w:val="0"/>
    <w:rPr>
      <w:color w:val="315EFB"/>
    </w:rPr>
  </w:style>
  <w:style w:type="character" w:customStyle="1" w:styleId="47">
    <w:name w:val="c-icon"/>
    <w:basedOn w:val="23"/>
    <w:qFormat/>
    <w:uiPriority w:val="0"/>
  </w:style>
  <w:style w:type="paragraph" w:customStyle="1" w:styleId="48">
    <w:name w:val="Heading #2|1"/>
    <w:basedOn w:val="1"/>
    <w:qFormat/>
    <w:uiPriority w:val="0"/>
    <w:pPr>
      <w:keepNext w:val="0"/>
      <w:keepLines w:val="0"/>
      <w:widowControl w:val="0"/>
      <w:suppressLineNumbers w:val="0"/>
      <w:spacing w:before="0" w:beforeAutospacing="0" w:after="700" w:afterAutospacing="0" w:line="542" w:lineRule="exact"/>
      <w:ind w:left="0" w:right="0" w:firstLine="0"/>
      <w:jc w:val="center"/>
      <w:outlineLvl w:val="1"/>
    </w:pPr>
    <w:rPr>
      <w:rFonts w:hint="eastAsia" w:ascii="宋体" w:hAnsi="宋体" w:eastAsia="宋体" w:cs="宋体"/>
      <w:color w:val="000000"/>
      <w:spacing w:val="0"/>
      <w:kern w:val="0"/>
      <w:sz w:val="42"/>
      <w:szCs w:val="42"/>
      <w:lang w:val="en-US" w:eastAsia="zh-CN" w:bidi="ar"/>
    </w:rPr>
  </w:style>
  <w:style w:type="table" w:customStyle="1" w:styleId="49">
    <w:name w:val="Table Normal"/>
    <w:basedOn w:val="21"/>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0" w:type="dxa"/>
        <w:bottom w:w="0" w:type="dxa"/>
        <w:right w:w="0" w:type="dxa"/>
      </w:tblCellMar>
    </w:tblPr>
  </w:style>
  <w:style w:type="character" w:customStyle="1" w:styleId="50">
    <w:name w:val="10"/>
    <w:basedOn w:val="23"/>
    <w:qFormat/>
    <w:uiPriority w:val="0"/>
    <w:rPr>
      <w:rFonts w:hint="default" w:ascii="Times New Roman" w:hAnsi="Times New Roman" w:cs="Times New Roman"/>
    </w:rPr>
  </w:style>
  <w:style w:type="character" w:customStyle="1" w:styleId="51">
    <w:name w:val="15"/>
    <w:basedOn w:val="23"/>
    <w:qFormat/>
    <w:uiPriority w:val="0"/>
    <w:rPr>
      <w:rFonts w:hint="default" w:ascii="Times New Roman" w:hAnsi="Times New Roman" w:cs="Times New Roman"/>
    </w:rPr>
  </w:style>
  <w:style w:type="character" w:customStyle="1" w:styleId="52">
    <w:name w:val="font61"/>
    <w:basedOn w:val="23"/>
    <w:qFormat/>
    <w:uiPriority w:val="0"/>
    <w:rPr>
      <w:rFonts w:hint="eastAsia" w:ascii="微软雅黑" w:hAnsi="微软雅黑" w:eastAsia="微软雅黑" w:cs="微软雅黑"/>
      <w:color w:val="000000"/>
      <w:sz w:val="20"/>
      <w:szCs w:val="20"/>
      <w:u w:val="none"/>
    </w:rPr>
  </w:style>
  <w:style w:type="character" w:customStyle="1" w:styleId="53">
    <w:name w:val="font01"/>
    <w:basedOn w:val="23"/>
    <w:qFormat/>
    <w:uiPriority w:val="0"/>
    <w:rPr>
      <w:rFonts w:ascii="宋体" w:hAnsi="宋体" w:eastAsia="宋体" w:cs="宋体"/>
      <w:color w:val="000000"/>
      <w:sz w:val="20"/>
      <w:szCs w:val="20"/>
      <w:u w:val="none"/>
    </w:rPr>
  </w:style>
  <w:style w:type="character" w:customStyle="1" w:styleId="54">
    <w:name w:val="font21"/>
    <w:basedOn w:val="23"/>
    <w:qFormat/>
    <w:uiPriority w:val="0"/>
    <w:rPr>
      <w:rFonts w:ascii="仿宋" w:hAnsi="仿宋" w:eastAsia="仿宋" w:cs="仿宋"/>
      <w:color w:val="000000"/>
      <w:sz w:val="20"/>
      <w:szCs w:val="20"/>
      <w:u w:val="none"/>
    </w:rPr>
  </w:style>
  <w:style w:type="character" w:customStyle="1" w:styleId="55">
    <w:name w:val="font31"/>
    <w:basedOn w:val="23"/>
    <w:qFormat/>
    <w:uiPriority w:val="0"/>
    <w:rPr>
      <w:rFonts w:hint="eastAsia" w:ascii="微软雅黑" w:hAnsi="微软雅黑" w:eastAsia="微软雅黑" w:cs="微软雅黑"/>
      <w:color w:val="000000"/>
      <w:sz w:val="20"/>
      <w:szCs w:val="20"/>
      <w:u w:val="none"/>
    </w:rPr>
  </w:style>
  <w:style w:type="character" w:customStyle="1" w:styleId="56">
    <w:name w:val="font71"/>
    <w:basedOn w:val="23"/>
    <w:qFormat/>
    <w:uiPriority w:val="0"/>
    <w:rPr>
      <w:rFonts w:ascii="宋体" w:hAnsi="宋体" w:eastAsia="宋体" w:cs="宋体"/>
      <w:color w:val="000000"/>
      <w:sz w:val="20"/>
      <w:szCs w:val="20"/>
      <w:u w:val="none"/>
    </w:rPr>
  </w:style>
  <w:style w:type="character" w:customStyle="1" w:styleId="57">
    <w:name w:val="font11"/>
    <w:basedOn w:val="23"/>
    <w:qFormat/>
    <w:uiPriority w:val="0"/>
    <w:rPr>
      <w:rFonts w:ascii="仿宋" w:hAnsi="仿宋" w:eastAsia="仿宋" w:cs="仿宋"/>
      <w:color w:val="000000"/>
      <w:sz w:val="20"/>
      <w:szCs w:val="20"/>
      <w:u w:val="none"/>
    </w:rPr>
  </w:style>
  <w:style w:type="paragraph" w:customStyle="1" w:styleId="58">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F44AAE-881C-4767-A22B-840A43989B98}">
  <ds:schemaRefs/>
</ds:datastoreItem>
</file>

<file path=docProps/app.xml><?xml version="1.0" encoding="utf-8"?>
<Properties xmlns="http://schemas.openxmlformats.org/officeDocument/2006/extended-properties" xmlns:vt="http://schemas.openxmlformats.org/officeDocument/2006/docPropsVTypes">
  <Template>Normal.dotm</Template>
  <Pages>66</Pages>
  <Words>28744</Words>
  <Characters>29687</Characters>
  <Lines>351</Lines>
  <Paragraphs>99</Paragraphs>
  <TotalTime>1</TotalTime>
  <ScaleCrop>false</ScaleCrop>
  <LinksUpToDate>false</LinksUpToDate>
  <CharactersWithSpaces>29710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2022-01-04T06:39:00Z</dcterms:created>
  <dc:creator>miaozhen_12345@163.com</dc:creator>
  <cp:lastModifiedBy>盛斐</cp:lastModifiedBy>
  <dcterms:modified xsi:type="dcterms:W3CDTF">2023-06-23T10:33:44Z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AE49FF47FA39439697BA5AF155D51E05</vt:lpwstr>
  </property>
</Properties>
</file>