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C00" w:rsidRDefault="003E5C00">
      <w:pPr>
        <w:pStyle w:val="a0"/>
        <w:adjustRightInd/>
        <w:snapToGrid/>
        <w:spacing w:line="700" w:lineRule="exact"/>
        <w:ind w:firstLineChars="0" w:firstLine="0"/>
        <w:jc w:val="center"/>
        <w:rPr>
          <w:rFonts w:ascii="方正小标宋_GBK" w:eastAsia="方正小标宋_GBK" w:hAnsi="宋体"/>
          <w:sz w:val="44"/>
          <w:szCs w:val="44"/>
        </w:rPr>
      </w:pPr>
      <w:r>
        <w:rPr>
          <w:rFonts w:ascii="方正小标宋_GBK" w:eastAsia="方正小标宋_GBK" w:hAnsi="宋体" w:cs="方正小标宋_GBK" w:hint="eastAsia"/>
          <w:sz w:val="44"/>
          <w:szCs w:val="44"/>
        </w:rPr>
        <w:t>甘肃省基本医疗保险定点医疗机构</w:t>
      </w:r>
    </w:p>
    <w:p w:rsidR="003E5C00" w:rsidRDefault="003E5C00">
      <w:pPr>
        <w:pStyle w:val="a0"/>
        <w:adjustRightInd/>
        <w:snapToGrid/>
        <w:spacing w:line="700" w:lineRule="exact"/>
        <w:ind w:firstLineChars="0" w:firstLine="0"/>
        <w:jc w:val="center"/>
        <w:rPr>
          <w:rFonts w:ascii="方正小标宋_GBK" w:eastAsia="方正小标宋_GBK" w:hAnsi="宋体"/>
          <w:sz w:val="44"/>
          <w:szCs w:val="44"/>
        </w:rPr>
      </w:pPr>
      <w:r>
        <w:rPr>
          <w:rFonts w:ascii="方正小标宋_GBK" w:eastAsia="方正小标宋_GBK" w:hAnsi="宋体" w:cs="方正小标宋_GBK" w:hint="eastAsia"/>
          <w:sz w:val="44"/>
          <w:szCs w:val="44"/>
        </w:rPr>
        <w:t>医疗服务协议（范本）</w:t>
      </w:r>
    </w:p>
    <w:p w:rsidR="003E5C00" w:rsidRDefault="003E5C00">
      <w:pPr>
        <w:pStyle w:val="a0"/>
        <w:adjustRightInd/>
        <w:snapToGrid/>
        <w:spacing w:line="700" w:lineRule="exact"/>
        <w:ind w:firstLineChars="0" w:firstLine="0"/>
        <w:rPr>
          <w:rFonts w:ascii="方正小标宋_GBK" w:eastAsia="方正小标宋_GBK" w:hAnsi="宋体"/>
          <w:sz w:val="44"/>
          <w:szCs w:val="44"/>
        </w:rPr>
      </w:pPr>
      <w:bookmarkStart w:id="0" w:name="_GoBack"/>
      <w:bookmarkEnd w:id="0"/>
    </w:p>
    <w:p w:rsidR="003E5C00" w:rsidRDefault="003E5C00">
      <w:pPr>
        <w:pStyle w:val="41"/>
        <w:shd w:val="clear" w:color="auto" w:fill="auto"/>
        <w:spacing w:before="0" w:after="0" w:line="720" w:lineRule="exact"/>
        <w:ind w:left="520"/>
        <w:rPr>
          <w:rFonts w:ascii="黑体" w:eastAsia="黑体" w:hAnsi="黑体" w:cs="Times New Roman"/>
          <w:sz w:val="32"/>
          <w:szCs w:val="32"/>
        </w:rPr>
      </w:pPr>
      <w:r>
        <w:rPr>
          <w:rStyle w:val="4"/>
          <w:rFonts w:ascii="黑体" w:eastAsia="黑体" w:hAnsi="黑体" w:cs="黑体" w:hint="eastAsia"/>
          <w:color w:val="000000"/>
          <w:sz w:val="32"/>
          <w:szCs w:val="32"/>
          <w:lang w:val="zh-TW" w:eastAsia="zh-TW"/>
        </w:rPr>
        <w:t>甲方：</w:t>
      </w:r>
      <w:r>
        <w:rPr>
          <w:rStyle w:val="4"/>
          <w:rFonts w:ascii="黑体" w:eastAsia="黑体" w:hAnsi="黑体" w:cs="Times New Roman"/>
          <w:color w:val="000000"/>
          <w:sz w:val="32"/>
          <w:szCs w:val="32"/>
          <w:lang w:val="zh-TW" w:eastAsia="zh-TW"/>
        </w:rPr>
        <w:tab/>
      </w:r>
    </w:p>
    <w:p w:rsidR="003E5C00" w:rsidRDefault="003E5C00">
      <w:pPr>
        <w:pStyle w:val="41"/>
        <w:shd w:val="clear" w:color="auto" w:fill="auto"/>
        <w:tabs>
          <w:tab w:val="left" w:leader="underscore" w:pos="2474"/>
          <w:tab w:val="left" w:leader="underscore" w:pos="3454"/>
        </w:tabs>
        <w:spacing w:before="0" w:after="0" w:line="720" w:lineRule="exact"/>
        <w:ind w:left="520"/>
        <w:rPr>
          <w:rFonts w:ascii="黑体" w:eastAsia="PMingLiU" w:hAnsi="黑体" w:cs="Times New Roman"/>
          <w:sz w:val="32"/>
          <w:szCs w:val="32"/>
          <w:u w:val="single"/>
          <w:lang w:eastAsia="zh-TW"/>
        </w:rPr>
      </w:pPr>
      <w:r>
        <w:rPr>
          <w:rStyle w:val="4"/>
          <w:rFonts w:ascii="黑体" w:eastAsia="黑体" w:hAnsi="黑体" w:cs="黑体" w:hint="eastAsia"/>
          <w:color w:val="000000"/>
          <w:sz w:val="32"/>
          <w:szCs w:val="32"/>
          <w:lang w:val="zh-TW" w:eastAsia="zh-TW"/>
        </w:rPr>
        <w:t>法定代表人或委托代理人</w:t>
      </w:r>
      <w:r>
        <w:rPr>
          <w:rStyle w:val="4"/>
          <w:rFonts w:ascii="黑体" w:eastAsia="黑体" w:hAnsi="黑体" w:cs="黑体"/>
          <w:color w:val="000000"/>
          <w:sz w:val="32"/>
          <w:szCs w:val="32"/>
          <w:lang w:val="zh-TW" w:eastAsia="zh-TW"/>
        </w:rPr>
        <w:t>:</w:t>
      </w:r>
    </w:p>
    <w:p w:rsidR="003E5C00" w:rsidRDefault="003E5C00">
      <w:pPr>
        <w:pStyle w:val="41"/>
        <w:shd w:val="clear" w:color="auto" w:fill="auto"/>
        <w:tabs>
          <w:tab w:val="left" w:leader="underscore" w:pos="2963"/>
          <w:tab w:val="left" w:leader="underscore" w:pos="3454"/>
        </w:tabs>
        <w:spacing w:before="0" w:after="0" w:line="720" w:lineRule="exact"/>
        <w:ind w:left="520"/>
        <w:rPr>
          <w:rFonts w:ascii="黑体" w:eastAsia="PMingLiU" w:hAnsi="黑体" w:cs="Times New Roman"/>
          <w:sz w:val="32"/>
          <w:szCs w:val="32"/>
          <w:u w:val="single"/>
          <w:lang w:eastAsia="zh-TW"/>
        </w:rPr>
      </w:pPr>
      <w:r>
        <w:rPr>
          <w:rStyle w:val="4"/>
          <w:rFonts w:ascii="黑体" w:eastAsia="黑体" w:hAnsi="黑体" w:cs="黑体" w:hint="eastAsia"/>
          <w:color w:val="000000"/>
          <w:sz w:val="32"/>
          <w:szCs w:val="32"/>
          <w:lang w:val="zh-TW" w:eastAsia="zh-TW"/>
        </w:rPr>
        <w:t>地址：</w:t>
      </w:r>
    </w:p>
    <w:p w:rsidR="003E5C00" w:rsidRDefault="003E5C00">
      <w:pPr>
        <w:pStyle w:val="50"/>
        <w:shd w:val="clear" w:color="auto" w:fill="auto"/>
        <w:spacing w:line="720" w:lineRule="exact"/>
        <w:ind w:left="520"/>
        <w:jc w:val="both"/>
        <w:rPr>
          <w:rFonts w:ascii="黑体" w:eastAsia="PMingLiU" w:hAnsi="黑体" w:cs="Times New Roman"/>
          <w:sz w:val="32"/>
          <w:szCs w:val="32"/>
          <w:u w:val="single"/>
          <w:lang w:eastAsia="zh-TW"/>
        </w:rPr>
      </w:pPr>
      <w:r>
        <w:rPr>
          <w:rStyle w:val="2Sylfaen"/>
          <w:rFonts w:ascii="黑体" w:eastAsia="黑体" w:hAnsi="黑体" w:cs="黑体" w:hint="eastAsia"/>
          <w:i w:val="0"/>
          <w:iCs w:val="0"/>
          <w:color w:val="000000"/>
          <w:sz w:val="32"/>
          <w:szCs w:val="32"/>
          <w:lang w:val="zh-TW" w:eastAsia="zh-TW"/>
        </w:rPr>
        <w:t>邮政编码</w:t>
      </w:r>
      <w:r>
        <w:rPr>
          <w:rStyle w:val="5"/>
          <w:rFonts w:ascii="黑体" w:eastAsia="黑体" w:hAnsi="黑体" w:cs="黑体" w:hint="eastAsia"/>
          <w:color w:val="000000"/>
          <w:sz w:val="32"/>
          <w:szCs w:val="32"/>
          <w:lang w:val="zh-TW" w:eastAsia="zh-TW"/>
        </w:rPr>
        <w:t>：</w:t>
      </w:r>
    </w:p>
    <w:p w:rsidR="003E5C00" w:rsidRDefault="003E5C00">
      <w:pPr>
        <w:pStyle w:val="41"/>
        <w:shd w:val="clear" w:color="auto" w:fill="auto"/>
        <w:spacing w:before="0" w:after="0" w:line="720" w:lineRule="exact"/>
        <w:ind w:left="520"/>
        <w:rPr>
          <w:rFonts w:ascii="黑体" w:eastAsia="PMingLiU" w:hAnsi="黑体" w:cs="Times New Roman"/>
          <w:sz w:val="32"/>
          <w:szCs w:val="32"/>
          <w:u w:val="single"/>
          <w:lang w:eastAsia="zh-TW"/>
        </w:rPr>
      </w:pPr>
      <w:r>
        <w:rPr>
          <w:rStyle w:val="4"/>
          <w:rFonts w:ascii="黑体" w:eastAsia="黑体" w:hAnsi="黑体" w:cs="黑体" w:hint="eastAsia"/>
          <w:color w:val="000000"/>
          <w:sz w:val="32"/>
          <w:szCs w:val="32"/>
          <w:lang w:val="zh-TW" w:eastAsia="zh-TW"/>
        </w:rPr>
        <w:t>联系电话：</w:t>
      </w:r>
    </w:p>
    <w:p w:rsidR="003E5C00" w:rsidRDefault="003E5C00">
      <w:pPr>
        <w:pStyle w:val="41"/>
        <w:shd w:val="clear" w:color="auto" w:fill="auto"/>
        <w:tabs>
          <w:tab w:val="left" w:pos="1721"/>
          <w:tab w:val="left" w:leader="underscore" w:pos="3454"/>
        </w:tabs>
        <w:spacing w:before="0" w:after="0" w:line="720" w:lineRule="exact"/>
        <w:ind w:left="520"/>
        <w:rPr>
          <w:rStyle w:val="4"/>
          <w:rFonts w:ascii="黑体" w:eastAsia="黑体" w:hAnsi="黑体" w:cs="Times New Roman"/>
          <w:color w:val="000000"/>
          <w:sz w:val="32"/>
          <w:szCs w:val="32"/>
          <w:lang w:val="zh-TW"/>
        </w:rPr>
      </w:pPr>
    </w:p>
    <w:p w:rsidR="003E5C00" w:rsidRDefault="003E5C00">
      <w:pPr>
        <w:pStyle w:val="41"/>
        <w:shd w:val="clear" w:color="auto" w:fill="auto"/>
        <w:tabs>
          <w:tab w:val="left" w:pos="2985"/>
          <w:tab w:val="left" w:leader="underscore" w:pos="3454"/>
        </w:tabs>
        <w:spacing w:before="0" w:after="0" w:line="720" w:lineRule="exact"/>
        <w:ind w:left="520"/>
        <w:rPr>
          <w:rFonts w:ascii="黑体" w:eastAsia="PMingLiU" w:hAnsi="黑体" w:cs="Times New Roman"/>
          <w:sz w:val="32"/>
          <w:szCs w:val="32"/>
          <w:u w:val="single"/>
          <w:lang w:eastAsia="zh-TW"/>
        </w:rPr>
      </w:pPr>
      <w:r>
        <w:rPr>
          <w:rStyle w:val="4"/>
          <w:rFonts w:ascii="黑体" w:eastAsia="黑体" w:hAnsi="黑体" w:cs="黑体" w:hint="eastAsia"/>
          <w:color w:val="000000"/>
          <w:sz w:val="32"/>
          <w:szCs w:val="32"/>
          <w:lang w:val="zh-TW" w:eastAsia="zh-TW"/>
        </w:rPr>
        <w:t>乙方：</w:t>
      </w:r>
    </w:p>
    <w:p w:rsidR="003E5C00" w:rsidRDefault="003E5C00">
      <w:pPr>
        <w:pStyle w:val="41"/>
        <w:shd w:val="clear" w:color="auto" w:fill="auto"/>
        <w:tabs>
          <w:tab w:val="left" w:leader="underscore" w:pos="2474"/>
          <w:tab w:val="left" w:leader="underscore" w:pos="3454"/>
        </w:tabs>
        <w:spacing w:before="0" w:after="0" w:line="720" w:lineRule="exact"/>
        <w:ind w:left="520"/>
        <w:rPr>
          <w:rFonts w:ascii="黑体" w:eastAsia="PMingLiU" w:hAnsi="黑体" w:cs="Times New Roman"/>
          <w:sz w:val="32"/>
          <w:szCs w:val="32"/>
          <w:u w:val="single"/>
          <w:lang w:eastAsia="zh-TW"/>
        </w:rPr>
      </w:pPr>
      <w:r>
        <w:rPr>
          <w:rStyle w:val="4"/>
          <w:rFonts w:ascii="黑体" w:eastAsia="黑体" w:hAnsi="黑体" w:cs="黑体" w:hint="eastAsia"/>
          <w:color w:val="000000"/>
          <w:sz w:val="32"/>
          <w:szCs w:val="32"/>
          <w:lang w:val="zh-TW" w:eastAsia="zh-TW"/>
        </w:rPr>
        <w:t>法定代表人或委托代理人：</w:t>
      </w:r>
    </w:p>
    <w:p w:rsidR="003E5C00" w:rsidRDefault="003E5C00">
      <w:pPr>
        <w:pStyle w:val="41"/>
        <w:shd w:val="clear" w:color="auto" w:fill="auto"/>
        <w:tabs>
          <w:tab w:val="left" w:leader="underscore" w:pos="2963"/>
          <w:tab w:val="left" w:leader="underscore" w:pos="3454"/>
        </w:tabs>
        <w:spacing w:before="0" w:after="0" w:line="720" w:lineRule="exact"/>
        <w:ind w:left="520"/>
        <w:rPr>
          <w:rFonts w:ascii="黑体" w:eastAsia="PMingLiU" w:hAnsi="黑体" w:cs="Times New Roman"/>
          <w:sz w:val="32"/>
          <w:szCs w:val="32"/>
          <w:u w:val="single"/>
          <w:lang w:eastAsia="zh-TW"/>
        </w:rPr>
      </w:pPr>
      <w:r>
        <w:rPr>
          <w:rStyle w:val="4"/>
          <w:rFonts w:ascii="黑体" w:eastAsia="黑体" w:hAnsi="黑体" w:cs="黑体" w:hint="eastAsia"/>
          <w:color w:val="000000"/>
          <w:sz w:val="32"/>
          <w:szCs w:val="32"/>
          <w:lang w:val="zh-TW" w:eastAsia="zh-TW"/>
        </w:rPr>
        <w:t>地址：</w:t>
      </w:r>
    </w:p>
    <w:p w:rsidR="003E5C00" w:rsidRDefault="003E5C00">
      <w:pPr>
        <w:pStyle w:val="41"/>
        <w:shd w:val="clear" w:color="auto" w:fill="auto"/>
        <w:tabs>
          <w:tab w:val="left" w:leader="underscore" w:pos="1438"/>
          <w:tab w:val="left" w:leader="underscore" w:pos="2963"/>
          <w:tab w:val="left" w:leader="underscore" w:pos="3454"/>
        </w:tabs>
        <w:spacing w:before="0" w:after="0" w:line="720" w:lineRule="exact"/>
        <w:ind w:left="520"/>
        <w:rPr>
          <w:rFonts w:ascii="黑体" w:eastAsia="PMingLiU" w:hAnsi="黑体" w:cs="Times New Roman"/>
          <w:sz w:val="32"/>
          <w:szCs w:val="32"/>
          <w:u w:val="single"/>
          <w:lang w:eastAsia="zh-TW"/>
        </w:rPr>
      </w:pPr>
      <w:r>
        <w:rPr>
          <w:rStyle w:val="2Sylfaen"/>
          <w:rFonts w:ascii="黑体" w:eastAsia="黑体" w:hAnsi="黑体" w:cs="黑体" w:hint="eastAsia"/>
          <w:color w:val="000000"/>
          <w:sz w:val="32"/>
          <w:szCs w:val="32"/>
          <w:lang w:val="zh-TW" w:eastAsia="zh-TW"/>
        </w:rPr>
        <w:t>邮政编码</w:t>
      </w:r>
      <w:r>
        <w:rPr>
          <w:rStyle w:val="4"/>
          <w:rFonts w:ascii="黑体" w:eastAsia="黑体" w:hAnsi="黑体" w:cs="黑体" w:hint="eastAsia"/>
          <w:color w:val="000000"/>
          <w:sz w:val="32"/>
          <w:szCs w:val="32"/>
          <w:lang w:val="zh-TW" w:eastAsia="zh-TW"/>
        </w:rPr>
        <w:t>：</w:t>
      </w:r>
    </w:p>
    <w:p w:rsidR="003E5C00" w:rsidRDefault="003E5C00">
      <w:pPr>
        <w:pStyle w:val="41"/>
        <w:shd w:val="clear" w:color="auto" w:fill="auto"/>
        <w:tabs>
          <w:tab w:val="left" w:leader="underscore" w:pos="3454"/>
        </w:tabs>
        <w:spacing w:before="0" w:after="0" w:line="720" w:lineRule="exact"/>
        <w:ind w:left="520"/>
        <w:rPr>
          <w:rStyle w:val="4"/>
          <w:rFonts w:ascii="黑体" w:eastAsia="PMingLiU" w:hAnsi="黑体" w:cs="Times New Roman"/>
          <w:color w:val="000000"/>
          <w:sz w:val="32"/>
          <w:szCs w:val="32"/>
          <w:lang w:val="zh-TW" w:eastAsia="zh-TW"/>
        </w:rPr>
      </w:pPr>
      <w:r>
        <w:rPr>
          <w:rStyle w:val="4"/>
          <w:rFonts w:ascii="黑体" w:eastAsia="黑体" w:hAnsi="黑体" w:cs="黑体" w:hint="eastAsia"/>
          <w:color w:val="000000"/>
          <w:sz w:val="32"/>
          <w:szCs w:val="32"/>
          <w:lang w:val="zh-TW" w:eastAsia="zh-TW"/>
        </w:rPr>
        <w:t>联系电话</w:t>
      </w:r>
      <w:r>
        <w:rPr>
          <w:rStyle w:val="4"/>
          <w:rFonts w:ascii="黑体" w:eastAsia="黑体" w:hAnsi="黑体" w:cs="黑体" w:hint="eastAsia"/>
          <w:color w:val="000000"/>
          <w:sz w:val="32"/>
          <w:szCs w:val="32"/>
          <w:lang w:val="zh-TW"/>
        </w:rPr>
        <w:t>：</w:t>
      </w:r>
    </w:p>
    <w:p w:rsidR="003E5C00" w:rsidRDefault="003E5C00" w:rsidP="004A3E5E">
      <w:pPr>
        <w:pStyle w:val="a0"/>
        <w:adjustRightInd/>
        <w:snapToGrid/>
        <w:spacing w:line="700" w:lineRule="exact"/>
        <w:ind w:firstLineChars="300" w:firstLine="31680"/>
        <w:rPr>
          <w:rFonts w:ascii="宋体" w:eastAsia="宋体"/>
          <w:sz w:val="32"/>
          <w:szCs w:val="32"/>
        </w:rPr>
      </w:pPr>
    </w:p>
    <w:p w:rsidR="003E5C00" w:rsidRDefault="003E5C00" w:rsidP="004A3E5E">
      <w:pPr>
        <w:pStyle w:val="a0"/>
        <w:adjustRightInd/>
        <w:snapToGrid/>
        <w:spacing w:line="700" w:lineRule="exact"/>
        <w:ind w:firstLineChars="300" w:firstLine="31680"/>
        <w:rPr>
          <w:rFonts w:ascii="宋体" w:eastAsia="宋体"/>
          <w:sz w:val="32"/>
          <w:szCs w:val="32"/>
        </w:rPr>
      </w:pPr>
    </w:p>
    <w:p w:rsidR="003E5C00" w:rsidRDefault="003E5C00">
      <w:pPr>
        <w:pStyle w:val="a0"/>
        <w:adjustRightInd/>
        <w:snapToGrid/>
        <w:ind w:firstLineChars="0" w:firstLine="0"/>
        <w:jc w:val="center"/>
        <w:rPr>
          <w:rFonts w:ascii="宋体" w:eastAsia="宋体" w:hAnsi="宋体" w:cs="宋体"/>
          <w:sz w:val="32"/>
          <w:szCs w:val="32"/>
        </w:rPr>
      </w:pPr>
      <w:r>
        <w:rPr>
          <w:rFonts w:ascii="宋体" w:eastAsia="宋体" w:hAnsi="宋体" w:cs="宋体" w:hint="eastAsia"/>
          <w:sz w:val="32"/>
          <w:szCs w:val="32"/>
        </w:rPr>
        <w:t>甘肃省医疗保障局制定</w:t>
      </w:r>
      <w:r>
        <w:rPr>
          <w:rFonts w:ascii="宋体" w:eastAsia="宋体" w:hAnsi="宋体" w:cs="宋体"/>
          <w:sz w:val="32"/>
          <w:szCs w:val="32"/>
        </w:rPr>
        <w:t xml:space="preserve"> </w:t>
      </w:r>
    </w:p>
    <w:p w:rsidR="003E5C00" w:rsidRDefault="003E5C00" w:rsidP="004A3E5E">
      <w:pPr>
        <w:pStyle w:val="a0"/>
        <w:adjustRightInd/>
        <w:snapToGrid/>
        <w:spacing w:line="240" w:lineRule="auto"/>
        <w:ind w:firstLineChars="1200" w:firstLine="31680"/>
        <w:rPr>
          <w:sz w:val="32"/>
          <w:szCs w:val="32"/>
        </w:rPr>
      </w:pPr>
      <w:r>
        <w:rPr>
          <w:rFonts w:ascii="宋体" w:eastAsia="宋体" w:hAnsi="宋体" w:cs="宋体"/>
          <w:sz w:val="32"/>
          <w:szCs w:val="32"/>
        </w:rPr>
        <w:t>2019</w:t>
      </w:r>
      <w:r>
        <w:rPr>
          <w:rFonts w:ascii="宋体" w:eastAsia="宋体" w:hAnsi="宋体" w:cs="宋体" w:hint="eastAsia"/>
          <w:sz w:val="32"/>
          <w:szCs w:val="32"/>
        </w:rPr>
        <w:t xml:space="preserve">年　　　　　　　　</w:t>
      </w:r>
    </w:p>
    <w:p w:rsidR="003E5C00" w:rsidRDefault="003E5C00" w:rsidP="004A3E5E">
      <w:pPr>
        <w:pStyle w:val="a0"/>
        <w:adjustRightInd/>
        <w:snapToGrid/>
        <w:spacing w:line="600" w:lineRule="exact"/>
        <w:ind w:firstLine="31680"/>
        <w:rPr>
          <w:sz w:val="32"/>
          <w:szCs w:val="32"/>
        </w:rPr>
      </w:pPr>
    </w:p>
    <w:p w:rsidR="003E5C00" w:rsidRDefault="003E5C00" w:rsidP="004A3E5E">
      <w:pPr>
        <w:pStyle w:val="a0"/>
        <w:adjustRightInd/>
        <w:snapToGrid/>
        <w:spacing w:line="600" w:lineRule="exact"/>
        <w:ind w:firstLine="31680"/>
        <w:rPr>
          <w:sz w:val="32"/>
          <w:szCs w:val="32"/>
        </w:rPr>
      </w:pPr>
    </w:p>
    <w:p w:rsidR="003E5C00" w:rsidRDefault="003E5C00" w:rsidP="004A3E5E">
      <w:pPr>
        <w:pStyle w:val="a0"/>
        <w:adjustRightInd/>
        <w:snapToGrid/>
        <w:spacing w:line="600" w:lineRule="exact"/>
        <w:ind w:firstLine="31680"/>
        <w:rPr>
          <w:sz w:val="32"/>
          <w:szCs w:val="32"/>
        </w:rPr>
      </w:pPr>
    </w:p>
    <w:p w:rsidR="003E5C00" w:rsidRDefault="003E5C00" w:rsidP="004A3E5E">
      <w:pPr>
        <w:pStyle w:val="a0"/>
        <w:adjustRightInd/>
        <w:snapToGrid/>
        <w:spacing w:line="600" w:lineRule="exact"/>
        <w:ind w:firstLine="31680"/>
        <w:rPr>
          <w:sz w:val="32"/>
          <w:szCs w:val="32"/>
        </w:rPr>
      </w:pPr>
      <w:r>
        <w:rPr>
          <w:rFonts w:cs="仿宋_GB2312" w:hint="eastAsia"/>
          <w:sz w:val="32"/>
          <w:szCs w:val="32"/>
        </w:rPr>
        <w:t>为保障基本医疗保险（以下简称</w:t>
      </w:r>
      <w:r>
        <w:rPr>
          <w:sz w:val="32"/>
          <w:szCs w:val="32"/>
        </w:rPr>
        <w:t>“</w:t>
      </w:r>
      <w:r>
        <w:rPr>
          <w:rFonts w:cs="仿宋_GB2312" w:hint="eastAsia"/>
          <w:sz w:val="32"/>
          <w:szCs w:val="32"/>
        </w:rPr>
        <w:t>医保</w:t>
      </w:r>
      <w:r>
        <w:rPr>
          <w:sz w:val="32"/>
          <w:szCs w:val="32"/>
        </w:rPr>
        <w:t>”</w:t>
      </w:r>
      <w:r>
        <w:rPr>
          <w:rFonts w:cs="仿宋_GB2312" w:hint="eastAsia"/>
          <w:sz w:val="32"/>
          <w:szCs w:val="32"/>
        </w:rPr>
        <w:t>）参保人员的合法权益，维护医保基金安全，促进医保制度可持续发展，根据《中华人民共和国社会保险法》、人力资源社会保障部《关于完善基本医疗保险定点医药机构协议管理的指导意见》（人社部发〔</w:t>
      </w:r>
      <w:r>
        <w:rPr>
          <w:sz w:val="32"/>
          <w:szCs w:val="32"/>
        </w:rPr>
        <w:t>2015</w:t>
      </w:r>
      <w:r>
        <w:rPr>
          <w:rFonts w:cs="仿宋_GB2312" w:hint="eastAsia"/>
          <w:sz w:val="32"/>
          <w:szCs w:val="32"/>
        </w:rPr>
        <w:t>〕</w:t>
      </w:r>
      <w:r>
        <w:rPr>
          <w:sz w:val="32"/>
          <w:szCs w:val="32"/>
        </w:rPr>
        <w:t>98</w:t>
      </w:r>
      <w:r>
        <w:rPr>
          <w:rFonts w:cs="仿宋_GB2312" w:hint="eastAsia"/>
          <w:sz w:val="32"/>
          <w:szCs w:val="32"/>
        </w:rPr>
        <w:t>号）、人力资源社会保障部办公厅《关于印发基本医疗保险定点医药机构协议管理经办规程的通知》（人社厅发〔</w:t>
      </w:r>
      <w:r>
        <w:rPr>
          <w:sz w:val="32"/>
          <w:szCs w:val="32"/>
        </w:rPr>
        <w:t>2016</w:t>
      </w:r>
      <w:r>
        <w:rPr>
          <w:rFonts w:cs="仿宋_GB2312" w:hint="eastAsia"/>
          <w:sz w:val="32"/>
          <w:szCs w:val="32"/>
        </w:rPr>
        <w:t>〕</w:t>
      </w:r>
      <w:r>
        <w:rPr>
          <w:sz w:val="32"/>
          <w:szCs w:val="32"/>
        </w:rPr>
        <w:t>139</w:t>
      </w:r>
      <w:r>
        <w:rPr>
          <w:rFonts w:cs="仿宋_GB2312" w:hint="eastAsia"/>
          <w:sz w:val="32"/>
          <w:szCs w:val="32"/>
        </w:rPr>
        <w:t>号）、国家医疗保障局《关于当前加强医保协议管理确保基金安全有关工作的通知》</w:t>
      </w:r>
      <w:r>
        <w:rPr>
          <w:rFonts w:ascii="仿宋_GB2312" w:cs="仿宋_GB2312" w:hint="eastAsia"/>
        </w:rPr>
        <w:t>（医保办发〔</w:t>
      </w:r>
      <w:r>
        <w:rPr>
          <w:rFonts w:ascii="仿宋_GB2312" w:cs="仿宋_GB2312"/>
        </w:rPr>
        <w:t>2018</w:t>
      </w:r>
      <w:r>
        <w:rPr>
          <w:rFonts w:ascii="仿宋_GB2312" w:cs="仿宋_GB2312" w:hint="eastAsia"/>
        </w:rPr>
        <w:t>〕</w:t>
      </w:r>
      <w:r>
        <w:rPr>
          <w:rFonts w:ascii="仿宋_GB2312" w:cs="仿宋_GB2312"/>
        </w:rPr>
        <w:t>21</w:t>
      </w:r>
      <w:r>
        <w:rPr>
          <w:rFonts w:ascii="仿宋_GB2312" w:cs="仿宋_GB2312" w:hint="eastAsia"/>
        </w:rPr>
        <w:t>号）</w:t>
      </w:r>
      <w:r>
        <w:rPr>
          <w:rFonts w:cs="仿宋_GB2312" w:hint="eastAsia"/>
          <w:sz w:val="32"/>
          <w:szCs w:val="32"/>
        </w:rPr>
        <w:t>等法律法规及医疗保障诚信管理等相关政策，经甲乙双方协商，就医疗保障医疗服务有关事宜签订如下协议。</w:t>
      </w:r>
    </w:p>
    <w:p w:rsidR="003E5C00" w:rsidRDefault="003E5C00" w:rsidP="004A3E5E">
      <w:pPr>
        <w:pStyle w:val="a0"/>
        <w:adjustRightInd/>
        <w:snapToGrid/>
        <w:spacing w:line="600" w:lineRule="exact"/>
        <w:ind w:firstLine="31680"/>
        <w:rPr>
          <w:sz w:val="32"/>
          <w:szCs w:val="32"/>
        </w:rPr>
      </w:pPr>
    </w:p>
    <w:p w:rsidR="003E5C00" w:rsidRDefault="003E5C00">
      <w:pPr>
        <w:pStyle w:val="Heading2"/>
        <w:numPr>
          <w:ilvl w:val="0"/>
          <w:numId w:val="2"/>
        </w:numPr>
        <w:adjustRightInd/>
        <w:snapToGrid/>
        <w:spacing w:beforeLines="0" w:afterLines="0"/>
        <w:ind w:right="0"/>
        <w:rPr>
          <w:rFonts w:cs="Times New Roman"/>
        </w:rPr>
      </w:pPr>
      <w:r>
        <w:rPr>
          <w:rFonts w:hint="eastAsia"/>
        </w:rPr>
        <w:t>总</w:t>
      </w:r>
      <w:r>
        <w:t xml:space="preserve"> </w:t>
      </w:r>
      <w:r>
        <w:rPr>
          <w:rFonts w:hint="eastAsia"/>
        </w:rPr>
        <w:t>则</w:t>
      </w:r>
    </w:p>
    <w:p w:rsidR="003E5C00" w:rsidRDefault="003E5C00"/>
    <w:p w:rsidR="003E5C00" w:rsidRDefault="003E5C00" w:rsidP="004A3E5E">
      <w:pPr>
        <w:pStyle w:val="a"/>
        <w:numPr>
          <w:ilvl w:val="0"/>
          <w:numId w:val="0"/>
        </w:numPr>
        <w:tabs>
          <w:tab w:val="clear" w:pos="1838"/>
        </w:tabs>
        <w:adjustRightInd/>
        <w:snapToGrid/>
        <w:spacing w:line="600" w:lineRule="exact"/>
        <w:ind w:firstLineChars="200" w:firstLine="31680"/>
        <w:rPr>
          <w:rFonts w:cs="Times New Roman"/>
          <w:color w:val="auto"/>
          <w:sz w:val="32"/>
          <w:szCs w:val="32"/>
        </w:rPr>
      </w:pPr>
      <w:r>
        <w:rPr>
          <w:rFonts w:hint="eastAsia"/>
          <w:b/>
          <w:bCs/>
          <w:color w:val="auto"/>
          <w:sz w:val="32"/>
          <w:szCs w:val="32"/>
        </w:rPr>
        <w:t>第一条</w:t>
      </w:r>
      <w:r>
        <w:rPr>
          <w:b/>
          <w:bCs/>
          <w:color w:val="auto"/>
          <w:sz w:val="32"/>
          <w:szCs w:val="32"/>
        </w:rPr>
        <w:t xml:space="preserve">  </w:t>
      </w:r>
      <w:r>
        <w:rPr>
          <w:rFonts w:hint="eastAsia"/>
          <w:color w:val="auto"/>
          <w:sz w:val="32"/>
          <w:szCs w:val="32"/>
        </w:rPr>
        <w:t>甲乙双方应当认真贯彻国家和甘肃省基本医疗保险、医疗救助、医疗卫生、药品监督、服务价格</w:t>
      </w:r>
      <w:r>
        <w:rPr>
          <w:rFonts w:hAnsi="仿宋" w:hint="eastAsia"/>
          <w:color w:val="auto"/>
          <w:sz w:val="32"/>
          <w:szCs w:val="32"/>
        </w:rPr>
        <w:t>及医疗保障诚信管理</w:t>
      </w:r>
      <w:r>
        <w:rPr>
          <w:rFonts w:hint="eastAsia"/>
          <w:color w:val="auto"/>
          <w:sz w:val="32"/>
          <w:szCs w:val="32"/>
        </w:rPr>
        <w:t>等相关规定，保证参保人员合法合规合理享受医疗保障服务。</w:t>
      </w:r>
    </w:p>
    <w:p w:rsidR="003E5C00" w:rsidRDefault="003E5C00" w:rsidP="004A3E5E">
      <w:pPr>
        <w:pStyle w:val="a"/>
        <w:numPr>
          <w:ilvl w:val="0"/>
          <w:numId w:val="0"/>
        </w:numPr>
        <w:tabs>
          <w:tab w:val="clear" w:pos="1838"/>
        </w:tabs>
        <w:adjustRightInd/>
        <w:snapToGrid/>
        <w:spacing w:line="600" w:lineRule="exact"/>
        <w:ind w:firstLineChars="200" w:firstLine="31680"/>
        <w:rPr>
          <w:rFonts w:cs="Times New Roman"/>
          <w:color w:val="auto"/>
          <w:sz w:val="32"/>
          <w:szCs w:val="32"/>
        </w:rPr>
      </w:pPr>
      <w:r>
        <w:rPr>
          <w:rFonts w:hint="eastAsia"/>
          <w:b/>
          <w:bCs/>
          <w:color w:val="auto"/>
          <w:sz w:val="32"/>
          <w:szCs w:val="32"/>
        </w:rPr>
        <w:t>第二条</w:t>
      </w:r>
      <w:r>
        <w:rPr>
          <w:b/>
          <w:bCs/>
          <w:color w:val="auto"/>
          <w:sz w:val="32"/>
          <w:szCs w:val="32"/>
        </w:rPr>
        <w:t xml:space="preserve">  </w:t>
      </w:r>
      <w:r>
        <w:rPr>
          <w:rFonts w:hint="eastAsia"/>
          <w:color w:val="auto"/>
          <w:sz w:val="32"/>
          <w:szCs w:val="32"/>
        </w:rPr>
        <w:t>乙方提供医疗服务的对象包括：全省城镇职工、城乡居民、异地就医参保人员、医疗救助对象以及其他保障人员。</w:t>
      </w:r>
    </w:p>
    <w:p w:rsidR="003E5C00" w:rsidRDefault="003E5C00" w:rsidP="004A3E5E">
      <w:pPr>
        <w:spacing w:line="600" w:lineRule="exact"/>
        <w:ind w:firstLineChars="200" w:firstLine="31680"/>
        <w:rPr>
          <w:rFonts w:ascii="仿宋_GB2312" w:eastAsia="仿宋_GB2312"/>
          <w:sz w:val="32"/>
          <w:szCs w:val="32"/>
        </w:rPr>
      </w:pPr>
      <w:r>
        <w:rPr>
          <w:rFonts w:ascii="仿宋_GB2312" w:eastAsia="仿宋_GB2312" w:cs="仿宋_GB2312" w:hint="eastAsia"/>
          <w:b/>
          <w:bCs/>
          <w:sz w:val="32"/>
          <w:szCs w:val="32"/>
        </w:rPr>
        <w:t>第三条</w:t>
      </w:r>
      <w:r>
        <w:rPr>
          <w:rFonts w:ascii="仿宋_GB2312" w:eastAsia="仿宋_GB2312" w:cs="仿宋_GB2312"/>
          <w:b/>
          <w:bCs/>
          <w:sz w:val="32"/>
          <w:szCs w:val="32"/>
        </w:rPr>
        <w:t xml:space="preserve">  </w:t>
      </w:r>
      <w:r>
        <w:rPr>
          <w:rFonts w:ascii="仿宋_GB2312" w:eastAsia="仿宋_GB2312" w:cs="仿宋_GB2312" w:hint="eastAsia"/>
          <w:sz w:val="32"/>
          <w:szCs w:val="32"/>
        </w:rPr>
        <w:t>乙方为参保人员提供医疗服务的范围包括：</w:t>
      </w:r>
    </w:p>
    <w:p w:rsidR="003E5C00" w:rsidRDefault="003E5C00" w:rsidP="004A3E5E">
      <w:pPr>
        <w:spacing w:line="600" w:lineRule="exact"/>
        <w:ind w:firstLineChars="200" w:firstLine="31680"/>
        <w:rPr>
          <w:rFonts w:ascii="仿宋" w:eastAsia="仿宋" w:hAnsi="仿宋"/>
          <w:sz w:val="32"/>
          <w:szCs w:val="32"/>
        </w:rPr>
      </w:pPr>
      <w:r>
        <w:rPr>
          <w:rFonts w:ascii="仿宋_GB2312" w:eastAsia="仿宋_GB2312" w:cs="仿宋_GB2312" w:hint="eastAsia"/>
          <w:sz w:val="32"/>
          <w:szCs w:val="32"/>
        </w:rPr>
        <w:t>定点医疗机构提供门（急）诊、住院、门诊特殊疾病等医疗服务。</w:t>
      </w:r>
      <w:r>
        <w:rPr>
          <w:rFonts w:ascii="仿宋" w:eastAsia="仿宋" w:hAnsi="仿宋" w:cs="仿宋" w:hint="eastAsia"/>
          <w:sz w:val="32"/>
          <w:szCs w:val="32"/>
        </w:rPr>
        <w:t>乙方所提供的医疗服务应当与卫生健康行政部门标准登记的诊疗科目和执业范围相一致。</w:t>
      </w:r>
    </w:p>
    <w:p w:rsidR="003E5C00" w:rsidRDefault="003E5C00" w:rsidP="004A3E5E">
      <w:pPr>
        <w:pStyle w:val="a"/>
        <w:numPr>
          <w:ilvl w:val="0"/>
          <w:numId w:val="0"/>
        </w:numPr>
        <w:tabs>
          <w:tab w:val="clear" w:pos="1838"/>
        </w:tabs>
        <w:adjustRightInd/>
        <w:snapToGrid/>
        <w:spacing w:line="600" w:lineRule="exact"/>
        <w:ind w:firstLineChars="200" w:firstLine="31680"/>
        <w:rPr>
          <w:rFonts w:cs="Times New Roman"/>
          <w:color w:val="auto"/>
          <w:sz w:val="32"/>
          <w:szCs w:val="32"/>
        </w:rPr>
      </w:pPr>
      <w:r>
        <w:rPr>
          <w:rFonts w:hint="eastAsia"/>
          <w:b/>
          <w:bCs/>
          <w:color w:val="auto"/>
          <w:sz w:val="32"/>
          <w:szCs w:val="32"/>
        </w:rPr>
        <w:t>第四条</w:t>
      </w:r>
      <w:r>
        <w:rPr>
          <w:b/>
          <w:bCs/>
          <w:color w:val="auto"/>
          <w:sz w:val="32"/>
          <w:szCs w:val="32"/>
        </w:rPr>
        <w:t xml:space="preserve">  </w:t>
      </w:r>
      <w:r>
        <w:rPr>
          <w:rFonts w:hAnsi="仿宋" w:hint="eastAsia"/>
          <w:color w:val="auto"/>
          <w:sz w:val="32"/>
          <w:szCs w:val="32"/>
        </w:rPr>
        <w:t>甲方应当加强对乙方执行医疗保障服务协议的监督检查，建立定点医疗机构诚信档案。由</w:t>
      </w:r>
      <w:r>
        <w:rPr>
          <w:rFonts w:hint="eastAsia"/>
          <w:color w:val="auto"/>
          <w:sz w:val="32"/>
          <w:szCs w:val="32"/>
        </w:rPr>
        <w:t>各级医疗保障管理部门、监督部门和经办机构依据甘肃省医保信息管理结算平台的数据筛查、投诉举报、第三方暗访、第三方审查、专项督查、日常监督检查等重要线索，通过调查核实，根据违法违规事实情节严重程度、造成的社会影响和骗取的医保基金额度等，分别给予定点医疗机构约谈、通报批评、警告、记不良记录、纳入黑名单等。诚信记录和每年度的考核结果将作为医保结算和下一年度确定定点医疗及资格退出的重要依据。</w:t>
      </w:r>
    </w:p>
    <w:p w:rsidR="003E5C00" w:rsidRDefault="003E5C00" w:rsidP="004A3E5E">
      <w:pPr>
        <w:pStyle w:val="a"/>
        <w:numPr>
          <w:ilvl w:val="0"/>
          <w:numId w:val="0"/>
        </w:numPr>
        <w:tabs>
          <w:tab w:val="clear" w:pos="1838"/>
        </w:tabs>
        <w:adjustRightInd/>
        <w:snapToGrid/>
        <w:spacing w:line="600" w:lineRule="exact"/>
        <w:ind w:firstLineChars="200" w:firstLine="31680"/>
        <w:rPr>
          <w:rFonts w:cs="Times New Roman"/>
          <w:color w:val="auto"/>
          <w:sz w:val="32"/>
          <w:szCs w:val="32"/>
        </w:rPr>
      </w:pPr>
      <w:r>
        <w:rPr>
          <w:rFonts w:hint="eastAsia"/>
          <w:b/>
          <w:bCs/>
          <w:color w:val="auto"/>
          <w:sz w:val="32"/>
          <w:szCs w:val="32"/>
        </w:rPr>
        <w:t>第五条</w:t>
      </w:r>
      <w:r>
        <w:rPr>
          <w:b/>
          <w:bCs/>
          <w:color w:val="auto"/>
          <w:sz w:val="32"/>
          <w:szCs w:val="32"/>
        </w:rPr>
        <w:t xml:space="preserve">  </w:t>
      </w:r>
      <w:r>
        <w:rPr>
          <w:rFonts w:hint="eastAsia"/>
          <w:color w:val="auto"/>
          <w:sz w:val="32"/>
          <w:szCs w:val="32"/>
        </w:rPr>
        <w:t>实行公开承诺制度，乙方应将“承诺书”和医保部门监督举报电话在定点医疗机构醒目位置公示，并作为行为约束的准则和社会监督的依据。甲乙双方对参保人员维护合法权益、医疗服务质量等方面的投诉应当及时核实情况并给予相应处理。</w:t>
      </w:r>
    </w:p>
    <w:p w:rsidR="003E5C00" w:rsidRDefault="003E5C00" w:rsidP="004A3E5E">
      <w:pPr>
        <w:pStyle w:val="a"/>
        <w:numPr>
          <w:ilvl w:val="0"/>
          <w:numId w:val="0"/>
        </w:numPr>
        <w:tabs>
          <w:tab w:val="clear" w:pos="1838"/>
        </w:tabs>
        <w:adjustRightInd/>
        <w:snapToGrid/>
        <w:spacing w:line="600" w:lineRule="exact"/>
        <w:ind w:firstLineChars="200" w:firstLine="31680"/>
        <w:rPr>
          <w:rFonts w:cs="Times New Roman"/>
          <w:color w:val="auto"/>
          <w:sz w:val="32"/>
          <w:szCs w:val="32"/>
        </w:rPr>
      </w:pPr>
      <w:r>
        <w:rPr>
          <w:rFonts w:hint="eastAsia"/>
          <w:b/>
          <w:bCs/>
          <w:color w:val="auto"/>
          <w:sz w:val="32"/>
          <w:szCs w:val="32"/>
        </w:rPr>
        <w:t>第六条</w:t>
      </w:r>
      <w:r>
        <w:rPr>
          <w:color w:val="auto"/>
          <w:sz w:val="32"/>
          <w:szCs w:val="32"/>
        </w:rPr>
        <w:t xml:space="preserve">  </w:t>
      </w:r>
      <w:r>
        <w:rPr>
          <w:rFonts w:hint="eastAsia"/>
          <w:color w:val="auto"/>
          <w:sz w:val="32"/>
          <w:szCs w:val="32"/>
        </w:rPr>
        <w:t>甲方应当依照国家、甘肃省有关政策法规，正确行使职权。乙方有权对甲方执行相关政策法规和履行职责进行监督，有权向甲方提出合理化建议。</w:t>
      </w:r>
    </w:p>
    <w:p w:rsidR="003E5C00" w:rsidRDefault="003E5C00" w:rsidP="004A3E5E">
      <w:pPr>
        <w:spacing w:line="540" w:lineRule="exact"/>
        <w:ind w:firstLineChars="200" w:firstLine="31680"/>
        <w:rPr>
          <w:sz w:val="32"/>
          <w:szCs w:val="32"/>
        </w:rPr>
      </w:pPr>
      <w:r>
        <w:rPr>
          <w:rFonts w:ascii="仿宋_GB2312" w:eastAsia="仿宋_GB2312" w:cs="仿宋_GB2312" w:hint="eastAsia"/>
          <w:b/>
          <w:bCs/>
          <w:sz w:val="32"/>
          <w:szCs w:val="32"/>
        </w:rPr>
        <w:t>第七条</w:t>
      </w:r>
      <w:r>
        <w:rPr>
          <w:rFonts w:ascii="仿宋_GB2312" w:eastAsia="仿宋_GB2312" w:cs="仿宋_GB2312" w:hint="eastAsia"/>
          <w:sz w:val="32"/>
          <w:szCs w:val="32"/>
        </w:rPr>
        <w:t>甲方应及时向乙方通报医保法规政策和管理制度、操作流程的变化情况，组织乙方开展医疗保障相关培训，接受乙方咨询，按协议约定向乙方拨付应当由医保基金支付的医疗费用。</w:t>
      </w:r>
    </w:p>
    <w:p w:rsidR="003E5C00" w:rsidRDefault="003E5C00" w:rsidP="004A3E5E">
      <w:pPr>
        <w:pStyle w:val="a"/>
        <w:numPr>
          <w:ilvl w:val="0"/>
          <w:numId w:val="0"/>
        </w:numPr>
        <w:tabs>
          <w:tab w:val="clear" w:pos="1838"/>
        </w:tabs>
        <w:adjustRightInd/>
        <w:snapToGrid/>
        <w:spacing w:line="600" w:lineRule="exact"/>
        <w:ind w:firstLineChars="200" w:firstLine="31680"/>
        <w:rPr>
          <w:rFonts w:cs="Times New Roman"/>
          <w:color w:val="auto"/>
          <w:sz w:val="32"/>
          <w:szCs w:val="32"/>
        </w:rPr>
      </w:pPr>
      <w:r>
        <w:rPr>
          <w:rFonts w:hint="eastAsia"/>
          <w:b/>
          <w:bCs/>
          <w:color w:val="auto"/>
          <w:sz w:val="32"/>
          <w:szCs w:val="32"/>
        </w:rPr>
        <w:t>第八条</w:t>
      </w:r>
      <w:r>
        <w:rPr>
          <w:b/>
          <w:bCs/>
          <w:color w:val="auto"/>
          <w:sz w:val="32"/>
          <w:szCs w:val="32"/>
        </w:rPr>
        <w:t xml:space="preserve">  </w:t>
      </w:r>
      <w:r>
        <w:rPr>
          <w:rFonts w:hint="eastAsia"/>
          <w:color w:val="auto"/>
          <w:sz w:val="32"/>
          <w:szCs w:val="32"/>
        </w:rPr>
        <w:t>乙方应当建立健全医保管理服务部门，明确院级领导分管医保工作，配备专（兼）职管理人员，严格履职尽责，做好医保管理工作，为参保人员提供合理必要的医疗服务。协议履行期间，乙方的名称、执业地址、所有制形式、法人代表、医疗机构类别、诊疗科目、床位数、主要医疗设备设施、银行结算账户、医疗保险管理服务部门负责人等发生变化时，应及时向甲方提供相关材料申请变更或重新申请签订服务协议。</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第九条</w:t>
      </w:r>
      <w:r>
        <w:rPr>
          <w:rFonts w:hint="eastAsia"/>
          <w:color w:val="auto"/>
          <w:sz w:val="32"/>
          <w:szCs w:val="32"/>
        </w:rPr>
        <w:t>乙方在受到甲方或其他部门违规违约处理期间，甲方不受理其变更备案业务。乙方受到甲方或其他部门违规违约处理未结案期间，乙方重新申请医疗机构注册，其法定代表人或负责人或投资人没有发生实质变更，甲方不受理重新申请签订服务协议。</w:t>
      </w:r>
    </w:p>
    <w:p w:rsidR="003E5C00" w:rsidRDefault="003E5C00" w:rsidP="004A3E5E">
      <w:pPr>
        <w:pStyle w:val="a"/>
        <w:numPr>
          <w:ilvl w:val="0"/>
          <w:numId w:val="0"/>
        </w:numPr>
        <w:tabs>
          <w:tab w:val="clear" w:pos="1838"/>
        </w:tabs>
        <w:adjustRightInd/>
        <w:snapToGrid/>
        <w:spacing w:line="600" w:lineRule="exact"/>
        <w:ind w:firstLineChars="200" w:firstLine="31680"/>
        <w:rPr>
          <w:rFonts w:cs="Times New Roman"/>
          <w:color w:val="auto"/>
          <w:sz w:val="32"/>
          <w:szCs w:val="32"/>
        </w:rPr>
      </w:pPr>
      <w:r>
        <w:rPr>
          <w:rFonts w:hint="eastAsia"/>
          <w:b/>
          <w:bCs/>
          <w:color w:val="auto"/>
          <w:sz w:val="32"/>
          <w:szCs w:val="32"/>
        </w:rPr>
        <w:t>第十条</w:t>
      </w:r>
      <w:r>
        <w:rPr>
          <w:b/>
          <w:bCs/>
          <w:color w:val="auto"/>
          <w:sz w:val="32"/>
          <w:szCs w:val="32"/>
        </w:rPr>
        <w:t xml:space="preserve">  </w:t>
      </w:r>
      <w:r>
        <w:rPr>
          <w:rFonts w:hint="eastAsia"/>
          <w:color w:val="auto"/>
          <w:sz w:val="32"/>
          <w:szCs w:val="32"/>
        </w:rPr>
        <w:t>甲方应当采取多种方式向社会开展医疗保险宣传。乙方应当在本机构的显著位置悬挂定点医疗机构标牌，并向参保人员宣传医疗保险政策、就医结算流程及医疗服务内容等。为参保人员提供医疗保障相关的咨询服务。</w:t>
      </w:r>
    </w:p>
    <w:p w:rsidR="003E5C00" w:rsidRDefault="003E5C00" w:rsidP="004A3E5E">
      <w:pPr>
        <w:pStyle w:val="a"/>
        <w:numPr>
          <w:ilvl w:val="0"/>
          <w:numId w:val="0"/>
        </w:numPr>
        <w:tabs>
          <w:tab w:val="clear" w:pos="1838"/>
        </w:tabs>
        <w:adjustRightInd/>
        <w:snapToGrid/>
        <w:spacing w:line="600" w:lineRule="exact"/>
        <w:ind w:firstLineChars="200" w:firstLine="31680"/>
        <w:rPr>
          <w:rFonts w:cs="Times New Roman"/>
          <w:color w:val="auto"/>
          <w:sz w:val="32"/>
          <w:szCs w:val="32"/>
        </w:rPr>
      </w:pPr>
      <w:r>
        <w:rPr>
          <w:rFonts w:hint="eastAsia"/>
          <w:b/>
          <w:bCs/>
          <w:color w:val="auto"/>
          <w:sz w:val="32"/>
          <w:szCs w:val="32"/>
        </w:rPr>
        <w:t>第十一条</w:t>
      </w:r>
      <w:r>
        <w:rPr>
          <w:b/>
          <w:bCs/>
          <w:color w:val="auto"/>
          <w:sz w:val="32"/>
          <w:szCs w:val="32"/>
        </w:rPr>
        <w:t xml:space="preserve">  </w:t>
      </w:r>
      <w:r>
        <w:rPr>
          <w:rFonts w:hint="eastAsia"/>
          <w:color w:val="auto"/>
          <w:sz w:val="32"/>
          <w:szCs w:val="32"/>
        </w:rPr>
        <w:t>甲乙双方建立谈判协商机制，共同推进以总额预算为主的复合式付费方式、医保医师管理、医保智能监控、医院分级管理等医改措施在医保管理中的应用。</w:t>
      </w:r>
    </w:p>
    <w:p w:rsidR="003E5C00" w:rsidRDefault="003E5C00" w:rsidP="004A3E5E">
      <w:pPr>
        <w:pStyle w:val="a"/>
        <w:numPr>
          <w:ilvl w:val="0"/>
          <w:numId w:val="0"/>
        </w:numPr>
        <w:tabs>
          <w:tab w:val="clear" w:pos="1838"/>
        </w:tabs>
        <w:adjustRightInd/>
        <w:snapToGrid/>
        <w:spacing w:line="600" w:lineRule="exact"/>
        <w:ind w:firstLineChars="200" w:firstLine="31680"/>
        <w:rPr>
          <w:rFonts w:cs="Times New Roman"/>
          <w:color w:val="auto"/>
          <w:sz w:val="32"/>
          <w:szCs w:val="32"/>
        </w:rPr>
      </w:pPr>
      <w:r>
        <w:rPr>
          <w:rFonts w:hint="eastAsia"/>
          <w:color w:val="auto"/>
          <w:sz w:val="32"/>
          <w:szCs w:val="32"/>
        </w:rPr>
        <w:t>甲方通过医疗保险信息监控系统等方式对乙方的医疗服务行为及医疗费用进行实时监控，定期或不定期开展监督检查，并将监控和监督检查情况及时反馈给乙方。</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乙方应当对甲方在监督检查中查阅参保人员病历及有关资料、询问当事人等予以配合。对乙方提供的资料，甲方应当予以保密。乙方应保证向甲方提供的资料和传输的医疗费用数据真实、准确、完整。因提供不实资料、传输虚假数据产生的经济和法律责任由乙方承担。</w:t>
      </w:r>
    </w:p>
    <w:p w:rsidR="003E5C00" w:rsidRDefault="003E5C00" w:rsidP="004A3E5E">
      <w:pPr>
        <w:pStyle w:val="a"/>
        <w:numPr>
          <w:ilvl w:val="0"/>
          <w:numId w:val="0"/>
        </w:numPr>
        <w:tabs>
          <w:tab w:val="clear" w:pos="1838"/>
        </w:tabs>
        <w:adjustRightInd/>
        <w:snapToGrid/>
        <w:spacing w:line="600" w:lineRule="exact"/>
        <w:ind w:firstLineChars="200" w:firstLine="31680"/>
        <w:rPr>
          <w:color w:val="auto"/>
          <w:sz w:val="32"/>
          <w:szCs w:val="32"/>
        </w:rPr>
      </w:pPr>
      <w:r>
        <w:rPr>
          <w:rFonts w:hint="eastAsia"/>
          <w:b/>
          <w:bCs/>
          <w:color w:val="auto"/>
          <w:sz w:val="32"/>
          <w:szCs w:val="32"/>
        </w:rPr>
        <w:t>第十二条</w:t>
      </w:r>
      <w:r>
        <w:rPr>
          <w:b/>
          <w:bCs/>
          <w:color w:val="auto"/>
          <w:sz w:val="32"/>
          <w:szCs w:val="32"/>
        </w:rPr>
        <w:t xml:space="preserve"> </w:t>
      </w:r>
      <w:r>
        <w:rPr>
          <w:rFonts w:hint="eastAsia"/>
          <w:color w:val="auto"/>
          <w:sz w:val="32"/>
          <w:szCs w:val="32"/>
        </w:rPr>
        <w:t>甲方可基于监督检查结果，对乙方的违约行为进行处理。根据乙方违约情节和性质的轻重，依据诚信管理等有关规定和本协议约定，采取限期整改、暂停结算、拒付费用、暂停协议、解除协议等处理方式。同时，对已支付的违规医保费用予以追回。</w:t>
      </w:r>
      <w:r>
        <w:rPr>
          <w:color w:val="auto"/>
          <w:sz w:val="32"/>
          <w:szCs w:val="32"/>
        </w:rPr>
        <w:t xml:space="preserve">  </w:t>
      </w:r>
    </w:p>
    <w:p w:rsidR="003E5C00" w:rsidRDefault="003E5C00" w:rsidP="004A3E5E">
      <w:pPr>
        <w:pStyle w:val="a"/>
        <w:numPr>
          <w:ilvl w:val="0"/>
          <w:numId w:val="0"/>
        </w:numPr>
        <w:tabs>
          <w:tab w:val="clear" w:pos="1838"/>
        </w:tabs>
        <w:adjustRightInd/>
        <w:snapToGrid/>
        <w:spacing w:line="600" w:lineRule="exact"/>
        <w:ind w:firstLineChars="200" w:firstLine="31680"/>
        <w:rPr>
          <w:rFonts w:cs="Times New Roman"/>
          <w:color w:val="auto"/>
          <w:sz w:val="32"/>
          <w:szCs w:val="32"/>
        </w:rPr>
      </w:pPr>
    </w:p>
    <w:p w:rsidR="003E5C00" w:rsidRDefault="003E5C00">
      <w:pPr>
        <w:pStyle w:val="Heading2"/>
        <w:adjustRightInd/>
        <w:snapToGrid/>
        <w:spacing w:beforeLines="0" w:afterLines="0"/>
        <w:ind w:right="0"/>
        <w:rPr>
          <w:rFonts w:cs="Times New Roman"/>
          <w:u w:val="single"/>
        </w:rPr>
      </w:pPr>
      <w:r>
        <w:rPr>
          <w:rFonts w:hint="eastAsia"/>
        </w:rPr>
        <w:t>第二章</w:t>
      </w:r>
      <w:r>
        <w:t xml:space="preserve">  </w:t>
      </w:r>
      <w:r>
        <w:rPr>
          <w:rFonts w:hint="eastAsia"/>
        </w:rPr>
        <w:t>诊疗服务</w:t>
      </w:r>
    </w:p>
    <w:p w:rsidR="003E5C00" w:rsidRDefault="003E5C00"/>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第十三条</w:t>
      </w:r>
      <w:r>
        <w:rPr>
          <w:b/>
          <w:bCs/>
          <w:color w:val="auto"/>
          <w:sz w:val="32"/>
          <w:szCs w:val="32"/>
        </w:rPr>
        <w:t xml:space="preserve">  </w:t>
      </w:r>
      <w:r>
        <w:rPr>
          <w:rFonts w:hint="eastAsia"/>
          <w:color w:val="auto"/>
          <w:sz w:val="32"/>
          <w:szCs w:val="32"/>
        </w:rPr>
        <w:t>乙方应严格遵循医疗保障和卫生健康行政部门有关规定，按照医疗服务质量管理与控制指标的要求，为参保人员提供合理检查、合理治疗、合理用药服务。</w:t>
      </w:r>
    </w:p>
    <w:p w:rsidR="003E5C00" w:rsidRDefault="003E5C00" w:rsidP="004A3E5E">
      <w:pPr>
        <w:pStyle w:val="a"/>
        <w:numPr>
          <w:ilvl w:val="0"/>
          <w:numId w:val="0"/>
        </w:numPr>
        <w:adjustRightInd/>
        <w:snapToGrid/>
        <w:spacing w:line="600" w:lineRule="exact"/>
        <w:ind w:firstLineChars="200" w:firstLine="31680"/>
        <w:rPr>
          <w:rFonts w:ascii="Times New Roman" w:cs="Times New Roman"/>
          <w:color w:val="auto"/>
          <w:kern w:val="0"/>
          <w:sz w:val="32"/>
          <w:szCs w:val="32"/>
        </w:rPr>
      </w:pPr>
      <w:r>
        <w:rPr>
          <w:rFonts w:hint="eastAsia"/>
          <w:color w:val="auto"/>
          <w:sz w:val="32"/>
          <w:szCs w:val="32"/>
        </w:rPr>
        <w:t>参保人员（含异地就医参保人员）就医时（包括挂号、记账收费、出入院和转诊转院等），乙方应当对其身份与社会保障卡进行核验，发现证件无效、人证不符的，不得进行医疗保险费用结算。如非甲方授权，乙方不得以任何理由收集、滞留参保人员社会保障卡（或其他就医凭证）。有骗保嫌疑的，应当及时报告甲方。</w:t>
      </w:r>
    </w:p>
    <w:p w:rsidR="003E5C00" w:rsidRDefault="003E5C00" w:rsidP="004A3E5E">
      <w:pPr>
        <w:pStyle w:val="a0"/>
        <w:adjustRightInd/>
        <w:snapToGrid/>
        <w:spacing w:line="600" w:lineRule="exact"/>
        <w:ind w:firstLine="31680"/>
        <w:rPr>
          <w:sz w:val="32"/>
          <w:szCs w:val="32"/>
        </w:rPr>
      </w:pPr>
      <w:r>
        <w:rPr>
          <w:rFonts w:cs="仿宋_GB2312" w:hint="eastAsia"/>
          <w:b/>
          <w:bCs/>
          <w:sz w:val="32"/>
          <w:szCs w:val="32"/>
        </w:rPr>
        <w:t>第十四条</w:t>
      </w:r>
      <w:r>
        <w:rPr>
          <w:b/>
          <w:bCs/>
          <w:sz w:val="32"/>
          <w:szCs w:val="32"/>
        </w:rPr>
        <w:t xml:space="preserve">  </w:t>
      </w:r>
      <w:r>
        <w:rPr>
          <w:rFonts w:cs="仿宋_GB2312" w:hint="eastAsia"/>
          <w:sz w:val="32"/>
          <w:szCs w:val="32"/>
        </w:rPr>
        <w:t>乙方在收治其他统筹地区转诊转院病人时，应当查验其转诊转院手续，手续不全的应当及时告知参保病人或家属，并停止异地就医联网直接结算。</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第十五条</w:t>
      </w:r>
      <w:r>
        <w:rPr>
          <w:b/>
          <w:bCs/>
          <w:color w:val="auto"/>
          <w:sz w:val="32"/>
          <w:szCs w:val="32"/>
        </w:rPr>
        <w:t xml:space="preserve">  </w:t>
      </w:r>
      <w:r>
        <w:rPr>
          <w:rFonts w:hint="eastAsia"/>
          <w:color w:val="auto"/>
          <w:sz w:val="32"/>
          <w:szCs w:val="32"/>
        </w:rPr>
        <w:t>对于明确不属于医保支付范围的，乙方应事先告知参保人员医保不予结算。对于需进一步确认的，乙方应先与医保经办机构沟通协商，待核实后方可纳入医保支付。乙方收治意外伤害参保人员住院时，首诊医生应如实书写医疗文书，描述清楚受伤原因及经过，如时间、地点、过程等。</w:t>
      </w:r>
    </w:p>
    <w:p w:rsidR="003E5C00" w:rsidRDefault="003E5C00" w:rsidP="004A3E5E">
      <w:pPr>
        <w:pStyle w:val="a"/>
        <w:numPr>
          <w:ilvl w:val="0"/>
          <w:numId w:val="0"/>
        </w:numPr>
        <w:tabs>
          <w:tab w:val="left" w:pos="1701"/>
        </w:tabs>
        <w:adjustRightInd/>
        <w:snapToGrid/>
        <w:spacing w:line="600" w:lineRule="exact"/>
        <w:ind w:firstLineChars="200" w:firstLine="31680"/>
        <w:rPr>
          <w:rFonts w:cs="Times New Roman"/>
          <w:color w:val="auto"/>
          <w:sz w:val="32"/>
          <w:szCs w:val="32"/>
        </w:rPr>
      </w:pPr>
      <w:r>
        <w:rPr>
          <w:rFonts w:hint="eastAsia"/>
          <w:b/>
          <w:bCs/>
          <w:color w:val="auto"/>
          <w:sz w:val="32"/>
          <w:szCs w:val="32"/>
        </w:rPr>
        <w:t>第十六条</w:t>
      </w:r>
      <w:r>
        <w:rPr>
          <w:b/>
          <w:bCs/>
          <w:color w:val="auto"/>
          <w:sz w:val="32"/>
          <w:szCs w:val="32"/>
        </w:rPr>
        <w:t xml:space="preserve">  </w:t>
      </w:r>
      <w:r>
        <w:rPr>
          <w:rFonts w:hint="eastAsia"/>
          <w:color w:val="auto"/>
          <w:sz w:val="32"/>
          <w:szCs w:val="32"/>
        </w:rPr>
        <w:t>乙方应当严格执行出、入院和重症监护病房收治标准，不得推诿和拒绝符合住院条件的参保人员住院治疗；不得将不符合入院标准的参保人员收治住院；不得要求未达到出院标准的参保人员提前出院或自费住院；为符合出院条件的参保人员及时办理出院手续，参保人员拒绝出院的，应当自通知其出院之日起，停止医疗保险费用结算。</w:t>
      </w:r>
    </w:p>
    <w:p w:rsidR="003E5C00" w:rsidRDefault="003E5C00" w:rsidP="004A3E5E">
      <w:pPr>
        <w:pStyle w:val="a"/>
        <w:numPr>
          <w:ilvl w:val="0"/>
          <w:numId w:val="0"/>
        </w:numPr>
        <w:tabs>
          <w:tab w:val="left" w:pos="1701"/>
        </w:tabs>
        <w:adjustRightInd/>
        <w:snapToGrid/>
        <w:spacing w:line="600" w:lineRule="exact"/>
        <w:ind w:firstLineChars="200" w:firstLine="31680"/>
        <w:rPr>
          <w:rFonts w:cs="Times New Roman"/>
          <w:color w:val="auto"/>
          <w:sz w:val="32"/>
          <w:szCs w:val="32"/>
        </w:rPr>
      </w:pPr>
      <w:r>
        <w:rPr>
          <w:rFonts w:hint="eastAsia"/>
          <w:b/>
          <w:bCs/>
          <w:color w:val="auto"/>
          <w:sz w:val="32"/>
          <w:szCs w:val="32"/>
        </w:rPr>
        <w:t>第十七条</w:t>
      </w:r>
      <w:r>
        <w:rPr>
          <w:b/>
          <w:bCs/>
          <w:color w:val="auto"/>
          <w:sz w:val="32"/>
          <w:szCs w:val="32"/>
        </w:rPr>
        <w:t xml:space="preserve">  </w:t>
      </w:r>
      <w:r>
        <w:rPr>
          <w:rFonts w:hint="eastAsia"/>
          <w:color w:val="auto"/>
          <w:sz w:val="32"/>
          <w:szCs w:val="32"/>
        </w:rPr>
        <w:t>乙方应当为参保人员就医建立病历，按《病历书写基本规范》的要求记录病历，并妥善保存备查。门诊与住院病历的诊疗记录应当真实、准确、完整、清晰，化验检查须有结果分析。</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乙方应当做到住院医嘱、病程记录、检查结果、治疗单记录和票据、费用清单等相吻合。</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第十八条</w:t>
      </w:r>
      <w:r>
        <w:rPr>
          <w:b/>
          <w:bCs/>
          <w:color w:val="auto"/>
          <w:sz w:val="32"/>
          <w:szCs w:val="32"/>
        </w:rPr>
        <w:t xml:space="preserve">  </w:t>
      </w:r>
      <w:r>
        <w:rPr>
          <w:rFonts w:hint="eastAsia"/>
          <w:color w:val="auto"/>
          <w:sz w:val="32"/>
          <w:szCs w:val="32"/>
        </w:rPr>
        <w:t>乙方应当保证参保人员知情同意权。参保人员住院期间发生的药品、诊疗项目、医用材料、特需服务等费用，须由参保人员个人全部负担的，乙方应事先征得参保人或其家属同意，并签字确认（无民事行为能力人、限制民事行为能力人等患者应当由其监护人签字确认）。</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u w:val="wave"/>
        </w:rPr>
      </w:pPr>
      <w:r>
        <w:rPr>
          <w:rFonts w:hint="eastAsia"/>
          <w:b/>
          <w:bCs/>
          <w:color w:val="auto"/>
          <w:sz w:val="32"/>
          <w:szCs w:val="32"/>
        </w:rPr>
        <w:t>第十九条</w:t>
      </w:r>
      <w:r>
        <w:rPr>
          <w:rFonts w:hint="eastAsia"/>
          <w:color w:val="auto"/>
          <w:sz w:val="32"/>
          <w:szCs w:val="32"/>
        </w:rPr>
        <w:t>参保人员住院期间，因乙方条件限制需到其他定点医疗机构进行检查治疗时，应于检查治疗前为参保人员办理外检外治手续，否则其医疗费用医保基金不予支付。</w:t>
      </w:r>
    </w:p>
    <w:p w:rsidR="003E5C00" w:rsidRDefault="003E5C00" w:rsidP="004A3E5E">
      <w:pPr>
        <w:pStyle w:val="a0"/>
        <w:adjustRightInd/>
        <w:snapToGrid/>
        <w:spacing w:line="600" w:lineRule="exact"/>
        <w:ind w:firstLine="31680"/>
        <w:rPr>
          <w:sz w:val="32"/>
          <w:szCs w:val="32"/>
        </w:rPr>
      </w:pPr>
      <w:r>
        <w:rPr>
          <w:rFonts w:cs="仿宋_GB2312" w:hint="eastAsia"/>
          <w:b/>
          <w:bCs/>
          <w:sz w:val="32"/>
          <w:szCs w:val="32"/>
        </w:rPr>
        <w:t>第二十条</w:t>
      </w:r>
      <w:r>
        <w:rPr>
          <w:b/>
          <w:bCs/>
          <w:sz w:val="32"/>
          <w:szCs w:val="32"/>
        </w:rPr>
        <w:t xml:space="preserve">  </w:t>
      </w:r>
      <w:r>
        <w:rPr>
          <w:rFonts w:cs="仿宋_GB2312" w:hint="eastAsia"/>
          <w:sz w:val="32"/>
          <w:szCs w:val="32"/>
        </w:rPr>
        <w:t>乙方应当充分利用和共享参保人员在其他医疗机构所做的辅助检查结果，避免不必要的重复检查，增加参保人员负担。乙方应当向参保人员提供医疗费用查询服务和费用清单，并承担解释责任。</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第二十一条</w:t>
      </w:r>
      <w:r>
        <w:rPr>
          <w:b/>
          <w:bCs/>
          <w:color w:val="auto"/>
          <w:sz w:val="32"/>
          <w:szCs w:val="32"/>
        </w:rPr>
        <w:t xml:space="preserve">  </w:t>
      </w:r>
      <w:r>
        <w:rPr>
          <w:rFonts w:hint="eastAsia"/>
          <w:color w:val="auto"/>
          <w:sz w:val="32"/>
          <w:szCs w:val="32"/>
        </w:rPr>
        <w:t>乙方应当建立健全双向转诊转院和转科制度，严格掌握统筹区外转诊转院标准。确因医疗技术和设备条件限制，参保人员需转统筹地区外治疗的，乙方应按甲方相关规定办理。参保人员在住院期间需院内转科（含急门诊转住院）治疗的，乙方不得中途办理出院结算手续。</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第二十二条</w:t>
      </w:r>
      <w:r>
        <w:rPr>
          <w:b/>
          <w:bCs/>
          <w:color w:val="auto"/>
          <w:sz w:val="32"/>
          <w:szCs w:val="32"/>
        </w:rPr>
        <w:t xml:space="preserve">  </w:t>
      </w:r>
      <w:r>
        <w:rPr>
          <w:rFonts w:hint="eastAsia"/>
          <w:color w:val="auto"/>
          <w:sz w:val="32"/>
          <w:szCs w:val="32"/>
        </w:rPr>
        <w:t>乙方为门诊特殊疾病患者提供医疗服务的，应按本统筹区特殊门诊疾病管理的相关规定，确定相应的科室、医生和临床诊疗指南，规范门诊特殊疾病医疗服务流程和标准，为参保人员提供门诊特殊疾病诊疗服务。</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p>
    <w:p w:rsidR="003E5C00" w:rsidRDefault="003E5C00">
      <w:pPr>
        <w:pStyle w:val="Heading2"/>
        <w:numPr>
          <w:ilvl w:val="0"/>
          <w:numId w:val="3"/>
        </w:numPr>
        <w:adjustRightInd/>
        <w:snapToGrid/>
        <w:spacing w:beforeLines="0" w:afterLines="0"/>
        <w:ind w:right="0"/>
        <w:rPr>
          <w:rFonts w:cs="Times New Roman"/>
        </w:rPr>
      </w:pPr>
      <w:r>
        <w:t xml:space="preserve"> </w:t>
      </w:r>
      <w:r>
        <w:rPr>
          <w:rFonts w:hint="eastAsia"/>
        </w:rPr>
        <w:t>药品和诊疗项目</w:t>
      </w:r>
    </w:p>
    <w:p w:rsidR="003E5C00" w:rsidRDefault="003E5C00" w:rsidP="004A3E5E">
      <w:pPr>
        <w:pStyle w:val="a"/>
        <w:numPr>
          <w:ilvl w:val="0"/>
          <w:numId w:val="0"/>
        </w:numPr>
        <w:adjustRightInd/>
        <w:snapToGrid/>
        <w:spacing w:line="600" w:lineRule="exact"/>
        <w:ind w:firstLineChars="200" w:firstLine="31680"/>
        <w:rPr>
          <w:rFonts w:cs="Times New Roman"/>
          <w:b/>
          <w:bCs/>
          <w:color w:val="auto"/>
          <w:sz w:val="32"/>
          <w:szCs w:val="32"/>
        </w:rPr>
      </w:pP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第二十三条</w:t>
      </w:r>
      <w:r>
        <w:rPr>
          <w:b/>
          <w:bCs/>
          <w:color w:val="auto"/>
          <w:sz w:val="32"/>
          <w:szCs w:val="32"/>
        </w:rPr>
        <w:t xml:space="preserve">  </w:t>
      </w:r>
      <w:r>
        <w:rPr>
          <w:rFonts w:hint="eastAsia"/>
          <w:color w:val="auto"/>
          <w:sz w:val="32"/>
          <w:szCs w:val="32"/>
        </w:rPr>
        <w:t>乙方应当严格按照甘肃省基本医疗保险、生育保险药品目录、诊疗项目、服务设施、医用材料目录以及本统筹地区的支付标准，为参保人员提供合理、必要的基本医疗服务。超出目录和标准范围的费用，甲方不予支付。</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第二十四条</w:t>
      </w:r>
      <w:r>
        <w:rPr>
          <w:b/>
          <w:bCs/>
          <w:color w:val="auto"/>
          <w:sz w:val="32"/>
          <w:szCs w:val="32"/>
        </w:rPr>
        <w:t xml:space="preserve">  </w:t>
      </w:r>
      <w:r>
        <w:rPr>
          <w:rFonts w:hint="eastAsia"/>
          <w:color w:val="auto"/>
          <w:sz w:val="32"/>
          <w:szCs w:val="32"/>
        </w:rPr>
        <w:t>乙方应当严格按照医疗保障行政部门的规定，购进、使用、管理药品和医用材料，及时调整药品供应结构，确保医保目录内药品供应。</w:t>
      </w:r>
    </w:p>
    <w:p w:rsidR="003E5C00" w:rsidRDefault="003E5C00" w:rsidP="004A3E5E">
      <w:pPr>
        <w:tabs>
          <w:tab w:val="left" w:pos="1701"/>
        </w:tabs>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药品及医用材料应当保存真实完整的购进和使用记录，并建立真实、完整、准确的购销存台账。药品、医用材料的购进记录应当包含名称、规格、剂型（型号）、产地、批准文号、数量、价格等信息，确保其使用的可追溯性，甲方可以根据医保管理的需要调查了解上述信息。</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第二十五条</w:t>
      </w:r>
      <w:r>
        <w:rPr>
          <w:rFonts w:hint="eastAsia"/>
          <w:color w:val="auto"/>
          <w:sz w:val="32"/>
          <w:szCs w:val="32"/>
        </w:rPr>
        <w:t>乙方对参保人员用药应当严格按照《处方管理办法》规定，遵循药品说明书，严格掌握目录内部分药品的限定支付范围并留存用药依据便于甲方核查。超出药品说明书适应症或特殊限定范围、缺乏相关依据的费用，甲方不予支付。</w:t>
      </w:r>
    </w:p>
    <w:p w:rsidR="003E5C00" w:rsidRDefault="003E5C00" w:rsidP="004A3E5E">
      <w:pPr>
        <w:pStyle w:val="a"/>
        <w:numPr>
          <w:ilvl w:val="0"/>
          <w:numId w:val="0"/>
        </w:numPr>
        <w:adjustRightInd/>
        <w:snapToGrid/>
        <w:spacing w:line="600" w:lineRule="exact"/>
        <w:ind w:firstLineChars="150" w:firstLine="31680"/>
        <w:rPr>
          <w:rFonts w:cs="Times New Roman"/>
          <w:color w:val="auto"/>
          <w:sz w:val="32"/>
          <w:szCs w:val="32"/>
        </w:rPr>
      </w:pPr>
      <w:r>
        <w:rPr>
          <w:rFonts w:hint="eastAsia"/>
          <w:b/>
          <w:bCs/>
          <w:color w:val="auto"/>
          <w:sz w:val="32"/>
          <w:szCs w:val="32"/>
        </w:rPr>
        <w:t>第二十六条</w:t>
      </w:r>
      <w:r>
        <w:rPr>
          <w:b/>
          <w:bCs/>
          <w:color w:val="auto"/>
          <w:sz w:val="32"/>
          <w:szCs w:val="32"/>
        </w:rPr>
        <w:t xml:space="preserve">  </w:t>
      </w:r>
      <w:r>
        <w:rPr>
          <w:rFonts w:hint="eastAsia"/>
          <w:color w:val="auto"/>
          <w:sz w:val="32"/>
          <w:szCs w:val="32"/>
        </w:rPr>
        <w:t>乙方经药品主管部门批准生产和使用的院内制剂，可按规定向医保管理部门申请纳入医保支付范围；价格由甲乙双方协商谈判确定。</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第二十七条</w:t>
      </w:r>
      <w:r>
        <w:rPr>
          <w:b/>
          <w:bCs/>
          <w:color w:val="auto"/>
          <w:sz w:val="32"/>
          <w:szCs w:val="32"/>
        </w:rPr>
        <w:t xml:space="preserve">  </w:t>
      </w:r>
      <w:r>
        <w:rPr>
          <w:rFonts w:hint="eastAsia"/>
          <w:color w:val="auto"/>
          <w:sz w:val="32"/>
          <w:szCs w:val="32"/>
        </w:rPr>
        <w:t>乙方应当加强大型医用设备检查阳性率、基本药物采购占比、基本药物使用占比、抗菌药物使用强度、卫生材料占比等指标管理，严格掌握各种药品、检查和治疗项目使用的适应症和禁忌症。不得将特殊检查项目（如彩超、</w:t>
      </w:r>
      <w:r>
        <w:rPr>
          <w:color w:val="auto"/>
          <w:sz w:val="32"/>
          <w:szCs w:val="32"/>
        </w:rPr>
        <w:t>CT</w:t>
      </w:r>
      <w:r>
        <w:rPr>
          <w:rFonts w:hint="eastAsia"/>
          <w:color w:val="auto"/>
          <w:sz w:val="32"/>
          <w:szCs w:val="32"/>
        </w:rPr>
        <w:t>、</w:t>
      </w:r>
      <w:r>
        <w:rPr>
          <w:color w:val="auto"/>
          <w:sz w:val="32"/>
          <w:szCs w:val="32"/>
        </w:rPr>
        <w:t>MRI</w:t>
      </w:r>
      <w:r>
        <w:rPr>
          <w:rFonts w:hint="eastAsia"/>
          <w:color w:val="auto"/>
          <w:sz w:val="32"/>
          <w:szCs w:val="32"/>
        </w:rPr>
        <w:t>等）等列为常规检查，不得将临床“套餐式”检验作为常规检查。</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第二十八条</w:t>
      </w:r>
      <w:r>
        <w:rPr>
          <w:b/>
          <w:bCs/>
          <w:color w:val="auto"/>
          <w:sz w:val="32"/>
          <w:szCs w:val="32"/>
        </w:rPr>
        <w:t xml:space="preserve">  </w:t>
      </w:r>
      <w:r>
        <w:rPr>
          <w:rFonts w:hint="eastAsia"/>
          <w:color w:val="auto"/>
          <w:sz w:val="32"/>
          <w:szCs w:val="32"/>
        </w:rPr>
        <w:t>乙方应建立特殊药品、医用材料（含植入类医疗器械）和诊疗项目内部审批制度，按国家、省、市医保政策相关规定，严格掌握其适用范围，并保存相关使用记录。</w:t>
      </w:r>
    </w:p>
    <w:p w:rsidR="003E5C00" w:rsidRDefault="003E5C00" w:rsidP="004A3E5E">
      <w:pPr>
        <w:pStyle w:val="a"/>
        <w:numPr>
          <w:ilvl w:val="0"/>
          <w:numId w:val="0"/>
        </w:numPr>
        <w:adjustRightInd/>
        <w:snapToGrid/>
        <w:spacing w:line="600" w:lineRule="exact"/>
        <w:ind w:firstLineChars="200" w:firstLine="31680"/>
        <w:rPr>
          <w:color w:val="auto"/>
          <w:sz w:val="32"/>
          <w:szCs w:val="32"/>
        </w:rPr>
      </w:pPr>
      <w:r>
        <w:rPr>
          <w:rFonts w:hint="eastAsia"/>
          <w:b/>
          <w:bCs/>
          <w:color w:val="auto"/>
          <w:sz w:val="32"/>
          <w:szCs w:val="32"/>
        </w:rPr>
        <w:t>第二十九条</w:t>
      </w:r>
      <w:r>
        <w:rPr>
          <w:b/>
          <w:bCs/>
          <w:color w:val="auto"/>
          <w:sz w:val="32"/>
          <w:szCs w:val="32"/>
        </w:rPr>
        <w:t xml:space="preserve">  </w:t>
      </w:r>
      <w:r>
        <w:rPr>
          <w:rFonts w:hint="eastAsia"/>
          <w:color w:val="auto"/>
          <w:sz w:val="32"/>
          <w:szCs w:val="32"/>
        </w:rPr>
        <w:t>乙方经医疗保障及卫生健康行政部门审批的新增医疗收费项目，应按相关文件标准收费，对已纳入医保报销目录的，应按报销规定执行，对未纳入医保报销目录的，其费用甲方不予支付。</w:t>
      </w:r>
      <w:r>
        <w:rPr>
          <w:color w:val="auto"/>
          <w:sz w:val="32"/>
          <w:szCs w:val="32"/>
        </w:rPr>
        <w:t xml:space="preserve"> </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p>
    <w:p w:rsidR="003E5C00" w:rsidRDefault="003E5C00">
      <w:pPr>
        <w:pStyle w:val="Heading2"/>
        <w:numPr>
          <w:ilvl w:val="0"/>
          <w:numId w:val="3"/>
        </w:numPr>
        <w:adjustRightInd/>
        <w:snapToGrid/>
        <w:spacing w:beforeLines="0" w:afterLines="0"/>
        <w:ind w:right="0"/>
        <w:rPr>
          <w:rFonts w:cs="Times New Roman"/>
        </w:rPr>
      </w:pPr>
      <w:r>
        <w:t xml:space="preserve"> </w:t>
      </w:r>
      <w:r>
        <w:rPr>
          <w:rFonts w:hint="eastAsia"/>
        </w:rPr>
        <w:t>医疗费用结算</w:t>
      </w:r>
    </w:p>
    <w:p w:rsidR="003E5C00" w:rsidRDefault="003E5C00"/>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第三十条</w:t>
      </w:r>
      <w:r>
        <w:rPr>
          <w:b/>
          <w:bCs/>
          <w:color w:val="auto"/>
          <w:sz w:val="32"/>
          <w:szCs w:val="32"/>
        </w:rPr>
        <w:t xml:space="preserve">  </w:t>
      </w:r>
      <w:r>
        <w:rPr>
          <w:rFonts w:hint="eastAsia"/>
          <w:color w:val="auto"/>
          <w:sz w:val="32"/>
          <w:szCs w:val="32"/>
        </w:rPr>
        <w:t>乙方应当按照甘肃省医疗服务项目和价格标准等规定进行收费。未经批准的项目不得收费，不得套用、提高收费标准或分解收费。</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甲乙双方对国家谈判药品按照规定纳入医保目录，支付标准由各统筹地区自行确定。</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第三十一条</w:t>
      </w:r>
      <w:r>
        <w:rPr>
          <w:b/>
          <w:bCs/>
          <w:color w:val="auto"/>
          <w:sz w:val="32"/>
          <w:szCs w:val="32"/>
        </w:rPr>
        <w:t xml:space="preserve">  </w:t>
      </w:r>
      <w:r>
        <w:rPr>
          <w:rFonts w:hint="eastAsia"/>
          <w:color w:val="auto"/>
          <w:sz w:val="32"/>
          <w:szCs w:val="32"/>
        </w:rPr>
        <w:t>乙方应按照医保相关规定为参保人员即时结算医疗费用。参保人员在乙方就医结算时，只需交纳按规定应当由参保人员个人承担的费用，乙方应当开具专用票据。其余费用由甲方按本协议和相关服务规定向乙方支付。无特殊情况，乙方不得要求参保人员全额现金结算医疗费用。乙方开展异地就医联网结算服务的，无正当理由不得拒绝异地参保人员即时结算费用。</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第三十二条</w:t>
      </w:r>
      <w:r>
        <w:rPr>
          <w:b/>
          <w:bCs/>
          <w:color w:val="auto"/>
          <w:sz w:val="32"/>
          <w:szCs w:val="32"/>
        </w:rPr>
        <w:t xml:space="preserve">  </w:t>
      </w:r>
      <w:r>
        <w:rPr>
          <w:rFonts w:hint="eastAsia"/>
          <w:color w:val="auto"/>
          <w:sz w:val="32"/>
          <w:szCs w:val="32"/>
        </w:rPr>
        <w:t>乙方应当按照甲方的要求将医疗机构</w:t>
      </w:r>
      <w:r>
        <w:rPr>
          <w:color w:val="auto"/>
          <w:sz w:val="32"/>
          <w:szCs w:val="32"/>
        </w:rPr>
        <w:t>HIS</w:t>
      </w:r>
      <w:r>
        <w:rPr>
          <w:rFonts w:hint="eastAsia"/>
          <w:color w:val="auto"/>
          <w:sz w:val="32"/>
          <w:szCs w:val="32"/>
        </w:rPr>
        <w:t>相关数据上传至医保信息系统，并按时将参保人员的结算信息和医疗费用结算申报汇总表等资料报甲方，并按医保规定留存相关资料备查。</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第三十三条</w:t>
      </w:r>
      <w:r>
        <w:rPr>
          <w:b/>
          <w:bCs/>
          <w:color w:val="auto"/>
          <w:sz w:val="32"/>
          <w:szCs w:val="32"/>
        </w:rPr>
        <w:t xml:space="preserve">  </w:t>
      </w:r>
      <w:r>
        <w:rPr>
          <w:rFonts w:hint="eastAsia"/>
          <w:color w:val="auto"/>
          <w:sz w:val="32"/>
          <w:szCs w:val="32"/>
        </w:rPr>
        <w:t>甲方可通过智能审核、人工复审和组织第三方专家评审等方式对乙方申报的医疗费用进行审核及复核。甲方发现乙方申报费用有不符合医保支付规定的，应当及时告知乙方并说明理由。乙方应当在规定时间内向甲方作出说明，逾期不说明的，甲方可拒付有关费用。</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甲方可采取按比例随机抽查的方式对乙方申报的医疗费用进行审核，对抽查中查实的违规费用，甲方可按抽查比例放大后予以拒付。</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第三十四条</w:t>
      </w:r>
      <w:r>
        <w:rPr>
          <w:b/>
          <w:bCs/>
          <w:color w:val="auto"/>
          <w:sz w:val="32"/>
          <w:szCs w:val="32"/>
        </w:rPr>
        <w:t xml:space="preserve">  </w:t>
      </w:r>
      <w:r>
        <w:rPr>
          <w:rFonts w:hint="eastAsia"/>
          <w:color w:val="auto"/>
          <w:sz w:val="32"/>
          <w:szCs w:val="32"/>
        </w:rPr>
        <w:t>甲方在总额预算管理的基础上，实施按病种付费、按人头付费、按床日付费、按项目付费、按</w:t>
      </w:r>
      <w:r>
        <w:rPr>
          <w:color w:val="auto"/>
          <w:sz w:val="32"/>
          <w:szCs w:val="32"/>
        </w:rPr>
        <w:t>DRGs</w:t>
      </w:r>
      <w:r>
        <w:rPr>
          <w:rFonts w:hint="eastAsia"/>
          <w:color w:val="auto"/>
          <w:sz w:val="32"/>
          <w:szCs w:val="32"/>
        </w:rPr>
        <w:t>付费等</w:t>
      </w:r>
      <w:r>
        <w:rPr>
          <w:rFonts w:hAnsi="宋体" w:hint="eastAsia"/>
          <w:color w:val="auto"/>
          <w:sz w:val="32"/>
          <w:szCs w:val="32"/>
        </w:rPr>
        <w:t>复合式付费方式</w:t>
      </w:r>
      <w:r>
        <w:rPr>
          <w:rFonts w:hint="eastAsia"/>
          <w:color w:val="auto"/>
          <w:sz w:val="32"/>
          <w:szCs w:val="32"/>
        </w:rPr>
        <w:t>向乙方支付医疗费用。乙方应根据本统筹地区医保费用总额预算管理控制指标及确定的支付方式进行费用管控，并严格执行统筹地区医保费用结算的有关规定。</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第三十五条</w:t>
      </w:r>
      <w:r>
        <w:rPr>
          <w:b/>
          <w:bCs/>
          <w:color w:val="auto"/>
          <w:sz w:val="32"/>
          <w:szCs w:val="32"/>
        </w:rPr>
        <w:t xml:space="preserve">  </w:t>
      </w:r>
      <w:r>
        <w:rPr>
          <w:rFonts w:hint="eastAsia"/>
          <w:color w:val="auto"/>
          <w:sz w:val="32"/>
          <w:szCs w:val="32"/>
        </w:rPr>
        <w:t>甲方根据本统筹区医保基金收支预算情况，对乙方本年度医保付费实行总额预算管理</w:t>
      </w:r>
      <w:r>
        <w:rPr>
          <w:color w:val="auto"/>
          <w:sz w:val="32"/>
          <w:szCs w:val="32"/>
        </w:rPr>
        <w:t>,</w:t>
      </w:r>
      <w:r>
        <w:rPr>
          <w:rFonts w:hAnsi="宋体" w:hint="eastAsia"/>
          <w:color w:val="auto"/>
          <w:sz w:val="32"/>
          <w:szCs w:val="32"/>
        </w:rPr>
        <w:t>建立“结余留用、超支分担”的激励与约束机制。</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甲方与乙方建立医保基金风险分担机制，结合考核结果，乙方的年度（季度</w:t>
      </w:r>
      <w:r>
        <w:rPr>
          <w:color w:val="auto"/>
          <w:sz w:val="32"/>
          <w:szCs w:val="32"/>
        </w:rPr>
        <w:t>/</w:t>
      </w:r>
      <w:r>
        <w:rPr>
          <w:rFonts w:hint="eastAsia"/>
          <w:color w:val="auto"/>
          <w:sz w:val="32"/>
          <w:szCs w:val="32"/>
        </w:rPr>
        <w:t>月度）医疗费用低于或超出年度（季度</w:t>
      </w:r>
      <w:r>
        <w:rPr>
          <w:color w:val="auto"/>
          <w:sz w:val="32"/>
          <w:szCs w:val="32"/>
        </w:rPr>
        <w:t>/</w:t>
      </w:r>
      <w:r>
        <w:rPr>
          <w:rFonts w:hint="eastAsia"/>
          <w:color w:val="auto"/>
          <w:sz w:val="32"/>
          <w:szCs w:val="32"/>
        </w:rPr>
        <w:t>月度）总额，甲方按标准与乙方进行清算。</w:t>
      </w:r>
    </w:p>
    <w:p w:rsidR="003E5C00" w:rsidRDefault="003E5C00" w:rsidP="004A3E5E">
      <w:pPr>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甲方可将乙方的年度总额预算指标分配到月使用，确定每月支付额度，按月与乙方结算。乙方申报费用结余部分可滚存至下月；超出部分甲方暂缓支付，年末根据考核结果予以清算。</w:t>
      </w:r>
      <w:r>
        <w:rPr>
          <w:rFonts w:cs="宋体" w:hint="eastAsia"/>
          <w:sz w:val="32"/>
          <w:szCs w:val="32"/>
        </w:rPr>
        <w:t>（注</w:t>
      </w:r>
      <w:r>
        <w:rPr>
          <w:sz w:val="32"/>
          <w:szCs w:val="32"/>
        </w:rPr>
        <w:t>1</w:t>
      </w:r>
      <w:r>
        <w:rPr>
          <w:rFonts w:cs="宋体" w:hint="eastAsia"/>
          <w:sz w:val="32"/>
          <w:szCs w:val="32"/>
        </w:rPr>
        <w:t>）</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Ansi="仿宋"/>
          <w:color w:val="auto"/>
          <w:sz w:val="32"/>
          <w:szCs w:val="32"/>
        </w:rPr>
        <w:t>*</w:t>
      </w:r>
      <w:r>
        <w:rPr>
          <w:rFonts w:hAnsi="仿宋" w:hint="eastAsia"/>
          <w:color w:val="auto"/>
          <w:sz w:val="32"/>
          <w:szCs w:val="32"/>
        </w:rPr>
        <w:t>甲方建立住院高额医疗费用补偿机制，乙方收治重症参保人员产生的高额医疗费用，可提出申请，经甲方审核认定后按高额补偿相关规定予以支付。</w:t>
      </w:r>
    </w:p>
    <w:p w:rsidR="003E5C00" w:rsidRDefault="003E5C00" w:rsidP="004A3E5E">
      <w:pPr>
        <w:pStyle w:val="a"/>
        <w:numPr>
          <w:ilvl w:val="0"/>
          <w:numId w:val="0"/>
        </w:numPr>
        <w:adjustRightInd/>
        <w:snapToGrid/>
        <w:spacing w:line="600" w:lineRule="exact"/>
        <w:ind w:leftChars="50" w:left="31680" w:firstLineChars="150" w:firstLine="31680"/>
        <w:rPr>
          <w:rFonts w:cs="Times New Roman"/>
          <w:color w:val="auto"/>
          <w:sz w:val="32"/>
          <w:szCs w:val="32"/>
        </w:rPr>
      </w:pPr>
      <w:r>
        <w:rPr>
          <w:rFonts w:hAnsi="仿宋_GB2312" w:hint="eastAsia"/>
          <w:b/>
          <w:bCs/>
          <w:color w:val="auto"/>
          <w:sz w:val="32"/>
          <w:szCs w:val="32"/>
        </w:rPr>
        <w:t>第三十六条</w:t>
      </w:r>
      <w:r>
        <w:rPr>
          <w:rFonts w:hAnsi="仿宋_GB2312"/>
          <w:b/>
          <w:bCs/>
          <w:color w:val="auto"/>
          <w:sz w:val="32"/>
          <w:szCs w:val="32"/>
        </w:rPr>
        <w:t xml:space="preserve">  </w:t>
      </w:r>
      <w:r>
        <w:rPr>
          <w:rFonts w:hint="eastAsia"/>
          <w:color w:val="auto"/>
          <w:sz w:val="32"/>
          <w:szCs w:val="32"/>
        </w:rPr>
        <w:t>按病种付费病种支付标准由甲乙双方协商谈判确定。</w:t>
      </w:r>
    </w:p>
    <w:p w:rsidR="003E5C00" w:rsidRDefault="003E5C00" w:rsidP="004A3E5E">
      <w:pPr>
        <w:pStyle w:val="a"/>
        <w:numPr>
          <w:ilvl w:val="0"/>
          <w:numId w:val="0"/>
        </w:numPr>
        <w:adjustRightInd/>
        <w:snapToGrid/>
        <w:spacing w:line="600" w:lineRule="exact"/>
        <w:ind w:firstLineChars="200" w:firstLine="31680"/>
        <w:rPr>
          <w:rFonts w:hAnsi="仿宋_GB2312" w:cs="Times New Roman"/>
          <w:color w:val="auto"/>
          <w:sz w:val="32"/>
          <w:szCs w:val="32"/>
        </w:rPr>
      </w:pPr>
      <w:r>
        <w:rPr>
          <w:rFonts w:hAnsi="仿宋_GB2312" w:hint="eastAsia"/>
          <w:b/>
          <w:bCs/>
          <w:color w:val="auto"/>
          <w:sz w:val="32"/>
          <w:szCs w:val="32"/>
        </w:rPr>
        <w:t>第三十七条</w:t>
      </w:r>
      <w:r>
        <w:rPr>
          <w:rFonts w:hAnsi="仿宋_GB2312"/>
          <w:b/>
          <w:bCs/>
          <w:color w:val="auto"/>
          <w:sz w:val="32"/>
          <w:szCs w:val="32"/>
        </w:rPr>
        <w:t xml:space="preserve">  *</w:t>
      </w:r>
      <w:r>
        <w:rPr>
          <w:rFonts w:hAnsi="仿宋_GB2312" w:hint="eastAsia"/>
          <w:color w:val="auto"/>
          <w:sz w:val="32"/>
          <w:szCs w:val="32"/>
        </w:rPr>
        <w:t>甲方对乙方</w:t>
      </w:r>
      <w:r>
        <w:rPr>
          <w:rFonts w:hAnsi="仿宋_GB2312" w:hint="eastAsia"/>
          <w:color w:val="auto"/>
          <w:sz w:val="32"/>
          <w:szCs w:val="32"/>
          <w:u w:val="single"/>
        </w:rPr>
        <w:t>为城乡居民基本医保等参保人员提供的门诊统筹医疗服务</w:t>
      </w:r>
      <w:r>
        <w:rPr>
          <w:rFonts w:hAnsi="仿宋_GB2312" w:hint="eastAsia"/>
          <w:color w:val="auto"/>
          <w:sz w:val="32"/>
          <w:szCs w:val="32"/>
        </w:rPr>
        <w:t>实行按人头付费。</w:t>
      </w:r>
      <w:r>
        <w:rPr>
          <w:rFonts w:hint="eastAsia"/>
          <w:color w:val="auto"/>
          <w:sz w:val="32"/>
          <w:szCs w:val="32"/>
        </w:rPr>
        <w:t>（注</w:t>
      </w:r>
      <w:r>
        <w:rPr>
          <w:color w:val="auto"/>
          <w:sz w:val="32"/>
          <w:szCs w:val="32"/>
        </w:rPr>
        <w:t>2</w:t>
      </w:r>
      <w:r>
        <w:rPr>
          <w:rFonts w:hint="eastAsia"/>
          <w:color w:val="auto"/>
          <w:sz w:val="32"/>
          <w:szCs w:val="32"/>
        </w:rPr>
        <w:t>）</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Ansi="仿宋_GB2312" w:hint="eastAsia"/>
          <w:b/>
          <w:bCs/>
          <w:color w:val="auto"/>
          <w:sz w:val="32"/>
          <w:szCs w:val="32"/>
        </w:rPr>
        <w:t>第三十八条</w:t>
      </w:r>
      <w:r>
        <w:rPr>
          <w:rFonts w:hAnsi="仿宋_GB2312"/>
          <w:b/>
          <w:bCs/>
          <w:color w:val="auto"/>
          <w:sz w:val="32"/>
          <w:szCs w:val="32"/>
        </w:rPr>
        <w:t xml:space="preserve">  </w:t>
      </w:r>
      <w:r>
        <w:rPr>
          <w:rFonts w:hint="eastAsia"/>
          <w:color w:val="auto"/>
          <w:sz w:val="32"/>
          <w:szCs w:val="32"/>
        </w:rPr>
        <w:t>甲方对</w:t>
      </w:r>
      <w:r>
        <w:rPr>
          <w:rFonts w:hint="eastAsia"/>
          <w:color w:val="auto"/>
          <w:sz w:val="32"/>
          <w:szCs w:val="32"/>
          <w:u w:val="single"/>
        </w:rPr>
        <w:t>精神类疾病、老年性疾病等病种的</w:t>
      </w:r>
      <w:r>
        <w:rPr>
          <w:rFonts w:hint="eastAsia"/>
          <w:color w:val="auto"/>
          <w:sz w:val="32"/>
          <w:szCs w:val="32"/>
        </w:rPr>
        <w:t>医疗费用实行按床日付费。乙方同一服务单元的全部费用（除特殊约定的项目外）均纳入床日付费管理。</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Ansi="仿宋_GB2312" w:hint="eastAsia"/>
          <w:b/>
          <w:bCs/>
          <w:color w:val="auto"/>
          <w:sz w:val="32"/>
          <w:szCs w:val="32"/>
        </w:rPr>
        <w:t>第三十九条</w:t>
      </w:r>
      <w:r>
        <w:rPr>
          <w:rFonts w:hAnsi="仿宋_GB2312"/>
          <w:b/>
          <w:bCs/>
          <w:color w:val="auto"/>
          <w:sz w:val="32"/>
          <w:szCs w:val="32"/>
        </w:rPr>
        <w:t xml:space="preserve">  </w:t>
      </w:r>
      <w:r>
        <w:rPr>
          <w:rFonts w:hint="eastAsia"/>
          <w:color w:val="auto"/>
          <w:sz w:val="32"/>
          <w:szCs w:val="32"/>
        </w:rPr>
        <w:t>实行按项目付费的，甲方根据收费标准和乙方提供的医疗服务数量，按规定向乙方支付费用。</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Ansi="仿宋_GB2312" w:hint="eastAsia"/>
          <w:b/>
          <w:bCs/>
          <w:color w:val="auto"/>
          <w:sz w:val="32"/>
          <w:szCs w:val="32"/>
        </w:rPr>
        <w:t>第四十条</w:t>
      </w:r>
      <w:r>
        <w:rPr>
          <w:rFonts w:hAnsi="仿宋_GB2312"/>
          <w:b/>
          <w:bCs/>
          <w:color w:val="auto"/>
          <w:sz w:val="32"/>
          <w:szCs w:val="32"/>
        </w:rPr>
        <w:t xml:space="preserve">  </w:t>
      </w:r>
      <w:r>
        <w:rPr>
          <w:rFonts w:hint="eastAsia"/>
          <w:color w:val="auto"/>
          <w:sz w:val="32"/>
          <w:szCs w:val="32"/>
        </w:rPr>
        <w:t>甲方对乙方申报的医疗费用审核认定后，按付费方式规定计算应支付金额，乙方也可通过委托甲方对药品和医用耗材进行医保结算，预留一定比例履约保证金后按时向乙方拨付费用。保证金在清算时根据考核结果返还。</w:t>
      </w:r>
    </w:p>
    <w:p w:rsidR="003E5C00" w:rsidRDefault="003E5C00" w:rsidP="004A3E5E">
      <w:pPr>
        <w:pStyle w:val="a0"/>
        <w:adjustRightInd/>
        <w:snapToGrid/>
        <w:spacing w:line="600" w:lineRule="exact"/>
        <w:ind w:firstLine="31680"/>
        <w:rPr>
          <w:sz w:val="32"/>
          <w:szCs w:val="32"/>
        </w:rPr>
      </w:pPr>
      <w:r>
        <w:rPr>
          <w:rFonts w:cs="仿宋_GB2312" w:hint="eastAsia"/>
          <w:sz w:val="32"/>
          <w:szCs w:val="32"/>
        </w:rPr>
        <w:t>被甲方拒付的医疗费用，乙方应当按规定及时作相应的财务处理。不得与甲方作挂账处理。</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Ansi="仿宋_GB2312" w:hint="eastAsia"/>
          <w:b/>
          <w:bCs/>
          <w:color w:val="auto"/>
          <w:sz w:val="32"/>
          <w:szCs w:val="32"/>
        </w:rPr>
        <w:t>第四十一条</w:t>
      </w:r>
      <w:r>
        <w:rPr>
          <w:rFonts w:hAnsi="仿宋_GB2312"/>
          <w:b/>
          <w:bCs/>
          <w:color w:val="auto"/>
          <w:sz w:val="32"/>
          <w:szCs w:val="32"/>
        </w:rPr>
        <w:t xml:space="preserve">  </w:t>
      </w:r>
      <w:r>
        <w:rPr>
          <w:rFonts w:hint="eastAsia"/>
          <w:color w:val="auto"/>
          <w:sz w:val="32"/>
          <w:szCs w:val="32"/>
        </w:rPr>
        <w:t>参保人员与乙方发生医疗纠纷并涉及医疗费用结算的，乙方应当及时报告甲方。在医疗纠纷处理未完结之前，相关医疗费用甲方暂不予支付。经鉴定确认乙方有责任的，乙方责任范围内及后续治疗医疗费用甲方不予支付。</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p>
    <w:p w:rsidR="003E5C00" w:rsidRDefault="003E5C00">
      <w:pPr>
        <w:pStyle w:val="Heading2"/>
        <w:adjustRightInd/>
        <w:snapToGrid/>
        <w:spacing w:beforeLines="0" w:afterLines="0"/>
        <w:ind w:right="0"/>
        <w:rPr>
          <w:rFonts w:cs="Times New Roman"/>
        </w:rPr>
      </w:pPr>
      <w:r>
        <w:rPr>
          <w:rFonts w:hint="eastAsia"/>
        </w:rPr>
        <w:t>第五章</w:t>
      </w:r>
      <w:r>
        <w:t xml:space="preserve">  </w:t>
      </w:r>
      <w:r>
        <w:rPr>
          <w:rFonts w:hint="eastAsia"/>
        </w:rPr>
        <w:t>医疗服务监管</w:t>
      </w:r>
    </w:p>
    <w:p w:rsidR="003E5C00" w:rsidRDefault="003E5C00"/>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第四十二条</w:t>
      </w:r>
      <w:r>
        <w:rPr>
          <w:b/>
          <w:bCs/>
          <w:color w:val="auto"/>
          <w:sz w:val="32"/>
          <w:szCs w:val="32"/>
        </w:rPr>
        <w:t xml:space="preserve">  </w:t>
      </w:r>
      <w:r>
        <w:rPr>
          <w:rFonts w:hint="eastAsia"/>
          <w:color w:val="auto"/>
          <w:sz w:val="32"/>
          <w:szCs w:val="32"/>
        </w:rPr>
        <w:t>甲乙双方应当充分利用医保诚信管理和智能监控审核系统（以下简称“监控系统”）监管医疗服务。监控系统发现乙方界定清楚的违规行为，甲方可直接通过监控审核系统进行处理；甲方发现违约疑点时，应及时反馈至乙方，乙方应当及时处理，不得影响参保人员结算。</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Ansi="仿宋_GB2312" w:hint="eastAsia"/>
          <w:b/>
          <w:bCs/>
          <w:color w:val="auto"/>
          <w:sz w:val="32"/>
          <w:szCs w:val="32"/>
        </w:rPr>
        <w:t>第四十三条</w:t>
      </w:r>
      <w:r>
        <w:rPr>
          <w:rFonts w:hAnsi="仿宋_GB2312"/>
          <w:b/>
          <w:bCs/>
          <w:color w:val="auto"/>
          <w:sz w:val="32"/>
          <w:szCs w:val="32"/>
        </w:rPr>
        <w:t xml:space="preserve">  </w:t>
      </w:r>
      <w:r>
        <w:rPr>
          <w:rFonts w:hAnsi="仿宋_GB2312" w:hint="eastAsia"/>
          <w:color w:val="auto"/>
          <w:sz w:val="32"/>
          <w:szCs w:val="32"/>
        </w:rPr>
        <w:t>甲方或</w:t>
      </w:r>
      <w:r>
        <w:rPr>
          <w:rFonts w:hint="eastAsia"/>
          <w:color w:val="auto"/>
          <w:sz w:val="32"/>
          <w:szCs w:val="32"/>
        </w:rPr>
        <w:t>受甲方委托的具备资质的机构</w:t>
      </w:r>
      <w:r>
        <w:rPr>
          <w:rFonts w:hAnsi="仿宋_GB2312" w:hint="eastAsia"/>
          <w:color w:val="auto"/>
          <w:sz w:val="32"/>
          <w:szCs w:val="32"/>
        </w:rPr>
        <w:t>可定期、不定期对乙方执行医保政策和履行医保服务协议情况进行监督检</w:t>
      </w:r>
      <w:r>
        <w:rPr>
          <w:rFonts w:hint="eastAsia"/>
          <w:color w:val="auto"/>
          <w:sz w:val="32"/>
          <w:szCs w:val="32"/>
        </w:rPr>
        <w:t>查，乙方应当予以配合，并准确完整提供医疗服务有关的材料和数据。</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第四十四条</w:t>
      </w:r>
      <w:r>
        <w:rPr>
          <w:color w:val="auto"/>
          <w:sz w:val="32"/>
          <w:szCs w:val="32"/>
        </w:rPr>
        <w:t xml:space="preserve">  </w:t>
      </w:r>
      <w:r>
        <w:rPr>
          <w:rFonts w:hint="eastAsia"/>
          <w:color w:val="auto"/>
          <w:sz w:val="32"/>
          <w:szCs w:val="32"/>
        </w:rPr>
        <w:t>乙方为异地参保人员提供联网结算医疗服务的，甲方应实施监督检查，乙方的违约行为将按照诚信管理办法及按本协议相关条款处理。对乙方应通过异地就医直接结算信息平台结算的，无正当理由不得拒绝异地参保人员刷卡结算费用。</w:t>
      </w:r>
    </w:p>
    <w:p w:rsidR="003E5C00" w:rsidRDefault="003E5C00" w:rsidP="004A3E5E">
      <w:pPr>
        <w:pStyle w:val="a"/>
        <w:numPr>
          <w:ilvl w:val="0"/>
          <w:numId w:val="0"/>
        </w:numPr>
        <w:adjustRightInd/>
        <w:snapToGrid/>
        <w:spacing w:line="600" w:lineRule="exact"/>
        <w:ind w:firstLineChars="200" w:firstLine="31680"/>
        <w:rPr>
          <w:rFonts w:hAnsi="仿宋_GB2312" w:cs="Times New Roman"/>
          <w:color w:val="auto"/>
          <w:sz w:val="32"/>
          <w:szCs w:val="32"/>
        </w:rPr>
      </w:pPr>
      <w:r>
        <w:rPr>
          <w:rFonts w:hint="eastAsia"/>
          <w:b/>
          <w:bCs/>
          <w:color w:val="auto"/>
          <w:sz w:val="32"/>
          <w:szCs w:val="32"/>
        </w:rPr>
        <w:t>第四十五条</w:t>
      </w:r>
      <w:r>
        <w:rPr>
          <w:b/>
          <w:bCs/>
          <w:color w:val="auto"/>
          <w:sz w:val="32"/>
          <w:szCs w:val="32"/>
        </w:rPr>
        <w:t xml:space="preserve">  </w:t>
      </w:r>
      <w:r>
        <w:rPr>
          <w:rFonts w:hint="eastAsia"/>
          <w:color w:val="auto"/>
          <w:sz w:val="32"/>
          <w:szCs w:val="32"/>
        </w:rPr>
        <w:t>甲方建立医保基金和医疗救助基金运行分析制度，对乙方提供医疗服务的医疗费用指标进行通报评估。</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Ansi="仿宋_GB2312" w:hint="eastAsia"/>
          <w:color w:val="auto"/>
          <w:sz w:val="32"/>
          <w:szCs w:val="32"/>
        </w:rPr>
        <w:t>乙方应建立院内医疗费用分析制度，合理科学分解各项指标，按期向甲方说明医疗费用的管控情况，对相关问题落实整改。</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第四十六条</w:t>
      </w:r>
      <w:r>
        <w:rPr>
          <w:b/>
          <w:bCs/>
          <w:color w:val="auto"/>
          <w:sz w:val="32"/>
          <w:szCs w:val="32"/>
        </w:rPr>
        <w:t xml:space="preserve">  </w:t>
      </w:r>
      <w:r>
        <w:rPr>
          <w:rFonts w:hint="eastAsia"/>
          <w:color w:val="auto"/>
          <w:sz w:val="32"/>
          <w:szCs w:val="32"/>
        </w:rPr>
        <w:t>乙方应对医疗服务行为进行严格管理，严控服务不足，保证服务质量和参保人利益，不得因指标管控推诿拒收病人，不得将超过指标控制的医疗费用转嫁给参保人员自费。</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第四十七条</w:t>
      </w:r>
      <w:r>
        <w:rPr>
          <w:color w:val="auto"/>
          <w:sz w:val="32"/>
          <w:szCs w:val="32"/>
        </w:rPr>
        <w:t>*</w:t>
      </w:r>
      <w:r>
        <w:rPr>
          <w:rFonts w:hint="eastAsia"/>
          <w:color w:val="auto"/>
          <w:sz w:val="32"/>
          <w:szCs w:val="32"/>
        </w:rPr>
        <w:t>乙方应当加强年度住院医疗费用重点指标的管控。</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（一）年度住院医疗总费用增长率不得超过</w:t>
      </w:r>
      <w:r>
        <w:rPr>
          <w:color w:val="auto"/>
          <w:sz w:val="32"/>
          <w:szCs w:val="32"/>
        </w:rPr>
        <w:t>%</w:t>
      </w:r>
      <w:r>
        <w:rPr>
          <w:rFonts w:hint="eastAsia"/>
          <w:color w:val="auto"/>
          <w:sz w:val="32"/>
          <w:szCs w:val="32"/>
        </w:rPr>
        <w:t>；</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（二）次均住院医疗费用：城镇职工不得超过</w:t>
      </w:r>
      <w:r>
        <w:rPr>
          <w:color w:val="auto"/>
          <w:sz w:val="32"/>
          <w:szCs w:val="32"/>
        </w:rPr>
        <w:t xml:space="preserve">  </w:t>
      </w:r>
      <w:r>
        <w:rPr>
          <w:rFonts w:hint="eastAsia"/>
          <w:color w:val="auto"/>
          <w:sz w:val="32"/>
          <w:szCs w:val="32"/>
        </w:rPr>
        <w:t>元、城乡居民不得超过</w:t>
      </w:r>
      <w:r>
        <w:rPr>
          <w:color w:val="auto"/>
          <w:sz w:val="32"/>
          <w:szCs w:val="32"/>
        </w:rPr>
        <w:t xml:space="preserve">   </w:t>
      </w:r>
      <w:r>
        <w:rPr>
          <w:rFonts w:hint="eastAsia"/>
          <w:color w:val="auto"/>
          <w:sz w:val="32"/>
          <w:szCs w:val="32"/>
        </w:rPr>
        <w:t>元；</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（三）住院人头人次比不得超过</w:t>
      </w:r>
      <w:r>
        <w:rPr>
          <w:color w:val="auto"/>
          <w:sz w:val="32"/>
          <w:szCs w:val="32"/>
        </w:rPr>
        <w:t>%</w:t>
      </w:r>
      <w:r>
        <w:rPr>
          <w:rFonts w:hint="eastAsia"/>
          <w:color w:val="auto"/>
          <w:sz w:val="32"/>
          <w:szCs w:val="32"/>
        </w:rPr>
        <w:t>；</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（四）住院个人支出比例不得超过</w:t>
      </w:r>
      <w:r>
        <w:rPr>
          <w:color w:val="auto"/>
          <w:sz w:val="32"/>
          <w:szCs w:val="32"/>
        </w:rPr>
        <w:t>%</w:t>
      </w:r>
      <w:r>
        <w:rPr>
          <w:rFonts w:hint="eastAsia"/>
          <w:color w:val="auto"/>
          <w:sz w:val="32"/>
          <w:szCs w:val="32"/>
        </w:rPr>
        <w:t>；</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（五）年度住院人次增长率不得超过</w:t>
      </w:r>
      <w:r>
        <w:rPr>
          <w:color w:val="auto"/>
          <w:sz w:val="32"/>
          <w:szCs w:val="32"/>
        </w:rPr>
        <w:t>%</w:t>
      </w:r>
      <w:r>
        <w:rPr>
          <w:rFonts w:hint="eastAsia"/>
          <w:color w:val="auto"/>
          <w:sz w:val="32"/>
          <w:szCs w:val="32"/>
        </w:rPr>
        <w:t>；</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（六）转诊转院率不得超过</w:t>
      </w:r>
      <w:r>
        <w:rPr>
          <w:color w:val="auto"/>
          <w:sz w:val="32"/>
          <w:szCs w:val="32"/>
        </w:rPr>
        <w:t>%</w:t>
      </w:r>
      <w:r>
        <w:rPr>
          <w:rFonts w:hint="eastAsia"/>
          <w:color w:val="auto"/>
          <w:sz w:val="32"/>
          <w:szCs w:val="32"/>
        </w:rPr>
        <w:t>；</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（七）大型设备检查阳性率应达到</w:t>
      </w:r>
      <w:r>
        <w:rPr>
          <w:color w:val="auto"/>
          <w:sz w:val="32"/>
          <w:szCs w:val="32"/>
        </w:rPr>
        <w:t xml:space="preserve">  %</w:t>
      </w:r>
      <w:r>
        <w:rPr>
          <w:rFonts w:hint="eastAsia"/>
          <w:color w:val="auto"/>
          <w:sz w:val="32"/>
          <w:szCs w:val="32"/>
        </w:rPr>
        <w:t>；</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（八）药品费用占总费用比例不得超过</w:t>
      </w:r>
      <w:r>
        <w:rPr>
          <w:color w:val="auto"/>
          <w:sz w:val="32"/>
          <w:szCs w:val="32"/>
        </w:rPr>
        <w:t>%</w:t>
      </w:r>
      <w:r>
        <w:rPr>
          <w:rFonts w:hint="eastAsia"/>
          <w:color w:val="auto"/>
          <w:sz w:val="32"/>
          <w:szCs w:val="32"/>
        </w:rPr>
        <w:t>；</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（九）检查费用占总费用比例不得超过</w:t>
      </w:r>
      <w:r>
        <w:rPr>
          <w:color w:val="auto"/>
          <w:sz w:val="32"/>
          <w:szCs w:val="32"/>
        </w:rPr>
        <w:t>%</w:t>
      </w:r>
      <w:r>
        <w:rPr>
          <w:rFonts w:hint="eastAsia"/>
          <w:color w:val="auto"/>
          <w:sz w:val="32"/>
          <w:szCs w:val="32"/>
        </w:rPr>
        <w:t>；</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（十）参保人员住院个人自负比例不得超过</w:t>
      </w:r>
      <w:r>
        <w:rPr>
          <w:color w:val="auto"/>
          <w:sz w:val="32"/>
          <w:szCs w:val="32"/>
        </w:rPr>
        <w:t>%</w:t>
      </w:r>
      <w:r>
        <w:rPr>
          <w:rFonts w:hint="eastAsia"/>
          <w:color w:val="auto"/>
          <w:sz w:val="32"/>
          <w:szCs w:val="32"/>
        </w:rPr>
        <w:t>；</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color w:val="auto"/>
          <w:sz w:val="32"/>
          <w:szCs w:val="32"/>
        </w:rPr>
        <w:t>（十一）其他。</w:t>
      </w:r>
    </w:p>
    <w:p w:rsidR="003E5C00" w:rsidRDefault="003E5C00" w:rsidP="004A3E5E">
      <w:pPr>
        <w:pStyle w:val="a"/>
        <w:numPr>
          <w:ilvl w:val="0"/>
          <w:numId w:val="0"/>
        </w:numPr>
        <w:adjustRightInd/>
        <w:snapToGrid/>
        <w:spacing w:line="600" w:lineRule="exact"/>
        <w:ind w:firstLineChars="200" w:firstLine="31680"/>
        <w:rPr>
          <w:rFonts w:hAnsi="仿宋_GB2312" w:cs="Times New Roman"/>
          <w:color w:val="auto"/>
          <w:sz w:val="32"/>
          <w:szCs w:val="32"/>
        </w:rPr>
      </w:pPr>
      <w:r>
        <w:rPr>
          <w:rFonts w:hint="eastAsia"/>
          <w:b/>
          <w:bCs/>
          <w:color w:val="auto"/>
          <w:sz w:val="32"/>
          <w:szCs w:val="32"/>
        </w:rPr>
        <w:t>第四十八条</w:t>
      </w:r>
      <w:r>
        <w:rPr>
          <w:b/>
          <w:bCs/>
          <w:color w:val="auto"/>
          <w:sz w:val="32"/>
          <w:szCs w:val="32"/>
        </w:rPr>
        <w:t xml:space="preserve">  </w:t>
      </w:r>
      <w:r>
        <w:rPr>
          <w:rFonts w:hint="eastAsia"/>
          <w:color w:val="auto"/>
          <w:sz w:val="32"/>
          <w:szCs w:val="32"/>
        </w:rPr>
        <w:t>甲方根据相关医疗保障政策和本协议的约定对乙方进行定期或不定期日常监督及考核，日常监督和考核结果纳入乙方诚信档案，诚信等级与本年度保证金返还、年终清算、次年总额分配、分级管理和协议续签等挂钩。</w:t>
      </w:r>
      <w:r>
        <w:rPr>
          <w:rFonts w:hAnsi="仿宋_GB2312" w:hint="eastAsia"/>
          <w:color w:val="auto"/>
          <w:sz w:val="32"/>
          <w:szCs w:val="32"/>
        </w:rPr>
        <w:t>甲方对乙方提供的异地就医联网结算服务与本地就医服务一并进行年度考核。</w:t>
      </w:r>
    </w:p>
    <w:p w:rsidR="003E5C00" w:rsidRDefault="003E5C00" w:rsidP="004A3E5E">
      <w:pPr>
        <w:pStyle w:val="a"/>
        <w:numPr>
          <w:ilvl w:val="0"/>
          <w:numId w:val="0"/>
        </w:numPr>
        <w:adjustRightInd/>
        <w:snapToGrid/>
        <w:spacing w:line="600" w:lineRule="exact"/>
        <w:ind w:firstLineChars="200" w:firstLine="31680"/>
        <w:rPr>
          <w:rFonts w:hAnsi="仿宋_GB2312" w:cs="Times New Roman"/>
          <w:color w:val="auto"/>
          <w:sz w:val="32"/>
          <w:szCs w:val="32"/>
        </w:rPr>
      </w:pPr>
    </w:p>
    <w:p w:rsidR="003E5C00" w:rsidRDefault="003E5C00">
      <w:pPr>
        <w:pStyle w:val="Heading2"/>
        <w:adjustRightInd/>
        <w:snapToGrid/>
        <w:spacing w:beforeLines="0" w:afterLines="0"/>
        <w:ind w:right="0"/>
        <w:rPr>
          <w:rFonts w:hAnsi="黑体" w:cs="Times New Roman"/>
        </w:rPr>
      </w:pPr>
      <w:r>
        <w:rPr>
          <w:rFonts w:hAnsi="黑体" w:hint="eastAsia"/>
        </w:rPr>
        <w:t>第六章</w:t>
      </w:r>
      <w:r>
        <w:rPr>
          <w:rFonts w:hAnsi="黑体"/>
        </w:rPr>
        <w:t xml:space="preserve">  </w:t>
      </w:r>
      <w:r>
        <w:rPr>
          <w:rFonts w:hAnsi="黑体" w:hint="eastAsia"/>
        </w:rPr>
        <w:t>信息化管理</w:t>
      </w:r>
    </w:p>
    <w:p w:rsidR="003E5C00" w:rsidRDefault="003E5C00"/>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Ansi="仿宋_GB2312" w:hint="eastAsia"/>
          <w:b/>
          <w:bCs/>
          <w:color w:val="auto"/>
          <w:sz w:val="32"/>
          <w:szCs w:val="32"/>
        </w:rPr>
        <w:t>第四十九条</w:t>
      </w:r>
      <w:r>
        <w:rPr>
          <w:rFonts w:hAnsi="仿宋_GB2312"/>
          <w:b/>
          <w:bCs/>
          <w:color w:val="auto"/>
          <w:sz w:val="32"/>
          <w:szCs w:val="32"/>
        </w:rPr>
        <w:t xml:space="preserve">  </w:t>
      </w:r>
      <w:r>
        <w:rPr>
          <w:rFonts w:hAnsi="仿宋_GB2312" w:hint="eastAsia"/>
          <w:color w:val="auto"/>
          <w:sz w:val="32"/>
          <w:szCs w:val="32"/>
        </w:rPr>
        <w:t>乙方应当指定部门及</w:t>
      </w:r>
      <w:r>
        <w:rPr>
          <w:rFonts w:hint="eastAsia"/>
          <w:color w:val="auto"/>
          <w:sz w:val="32"/>
          <w:szCs w:val="32"/>
        </w:rPr>
        <w:t>专人负责医保信息管理，明确工作职责，合理设置管理权限，并将专职管理人员名单报甲方备案。甲方应当根据需要组织乙方专职管理人员进行业务培训。</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第五十条</w:t>
      </w:r>
      <w:r>
        <w:rPr>
          <w:b/>
          <w:bCs/>
          <w:color w:val="auto"/>
          <w:sz w:val="32"/>
          <w:szCs w:val="32"/>
        </w:rPr>
        <w:t xml:space="preserve">  </w:t>
      </w:r>
      <w:r>
        <w:rPr>
          <w:rFonts w:hint="eastAsia"/>
          <w:color w:val="auto"/>
          <w:sz w:val="32"/>
          <w:szCs w:val="32"/>
        </w:rPr>
        <w:t>乙方应当按本统筹地区医保信息系统的技术和接口标准，配备医保联网相关设施设备，采用有效的安全隔离措施与互联网物理隔离，经甲方验收系统合格后实现与医保信息系统有效对接。</w:t>
      </w:r>
    </w:p>
    <w:p w:rsidR="003E5C00" w:rsidRDefault="003E5C00" w:rsidP="004A3E5E">
      <w:pPr>
        <w:pStyle w:val="a0"/>
        <w:adjustRightInd/>
        <w:snapToGrid/>
        <w:spacing w:line="600" w:lineRule="exact"/>
        <w:ind w:firstLine="31680"/>
        <w:rPr>
          <w:sz w:val="32"/>
          <w:szCs w:val="32"/>
        </w:rPr>
      </w:pPr>
      <w:r>
        <w:rPr>
          <w:rFonts w:ascii="仿宋_GB2312" w:hAnsi="宋体" w:cs="仿宋_GB2312" w:hint="eastAsia"/>
          <w:sz w:val="32"/>
          <w:szCs w:val="32"/>
        </w:rPr>
        <w:t>未经甲方批准，乙方不得擅自将不具备医保结算资格的分支机构或其他机构的医疗费用纳入申报结算范围。</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Ansi="仿宋_GB2312"/>
          <w:b/>
          <w:bCs/>
          <w:color w:val="auto"/>
          <w:sz w:val="32"/>
          <w:szCs w:val="32"/>
        </w:rPr>
        <w:t>*</w:t>
      </w:r>
      <w:r>
        <w:rPr>
          <w:rFonts w:hint="eastAsia"/>
          <w:color w:val="auto"/>
          <w:sz w:val="32"/>
          <w:szCs w:val="32"/>
        </w:rPr>
        <w:t>乙方应妥善保管并使用</w:t>
      </w:r>
      <w:r>
        <w:rPr>
          <w:color w:val="auto"/>
          <w:sz w:val="32"/>
          <w:szCs w:val="32"/>
        </w:rPr>
        <w:t>PSAM</w:t>
      </w:r>
      <w:r>
        <w:rPr>
          <w:rFonts w:hint="eastAsia"/>
          <w:color w:val="auto"/>
          <w:sz w:val="32"/>
          <w:szCs w:val="32"/>
        </w:rPr>
        <w:t>卡密钥，因</w:t>
      </w:r>
      <w:r>
        <w:rPr>
          <w:color w:val="auto"/>
          <w:sz w:val="32"/>
          <w:szCs w:val="32"/>
        </w:rPr>
        <w:t>PSAM</w:t>
      </w:r>
      <w:r>
        <w:rPr>
          <w:rFonts w:hint="eastAsia"/>
          <w:color w:val="auto"/>
          <w:sz w:val="32"/>
          <w:szCs w:val="32"/>
        </w:rPr>
        <w:t>卡管理使用不当造成的损失由乙方自行承担。</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Ansi="仿宋_GB2312"/>
          <w:b/>
          <w:bCs/>
          <w:color w:val="auto"/>
          <w:sz w:val="32"/>
          <w:szCs w:val="32"/>
        </w:rPr>
        <w:t>*</w:t>
      </w:r>
      <w:r>
        <w:rPr>
          <w:rFonts w:hint="eastAsia"/>
          <w:color w:val="auto"/>
          <w:sz w:val="32"/>
          <w:szCs w:val="32"/>
        </w:rPr>
        <w:t>乙方应当按照甲方基础数据库的编码标准与自身的信息数据库进行一一对应，不得擅自扩码。</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第五十一条</w:t>
      </w:r>
      <w:r>
        <w:rPr>
          <w:b/>
          <w:bCs/>
          <w:color w:val="auto"/>
          <w:sz w:val="32"/>
          <w:szCs w:val="32"/>
        </w:rPr>
        <w:t xml:space="preserve">  </w:t>
      </w:r>
      <w:r>
        <w:rPr>
          <w:rFonts w:hint="eastAsia"/>
          <w:color w:val="auto"/>
          <w:sz w:val="32"/>
          <w:szCs w:val="32"/>
        </w:rPr>
        <w:t>甲方建立医保智能监控审核系统，乙方信息系统应有效与之对接，配合甲方将医保智能监控审核规则及重点控费指标公式嵌入医院信息系统并延伸到医生工作（护理）站和药品、医用材料、试剂等购销存管理系统。设定智能监控审核规则时，甲方应征求乙方的意见，规则确定后要告知乙方。</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第五十二条</w:t>
      </w:r>
      <w:r>
        <w:rPr>
          <w:b/>
          <w:bCs/>
          <w:color w:val="auto"/>
          <w:sz w:val="32"/>
          <w:szCs w:val="32"/>
        </w:rPr>
        <w:t xml:space="preserve">  </w:t>
      </w:r>
      <w:r>
        <w:rPr>
          <w:rFonts w:hint="eastAsia"/>
          <w:color w:val="auto"/>
          <w:sz w:val="32"/>
          <w:szCs w:val="32"/>
        </w:rPr>
        <w:t>乙方确保向甲方传输的参保人员就医、结算及其他相关信息真实准确，不得人为篡改作假。将参保人员发生的医疗服务和费用数据实时传输至甲方信息系统。未按时传输的，乙方应当说明原因，否则甲方可拒付相关费用。</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第五十三条</w:t>
      </w:r>
      <w:r>
        <w:rPr>
          <w:b/>
          <w:bCs/>
          <w:color w:val="auto"/>
          <w:sz w:val="32"/>
          <w:szCs w:val="32"/>
        </w:rPr>
        <w:t xml:space="preserve">  </w:t>
      </w:r>
      <w:r>
        <w:rPr>
          <w:rFonts w:hint="eastAsia"/>
          <w:color w:val="auto"/>
          <w:sz w:val="32"/>
          <w:szCs w:val="32"/>
        </w:rPr>
        <w:t>甲乙双方应当制定应急预案，任何一方的信息系统出现故障并影响到参保人员就医的，须及时通知对方且启动应急预案。因信息系统故障暂时不能结算的，乙方应做好解释工作，待故障排除后再行结算。</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p>
    <w:p w:rsidR="003E5C00" w:rsidRDefault="003E5C00">
      <w:pPr>
        <w:pStyle w:val="Heading2"/>
        <w:adjustRightInd/>
        <w:snapToGrid/>
        <w:spacing w:beforeLines="0" w:afterLines="0"/>
        <w:ind w:right="0"/>
        <w:rPr>
          <w:rFonts w:cs="Times New Roman"/>
        </w:rPr>
      </w:pPr>
      <w:r>
        <w:rPr>
          <w:rFonts w:hint="eastAsia"/>
        </w:rPr>
        <w:t>第七章</w:t>
      </w:r>
      <w:r>
        <w:t xml:space="preserve"> </w:t>
      </w:r>
      <w:r>
        <w:rPr>
          <w:rFonts w:hint="eastAsia"/>
        </w:rPr>
        <w:t>违约责任</w:t>
      </w:r>
    </w:p>
    <w:p w:rsidR="003E5C00" w:rsidRDefault="003E5C00"/>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第五十四条</w:t>
      </w:r>
      <w:r>
        <w:rPr>
          <w:b/>
          <w:bCs/>
          <w:color w:val="auto"/>
          <w:sz w:val="32"/>
          <w:szCs w:val="32"/>
        </w:rPr>
        <w:t xml:space="preserve">  </w:t>
      </w:r>
      <w:r>
        <w:rPr>
          <w:rFonts w:hint="eastAsia"/>
          <w:color w:val="auto"/>
          <w:sz w:val="32"/>
          <w:szCs w:val="32"/>
        </w:rPr>
        <w:t>甲方有下列情形的，乙方可要求甲方纠正，或提请医疗保障行政部门督促甲方整改：</w:t>
      </w:r>
    </w:p>
    <w:p w:rsidR="003E5C00" w:rsidRDefault="003E5C00" w:rsidP="004A3E5E">
      <w:pPr>
        <w:pStyle w:val="a0"/>
        <w:adjustRightInd/>
        <w:snapToGrid/>
        <w:spacing w:line="600" w:lineRule="exact"/>
        <w:ind w:firstLine="31680"/>
        <w:rPr>
          <w:rFonts w:ascii="仿宋_GB2312"/>
          <w:sz w:val="32"/>
          <w:szCs w:val="32"/>
        </w:rPr>
      </w:pPr>
      <w:r>
        <w:rPr>
          <w:rFonts w:ascii="仿宋_GB2312" w:cs="仿宋_GB2312" w:hint="eastAsia"/>
          <w:sz w:val="32"/>
          <w:szCs w:val="32"/>
        </w:rPr>
        <w:t>（一）未及时告知乙方医保政策和管理制度、操作流程变化情况的；</w:t>
      </w:r>
    </w:p>
    <w:p w:rsidR="003E5C00" w:rsidRDefault="003E5C00" w:rsidP="004A3E5E">
      <w:pPr>
        <w:pStyle w:val="a0"/>
        <w:adjustRightInd/>
        <w:snapToGrid/>
        <w:spacing w:line="600" w:lineRule="exact"/>
        <w:ind w:firstLine="31680"/>
        <w:rPr>
          <w:rFonts w:ascii="仿宋_GB2312"/>
          <w:sz w:val="32"/>
          <w:szCs w:val="32"/>
        </w:rPr>
      </w:pPr>
      <w:r>
        <w:rPr>
          <w:rFonts w:ascii="仿宋_GB2312" w:cs="仿宋_GB2312" w:hint="eastAsia"/>
          <w:sz w:val="32"/>
          <w:szCs w:val="32"/>
        </w:rPr>
        <w:t>（二）未按本协议规定进行医疗费用结算的；</w:t>
      </w:r>
    </w:p>
    <w:p w:rsidR="003E5C00" w:rsidRDefault="003E5C00" w:rsidP="004A3E5E">
      <w:pPr>
        <w:pStyle w:val="a0"/>
        <w:adjustRightInd/>
        <w:snapToGrid/>
        <w:spacing w:line="600" w:lineRule="exact"/>
        <w:ind w:firstLine="31680"/>
        <w:rPr>
          <w:rFonts w:ascii="仿宋_GB2312"/>
          <w:sz w:val="32"/>
          <w:szCs w:val="32"/>
        </w:rPr>
      </w:pPr>
      <w:r>
        <w:rPr>
          <w:rFonts w:ascii="仿宋_GB2312" w:cs="仿宋_GB2312" w:hint="eastAsia"/>
          <w:sz w:val="32"/>
          <w:szCs w:val="32"/>
        </w:rPr>
        <w:t>（三）工作人员违反《社会保险工作人员纪律规定》的；</w:t>
      </w:r>
    </w:p>
    <w:p w:rsidR="003E5C00" w:rsidRDefault="003E5C00" w:rsidP="004A3E5E">
      <w:pPr>
        <w:pStyle w:val="a0"/>
        <w:adjustRightInd/>
        <w:snapToGrid/>
        <w:spacing w:line="600" w:lineRule="exact"/>
        <w:ind w:firstLine="31680"/>
        <w:rPr>
          <w:rFonts w:ascii="仿宋_GB2312"/>
          <w:sz w:val="32"/>
          <w:szCs w:val="32"/>
        </w:rPr>
      </w:pPr>
      <w:r>
        <w:rPr>
          <w:rFonts w:ascii="仿宋_GB2312" w:cs="仿宋_GB2312" w:hint="eastAsia"/>
          <w:sz w:val="32"/>
          <w:szCs w:val="32"/>
        </w:rPr>
        <w:t>（四）其他违反基本医疗保险法律、法规的行为。</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第五十五条</w:t>
      </w:r>
      <w:r>
        <w:rPr>
          <w:b/>
          <w:bCs/>
          <w:color w:val="auto"/>
          <w:sz w:val="32"/>
          <w:szCs w:val="32"/>
        </w:rPr>
        <w:t xml:space="preserve">  </w:t>
      </w:r>
      <w:r>
        <w:rPr>
          <w:rFonts w:hint="eastAsia"/>
          <w:color w:val="auto"/>
          <w:sz w:val="32"/>
          <w:szCs w:val="32"/>
        </w:rPr>
        <w:t>乙方有下列违约情形但未造成医保基金损失的，甲方可要求乙方限期整改或按照《甘肃省医疗保障诚信管理办法》对乙方进行约谈、通报批评、警告等处理，并纳入乙方诚信档案。</w:t>
      </w:r>
    </w:p>
    <w:p w:rsidR="003E5C00" w:rsidRDefault="003E5C00" w:rsidP="004A3E5E">
      <w:pPr>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（一）未按本协议要求落实管理措施的；</w:t>
      </w:r>
    </w:p>
    <w:p w:rsidR="003E5C00" w:rsidRDefault="003E5C00" w:rsidP="004A3E5E">
      <w:pPr>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（二）未保障参保人员知情同意权，不向其提供费用明细清单、出院病情证明等资料或不履行知情同意手续的；</w:t>
      </w:r>
    </w:p>
    <w:p w:rsidR="003E5C00" w:rsidRDefault="003E5C00" w:rsidP="004A3E5E">
      <w:pPr>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（三）未及时处理参保人员投诉和社会监督反映问题的；</w:t>
      </w:r>
    </w:p>
    <w:p w:rsidR="003E5C00" w:rsidRDefault="003E5C00" w:rsidP="004A3E5E">
      <w:pPr>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（四）未按《病历书写基本规范》、《处方管理办法》等规定书写医疗文书的；</w:t>
      </w:r>
    </w:p>
    <w:p w:rsidR="003E5C00" w:rsidRDefault="003E5C00" w:rsidP="004A3E5E">
      <w:pPr>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（五）其他违反医保政策或服务协议约定，情节轻微的。</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第五十六条</w:t>
      </w:r>
      <w:r>
        <w:rPr>
          <w:b/>
          <w:bCs/>
          <w:color w:val="auto"/>
          <w:sz w:val="32"/>
          <w:szCs w:val="32"/>
        </w:rPr>
        <w:t xml:space="preserve">  </w:t>
      </w:r>
      <w:r>
        <w:rPr>
          <w:rFonts w:hint="eastAsia"/>
          <w:color w:val="auto"/>
          <w:sz w:val="32"/>
          <w:szCs w:val="32"/>
        </w:rPr>
        <w:t>乙方有下列违约情形之一的，甲方可要求乙方限期整改，视其情节轻重予以暂停结算、暂停协议等处理，对已支付的违规费用予以追回。</w:t>
      </w:r>
    </w:p>
    <w:p w:rsidR="003E5C00" w:rsidRDefault="003E5C00" w:rsidP="004A3E5E">
      <w:pPr>
        <w:tabs>
          <w:tab w:val="left" w:pos="1413"/>
          <w:tab w:val="left" w:pos="1838"/>
        </w:tabs>
        <w:spacing w:line="600" w:lineRule="exact"/>
        <w:ind w:firstLineChars="200" w:firstLine="31680"/>
        <w:rPr>
          <w:rFonts w:ascii="仿宋_GB2312" w:eastAsia="仿宋_GB2312"/>
          <w:sz w:val="32"/>
          <w:szCs w:val="32"/>
        </w:rPr>
      </w:pPr>
      <w:r>
        <w:rPr>
          <w:rFonts w:ascii="仿宋_GB2312" w:eastAsia="仿宋_GB2312" w:cs="仿宋_GB2312" w:hint="eastAsia"/>
          <w:sz w:val="32"/>
          <w:szCs w:val="32"/>
        </w:rPr>
        <w:t>（一）拒绝为符合刷卡条件的参保人员刷卡就医，或拒收、推诿病人，减少服务或将未达到出院标准的参保人员办理出院的；</w:t>
      </w:r>
    </w:p>
    <w:p w:rsidR="003E5C00" w:rsidRDefault="003E5C00" w:rsidP="004A3E5E">
      <w:pPr>
        <w:tabs>
          <w:tab w:val="left" w:pos="1413"/>
          <w:tab w:val="left" w:pos="1838"/>
        </w:tabs>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（二）未有效核验参保人员医保就医凭证，造成被他人冒名顶替就医的；</w:t>
      </w:r>
    </w:p>
    <w:p w:rsidR="003E5C00" w:rsidRDefault="003E5C00" w:rsidP="004A3E5E">
      <w:pPr>
        <w:tabs>
          <w:tab w:val="left" w:pos="1413"/>
          <w:tab w:val="left" w:pos="1838"/>
        </w:tabs>
        <w:spacing w:line="600" w:lineRule="exact"/>
        <w:ind w:firstLineChars="200" w:firstLine="31680"/>
        <w:rPr>
          <w:rFonts w:ascii="仿宋_GB2312" w:eastAsia="仿宋_GB2312"/>
          <w:sz w:val="32"/>
          <w:szCs w:val="32"/>
        </w:rPr>
      </w:pPr>
      <w:r>
        <w:rPr>
          <w:rFonts w:ascii="仿宋_GB2312" w:eastAsia="仿宋_GB2312" w:cs="仿宋_GB2312" w:hint="eastAsia"/>
          <w:sz w:val="32"/>
          <w:szCs w:val="32"/>
        </w:rPr>
        <w:t>（三）将可门诊治疗的参保人员收治住院的；</w:t>
      </w:r>
    </w:p>
    <w:p w:rsidR="003E5C00" w:rsidRDefault="003E5C00" w:rsidP="004A3E5E">
      <w:pPr>
        <w:tabs>
          <w:tab w:val="left" w:pos="1413"/>
          <w:tab w:val="left" w:pos="1838"/>
        </w:tabs>
        <w:spacing w:line="600" w:lineRule="exact"/>
        <w:ind w:firstLineChars="200" w:firstLine="31680"/>
        <w:rPr>
          <w:rFonts w:ascii="仿宋_GB2312" w:eastAsia="仿宋_GB2312" w:cs="仿宋_GB2312"/>
          <w:sz w:val="32"/>
          <w:szCs w:val="32"/>
        </w:rPr>
      </w:pPr>
      <w:r>
        <w:rPr>
          <w:rFonts w:ascii="仿宋_GB2312" w:eastAsia="仿宋_GB2312" w:cs="仿宋_GB2312" w:hint="eastAsia"/>
          <w:sz w:val="32"/>
          <w:szCs w:val="32"/>
        </w:rPr>
        <w:t>（四）甲方现场检查时，发现参保人员未在床（或未在院）且未办理离院手续的；</w:t>
      </w:r>
      <w:r>
        <w:rPr>
          <w:rFonts w:ascii="仿宋_GB2312" w:eastAsia="仿宋_GB2312" w:cs="仿宋_GB2312"/>
          <w:sz w:val="32"/>
          <w:szCs w:val="32"/>
        </w:rPr>
        <w:t xml:space="preserve"> </w:t>
      </w:r>
    </w:p>
    <w:p w:rsidR="003E5C00" w:rsidRDefault="003E5C00" w:rsidP="004A3E5E">
      <w:pPr>
        <w:tabs>
          <w:tab w:val="left" w:pos="1413"/>
          <w:tab w:val="left" w:pos="1838"/>
        </w:tabs>
        <w:spacing w:line="600" w:lineRule="exact"/>
        <w:ind w:firstLineChars="200" w:firstLine="31680"/>
        <w:rPr>
          <w:rFonts w:ascii="仿宋_GB2312" w:eastAsia="仿宋_GB2312"/>
          <w:sz w:val="32"/>
          <w:szCs w:val="32"/>
        </w:rPr>
      </w:pPr>
      <w:r>
        <w:rPr>
          <w:rFonts w:ascii="仿宋_GB2312" w:eastAsia="仿宋_GB2312" w:cs="仿宋_GB2312" w:hint="eastAsia"/>
          <w:sz w:val="32"/>
          <w:szCs w:val="32"/>
        </w:rPr>
        <w:t>（五）乙方提供的票据、费用清单、处方、医嘱、检查结果及病程记录等不吻合，或与实际使用情况不一致的；</w:t>
      </w:r>
    </w:p>
    <w:p w:rsidR="003E5C00" w:rsidRDefault="003E5C00" w:rsidP="004A3E5E">
      <w:pPr>
        <w:autoSpaceDN w:val="0"/>
        <w:spacing w:line="600" w:lineRule="exact"/>
        <w:ind w:firstLineChars="200" w:firstLine="31680"/>
        <w:rPr>
          <w:rFonts w:ascii="仿宋_GB2312" w:eastAsia="仿宋_GB2312" w:hAnsi="仿宋_GB2312"/>
          <w:sz w:val="32"/>
          <w:szCs w:val="32"/>
        </w:rPr>
      </w:pPr>
      <w:r>
        <w:rPr>
          <w:rFonts w:ascii="仿宋_GB2312" w:eastAsia="仿宋_GB2312" w:hAnsi="宋体" w:cs="仿宋_GB2312" w:hint="eastAsia"/>
          <w:sz w:val="32"/>
          <w:szCs w:val="32"/>
        </w:rPr>
        <w:t>（六）超出《医疗机构执业许可证》准许范围或执业地址开展医疗服务</w:t>
      </w:r>
      <w:r>
        <w:rPr>
          <w:rFonts w:ascii="仿宋_GB2312" w:eastAsia="仿宋_GB2312" w:hAnsi="仿宋_GB2312" w:cs="仿宋_GB2312" w:hint="eastAsia"/>
          <w:sz w:val="32"/>
          <w:szCs w:val="32"/>
        </w:rPr>
        <w:t>；</w:t>
      </w:r>
    </w:p>
    <w:p w:rsidR="003E5C00" w:rsidRDefault="003E5C00" w:rsidP="004A3E5E">
      <w:pPr>
        <w:autoSpaceDN w:val="0"/>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（七）未经甲方核准擅自使用新增诊疗项目，并纳入医保基金支付的；</w:t>
      </w:r>
    </w:p>
    <w:p w:rsidR="003E5C00" w:rsidRDefault="003E5C00" w:rsidP="004A3E5E">
      <w:pPr>
        <w:autoSpaceDN w:val="0"/>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（八）将医保基金应当支付的医疗费用转稼给参保人员个人自费的；</w:t>
      </w:r>
      <w:r>
        <w:rPr>
          <w:rFonts w:ascii="仿宋_GB2312" w:eastAsia="仿宋_GB2312" w:hAnsi="仿宋_GB2312" w:cs="仿宋_GB2312"/>
          <w:sz w:val="32"/>
          <w:szCs w:val="32"/>
        </w:rPr>
        <w:t xml:space="preserve"> </w:t>
      </w:r>
    </w:p>
    <w:p w:rsidR="003E5C00" w:rsidRDefault="003E5C00" w:rsidP="004A3E5E">
      <w:pPr>
        <w:autoSpaceDN w:val="0"/>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（九）参保人员出院带药超量，带检查或治疗项目出院的；</w:t>
      </w:r>
    </w:p>
    <w:p w:rsidR="003E5C00" w:rsidRDefault="003E5C00" w:rsidP="004A3E5E">
      <w:pPr>
        <w:autoSpaceDN w:val="0"/>
        <w:spacing w:line="60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（十）发生重复、分解、过度、超限制范围等违规诊疗行为的，或重复、分解、超标准收取或者自定标准收取费用的；</w:t>
      </w:r>
    </w:p>
    <w:p w:rsidR="003E5C00" w:rsidRDefault="003E5C00" w:rsidP="004A3E5E">
      <w:pPr>
        <w:autoSpaceDN w:val="0"/>
        <w:spacing w:line="60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（十一）将超出支付范围的医疗费用纳入或串换成医保支付范围内的项目予以支付的；</w:t>
      </w:r>
    </w:p>
    <w:p w:rsidR="003E5C00" w:rsidRDefault="003E5C00" w:rsidP="004A3E5E">
      <w:pPr>
        <w:autoSpaceDN w:val="0"/>
        <w:spacing w:line="600" w:lineRule="exact"/>
        <w:ind w:firstLineChars="200" w:firstLine="31680"/>
        <w:rPr>
          <w:rFonts w:ascii="仿宋_GB2312" w:eastAsia="仿宋_GB2312" w:hAnsi="仿宋_GB2312"/>
          <w:sz w:val="32"/>
          <w:szCs w:val="32"/>
        </w:rPr>
      </w:pPr>
      <w:r>
        <w:rPr>
          <w:rFonts w:ascii="仿宋" w:eastAsia="仿宋" w:hAnsi="仿宋" w:cs="仿宋" w:hint="eastAsia"/>
          <w:sz w:val="32"/>
          <w:szCs w:val="32"/>
        </w:rPr>
        <w:t>（十二）特殊疾病长期门诊未按病种诊疗或未按病种计划用药的；</w:t>
      </w:r>
    </w:p>
    <w:p w:rsidR="003E5C00" w:rsidRDefault="003E5C00" w:rsidP="004A3E5E">
      <w:pPr>
        <w:autoSpaceDN w:val="0"/>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（十三）不配合甲方监督、管理，不及时按甲方要求提供医疗服务相关资料；</w:t>
      </w:r>
    </w:p>
    <w:p w:rsidR="003E5C00" w:rsidRDefault="003E5C00" w:rsidP="004A3E5E">
      <w:pPr>
        <w:autoSpaceDN w:val="0"/>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（十四）信息系统未达到甲方要求、未按要求上传医保数据或未经甲方允许，随意修改服务器和网络配置或擅自修改</w:t>
      </w:r>
      <w:r>
        <w:rPr>
          <w:rFonts w:ascii="仿宋_GB2312" w:eastAsia="仿宋_GB2312" w:hAnsi="仿宋_GB2312" w:cs="仿宋_GB2312"/>
          <w:sz w:val="32"/>
          <w:szCs w:val="32"/>
        </w:rPr>
        <w:t>HIS</w:t>
      </w:r>
      <w:r>
        <w:rPr>
          <w:rFonts w:ascii="仿宋_GB2312" w:eastAsia="仿宋_GB2312" w:hAnsi="仿宋_GB2312" w:cs="仿宋_GB2312" w:hint="eastAsia"/>
          <w:sz w:val="32"/>
          <w:szCs w:val="32"/>
        </w:rPr>
        <w:t>收费系统中关于医疗保险相关数据的；</w:t>
      </w:r>
    </w:p>
    <w:p w:rsidR="003E5C00" w:rsidRDefault="003E5C00" w:rsidP="004A3E5E">
      <w:pPr>
        <w:autoSpaceDN w:val="0"/>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（十五）以医保定点名义从事商业广告和促销活动，诱导医疗消费的；</w:t>
      </w:r>
    </w:p>
    <w:p w:rsidR="003E5C00" w:rsidRDefault="003E5C00" w:rsidP="004A3E5E">
      <w:pPr>
        <w:autoSpaceDN w:val="0"/>
        <w:spacing w:line="600" w:lineRule="exact"/>
        <w:ind w:firstLineChars="200" w:firstLine="31680"/>
        <w:rPr>
          <w:rFonts w:ascii="仿宋_GB2312" w:eastAsia="仿宋_GB2312" w:cs="仿宋_GB2312"/>
          <w:sz w:val="32"/>
          <w:szCs w:val="32"/>
        </w:rPr>
      </w:pPr>
      <w:r>
        <w:rPr>
          <w:rFonts w:ascii="仿宋_GB2312" w:eastAsia="仿宋_GB2312" w:cs="仿宋_GB2312" w:hint="eastAsia"/>
          <w:sz w:val="32"/>
          <w:szCs w:val="32"/>
        </w:rPr>
        <w:t>（十六）</w:t>
      </w:r>
      <w:r>
        <w:rPr>
          <w:rFonts w:ascii="仿宋_GB2312" w:eastAsia="仿宋_GB2312" w:cs="仿宋_GB2312"/>
          <w:sz w:val="32"/>
          <w:szCs w:val="32"/>
        </w:rPr>
        <w:t xml:space="preserve"> </w:t>
      </w:r>
      <w:r>
        <w:rPr>
          <w:rFonts w:ascii="仿宋_GB2312" w:eastAsia="仿宋_GB2312" w:cs="仿宋_GB2312" w:hint="eastAsia"/>
          <w:sz w:val="32"/>
          <w:szCs w:val="32"/>
        </w:rPr>
        <w:t>被通报批评、警告、记不良记录之和大于等于</w:t>
      </w:r>
      <w:r>
        <w:rPr>
          <w:rFonts w:ascii="仿宋_GB2312" w:eastAsia="仿宋_GB2312" w:cs="仿宋_GB2312"/>
          <w:sz w:val="32"/>
          <w:szCs w:val="32"/>
        </w:rPr>
        <w:t>3</w:t>
      </w:r>
      <w:r>
        <w:rPr>
          <w:rFonts w:ascii="仿宋_GB2312" w:eastAsia="仿宋_GB2312" w:cs="仿宋_GB2312" w:hint="eastAsia"/>
          <w:sz w:val="32"/>
          <w:szCs w:val="32"/>
        </w:rPr>
        <w:t>次小于</w:t>
      </w:r>
      <w:r>
        <w:rPr>
          <w:rFonts w:ascii="仿宋_GB2312" w:eastAsia="仿宋_GB2312" w:cs="仿宋_GB2312"/>
          <w:sz w:val="32"/>
          <w:szCs w:val="32"/>
        </w:rPr>
        <w:t>5</w:t>
      </w:r>
      <w:r>
        <w:rPr>
          <w:rFonts w:ascii="仿宋_GB2312" w:eastAsia="仿宋_GB2312" w:cs="仿宋_GB2312" w:hint="eastAsia"/>
          <w:sz w:val="32"/>
          <w:szCs w:val="32"/>
        </w:rPr>
        <w:t>次，或诚信等级评定</w:t>
      </w:r>
      <w:r>
        <w:rPr>
          <w:rFonts w:ascii="仿宋_GB2312" w:eastAsia="仿宋_GB2312" w:cs="仿宋_GB2312"/>
          <w:sz w:val="32"/>
          <w:szCs w:val="32"/>
        </w:rPr>
        <w:t>C</w:t>
      </w:r>
      <w:r>
        <w:rPr>
          <w:rFonts w:ascii="仿宋_GB2312" w:eastAsia="仿宋_GB2312" w:cs="仿宋_GB2312" w:hint="eastAsia"/>
          <w:sz w:val="32"/>
          <w:szCs w:val="32"/>
        </w:rPr>
        <w:t>级；</w:t>
      </w:r>
      <w:r>
        <w:rPr>
          <w:rFonts w:ascii="仿宋_GB2312" w:eastAsia="仿宋_GB2312" w:cs="仿宋_GB2312"/>
          <w:sz w:val="32"/>
          <w:szCs w:val="32"/>
        </w:rPr>
        <w:t xml:space="preserve"> </w:t>
      </w:r>
    </w:p>
    <w:p w:rsidR="003E5C00" w:rsidRDefault="003E5C00" w:rsidP="004A3E5E">
      <w:pPr>
        <w:ind w:firstLineChars="200" w:firstLine="31680"/>
        <w:rPr>
          <w:rFonts w:ascii="仿宋_GB2312" w:eastAsia="仿宋_GB2312"/>
          <w:sz w:val="32"/>
          <w:szCs w:val="32"/>
        </w:rPr>
      </w:pPr>
      <w:r>
        <w:rPr>
          <w:rFonts w:ascii="仿宋_GB2312" w:eastAsia="仿宋_GB2312" w:cs="仿宋_GB2312" w:hint="eastAsia"/>
          <w:sz w:val="32"/>
          <w:szCs w:val="32"/>
        </w:rPr>
        <w:t>（十七）</w:t>
      </w:r>
      <w:r>
        <w:rPr>
          <w:rFonts w:ascii="仿宋_GB2312" w:eastAsia="仿宋_GB2312" w:cs="仿宋_GB2312"/>
          <w:sz w:val="32"/>
          <w:szCs w:val="32"/>
        </w:rPr>
        <w:t xml:space="preserve"> </w:t>
      </w:r>
      <w:r>
        <w:rPr>
          <w:rFonts w:ascii="仿宋_GB2312" w:eastAsia="仿宋_GB2312" w:cs="仿宋_GB2312" w:hint="eastAsia"/>
          <w:sz w:val="32"/>
          <w:szCs w:val="32"/>
        </w:rPr>
        <w:t>其他造成医疗保险基金较严重损失的违约行为。</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第五十七条</w:t>
      </w:r>
      <w:r>
        <w:rPr>
          <w:b/>
          <w:bCs/>
          <w:color w:val="auto"/>
          <w:sz w:val="32"/>
          <w:szCs w:val="32"/>
        </w:rPr>
        <w:t xml:space="preserve">  </w:t>
      </w:r>
      <w:r>
        <w:rPr>
          <w:rFonts w:hint="eastAsia"/>
          <w:color w:val="auto"/>
          <w:sz w:val="32"/>
          <w:szCs w:val="32"/>
        </w:rPr>
        <w:t>乙方发生以下违约行为的，一律解除服务协议，对已支付的违规费用予以追回，并处</w:t>
      </w:r>
      <w:r>
        <w:rPr>
          <w:color w:val="auto"/>
          <w:sz w:val="32"/>
          <w:szCs w:val="32"/>
        </w:rPr>
        <w:t>2</w:t>
      </w:r>
      <w:r>
        <w:rPr>
          <w:rFonts w:hint="eastAsia"/>
          <w:color w:val="auto"/>
          <w:sz w:val="32"/>
          <w:szCs w:val="32"/>
        </w:rPr>
        <w:t>倍以上</w:t>
      </w:r>
      <w:r>
        <w:rPr>
          <w:color w:val="auto"/>
          <w:sz w:val="32"/>
          <w:szCs w:val="32"/>
        </w:rPr>
        <w:t>5</w:t>
      </w:r>
      <w:r>
        <w:rPr>
          <w:rFonts w:hint="eastAsia"/>
          <w:color w:val="auto"/>
          <w:sz w:val="32"/>
          <w:szCs w:val="32"/>
        </w:rPr>
        <w:t>倍以下的罚款。</w:t>
      </w:r>
    </w:p>
    <w:p w:rsidR="003E5C00" w:rsidRDefault="003E5C00" w:rsidP="004A3E5E">
      <w:pPr>
        <w:autoSpaceDN w:val="0"/>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（一）通过伪造医疗文书、财务票据或凭证等方式，虚构医疗服务“假住院、假就诊”骗取医保基金的；</w:t>
      </w:r>
    </w:p>
    <w:p w:rsidR="003E5C00" w:rsidRDefault="003E5C00" w:rsidP="004A3E5E">
      <w:pPr>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（二）为非定点医疗机构、暂停协议医疗机构提供医疗费用结算的；</w:t>
      </w:r>
    </w:p>
    <w:p w:rsidR="003E5C00" w:rsidRDefault="003E5C00" w:rsidP="004A3E5E">
      <w:pPr>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（三）协议有效期内累计</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次被暂停协议、或暂停协议期间未按时限要求整改或整改不到位的；</w:t>
      </w:r>
    </w:p>
    <w:p w:rsidR="003E5C00" w:rsidRDefault="003E5C00" w:rsidP="004A3E5E">
      <w:pPr>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（四）被吊销《医疗机构执业许可证》、《营业执照》的；</w:t>
      </w:r>
    </w:p>
    <w:p w:rsidR="003E5C00" w:rsidRDefault="003E5C00" w:rsidP="004A3E5E">
      <w:pPr>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（五）拒绝、阻挠或不配合经办机构开展必要监督检查的；</w:t>
      </w:r>
    </w:p>
    <w:p w:rsidR="003E5C00" w:rsidRDefault="003E5C00" w:rsidP="004A3E5E">
      <w:pPr>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（六）</w:t>
      </w:r>
      <w:r>
        <w:rPr>
          <w:rFonts w:ascii="仿宋_GB2312" w:eastAsia="仿宋_GB2312" w:cs="仿宋_GB2312"/>
          <w:sz w:val="32"/>
          <w:szCs w:val="32"/>
        </w:rPr>
        <w:t xml:space="preserve"> </w:t>
      </w:r>
      <w:r>
        <w:rPr>
          <w:rFonts w:ascii="仿宋_GB2312" w:eastAsia="仿宋_GB2312" w:cs="仿宋_GB2312" w:hint="eastAsia"/>
          <w:sz w:val="32"/>
          <w:szCs w:val="32"/>
        </w:rPr>
        <w:t>有</w:t>
      </w:r>
      <w:r>
        <w:rPr>
          <w:rFonts w:ascii="仿宋_GB2312" w:eastAsia="仿宋_GB2312" w:cs="仿宋_GB2312"/>
          <w:sz w:val="32"/>
          <w:szCs w:val="32"/>
        </w:rPr>
        <w:t>3</w:t>
      </w:r>
      <w:r>
        <w:rPr>
          <w:rFonts w:ascii="仿宋_GB2312" w:eastAsia="仿宋_GB2312" w:cs="仿宋_GB2312" w:hint="eastAsia"/>
          <w:sz w:val="32"/>
          <w:szCs w:val="32"/>
        </w:rPr>
        <w:t>次及以上不良记录或被通报批评、警告、不良记录之和大于等于</w:t>
      </w:r>
      <w:r>
        <w:rPr>
          <w:rFonts w:ascii="仿宋_GB2312" w:eastAsia="仿宋_GB2312" w:cs="仿宋_GB2312"/>
          <w:sz w:val="32"/>
          <w:szCs w:val="32"/>
        </w:rPr>
        <w:t>5</w:t>
      </w:r>
      <w:r>
        <w:rPr>
          <w:rFonts w:ascii="仿宋_GB2312" w:eastAsia="仿宋_GB2312" w:cs="仿宋_GB2312" w:hint="eastAsia"/>
          <w:sz w:val="32"/>
          <w:szCs w:val="32"/>
        </w:rPr>
        <w:t>次者，或诚信等级评定为</w:t>
      </w:r>
      <w:r>
        <w:rPr>
          <w:rFonts w:ascii="仿宋_GB2312" w:eastAsia="仿宋_GB2312" w:cs="仿宋_GB2312"/>
          <w:sz w:val="32"/>
          <w:szCs w:val="32"/>
        </w:rPr>
        <w:t>D</w:t>
      </w:r>
      <w:r>
        <w:rPr>
          <w:rFonts w:ascii="仿宋_GB2312" w:eastAsia="仿宋_GB2312" w:cs="仿宋_GB2312" w:hint="eastAsia"/>
          <w:sz w:val="32"/>
          <w:szCs w:val="32"/>
        </w:rPr>
        <w:t>级，</w:t>
      </w:r>
      <w:r>
        <w:rPr>
          <w:rFonts w:ascii="仿宋_GB2312" w:eastAsia="仿宋_GB2312" w:hAnsi="仿宋" w:cs="仿宋_GB2312" w:hint="eastAsia"/>
          <w:kern w:val="0"/>
          <w:sz w:val="32"/>
          <w:szCs w:val="32"/>
        </w:rPr>
        <w:t>纳入医保黑名单；</w:t>
      </w:r>
    </w:p>
    <w:p w:rsidR="003E5C00" w:rsidRDefault="003E5C00" w:rsidP="004A3E5E">
      <w:pPr>
        <w:spacing w:line="60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（七）其他违反诚信管理或本协议造成严重后果或重大影响的违规行为。</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第五十八条</w:t>
      </w:r>
      <w:r>
        <w:rPr>
          <w:b/>
          <w:bCs/>
          <w:color w:val="auto"/>
          <w:sz w:val="32"/>
          <w:szCs w:val="32"/>
        </w:rPr>
        <w:t xml:space="preserve">  </w:t>
      </w:r>
      <w:r>
        <w:rPr>
          <w:rFonts w:hint="eastAsia"/>
          <w:color w:val="auto"/>
          <w:sz w:val="32"/>
          <w:szCs w:val="32"/>
        </w:rPr>
        <w:t>被解除医疗服务协议的定点医疗机构，</w:t>
      </w:r>
      <w:r>
        <w:rPr>
          <w:color w:val="auto"/>
          <w:sz w:val="32"/>
          <w:szCs w:val="32"/>
        </w:rPr>
        <w:t>3</w:t>
      </w:r>
      <w:r>
        <w:rPr>
          <w:rFonts w:hint="eastAsia"/>
          <w:color w:val="auto"/>
          <w:sz w:val="32"/>
          <w:szCs w:val="32"/>
        </w:rPr>
        <w:t>年内不得申请医保定点。</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第五十九条</w:t>
      </w:r>
      <w:r>
        <w:rPr>
          <w:b/>
          <w:bCs/>
          <w:color w:val="auto"/>
          <w:sz w:val="32"/>
          <w:szCs w:val="32"/>
        </w:rPr>
        <w:t xml:space="preserve">  </w:t>
      </w:r>
      <w:r>
        <w:rPr>
          <w:rFonts w:hint="eastAsia"/>
          <w:color w:val="auto"/>
          <w:sz w:val="32"/>
          <w:szCs w:val="32"/>
        </w:rPr>
        <w:t>乙方违反相关行政处罚规定的，甲方应当提请医疗保障行政部门进行行政处罚；涉嫌违法犯罪的，应当及时移送司法机关，依法追究其刑事责任。</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p>
    <w:p w:rsidR="003E5C00" w:rsidRDefault="003E5C00">
      <w:pPr>
        <w:pStyle w:val="Heading2"/>
        <w:numPr>
          <w:ilvl w:val="0"/>
          <w:numId w:val="4"/>
        </w:numPr>
        <w:adjustRightInd/>
        <w:snapToGrid/>
        <w:spacing w:beforeLines="0" w:afterLines="0"/>
        <w:ind w:right="0"/>
        <w:rPr>
          <w:rFonts w:cs="Times New Roman"/>
        </w:rPr>
      </w:pPr>
      <w:r>
        <w:t xml:space="preserve">  </w:t>
      </w:r>
      <w:r>
        <w:rPr>
          <w:rFonts w:hint="eastAsia"/>
        </w:rPr>
        <w:t>附</w:t>
      </w:r>
      <w:r>
        <w:t xml:space="preserve"> </w:t>
      </w:r>
      <w:r>
        <w:rPr>
          <w:rFonts w:hint="eastAsia"/>
        </w:rPr>
        <w:t>则</w:t>
      </w:r>
    </w:p>
    <w:p w:rsidR="003E5C00" w:rsidRDefault="003E5C00"/>
    <w:p w:rsidR="003E5C00" w:rsidRDefault="003E5C00" w:rsidP="004A3E5E">
      <w:pPr>
        <w:pStyle w:val="a"/>
        <w:numPr>
          <w:ilvl w:val="0"/>
          <w:numId w:val="0"/>
        </w:numPr>
        <w:adjustRightInd/>
        <w:snapToGrid/>
        <w:spacing w:line="600" w:lineRule="exact"/>
        <w:ind w:firstLineChars="200" w:firstLine="31680"/>
        <w:rPr>
          <w:rFonts w:cs="Times New Roman"/>
          <w:b/>
          <w:bCs/>
          <w:color w:val="auto"/>
          <w:sz w:val="32"/>
          <w:szCs w:val="32"/>
        </w:rPr>
      </w:pPr>
      <w:r>
        <w:rPr>
          <w:rFonts w:hint="eastAsia"/>
          <w:b/>
          <w:bCs/>
          <w:color w:val="auto"/>
          <w:sz w:val="32"/>
          <w:szCs w:val="32"/>
        </w:rPr>
        <w:t>第六十条</w:t>
      </w:r>
      <w:r>
        <w:rPr>
          <w:b/>
          <w:bCs/>
          <w:color w:val="auto"/>
          <w:sz w:val="32"/>
          <w:szCs w:val="32"/>
        </w:rPr>
        <w:t xml:space="preserve">  </w:t>
      </w:r>
      <w:r>
        <w:rPr>
          <w:rFonts w:hint="eastAsia"/>
          <w:color w:val="auto"/>
          <w:sz w:val="32"/>
          <w:szCs w:val="32"/>
        </w:rPr>
        <w:t>协议执行期间，国家法律、法规和政策有调整的或因重大改革政策有变化的，应按新的规定执行。若新规定与本协议不一致时，经甲、乙双方协商，可按照新规定对本协议进行修改和补充，其效力与本协议同等。</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第六十一条</w:t>
      </w:r>
      <w:r>
        <w:rPr>
          <w:b/>
          <w:bCs/>
          <w:color w:val="auto"/>
          <w:sz w:val="32"/>
          <w:szCs w:val="32"/>
        </w:rPr>
        <w:t xml:space="preserve">  </w:t>
      </w:r>
      <w:r>
        <w:rPr>
          <w:rFonts w:hint="eastAsia"/>
          <w:color w:val="auto"/>
          <w:sz w:val="32"/>
          <w:szCs w:val="32"/>
        </w:rPr>
        <w:t>定点医疗机构经主管部门批准暂停服务的，应当在批准之日起</w:t>
      </w:r>
      <w:r>
        <w:rPr>
          <w:color w:val="auto"/>
          <w:sz w:val="32"/>
          <w:szCs w:val="32"/>
        </w:rPr>
        <w:t>30</w:t>
      </w:r>
      <w:r>
        <w:rPr>
          <w:rFonts w:hint="eastAsia"/>
          <w:color w:val="auto"/>
          <w:sz w:val="32"/>
          <w:szCs w:val="32"/>
        </w:rPr>
        <w:t>个工作日内，向医疗保障部门申请保留服务协议，经批准同意，可暂停医保服务协议</w:t>
      </w:r>
      <w:r>
        <w:rPr>
          <w:color w:val="auto"/>
          <w:sz w:val="32"/>
          <w:szCs w:val="32"/>
        </w:rPr>
        <w:t>6</w:t>
      </w:r>
      <w:r>
        <w:rPr>
          <w:rFonts w:hint="eastAsia"/>
          <w:color w:val="auto"/>
          <w:sz w:val="32"/>
          <w:szCs w:val="32"/>
        </w:rPr>
        <w:t>个月。超过</w:t>
      </w:r>
      <w:r>
        <w:rPr>
          <w:color w:val="auto"/>
          <w:sz w:val="32"/>
          <w:szCs w:val="32"/>
        </w:rPr>
        <w:t>6</w:t>
      </w:r>
      <w:r>
        <w:rPr>
          <w:rFonts w:hint="eastAsia"/>
          <w:color w:val="auto"/>
          <w:sz w:val="32"/>
          <w:szCs w:val="32"/>
        </w:rPr>
        <w:t>个月未恢复正常服务的，双方自动解除医保服务协议；待乙方恢复正常服务后，按规定重新申请协议定点。</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第六十二条</w:t>
      </w:r>
      <w:r>
        <w:rPr>
          <w:b/>
          <w:bCs/>
          <w:color w:val="auto"/>
          <w:sz w:val="32"/>
          <w:szCs w:val="32"/>
        </w:rPr>
        <w:t xml:space="preserve">  </w:t>
      </w:r>
      <w:r>
        <w:rPr>
          <w:rFonts w:hint="eastAsia"/>
          <w:color w:val="auto"/>
          <w:sz w:val="32"/>
          <w:szCs w:val="32"/>
        </w:rPr>
        <w:t>有下列情形之一的，本协议终止。</w:t>
      </w:r>
    </w:p>
    <w:p w:rsidR="003E5C00" w:rsidRDefault="003E5C00" w:rsidP="004A3E5E">
      <w:pPr>
        <w:pStyle w:val="a0"/>
        <w:adjustRightInd/>
        <w:snapToGrid/>
        <w:spacing w:line="600" w:lineRule="exact"/>
        <w:ind w:firstLine="31680"/>
        <w:rPr>
          <w:sz w:val="32"/>
          <w:szCs w:val="32"/>
        </w:rPr>
      </w:pPr>
      <w:r>
        <w:rPr>
          <w:rFonts w:cs="仿宋_GB2312" w:hint="eastAsia"/>
          <w:sz w:val="32"/>
          <w:szCs w:val="32"/>
        </w:rPr>
        <w:t>（一）双方协商一致的；</w:t>
      </w:r>
    </w:p>
    <w:p w:rsidR="003E5C00" w:rsidRDefault="003E5C00" w:rsidP="004A3E5E">
      <w:pPr>
        <w:pStyle w:val="a0"/>
        <w:adjustRightInd/>
        <w:snapToGrid/>
        <w:spacing w:line="600" w:lineRule="exact"/>
        <w:ind w:firstLine="31680"/>
        <w:rPr>
          <w:sz w:val="32"/>
          <w:szCs w:val="32"/>
        </w:rPr>
      </w:pPr>
      <w:r>
        <w:rPr>
          <w:rFonts w:cs="仿宋_GB2312" w:hint="eastAsia"/>
          <w:sz w:val="32"/>
          <w:szCs w:val="32"/>
        </w:rPr>
        <w:t>（二）乙方停业或歇业（特殊情况报备经甲方核实的除外）；</w:t>
      </w:r>
    </w:p>
    <w:p w:rsidR="003E5C00" w:rsidRDefault="003E5C00" w:rsidP="004A3E5E">
      <w:pPr>
        <w:pStyle w:val="a0"/>
        <w:adjustRightInd/>
        <w:snapToGrid/>
        <w:spacing w:line="600" w:lineRule="exact"/>
        <w:ind w:firstLine="31680"/>
        <w:rPr>
          <w:sz w:val="32"/>
          <w:szCs w:val="32"/>
        </w:rPr>
      </w:pPr>
      <w:r>
        <w:rPr>
          <w:rFonts w:cs="仿宋_GB2312" w:hint="eastAsia"/>
          <w:sz w:val="32"/>
          <w:szCs w:val="32"/>
        </w:rPr>
        <w:t>（三）因不可抗力致使协议不能履行的；</w:t>
      </w:r>
    </w:p>
    <w:p w:rsidR="003E5C00" w:rsidRDefault="003E5C00" w:rsidP="004A3E5E">
      <w:pPr>
        <w:pStyle w:val="a0"/>
        <w:adjustRightInd/>
        <w:snapToGrid/>
        <w:spacing w:line="600" w:lineRule="exact"/>
        <w:ind w:firstLine="31680"/>
        <w:rPr>
          <w:sz w:val="32"/>
          <w:szCs w:val="32"/>
        </w:rPr>
      </w:pPr>
      <w:r>
        <w:rPr>
          <w:rFonts w:cs="仿宋_GB2312" w:hint="eastAsia"/>
          <w:sz w:val="32"/>
          <w:szCs w:val="32"/>
        </w:rPr>
        <w:t>（四）协议期满，非甲方原因未与甲方续签协议的；</w:t>
      </w:r>
    </w:p>
    <w:p w:rsidR="003E5C00" w:rsidRDefault="003E5C00" w:rsidP="004A3E5E">
      <w:pPr>
        <w:pStyle w:val="a0"/>
        <w:adjustRightInd/>
        <w:snapToGrid/>
        <w:spacing w:line="600" w:lineRule="exact"/>
        <w:ind w:firstLine="31680"/>
        <w:rPr>
          <w:sz w:val="32"/>
          <w:szCs w:val="32"/>
        </w:rPr>
      </w:pPr>
      <w:r>
        <w:rPr>
          <w:rFonts w:cs="仿宋_GB2312" w:hint="eastAsia"/>
          <w:sz w:val="32"/>
          <w:szCs w:val="32"/>
        </w:rPr>
        <w:t>（五）法律、法规及省、市医保政策规定的其他情形。</w:t>
      </w:r>
    </w:p>
    <w:p w:rsidR="003E5C00" w:rsidRDefault="003E5C00" w:rsidP="004A3E5E">
      <w:pPr>
        <w:pStyle w:val="a0"/>
        <w:adjustRightInd/>
        <w:snapToGrid/>
        <w:spacing w:line="600" w:lineRule="exact"/>
        <w:ind w:firstLine="31680"/>
        <w:rPr>
          <w:sz w:val="32"/>
          <w:szCs w:val="32"/>
        </w:rPr>
      </w:pPr>
      <w:r>
        <w:rPr>
          <w:rFonts w:cs="仿宋_GB2312" w:hint="eastAsia"/>
          <w:sz w:val="32"/>
          <w:szCs w:val="32"/>
        </w:rPr>
        <w:t>协议履行期间，双方需终止协议的，应提前</w:t>
      </w:r>
      <w:r>
        <w:rPr>
          <w:sz w:val="32"/>
          <w:szCs w:val="32"/>
        </w:rPr>
        <w:t>30</w:t>
      </w:r>
      <w:r>
        <w:rPr>
          <w:rFonts w:cs="仿宋_GB2312" w:hint="eastAsia"/>
          <w:sz w:val="32"/>
          <w:szCs w:val="32"/>
        </w:rPr>
        <w:t>天通知对方（协议明确立即终止的除外）。终止、解除、缓签协议的，甲乙双方应共同做好善后工作，保证参保人员正常就医。</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第六十三条</w:t>
      </w:r>
      <w:r>
        <w:rPr>
          <w:b/>
          <w:bCs/>
          <w:color w:val="auto"/>
          <w:sz w:val="32"/>
          <w:szCs w:val="32"/>
        </w:rPr>
        <w:t xml:space="preserve">  </w:t>
      </w:r>
      <w:r>
        <w:rPr>
          <w:rFonts w:hint="eastAsia"/>
          <w:color w:val="auto"/>
          <w:sz w:val="32"/>
          <w:szCs w:val="32"/>
        </w:rPr>
        <w:t>甲乙双方在协议履行过程中发生争议的，可通过协商解决。双方协商未果的，可以要求统筹地区医疗保障部门进行协调处理。对协调处理结果不服的，可依法申请行政复议或提起行政诉讼。</w:t>
      </w:r>
    </w:p>
    <w:p w:rsidR="003E5C00" w:rsidRDefault="003E5C00" w:rsidP="004A3E5E">
      <w:pPr>
        <w:pStyle w:val="a"/>
        <w:numPr>
          <w:ilvl w:val="0"/>
          <w:numId w:val="0"/>
        </w:numPr>
        <w:adjustRightInd/>
        <w:snapToGrid/>
        <w:spacing w:line="600" w:lineRule="exact"/>
        <w:ind w:leftChars="50" w:left="31680" w:firstLineChars="150" w:firstLine="31680"/>
        <w:rPr>
          <w:rFonts w:cs="Times New Roman"/>
          <w:color w:val="auto"/>
          <w:sz w:val="32"/>
          <w:szCs w:val="32"/>
        </w:rPr>
      </w:pPr>
      <w:r>
        <w:rPr>
          <w:rFonts w:hint="eastAsia"/>
          <w:b/>
          <w:bCs/>
          <w:color w:val="auto"/>
          <w:sz w:val="32"/>
          <w:szCs w:val="32"/>
        </w:rPr>
        <w:t>第六十四条</w:t>
      </w:r>
      <w:r>
        <w:rPr>
          <w:b/>
          <w:bCs/>
          <w:color w:val="auto"/>
          <w:sz w:val="32"/>
          <w:szCs w:val="32"/>
        </w:rPr>
        <w:t xml:space="preserve">  </w:t>
      </w:r>
      <w:r>
        <w:rPr>
          <w:rFonts w:hint="eastAsia"/>
          <w:color w:val="auto"/>
          <w:sz w:val="32"/>
          <w:szCs w:val="32"/>
        </w:rPr>
        <w:t>本协议有效期自</w:t>
      </w:r>
      <w:r>
        <w:rPr>
          <w:color w:val="auto"/>
          <w:sz w:val="32"/>
          <w:szCs w:val="32"/>
        </w:rPr>
        <w:t xml:space="preserve"> </w:t>
      </w:r>
      <w:r>
        <w:rPr>
          <w:rFonts w:hint="eastAsia"/>
          <w:color w:val="auto"/>
          <w:sz w:val="32"/>
          <w:szCs w:val="32"/>
        </w:rPr>
        <w:t>年</w:t>
      </w:r>
      <w:r>
        <w:rPr>
          <w:color w:val="auto"/>
          <w:sz w:val="32"/>
          <w:szCs w:val="32"/>
        </w:rPr>
        <w:t xml:space="preserve"> </w:t>
      </w:r>
      <w:r>
        <w:rPr>
          <w:rFonts w:hint="eastAsia"/>
          <w:color w:val="auto"/>
          <w:sz w:val="32"/>
          <w:szCs w:val="32"/>
        </w:rPr>
        <w:t>月</w:t>
      </w:r>
      <w:r>
        <w:rPr>
          <w:color w:val="auto"/>
          <w:sz w:val="32"/>
          <w:szCs w:val="32"/>
        </w:rPr>
        <w:t xml:space="preserve"> </w:t>
      </w:r>
      <w:r>
        <w:rPr>
          <w:rFonts w:hint="eastAsia"/>
          <w:color w:val="auto"/>
          <w:sz w:val="32"/>
          <w:szCs w:val="32"/>
        </w:rPr>
        <w:t>日起至</w:t>
      </w:r>
      <w:r>
        <w:rPr>
          <w:color w:val="auto"/>
          <w:sz w:val="32"/>
          <w:szCs w:val="32"/>
        </w:rPr>
        <w:t xml:space="preserve"> </w:t>
      </w:r>
      <w:r>
        <w:rPr>
          <w:rFonts w:hint="eastAsia"/>
          <w:color w:val="auto"/>
          <w:sz w:val="32"/>
          <w:szCs w:val="32"/>
        </w:rPr>
        <w:t>年</w:t>
      </w:r>
      <w:r>
        <w:rPr>
          <w:color w:val="auto"/>
          <w:sz w:val="32"/>
          <w:szCs w:val="32"/>
        </w:rPr>
        <w:t xml:space="preserve"> </w:t>
      </w:r>
      <w:r>
        <w:rPr>
          <w:rFonts w:hint="eastAsia"/>
          <w:color w:val="auto"/>
          <w:sz w:val="32"/>
          <w:szCs w:val="32"/>
        </w:rPr>
        <w:t>月</w:t>
      </w:r>
      <w:r>
        <w:rPr>
          <w:color w:val="auto"/>
          <w:sz w:val="32"/>
          <w:szCs w:val="32"/>
        </w:rPr>
        <w:t xml:space="preserve"> </w:t>
      </w:r>
      <w:r>
        <w:rPr>
          <w:rFonts w:hint="eastAsia"/>
          <w:color w:val="auto"/>
          <w:sz w:val="32"/>
          <w:szCs w:val="32"/>
        </w:rPr>
        <w:t>日止。协议期满后，因甲方原因未签订新协议前，原协议继续生效。</w:t>
      </w:r>
    </w:p>
    <w:p w:rsidR="003E5C00" w:rsidRDefault="003E5C00" w:rsidP="004A3E5E">
      <w:pPr>
        <w:pStyle w:val="a"/>
        <w:numPr>
          <w:ilvl w:val="0"/>
          <w:numId w:val="0"/>
        </w:numPr>
        <w:adjustRightInd/>
        <w:snapToGrid/>
        <w:spacing w:line="600" w:lineRule="exact"/>
        <w:ind w:firstLineChars="200" w:firstLine="31680"/>
        <w:rPr>
          <w:rFonts w:cs="Times New Roman"/>
          <w:color w:val="auto"/>
          <w:sz w:val="32"/>
          <w:szCs w:val="32"/>
        </w:rPr>
      </w:pPr>
      <w:r>
        <w:rPr>
          <w:rFonts w:hint="eastAsia"/>
          <w:b/>
          <w:bCs/>
          <w:color w:val="auto"/>
          <w:sz w:val="32"/>
          <w:szCs w:val="32"/>
        </w:rPr>
        <w:t>第六十五条</w:t>
      </w:r>
      <w:r>
        <w:rPr>
          <w:b/>
          <w:bCs/>
          <w:color w:val="auto"/>
          <w:sz w:val="32"/>
          <w:szCs w:val="32"/>
        </w:rPr>
        <w:t xml:space="preserve">  </w:t>
      </w:r>
      <w:r>
        <w:rPr>
          <w:rFonts w:hint="eastAsia"/>
          <w:color w:val="auto"/>
          <w:sz w:val="32"/>
          <w:szCs w:val="32"/>
        </w:rPr>
        <w:t>本协议一式两份，甲乙双方签字盖章后生效，各执一份。本协议的最终解释权归甲方所有。</w:t>
      </w:r>
    </w:p>
    <w:p w:rsidR="003E5C00" w:rsidRDefault="003E5C00" w:rsidP="004A3E5E">
      <w:pPr>
        <w:pStyle w:val="NormalWeb"/>
        <w:adjustRightInd w:val="0"/>
        <w:snapToGrid w:val="0"/>
        <w:spacing w:before="0" w:beforeAutospacing="0" w:after="0" w:afterAutospacing="0" w:line="560" w:lineRule="exact"/>
        <w:ind w:firstLineChars="150" w:firstLine="31680"/>
        <w:rPr>
          <w:rFonts w:ascii="仿宋_GB2312" w:eastAsia="仿宋_GB2312" w:hAnsi="仿宋_GB2312" w:cs="Times New Roman"/>
          <w:color w:val="auto"/>
          <w:sz w:val="32"/>
          <w:szCs w:val="32"/>
        </w:rPr>
      </w:pPr>
    </w:p>
    <w:p w:rsidR="003E5C00" w:rsidRDefault="003E5C00" w:rsidP="004A3E5E">
      <w:pPr>
        <w:pStyle w:val="NormalWeb"/>
        <w:adjustRightInd w:val="0"/>
        <w:snapToGrid w:val="0"/>
        <w:spacing w:before="0" w:beforeAutospacing="0" w:after="0" w:afterAutospacing="0" w:line="560" w:lineRule="exact"/>
        <w:ind w:firstLineChars="150" w:firstLine="31680"/>
        <w:rPr>
          <w:rFonts w:ascii="仿宋_GB2312" w:eastAsia="仿宋_GB2312" w:hAnsi="仿宋_GB2312" w:cs="Times New Roman"/>
          <w:color w:val="auto"/>
          <w:sz w:val="32"/>
          <w:szCs w:val="32"/>
        </w:rPr>
      </w:pPr>
    </w:p>
    <w:p w:rsidR="003E5C00" w:rsidRDefault="003E5C00" w:rsidP="004A3E5E">
      <w:pPr>
        <w:pStyle w:val="NormalWeb"/>
        <w:adjustRightInd w:val="0"/>
        <w:snapToGrid w:val="0"/>
        <w:spacing w:before="0" w:beforeAutospacing="0" w:after="0" w:afterAutospacing="0" w:line="560" w:lineRule="exact"/>
        <w:ind w:firstLineChars="150" w:firstLine="31680"/>
        <w:rPr>
          <w:rFonts w:ascii="仿宋_GB2312" w:eastAsia="仿宋_GB2312" w:hAnsi="仿宋_GB2312" w:cs="Times New Roman"/>
          <w:color w:val="auto"/>
          <w:sz w:val="32"/>
          <w:szCs w:val="32"/>
        </w:rPr>
      </w:pPr>
    </w:p>
    <w:p w:rsidR="003E5C00" w:rsidRDefault="003E5C00" w:rsidP="004A3E5E">
      <w:pPr>
        <w:pStyle w:val="NormalWeb"/>
        <w:adjustRightInd w:val="0"/>
        <w:snapToGrid w:val="0"/>
        <w:spacing w:before="0" w:beforeAutospacing="0" w:after="0" w:afterAutospacing="0" w:line="560" w:lineRule="exact"/>
        <w:ind w:firstLineChars="150" w:firstLine="31680"/>
        <w:rPr>
          <w:rFonts w:ascii="仿宋_GB2312" w:eastAsia="仿宋_GB2312" w:hAnsi="仿宋_GB2312" w:cs="Times New Roman"/>
          <w:color w:val="auto"/>
          <w:sz w:val="32"/>
          <w:szCs w:val="32"/>
        </w:rPr>
      </w:pPr>
    </w:p>
    <w:p w:rsidR="003E5C00" w:rsidRDefault="003E5C00" w:rsidP="004A3E5E">
      <w:pPr>
        <w:pStyle w:val="NormalWeb"/>
        <w:adjustRightInd w:val="0"/>
        <w:snapToGrid w:val="0"/>
        <w:spacing w:before="0" w:beforeAutospacing="0" w:after="0" w:afterAutospacing="0" w:line="560" w:lineRule="exact"/>
        <w:ind w:firstLineChars="150" w:firstLine="31680"/>
        <w:rPr>
          <w:rFonts w:ascii="仿宋_GB2312" w:eastAsia="仿宋_GB2312" w:hAnsi="仿宋_GB2312" w:cs="Times New Roman"/>
          <w:color w:val="auto"/>
          <w:sz w:val="32"/>
          <w:szCs w:val="32"/>
        </w:rPr>
      </w:pPr>
    </w:p>
    <w:p w:rsidR="003E5C00" w:rsidRDefault="003E5C00" w:rsidP="004A3E5E">
      <w:pPr>
        <w:pStyle w:val="NormalWeb"/>
        <w:adjustRightInd w:val="0"/>
        <w:snapToGrid w:val="0"/>
        <w:spacing w:before="0" w:beforeAutospacing="0" w:after="0" w:afterAutospacing="0" w:line="560" w:lineRule="exact"/>
        <w:ind w:firstLineChars="150" w:firstLine="31680"/>
        <w:rPr>
          <w:rFonts w:ascii="仿宋_GB2312" w:eastAsia="仿宋_GB2312" w:hAnsi="仿宋_GB2312" w:cs="Times New Roman"/>
          <w:color w:val="auto"/>
          <w:sz w:val="32"/>
          <w:szCs w:val="32"/>
        </w:rPr>
      </w:pPr>
    </w:p>
    <w:p w:rsidR="003E5C00" w:rsidRDefault="003E5C00" w:rsidP="004A3E5E">
      <w:pPr>
        <w:pStyle w:val="NormalWeb"/>
        <w:adjustRightInd w:val="0"/>
        <w:snapToGrid w:val="0"/>
        <w:spacing w:before="0" w:beforeAutospacing="0" w:after="0" w:afterAutospacing="0" w:line="560" w:lineRule="exact"/>
        <w:ind w:firstLineChars="150" w:firstLine="31680"/>
        <w:rPr>
          <w:rFonts w:ascii="仿宋_GB2312" w:eastAsia="仿宋_GB2312" w:hAnsi="仿宋_GB2312" w:cs="Times New Roman"/>
          <w:color w:val="auto"/>
          <w:sz w:val="32"/>
          <w:szCs w:val="32"/>
        </w:rPr>
      </w:pPr>
    </w:p>
    <w:p w:rsidR="003E5C00" w:rsidRDefault="003E5C00" w:rsidP="004A3E5E">
      <w:pPr>
        <w:pStyle w:val="NormalWeb"/>
        <w:adjustRightInd w:val="0"/>
        <w:snapToGrid w:val="0"/>
        <w:spacing w:before="0" w:beforeAutospacing="0" w:after="0" w:afterAutospacing="0" w:line="560" w:lineRule="exact"/>
        <w:ind w:firstLineChars="150" w:firstLine="31680"/>
        <w:rPr>
          <w:rFonts w:ascii="仿宋_GB2312" w:eastAsia="仿宋_GB2312" w:hAnsi="仿宋_GB2312" w:cs="Times New Roman"/>
          <w:color w:val="auto"/>
          <w:sz w:val="32"/>
          <w:szCs w:val="32"/>
        </w:rPr>
      </w:pPr>
    </w:p>
    <w:p w:rsidR="003E5C00" w:rsidRDefault="003E5C00" w:rsidP="004A3E5E">
      <w:pPr>
        <w:pStyle w:val="NormalWeb"/>
        <w:adjustRightInd w:val="0"/>
        <w:snapToGrid w:val="0"/>
        <w:spacing w:before="0" w:beforeAutospacing="0" w:after="0" w:afterAutospacing="0" w:line="560" w:lineRule="exact"/>
        <w:ind w:firstLineChars="150" w:firstLine="31680"/>
        <w:rPr>
          <w:rFonts w:ascii="仿宋_GB2312" w:eastAsia="仿宋_GB2312" w:hAnsi="仿宋_GB2312" w:cs="Times New Roman"/>
          <w:color w:val="auto"/>
          <w:sz w:val="32"/>
          <w:szCs w:val="32"/>
        </w:rPr>
      </w:pPr>
    </w:p>
    <w:p w:rsidR="003E5C00" w:rsidRDefault="003E5C00" w:rsidP="004A3E5E">
      <w:pPr>
        <w:pStyle w:val="NormalWeb"/>
        <w:adjustRightInd w:val="0"/>
        <w:snapToGrid w:val="0"/>
        <w:spacing w:before="0" w:beforeAutospacing="0" w:after="0" w:afterAutospacing="0" w:line="560" w:lineRule="exact"/>
        <w:ind w:firstLineChars="150" w:firstLine="31680"/>
        <w:rPr>
          <w:rFonts w:ascii="仿宋_GB2312" w:eastAsia="仿宋_GB2312" w:hAnsi="仿宋_GB2312" w:cs="Times New Roman"/>
          <w:color w:val="auto"/>
          <w:kern w:val="2"/>
          <w:sz w:val="32"/>
          <w:szCs w:val="32"/>
        </w:rPr>
      </w:pPr>
      <w:r>
        <w:rPr>
          <w:rFonts w:ascii="仿宋_GB2312" w:eastAsia="仿宋_GB2312" w:hAnsi="仿宋_GB2312" w:cs="仿宋_GB2312" w:hint="eastAsia"/>
          <w:color w:val="auto"/>
          <w:sz w:val="32"/>
          <w:szCs w:val="32"/>
        </w:rPr>
        <w:t>甲方：</w:t>
      </w:r>
      <w:r>
        <w:rPr>
          <w:rFonts w:ascii="仿宋_GB2312" w:eastAsia="仿宋_GB2312" w:hAnsi="仿宋_GB2312" w:cs="仿宋_GB2312" w:hint="eastAsia"/>
          <w:color w:val="auto"/>
          <w:kern w:val="2"/>
          <w:sz w:val="30"/>
          <w:szCs w:val="30"/>
        </w:rPr>
        <w:t>（签章）</w:t>
      </w:r>
      <w:r>
        <w:rPr>
          <w:rFonts w:ascii="仿宋_GB2312" w:eastAsia="仿宋_GB2312" w:hAnsi="仿宋_GB2312" w:cs="仿宋_GB2312"/>
          <w:color w:val="auto"/>
          <w:kern w:val="2"/>
          <w:sz w:val="30"/>
          <w:szCs w:val="30"/>
        </w:rPr>
        <w:t xml:space="preserve">                  </w:t>
      </w:r>
      <w:r>
        <w:rPr>
          <w:rFonts w:ascii="仿宋_GB2312" w:eastAsia="仿宋_GB2312" w:hAnsi="仿宋_GB2312" w:cs="仿宋_GB2312" w:hint="eastAsia"/>
          <w:color w:val="auto"/>
          <w:sz w:val="32"/>
          <w:szCs w:val="32"/>
        </w:rPr>
        <w:t>乙方：</w:t>
      </w:r>
      <w:r>
        <w:rPr>
          <w:rFonts w:ascii="仿宋_GB2312" w:eastAsia="仿宋_GB2312" w:hAnsi="仿宋_GB2312" w:cs="仿宋_GB2312" w:hint="eastAsia"/>
          <w:color w:val="auto"/>
          <w:kern w:val="2"/>
          <w:sz w:val="30"/>
          <w:szCs w:val="30"/>
        </w:rPr>
        <w:t>（签章）</w:t>
      </w:r>
    </w:p>
    <w:p w:rsidR="003E5C00" w:rsidRDefault="003E5C00" w:rsidP="004A3E5E">
      <w:pPr>
        <w:adjustRightInd w:val="0"/>
        <w:snapToGrid w:val="0"/>
        <w:spacing w:line="560" w:lineRule="exact"/>
        <w:ind w:firstLineChars="150" w:firstLine="31680"/>
        <w:rPr>
          <w:rFonts w:ascii="宋体"/>
          <w:sz w:val="32"/>
          <w:szCs w:val="32"/>
        </w:rPr>
      </w:pPr>
    </w:p>
    <w:p w:rsidR="003E5C00" w:rsidRDefault="003E5C00" w:rsidP="004A3E5E">
      <w:pPr>
        <w:adjustRightInd w:val="0"/>
        <w:snapToGrid w:val="0"/>
        <w:spacing w:line="560" w:lineRule="exact"/>
        <w:ind w:firstLineChars="150" w:firstLine="31680"/>
        <w:rPr>
          <w:rFonts w:ascii="仿宋_GB2312" w:eastAsia="仿宋_GB2312" w:hAnsi="仿宋_GB2312"/>
          <w:sz w:val="32"/>
          <w:szCs w:val="32"/>
        </w:rPr>
      </w:pPr>
      <w:r>
        <w:rPr>
          <w:rFonts w:ascii="宋体" w:hAnsi="宋体" w:cs="宋体"/>
          <w:sz w:val="32"/>
          <w:szCs w:val="32"/>
        </w:rPr>
        <w:t>XX</w:t>
      </w:r>
      <w:r>
        <w:rPr>
          <w:rFonts w:ascii="仿宋_GB2312" w:eastAsia="仿宋_GB2312" w:hAnsi="仿宋_GB2312" w:cs="仿宋_GB2312" w:hint="eastAsia"/>
          <w:sz w:val="32"/>
          <w:szCs w:val="32"/>
        </w:rPr>
        <w:t>统筹区医保经办机构</w:t>
      </w:r>
      <w:r>
        <w:rPr>
          <w:rFonts w:ascii="宋体" w:hAnsi="宋体" w:cs="宋体"/>
          <w:sz w:val="32"/>
          <w:szCs w:val="32"/>
        </w:rPr>
        <w:t>XX</w:t>
      </w:r>
      <w:r>
        <w:rPr>
          <w:rFonts w:ascii="仿宋_GB2312" w:eastAsia="仿宋_GB2312" w:hAnsi="宋体" w:cs="仿宋_GB2312" w:hint="eastAsia"/>
          <w:sz w:val="32"/>
          <w:szCs w:val="32"/>
        </w:rPr>
        <w:t>医疗机构</w:t>
      </w:r>
    </w:p>
    <w:p w:rsidR="003E5C00" w:rsidRDefault="003E5C00">
      <w:pPr>
        <w:adjustRightInd w:val="0"/>
        <w:snapToGrid w:val="0"/>
        <w:spacing w:line="560" w:lineRule="exact"/>
        <w:rPr>
          <w:rFonts w:ascii="仿宋_GB2312" w:eastAsia="仿宋_GB2312" w:hAnsi="仿宋_GB2312"/>
          <w:sz w:val="32"/>
          <w:szCs w:val="32"/>
        </w:rPr>
      </w:pPr>
    </w:p>
    <w:p w:rsidR="003E5C00" w:rsidRDefault="003E5C00" w:rsidP="004A3E5E">
      <w:pPr>
        <w:adjustRightInd w:val="0"/>
        <w:snapToGrid w:val="0"/>
        <w:spacing w:line="560" w:lineRule="exact"/>
        <w:ind w:firstLineChars="1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法定代表人：（签名）</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法定代表人：（签名）</w:t>
      </w:r>
      <w:r>
        <w:rPr>
          <w:rFonts w:ascii="仿宋_GB2312" w:eastAsia="仿宋_GB2312" w:hAnsi="仿宋_GB2312" w:cs="仿宋_GB2312"/>
          <w:sz w:val="32"/>
          <w:szCs w:val="32"/>
        </w:rPr>
        <w:t xml:space="preserve"> </w:t>
      </w:r>
    </w:p>
    <w:p w:rsidR="003E5C00" w:rsidRDefault="003E5C00" w:rsidP="004A3E5E">
      <w:pPr>
        <w:adjustRightInd w:val="0"/>
        <w:snapToGrid w:val="0"/>
        <w:spacing w:line="560" w:lineRule="exact"/>
        <w:ind w:firstLineChars="500" w:firstLine="31680"/>
        <w:rPr>
          <w:rFonts w:ascii="仿宋_GB2312" w:eastAsia="仿宋_GB2312" w:hAnsi="仿宋_GB2312"/>
          <w:sz w:val="32"/>
          <w:szCs w:val="32"/>
        </w:rPr>
      </w:pPr>
    </w:p>
    <w:p w:rsidR="003E5C00" w:rsidRDefault="003E5C00" w:rsidP="004A3E5E">
      <w:pPr>
        <w:adjustRightInd w:val="0"/>
        <w:snapToGrid w:val="0"/>
        <w:spacing w:line="560" w:lineRule="exact"/>
        <w:ind w:firstLineChars="300" w:firstLine="31680"/>
        <w:rPr>
          <w:rFonts w:ascii="宋体"/>
          <w:kern w:val="0"/>
          <w:sz w:val="24"/>
          <w:szCs w:val="24"/>
        </w:rPr>
      </w:pPr>
      <w:r>
        <w:rPr>
          <w:rFonts w:ascii="仿宋_GB2312" w:eastAsia="仿宋_GB2312" w:hAnsi="仿宋_GB2312" w:cs="仿宋_GB2312" w:hint="eastAsia"/>
          <w:sz w:val="32"/>
          <w:szCs w:val="32"/>
        </w:rPr>
        <w:t>年</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w:t>
      </w:r>
    </w:p>
    <w:p w:rsidR="003E5C00" w:rsidRDefault="003E5C00" w:rsidP="004A3E5E">
      <w:pPr>
        <w:pStyle w:val="a0"/>
        <w:adjustRightInd/>
        <w:snapToGrid/>
        <w:spacing w:line="600" w:lineRule="exact"/>
        <w:ind w:firstLine="31680"/>
        <w:rPr>
          <w:sz w:val="32"/>
          <w:szCs w:val="32"/>
        </w:rPr>
      </w:pPr>
    </w:p>
    <w:p w:rsidR="003E5C00" w:rsidRDefault="003E5C00" w:rsidP="004A3E5E">
      <w:pPr>
        <w:pStyle w:val="a0"/>
        <w:adjustRightInd/>
        <w:snapToGrid/>
        <w:spacing w:line="600" w:lineRule="exact"/>
        <w:ind w:firstLine="31680"/>
        <w:rPr>
          <w:sz w:val="32"/>
          <w:szCs w:val="32"/>
        </w:rPr>
      </w:pPr>
    </w:p>
    <w:p w:rsidR="003E5C00" w:rsidRDefault="003E5C00" w:rsidP="004A3E5E">
      <w:pPr>
        <w:pStyle w:val="a0"/>
        <w:adjustRightInd/>
        <w:snapToGrid/>
        <w:spacing w:line="600" w:lineRule="exact"/>
        <w:ind w:firstLine="31680"/>
        <w:rPr>
          <w:sz w:val="32"/>
          <w:szCs w:val="32"/>
        </w:rPr>
      </w:pPr>
    </w:p>
    <w:p w:rsidR="003E5C00" w:rsidRDefault="003E5C00" w:rsidP="004A3E5E">
      <w:pPr>
        <w:pStyle w:val="a0"/>
        <w:adjustRightInd/>
        <w:snapToGrid/>
        <w:spacing w:line="600" w:lineRule="exact"/>
        <w:ind w:firstLine="31680"/>
        <w:rPr>
          <w:sz w:val="32"/>
          <w:szCs w:val="32"/>
        </w:rPr>
      </w:pPr>
      <w:r>
        <w:rPr>
          <w:rFonts w:cs="仿宋_GB2312" w:hint="eastAsia"/>
          <w:sz w:val="32"/>
          <w:szCs w:val="32"/>
        </w:rPr>
        <w:t>（注</w:t>
      </w:r>
      <w:r>
        <w:rPr>
          <w:sz w:val="32"/>
          <w:szCs w:val="32"/>
        </w:rPr>
        <w:t>1</w:t>
      </w:r>
      <w:r>
        <w:rPr>
          <w:rFonts w:cs="仿宋_GB2312" w:hint="eastAsia"/>
          <w:sz w:val="32"/>
          <w:szCs w:val="32"/>
        </w:rPr>
        <w:t>）：本协议中带</w:t>
      </w:r>
      <w:r>
        <w:rPr>
          <w:sz w:val="32"/>
          <w:szCs w:val="32"/>
        </w:rPr>
        <w:t>*</w:t>
      </w:r>
      <w:r>
        <w:rPr>
          <w:rFonts w:cs="仿宋_GB2312" w:hint="eastAsia"/>
          <w:sz w:val="32"/>
          <w:szCs w:val="32"/>
        </w:rPr>
        <w:t>号的条款为选择条款。</w:t>
      </w:r>
    </w:p>
    <w:p w:rsidR="003E5C00" w:rsidRDefault="003E5C00" w:rsidP="004A3E5E">
      <w:pPr>
        <w:pStyle w:val="a0"/>
        <w:adjustRightInd/>
        <w:snapToGrid/>
        <w:spacing w:line="600" w:lineRule="exact"/>
        <w:ind w:firstLine="31680"/>
        <w:rPr>
          <w:sz w:val="32"/>
          <w:szCs w:val="32"/>
        </w:rPr>
      </w:pPr>
      <w:r>
        <w:rPr>
          <w:rFonts w:cs="仿宋_GB2312" w:hint="eastAsia"/>
          <w:sz w:val="32"/>
          <w:szCs w:val="32"/>
        </w:rPr>
        <w:t>（注</w:t>
      </w:r>
      <w:r>
        <w:rPr>
          <w:sz w:val="32"/>
          <w:szCs w:val="32"/>
        </w:rPr>
        <w:t>2</w:t>
      </w:r>
      <w:r>
        <w:rPr>
          <w:rFonts w:cs="仿宋_GB2312" w:hint="eastAsia"/>
          <w:sz w:val="32"/>
          <w:szCs w:val="32"/>
        </w:rPr>
        <w:t>）：本协议中带下划线的文字，供统筹地区根据具体情况选择。</w:t>
      </w:r>
    </w:p>
    <w:p w:rsidR="003E5C00" w:rsidRDefault="003E5C00" w:rsidP="004A3E5E">
      <w:pPr>
        <w:pStyle w:val="a0"/>
        <w:adjustRightInd/>
        <w:snapToGrid/>
        <w:spacing w:line="240" w:lineRule="auto"/>
        <w:ind w:firstLine="31680"/>
        <w:rPr>
          <w:sz w:val="32"/>
          <w:szCs w:val="32"/>
        </w:rPr>
      </w:pPr>
    </w:p>
    <w:p w:rsidR="003E5C00" w:rsidRDefault="003E5C00" w:rsidP="004A3E5E">
      <w:pPr>
        <w:pStyle w:val="a0"/>
        <w:adjustRightInd/>
        <w:snapToGrid/>
        <w:ind w:firstLine="31680"/>
        <w:rPr>
          <w:sz w:val="32"/>
          <w:szCs w:val="32"/>
        </w:rPr>
      </w:pPr>
    </w:p>
    <w:p w:rsidR="003E5C00" w:rsidRDefault="003E5C00">
      <w:pPr>
        <w:adjustRightInd w:val="0"/>
        <w:snapToGrid w:val="0"/>
        <w:spacing w:line="540" w:lineRule="exact"/>
        <w:rPr>
          <w:rFonts w:ascii="宋体"/>
          <w:kern w:val="0"/>
          <w:sz w:val="24"/>
          <w:szCs w:val="24"/>
        </w:rPr>
      </w:pPr>
    </w:p>
    <w:sectPr w:rsidR="003E5C00" w:rsidSect="00F325B0">
      <w:footerReference w:type="default" r:id="rId7"/>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C00" w:rsidRDefault="003E5C00" w:rsidP="00F325B0">
      <w:r>
        <w:separator/>
      </w:r>
    </w:p>
  </w:endnote>
  <w:endnote w:type="continuationSeparator" w:id="0">
    <w:p w:rsidR="003E5C00" w:rsidRDefault="003E5C00" w:rsidP="00F325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Sylfaen">
    <w:panose1 w:val="010A0502050306030303"/>
    <w:charset w:val="00"/>
    <w:family w:val="roman"/>
    <w:notTrueType/>
    <w:pitch w:val="variable"/>
    <w:sig w:usb0="00C00283" w:usb1="00000000" w:usb2="00000000" w:usb3="00000000" w:csb0="0000000D" w:csb1="00000000"/>
  </w:font>
  <w:font w:name="MingLiU">
    <w:altName w:val="?朢痽"/>
    <w:panose1 w:val="02020309000000000000"/>
    <w:charset w:val="88"/>
    <w:family w:val="modern"/>
    <w:pitch w:val="fixed"/>
    <w:sig w:usb0="00000003" w:usb1="080E0000" w:usb2="00000016" w:usb3="00000000" w:csb0="00100001" w:csb1="00000000"/>
  </w:font>
  <w:font w:name="方正小标宋_GBK">
    <w:altName w:val="方正隶书简体"/>
    <w:panose1 w:val="00000000000000000000"/>
    <w:charset w:val="86"/>
    <w:family w:val="script"/>
    <w:notTrueType/>
    <w:pitch w:val="default"/>
    <w:sig w:usb0="00000001" w:usb1="080E0000" w:usb2="00000010" w:usb3="00000000" w:csb0="00040000" w:csb1="00000000"/>
  </w:font>
  <w:font w:name="PMingLiU">
    <w:altName w:val="??朢痽"/>
    <w:panose1 w:val="02020300000000000000"/>
    <w:charset w:val="88"/>
    <w:family w:val="roman"/>
    <w:pitch w:val="variable"/>
    <w:sig w:usb0="00000003" w:usb1="080E0000" w:usb2="00000016" w:usb3="00000000" w:csb0="00100001"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00" w:rsidRDefault="003E5C00">
    <w:pPr>
      <w:pStyle w:val="Footer"/>
      <w:jc w:val="center"/>
    </w:pPr>
    <w:fldSimple w:instr="PAGE   \* MERGEFORMAT">
      <w:r w:rsidRPr="004A3E5E">
        <w:rPr>
          <w:noProof/>
          <w:lang w:val="zh-CN"/>
        </w:rPr>
        <w:t>1</w:t>
      </w:r>
    </w:fldSimple>
  </w:p>
  <w:p w:rsidR="003E5C00" w:rsidRDefault="003E5C00">
    <w:pPr>
      <w:pStyle w:val="Footer"/>
      <w:jc w:val="cen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C00" w:rsidRDefault="003E5C00" w:rsidP="00F325B0">
      <w:r>
        <w:separator/>
      </w:r>
    </w:p>
  </w:footnote>
  <w:footnote w:type="continuationSeparator" w:id="0">
    <w:p w:rsidR="003E5C00" w:rsidRDefault="003E5C00" w:rsidP="00F325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A3F76"/>
    <w:multiLevelType w:val="multilevel"/>
    <w:tmpl w:val="1CBA3F76"/>
    <w:lvl w:ilvl="0">
      <w:start w:val="8"/>
      <w:numFmt w:val="japaneseCounting"/>
      <w:lvlText w:val="第%1章"/>
      <w:lvlJc w:val="left"/>
      <w:pPr>
        <w:ind w:left="1080" w:hanging="108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24C6C30"/>
    <w:multiLevelType w:val="multilevel"/>
    <w:tmpl w:val="224C6C30"/>
    <w:lvl w:ilvl="0">
      <w:start w:val="1"/>
      <w:numFmt w:val="chineseCountingThousand"/>
      <w:pStyle w:val="a"/>
      <w:lvlText w:val="第%1条 "/>
      <w:lvlJc w:val="left"/>
      <w:pPr>
        <w:tabs>
          <w:tab w:val="left" w:pos="1413"/>
        </w:tabs>
        <w:ind w:left="1413" w:hanging="420"/>
      </w:pPr>
      <w:rPr>
        <w:rFonts w:ascii="仿宋_GB2312" w:eastAsia="仿宋_GB2312" w:hint="eastAsia"/>
        <w:b/>
        <w:bCs/>
        <w:color w:val="000000"/>
        <w:sz w:val="32"/>
        <w:szCs w:val="32"/>
      </w:rPr>
    </w:lvl>
    <w:lvl w:ilvl="1">
      <w:start w:val="1"/>
      <w:numFmt w:val="lowerLetter"/>
      <w:lvlText w:val="%2)"/>
      <w:lvlJc w:val="left"/>
      <w:pPr>
        <w:tabs>
          <w:tab w:val="left" w:pos="556"/>
        </w:tabs>
        <w:ind w:left="556" w:hanging="420"/>
      </w:pPr>
    </w:lvl>
    <w:lvl w:ilvl="2">
      <w:start w:val="1"/>
      <w:numFmt w:val="lowerRoman"/>
      <w:lvlText w:val="%3."/>
      <w:lvlJc w:val="right"/>
      <w:pPr>
        <w:tabs>
          <w:tab w:val="left" w:pos="976"/>
        </w:tabs>
        <w:ind w:left="976" w:hanging="420"/>
      </w:pPr>
    </w:lvl>
    <w:lvl w:ilvl="3">
      <w:start w:val="1"/>
      <w:numFmt w:val="decimal"/>
      <w:lvlText w:val="%4."/>
      <w:lvlJc w:val="left"/>
      <w:pPr>
        <w:tabs>
          <w:tab w:val="left" w:pos="1396"/>
        </w:tabs>
        <w:ind w:left="1396" w:hanging="420"/>
      </w:pPr>
    </w:lvl>
    <w:lvl w:ilvl="4">
      <w:start w:val="1"/>
      <w:numFmt w:val="lowerLetter"/>
      <w:lvlText w:val="%5)"/>
      <w:lvlJc w:val="left"/>
      <w:pPr>
        <w:tabs>
          <w:tab w:val="left" w:pos="1816"/>
        </w:tabs>
        <w:ind w:left="1816" w:hanging="420"/>
      </w:pPr>
    </w:lvl>
    <w:lvl w:ilvl="5">
      <w:start w:val="1"/>
      <w:numFmt w:val="lowerRoman"/>
      <w:lvlText w:val="%6."/>
      <w:lvlJc w:val="right"/>
      <w:pPr>
        <w:tabs>
          <w:tab w:val="left" w:pos="2236"/>
        </w:tabs>
        <w:ind w:left="2236" w:hanging="420"/>
      </w:pPr>
    </w:lvl>
    <w:lvl w:ilvl="6">
      <w:start w:val="1"/>
      <w:numFmt w:val="decimal"/>
      <w:lvlText w:val="%7."/>
      <w:lvlJc w:val="left"/>
      <w:pPr>
        <w:tabs>
          <w:tab w:val="left" w:pos="2656"/>
        </w:tabs>
        <w:ind w:left="2656" w:hanging="420"/>
      </w:pPr>
    </w:lvl>
    <w:lvl w:ilvl="7">
      <w:start w:val="1"/>
      <w:numFmt w:val="lowerLetter"/>
      <w:lvlText w:val="%8)"/>
      <w:lvlJc w:val="left"/>
      <w:pPr>
        <w:tabs>
          <w:tab w:val="left" w:pos="3076"/>
        </w:tabs>
        <w:ind w:left="3076" w:hanging="420"/>
      </w:pPr>
    </w:lvl>
    <w:lvl w:ilvl="8">
      <w:start w:val="1"/>
      <w:numFmt w:val="lowerRoman"/>
      <w:lvlText w:val="%9."/>
      <w:lvlJc w:val="right"/>
      <w:pPr>
        <w:tabs>
          <w:tab w:val="left" w:pos="3496"/>
        </w:tabs>
        <w:ind w:left="3496" w:hanging="420"/>
      </w:pPr>
    </w:lvl>
  </w:abstractNum>
  <w:abstractNum w:abstractNumId="2">
    <w:nsid w:val="2A040FF6"/>
    <w:multiLevelType w:val="multilevel"/>
    <w:tmpl w:val="2A040FF6"/>
    <w:lvl w:ilvl="0">
      <w:start w:val="1"/>
      <w:numFmt w:val="japaneseCounting"/>
      <w:lvlText w:val="第%1章"/>
      <w:lvlJc w:val="left"/>
      <w:pPr>
        <w:ind w:left="1320" w:hanging="13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9BE2ECE"/>
    <w:multiLevelType w:val="multilevel"/>
    <w:tmpl w:val="79BE2ECE"/>
    <w:lvl w:ilvl="0">
      <w:start w:val="3"/>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98D"/>
    <w:rsid w:val="000025FA"/>
    <w:rsid w:val="000058F4"/>
    <w:rsid w:val="00016E56"/>
    <w:rsid w:val="00016FE9"/>
    <w:rsid w:val="00017D31"/>
    <w:rsid w:val="000202D3"/>
    <w:rsid w:val="00026001"/>
    <w:rsid w:val="000557A3"/>
    <w:rsid w:val="00057C5D"/>
    <w:rsid w:val="0006046E"/>
    <w:rsid w:val="00063122"/>
    <w:rsid w:val="000703FB"/>
    <w:rsid w:val="00077560"/>
    <w:rsid w:val="0007781B"/>
    <w:rsid w:val="00080EB2"/>
    <w:rsid w:val="00083937"/>
    <w:rsid w:val="0008607F"/>
    <w:rsid w:val="00092A4B"/>
    <w:rsid w:val="0009689D"/>
    <w:rsid w:val="000A246A"/>
    <w:rsid w:val="000A3042"/>
    <w:rsid w:val="000A416D"/>
    <w:rsid w:val="000B29EE"/>
    <w:rsid w:val="000B725C"/>
    <w:rsid w:val="000C3254"/>
    <w:rsid w:val="000C43C2"/>
    <w:rsid w:val="000C4846"/>
    <w:rsid w:val="000C5E69"/>
    <w:rsid w:val="000D03C8"/>
    <w:rsid w:val="000D2867"/>
    <w:rsid w:val="000D3176"/>
    <w:rsid w:val="000D721C"/>
    <w:rsid w:val="000D737E"/>
    <w:rsid w:val="000E2453"/>
    <w:rsid w:val="000E37A0"/>
    <w:rsid w:val="000E7F4A"/>
    <w:rsid w:val="000F06FE"/>
    <w:rsid w:val="000F2351"/>
    <w:rsid w:val="000F23BA"/>
    <w:rsid w:val="000F3C40"/>
    <w:rsid w:val="0010014B"/>
    <w:rsid w:val="001040B9"/>
    <w:rsid w:val="00115FF1"/>
    <w:rsid w:val="001173FF"/>
    <w:rsid w:val="001225A2"/>
    <w:rsid w:val="00135AA7"/>
    <w:rsid w:val="00137806"/>
    <w:rsid w:val="001446FF"/>
    <w:rsid w:val="00162EBE"/>
    <w:rsid w:val="0016604A"/>
    <w:rsid w:val="00166D4D"/>
    <w:rsid w:val="001832F0"/>
    <w:rsid w:val="00191CAC"/>
    <w:rsid w:val="0019309A"/>
    <w:rsid w:val="001939EC"/>
    <w:rsid w:val="00193D33"/>
    <w:rsid w:val="001943BE"/>
    <w:rsid w:val="00195A3D"/>
    <w:rsid w:val="00196383"/>
    <w:rsid w:val="001A10D5"/>
    <w:rsid w:val="001A467A"/>
    <w:rsid w:val="001B1E09"/>
    <w:rsid w:val="001B502C"/>
    <w:rsid w:val="001C2A71"/>
    <w:rsid w:val="001C2FD7"/>
    <w:rsid w:val="001D4CAD"/>
    <w:rsid w:val="001D6160"/>
    <w:rsid w:val="001D620D"/>
    <w:rsid w:val="001E184C"/>
    <w:rsid w:val="001E1D27"/>
    <w:rsid w:val="001E2460"/>
    <w:rsid w:val="001E36C9"/>
    <w:rsid w:val="001E570C"/>
    <w:rsid w:val="001F04D5"/>
    <w:rsid w:val="001F38F6"/>
    <w:rsid w:val="001F392E"/>
    <w:rsid w:val="001F4F48"/>
    <w:rsid w:val="00201229"/>
    <w:rsid w:val="0020175D"/>
    <w:rsid w:val="00202CAF"/>
    <w:rsid w:val="0021158A"/>
    <w:rsid w:val="0021300B"/>
    <w:rsid w:val="00213471"/>
    <w:rsid w:val="00216982"/>
    <w:rsid w:val="00216F3C"/>
    <w:rsid w:val="002176FF"/>
    <w:rsid w:val="002226B2"/>
    <w:rsid w:val="00232187"/>
    <w:rsid w:val="002340D1"/>
    <w:rsid w:val="00234932"/>
    <w:rsid w:val="00235B65"/>
    <w:rsid w:val="00236C1A"/>
    <w:rsid w:val="00237D9E"/>
    <w:rsid w:val="00241A89"/>
    <w:rsid w:val="0025099C"/>
    <w:rsid w:val="0026564B"/>
    <w:rsid w:val="002677FE"/>
    <w:rsid w:val="0026783A"/>
    <w:rsid w:val="002808EB"/>
    <w:rsid w:val="002929CD"/>
    <w:rsid w:val="00293E5A"/>
    <w:rsid w:val="00294F2A"/>
    <w:rsid w:val="0029799D"/>
    <w:rsid w:val="002A004E"/>
    <w:rsid w:val="002A0AAE"/>
    <w:rsid w:val="002A4DDD"/>
    <w:rsid w:val="002A5DF2"/>
    <w:rsid w:val="002A707B"/>
    <w:rsid w:val="002B0D66"/>
    <w:rsid w:val="002B1E79"/>
    <w:rsid w:val="002B2B87"/>
    <w:rsid w:val="002B7EBD"/>
    <w:rsid w:val="002C0570"/>
    <w:rsid w:val="002C094C"/>
    <w:rsid w:val="002C1B41"/>
    <w:rsid w:val="002C24B9"/>
    <w:rsid w:val="002C6369"/>
    <w:rsid w:val="002D10B2"/>
    <w:rsid w:val="002D71BF"/>
    <w:rsid w:val="002E3506"/>
    <w:rsid w:val="002E3C6A"/>
    <w:rsid w:val="002E4102"/>
    <w:rsid w:val="002E76D7"/>
    <w:rsid w:val="002F3048"/>
    <w:rsid w:val="002F31EA"/>
    <w:rsid w:val="002F5B01"/>
    <w:rsid w:val="002F7E87"/>
    <w:rsid w:val="00302316"/>
    <w:rsid w:val="00311780"/>
    <w:rsid w:val="003123B1"/>
    <w:rsid w:val="00312C9D"/>
    <w:rsid w:val="00313BCD"/>
    <w:rsid w:val="003300BF"/>
    <w:rsid w:val="00335AB1"/>
    <w:rsid w:val="00340412"/>
    <w:rsid w:val="00342F5C"/>
    <w:rsid w:val="00345819"/>
    <w:rsid w:val="00350CFA"/>
    <w:rsid w:val="00351D20"/>
    <w:rsid w:val="00353960"/>
    <w:rsid w:val="00362EC1"/>
    <w:rsid w:val="00364A87"/>
    <w:rsid w:val="003760F9"/>
    <w:rsid w:val="003771B5"/>
    <w:rsid w:val="00386711"/>
    <w:rsid w:val="00386F9D"/>
    <w:rsid w:val="00387D25"/>
    <w:rsid w:val="0039454B"/>
    <w:rsid w:val="003978AF"/>
    <w:rsid w:val="003A49BB"/>
    <w:rsid w:val="003A7C05"/>
    <w:rsid w:val="003B1115"/>
    <w:rsid w:val="003C17F9"/>
    <w:rsid w:val="003C2F46"/>
    <w:rsid w:val="003C498D"/>
    <w:rsid w:val="003D15A1"/>
    <w:rsid w:val="003D171A"/>
    <w:rsid w:val="003E020C"/>
    <w:rsid w:val="003E02E3"/>
    <w:rsid w:val="003E0ADD"/>
    <w:rsid w:val="003E1BEF"/>
    <w:rsid w:val="003E2C50"/>
    <w:rsid w:val="003E309A"/>
    <w:rsid w:val="003E5C00"/>
    <w:rsid w:val="003E6E79"/>
    <w:rsid w:val="003F115F"/>
    <w:rsid w:val="00407BA6"/>
    <w:rsid w:val="00416028"/>
    <w:rsid w:val="00416DDF"/>
    <w:rsid w:val="004235BB"/>
    <w:rsid w:val="00437680"/>
    <w:rsid w:val="00443B28"/>
    <w:rsid w:val="0044708E"/>
    <w:rsid w:val="00460CB7"/>
    <w:rsid w:val="00461D3D"/>
    <w:rsid w:val="00467FF6"/>
    <w:rsid w:val="00471B90"/>
    <w:rsid w:val="00481F53"/>
    <w:rsid w:val="004A3AFE"/>
    <w:rsid w:val="004A3E5E"/>
    <w:rsid w:val="004A483D"/>
    <w:rsid w:val="004B52AF"/>
    <w:rsid w:val="004B70AA"/>
    <w:rsid w:val="004B7407"/>
    <w:rsid w:val="004C05E3"/>
    <w:rsid w:val="004C2812"/>
    <w:rsid w:val="004C73D4"/>
    <w:rsid w:val="004D27CD"/>
    <w:rsid w:val="004E0446"/>
    <w:rsid w:val="004E1198"/>
    <w:rsid w:val="004F3078"/>
    <w:rsid w:val="004F473E"/>
    <w:rsid w:val="005062C6"/>
    <w:rsid w:val="00516448"/>
    <w:rsid w:val="00526909"/>
    <w:rsid w:val="0052733B"/>
    <w:rsid w:val="005312BC"/>
    <w:rsid w:val="00531AD4"/>
    <w:rsid w:val="00540175"/>
    <w:rsid w:val="005467B7"/>
    <w:rsid w:val="00552986"/>
    <w:rsid w:val="005536DB"/>
    <w:rsid w:val="0055739B"/>
    <w:rsid w:val="00564D59"/>
    <w:rsid w:val="00571FBB"/>
    <w:rsid w:val="005748A6"/>
    <w:rsid w:val="00577BBD"/>
    <w:rsid w:val="00577C05"/>
    <w:rsid w:val="0058203F"/>
    <w:rsid w:val="005841D7"/>
    <w:rsid w:val="00597AC2"/>
    <w:rsid w:val="005A1690"/>
    <w:rsid w:val="005A1D53"/>
    <w:rsid w:val="005A1DD2"/>
    <w:rsid w:val="005B3042"/>
    <w:rsid w:val="005C1367"/>
    <w:rsid w:val="005C423F"/>
    <w:rsid w:val="005C7F86"/>
    <w:rsid w:val="005D08DE"/>
    <w:rsid w:val="005D319F"/>
    <w:rsid w:val="005E1F28"/>
    <w:rsid w:val="005F156F"/>
    <w:rsid w:val="005F41D0"/>
    <w:rsid w:val="005F515C"/>
    <w:rsid w:val="005F6BB0"/>
    <w:rsid w:val="005F78E5"/>
    <w:rsid w:val="00604F0A"/>
    <w:rsid w:val="00617196"/>
    <w:rsid w:val="006273F5"/>
    <w:rsid w:val="00634FF2"/>
    <w:rsid w:val="006369DD"/>
    <w:rsid w:val="006373A3"/>
    <w:rsid w:val="006377AE"/>
    <w:rsid w:val="006378BF"/>
    <w:rsid w:val="006438A6"/>
    <w:rsid w:val="006510C5"/>
    <w:rsid w:val="00653587"/>
    <w:rsid w:val="00653EE3"/>
    <w:rsid w:val="00656FD9"/>
    <w:rsid w:val="00657C58"/>
    <w:rsid w:val="006609AF"/>
    <w:rsid w:val="00667ADC"/>
    <w:rsid w:val="006715D7"/>
    <w:rsid w:val="00671F6B"/>
    <w:rsid w:val="00673B96"/>
    <w:rsid w:val="00677896"/>
    <w:rsid w:val="00680A7A"/>
    <w:rsid w:val="00681E31"/>
    <w:rsid w:val="006827CC"/>
    <w:rsid w:val="006877E6"/>
    <w:rsid w:val="00691411"/>
    <w:rsid w:val="00692F43"/>
    <w:rsid w:val="006952BF"/>
    <w:rsid w:val="0069616F"/>
    <w:rsid w:val="006A03D6"/>
    <w:rsid w:val="006A1EA0"/>
    <w:rsid w:val="006A25B0"/>
    <w:rsid w:val="006A4966"/>
    <w:rsid w:val="006A49C5"/>
    <w:rsid w:val="006A6785"/>
    <w:rsid w:val="006C577D"/>
    <w:rsid w:val="006D2EF6"/>
    <w:rsid w:val="006D3DB2"/>
    <w:rsid w:val="006E0245"/>
    <w:rsid w:val="006E629D"/>
    <w:rsid w:val="006E66F7"/>
    <w:rsid w:val="006E7B80"/>
    <w:rsid w:val="006F6579"/>
    <w:rsid w:val="007006F8"/>
    <w:rsid w:val="00706685"/>
    <w:rsid w:val="007066D8"/>
    <w:rsid w:val="00707267"/>
    <w:rsid w:val="00712D4B"/>
    <w:rsid w:val="007203DA"/>
    <w:rsid w:val="00723927"/>
    <w:rsid w:val="00726DBA"/>
    <w:rsid w:val="00727DBF"/>
    <w:rsid w:val="00734217"/>
    <w:rsid w:val="00735B81"/>
    <w:rsid w:val="00746354"/>
    <w:rsid w:val="00751047"/>
    <w:rsid w:val="00751313"/>
    <w:rsid w:val="00752793"/>
    <w:rsid w:val="00756799"/>
    <w:rsid w:val="00766E05"/>
    <w:rsid w:val="00766F6C"/>
    <w:rsid w:val="0077157A"/>
    <w:rsid w:val="00772E4A"/>
    <w:rsid w:val="0077377B"/>
    <w:rsid w:val="00773CD1"/>
    <w:rsid w:val="00777435"/>
    <w:rsid w:val="00786BCC"/>
    <w:rsid w:val="007871FD"/>
    <w:rsid w:val="00790F93"/>
    <w:rsid w:val="00791134"/>
    <w:rsid w:val="007928B6"/>
    <w:rsid w:val="007932BC"/>
    <w:rsid w:val="007973E9"/>
    <w:rsid w:val="007974B8"/>
    <w:rsid w:val="007A4B7F"/>
    <w:rsid w:val="007A5FB9"/>
    <w:rsid w:val="007B4979"/>
    <w:rsid w:val="007C3A5D"/>
    <w:rsid w:val="007C4584"/>
    <w:rsid w:val="007C5AD4"/>
    <w:rsid w:val="007C796F"/>
    <w:rsid w:val="007D3FB2"/>
    <w:rsid w:val="007D56F0"/>
    <w:rsid w:val="007E1205"/>
    <w:rsid w:val="007E3F86"/>
    <w:rsid w:val="007E68FB"/>
    <w:rsid w:val="007F06BB"/>
    <w:rsid w:val="007F2C4F"/>
    <w:rsid w:val="00802490"/>
    <w:rsid w:val="00805024"/>
    <w:rsid w:val="008064B3"/>
    <w:rsid w:val="00811A6A"/>
    <w:rsid w:val="0081649E"/>
    <w:rsid w:val="0081654A"/>
    <w:rsid w:val="00825722"/>
    <w:rsid w:val="00830A80"/>
    <w:rsid w:val="00843259"/>
    <w:rsid w:val="008437E4"/>
    <w:rsid w:val="00844788"/>
    <w:rsid w:val="00844B08"/>
    <w:rsid w:val="0084517F"/>
    <w:rsid w:val="00846301"/>
    <w:rsid w:val="00846769"/>
    <w:rsid w:val="008472C2"/>
    <w:rsid w:val="008479E6"/>
    <w:rsid w:val="0086180B"/>
    <w:rsid w:val="008674C5"/>
    <w:rsid w:val="0087266A"/>
    <w:rsid w:val="00872CE5"/>
    <w:rsid w:val="00874F27"/>
    <w:rsid w:val="00876F09"/>
    <w:rsid w:val="008800D4"/>
    <w:rsid w:val="008810BF"/>
    <w:rsid w:val="008819CB"/>
    <w:rsid w:val="008853FE"/>
    <w:rsid w:val="00885BEB"/>
    <w:rsid w:val="00886C63"/>
    <w:rsid w:val="00887C6A"/>
    <w:rsid w:val="008922B0"/>
    <w:rsid w:val="008A06CA"/>
    <w:rsid w:val="008A40FD"/>
    <w:rsid w:val="008B560E"/>
    <w:rsid w:val="008C6A18"/>
    <w:rsid w:val="008E415B"/>
    <w:rsid w:val="008F1FFD"/>
    <w:rsid w:val="00915086"/>
    <w:rsid w:val="009252FD"/>
    <w:rsid w:val="00925C18"/>
    <w:rsid w:val="009341FA"/>
    <w:rsid w:val="00934C7B"/>
    <w:rsid w:val="009465CB"/>
    <w:rsid w:val="00955DA7"/>
    <w:rsid w:val="00964085"/>
    <w:rsid w:val="00965678"/>
    <w:rsid w:val="009662D7"/>
    <w:rsid w:val="00966EA6"/>
    <w:rsid w:val="00967F49"/>
    <w:rsid w:val="00970850"/>
    <w:rsid w:val="00977513"/>
    <w:rsid w:val="009775C8"/>
    <w:rsid w:val="009779B7"/>
    <w:rsid w:val="00980971"/>
    <w:rsid w:val="0098234E"/>
    <w:rsid w:val="0098341A"/>
    <w:rsid w:val="00987D01"/>
    <w:rsid w:val="00993E26"/>
    <w:rsid w:val="0099748B"/>
    <w:rsid w:val="009A29B7"/>
    <w:rsid w:val="009A7EA0"/>
    <w:rsid w:val="009B28DD"/>
    <w:rsid w:val="009B2DBF"/>
    <w:rsid w:val="009B5C66"/>
    <w:rsid w:val="009B71B6"/>
    <w:rsid w:val="009C118C"/>
    <w:rsid w:val="009C2D17"/>
    <w:rsid w:val="009C541A"/>
    <w:rsid w:val="009C6952"/>
    <w:rsid w:val="009D00BB"/>
    <w:rsid w:val="009D6269"/>
    <w:rsid w:val="009D74DD"/>
    <w:rsid w:val="009E60A9"/>
    <w:rsid w:val="009F0295"/>
    <w:rsid w:val="009F06C4"/>
    <w:rsid w:val="009F0B11"/>
    <w:rsid w:val="009F0BF4"/>
    <w:rsid w:val="009F5464"/>
    <w:rsid w:val="009F5521"/>
    <w:rsid w:val="00A017FB"/>
    <w:rsid w:val="00A018D4"/>
    <w:rsid w:val="00A043C1"/>
    <w:rsid w:val="00A04450"/>
    <w:rsid w:val="00A04E40"/>
    <w:rsid w:val="00A17B8B"/>
    <w:rsid w:val="00A17EE0"/>
    <w:rsid w:val="00A205B3"/>
    <w:rsid w:val="00A21B41"/>
    <w:rsid w:val="00A23747"/>
    <w:rsid w:val="00A24B74"/>
    <w:rsid w:val="00A329F3"/>
    <w:rsid w:val="00A43FDB"/>
    <w:rsid w:val="00A44572"/>
    <w:rsid w:val="00A4622C"/>
    <w:rsid w:val="00A524C1"/>
    <w:rsid w:val="00A563F7"/>
    <w:rsid w:val="00A647B4"/>
    <w:rsid w:val="00A6699B"/>
    <w:rsid w:val="00A76AA1"/>
    <w:rsid w:val="00A803DC"/>
    <w:rsid w:val="00A91D5A"/>
    <w:rsid w:val="00A93086"/>
    <w:rsid w:val="00A95478"/>
    <w:rsid w:val="00AB0264"/>
    <w:rsid w:val="00AB73A1"/>
    <w:rsid w:val="00AC1524"/>
    <w:rsid w:val="00AC695A"/>
    <w:rsid w:val="00AD3DC6"/>
    <w:rsid w:val="00AE04BE"/>
    <w:rsid w:val="00AF19B4"/>
    <w:rsid w:val="00AF320F"/>
    <w:rsid w:val="00AF577A"/>
    <w:rsid w:val="00B01E60"/>
    <w:rsid w:val="00B0320D"/>
    <w:rsid w:val="00B03438"/>
    <w:rsid w:val="00B04547"/>
    <w:rsid w:val="00B04F92"/>
    <w:rsid w:val="00B13129"/>
    <w:rsid w:val="00B1527A"/>
    <w:rsid w:val="00B16065"/>
    <w:rsid w:val="00B22329"/>
    <w:rsid w:val="00B23DA7"/>
    <w:rsid w:val="00B24B38"/>
    <w:rsid w:val="00B27A2D"/>
    <w:rsid w:val="00B27F61"/>
    <w:rsid w:val="00B31182"/>
    <w:rsid w:val="00B31E8E"/>
    <w:rsid w:val="00B5782A"/>
    <w:rsid w:val="00B57D76"/>
    <w:rsid w:val="00B60F83"/>
    <w:rsid w:val="00B6187C"/>
    <w:rsid w:val="00B62BB7"/>
    <w:rsid w:val="00B642EC"/>
    <w:rsid w:val="00B65C65"/>
    <w:rsid w:val="00B67187"/>
    <w:rsid w:val="00B7030A"/>
    <w:rsid w:val="00B70664"/>
    <w:rsid w:val="00B71021"/>
    <w:rsid w:val="00B721F8"/>
    <w:rsid w:val="00B843C9"/>
    <w:rsid w:val="00B84F93"/>
    <w:rsid w:val="00B86DB1"/>
    <w:rsid w:val="00BA45D6"/>
    <w:rsid w:val="00BB02E9"/>
    <w:rsid w:val="00BB0E0D"/>
    <w:rsid w:val="00BB2C16"/>
    <w:rsid w:val="00BB3E77"/>
    <w:rsid w:val="00BB5C8F"/>
    <w:rsid w:val="00BC4C23"/>
    <w:rsid w:val="00BC55C8"/>
    <w:rsid w:val="00BC6A4A"/>
    <w:rsid w:val="00BC6D07"/>
    <w:rsid w:val="00BD354B"/>
    <w:rsid w:val="00BE2F8E"/>
    <w:rsid w:val="00BE7F6B"/>
    <w:rsid w:val="00BF3792"/>
    <w:rsid w:val="00BF696C"/>
    <w:rsid w:val="00C07104"/>
    <w:rsid w:val="00C07A04"/>
    <w:rsid w:val="00C138B0"/>
    <w:rsid w:val="00C2141F"/>
    <w:rsid w:val="00C27616"/>
    <w:rsid w:val="00C32451"/>
    <w:rsid w:val="00C36799"/>
    <w:rsid w:val="00C4793A"/>
    <w:rsid w:val="00C57DCC"/>
    <w:rsid w:val="00C615BE"/>
    <w:rsid w:val="00C61B9B"/>
    <w:rsid w:val="00C64D7E"/>
    <w:rsid w:val="00C6756A"/>
    <w:rsid w:val="00C6778C"/>
    <w:rsid w:val="00C73AE7"/>
    <w:rsid w:val="00C74C38"/>
    <w:rsid w:val="00C76D2A"/>
    <w:rsid w:val="00C7792C"/>
    <w:rsid w:val="00C82DA4"/>
    <w:rsid w:val="00C84D08"/>
    <w:rsid w:val="00C91B5D"/>
    <w:rsid w:val="00C93986"/>
    <w:rsid w:val="00C94478"/>
    <w:rsid w:val="00C9556C"/>
    <w:rsid w:val="00CA375E"/>
    <w:rsid w:val="00CA5145"/>
    <w:rsid w:val="00CA5BC8"/>
    <w:rsid w:val="00CA5F5E"/>
    <w:rsid w:val="00CB5273"/>
    <w:rsid w:val="00CB78FF"/>
    <w:rsid w:val="00CC179D"/>
    <w:rsid w:val="00CC304C"/>
    <w:rsid w:val="00CC3E11"/>
    <w:rsid w:val="00CC5AEA"/>
    <w:rsid w:val="00CC6F31"/>
    <w:rsid w:val="00CC795B"/>
    <w:rsid w:val="00CD16B2"/>
    <w:rsid w:val="00CD1DB2"/>
    <w:rsid w:val="00CE3853"/>
    <w:rsid w:val="00CF0766"/>
    <w:rsid w:val="00CF4D91"/>
    <w:rsid w:val="00CF54B6"/>
    <w:rsid w:val="00CF58D1"/>
    <w:rsid w:val="00CF722C"/>
    <w:rsid w:val="00D05367"/>
    <w:rsid w:val="00D10ED2"/>
    <w:rsid w:val="00D13477"/>
    <w:rsid w:val="00D2322F"/>
    <w:rsid w:val="00D3009C"/>
    <w:rsid w:val="00D35752"/>
    <w:rsid w:val="00D40FA1"/>
    <w:rsid w:val="00D4144E"/>
    <w:rsid w:val="00D446D7"/>
    <w:rsid w:val="00D52F8B"/>
    <w:rsid w:val="00D54F19"/>
    <w:rsid w:val="00D55A5A"/>
    <w:rsid w:val="00D56CF0"/>
    <w:rsid w:val="00D61D9C"/>
    <w:rsid w:val="00D6456A"/>
    <w:rsid w:val="00D67FCC"/>
    <w:rsid w:val="00D736AC"/>
    <w:rsid w:val="00D859AB"/>
    <w:rsid w:val="00D87B08"/>
    <w:rsid w:val="00D968A6"/>
    <w:rsid w:val="00D97D3F"/>
    <w:rsid w:val="00DA1BA0"/>
    <w:rsid w:val="00DA1BE9"/>
    <w:rsid w:val="00DB6054"/>
    <w:rsid w:val="00DB7DD2"/>
    <w:rsid w:val="00DC22E1"/>
    <w:rsid w:val="00DC386C"/>
    <w:rsid w:val="00DD0A17"/>
    <w:rsid w:val="00DD163A"/>
    <w:rsid w:val="00DD457A"/>
    <w:rsid w:val="00DD7148"/>
    <w:rsid w:val="00DE135E"/>
    <w:rsid w:val="00E029AA"/>
    <w:rsid w:val="00E07B21"/>
    <w:rsid w:val="00E07F4F"/>
    <w:rsid w:val="00E14286"/>
    <w:rsid w:val="00E171C0"/>
    <w:rsid w:val="00E176AE"/>
    <w:rsid w:val="00E23140"/>
    <w:rsid w:val="00E23569"/>
    <w:rsid w:val="00E3006F"/>
    <w:rsid w:val="00E4090E"/>
    <w:rsid w:val="00E45653"/>
    <w:rsid w:val="00E51652"/>
    <w:rsid w:val="00E52BB9"/>
    <w:rsid w:val="00E53863"/>
    <w:rsid w:val="00E57A3A"/>
    <w:rsid w:val="00E75AED"/>
    <w:rsid w:val="00E7659F"/>
    <w:rsid w:val="00E80746"/>
    <w:rsid w:val="00E91E30"/>
    <w:rsid w:val="00E9390D"/>
    <w:rsid w:val="00E96E9E"/>
    <w:rsid w:val="00E97D15"/>
    <w:rsid w:val="00EA2ADC"/>
    <w:rsid w:val="00EA65AF"/>
    <w:rsid w:val="00EA68A9"/>
    <w:rsid w:val="00EA6C0E"/>
    <w:rsid w:val="00EA6D15"/>
    <w:rsid w:val="00EB0E12"/>
    <w:rsid w:val="00EB5017"/>
    <w:rsid w:val="00EB60F0"/>
    <w:rsid w:val="00EB6455"/>
    <w:rsid w:val="00EC0157"/>
    <w:rsid w:val="00EC4444"/>
    <w:rsid w:val="00EC5900"/>
    <w:rsid w:val="00ED1F70"/>
    <w:rsid w:val="00EE1B73"/>
    <w:rsid w:val="00EE1FE1"/>
    <w:rsid w:val="00EE3269"/>
    <w:rsid w:val="00EE355D"/>
    <w:rsid w:val="00EE73AA"/>
    <w:rsid w:val="00EE7B7F"/>
    <w:rsid w:val="00EE7D5A"/>
    <w:rsid w:val="00EF002E"/>
    <w:rsid w:val="00EF495F"/>
    <w:rsid w:val="00F0045B"/>
    <w:rsid w:val="00F045E3"/>
    <w:rsid w:val="00F04FDF"/>
    <w:rsid w:val="00F069FC"/>
    <w:rsid w:val="00F06A92"/>
    <w:rsid w:val="00F20551"/>
    <w:rsid w:val="00F20F92"/>
    <w:rsid w:val="00F215A2"/>
    <w:rsid w:val="00F221D1"/>
    <w:rsid w:val="00F24DC3"/>
    <w:rsid w:val="00F2658B"/>
    <w:rsid w:val="00F325B0"/>
    <w:rsid w:val="00F34C0E"/>
    <w:rsid w:val="00F45285"/>
    <w:rsid w:val="00F4607C"/>
    <w:rsid w:val="00F47E14"/>
    <w:rsid w:val="00F50CBD"/>
    <w:rsid w:val="00F52615"/>
    <w:rsid w:val="00F54AF3"/>
    <w:rsid w:val="00F5710A"/>
    <w:rsid w:val="00F71227"/>
    <w:rsid w:val="00F71CB6"/>
    <w:rsid w:val="00F76517"/>
    <w:rsid w:val="00F77F75"/>
    <w:rsid w:val="00F808C7"/>
    <w:rsid w:val="00F831B8"/>
    <w:rsid w:val="00F83359"/>
    <w:rsid w:val="00F84FDA"/>
    <w:rsid w:val="00F866EC"/>
    <w:rsid w:val="00F90F9B"/>
    <w:rsid w:val="00F96932"/>
    <w:rsid w:val="00F97962"/>
    <w:rsid w:val="00FA46E5"/>
    <w:rsid w:val="00FA6F97"/>
    <w:rsid w:val="00FB0DEC"/>
    <w:rsid w:val="00FB2EAB"/>
    <w:rsid w:val="00FB37EA"/>
    <w:rsid w:val="00FB5D74"/>
    <w:rsid w:val="00FB6F5C"/>
    <w:rsid w:val="00FC009B"/>
    <w:rsid w:val="00FC329E"/>
    <w:rsid w:val="00FD343B"/>
    <w:rsid w:val="00FE2777"/>
    <w:rsid w:val="00FE467A"/>
    <w:rsid w:val="00FF32FE"/>
    <w:rsid w:val="00FF60D6"/>
    <w:rsid w:val="022D3EAB"/>
    <w:rsid w:val="0827284A"/>
    <w:rsid w:val="0ADD5A44"/>
    <w:rsid w:val="0B17133B"/>
    <w:rsid w:val="121C3F25"/>
    <w:rsid w:val="12E956CA"/>
    <w:rsid w:val="135759FC"/>
    <w:rsid w:val="14A85332"/>
    <w:rsid w:val="156D7DD3"/>
    <w:rsid w:val="16106E77"/>
    <w:rsid w:val="1BFA04CB"/>
    <w:rsid w:val="1C5D01AC"/>
    <w:rsid w:val="20FE2B1F"/>
    <w:rsid w:val="25F60002"/>
    <w:rsid w:val="26423082"/>
    <w:rsid w:val="283B24DC"/>
    <w:rsid w:val="285C2A61"/>
    <w:rsid w:val="29BB3984"/>
    <w:rsid w:val="2DFB0242"/>
    <w:rsid w:val="2EA40B3B"/>
    <w:rsid w:val="326B4495"/>
    <w:rsid w:val="327D0801"/>
    <w:rsid w:val="32D40B5A"/>
    <w:rsid w:val="36FA0A04"/>
    <w:rsid w:val="399E6C4F"/>
    <w:rsid w:val="3ACA1829"/>
    <w:rsid w:val="3AEB424D"/>
    <w:rsid w:val="3CF116F7"/>
    <w:rsid w:val="3D026C97"/>
    <w:rsid w:val="3F442A08"/>
    <w:rsid w:val="413F6FF4"/>
    <w:rsid w:val="455E7BFD"/>
    <w:rsid w:val="484624AF"/>
    <w:rsid w:val="48AA52AC"/>
    <w:rsid w:val="4A0A147C"/>
    <w:rsid w:val="4B417AFD"/>
    <w:rsid w:val="50340139"/>
    <w:rsid w:val="5379608F"/>
    <w:rsid w:val="55F90FF9"/>
    <w:rsid w:val="562F6BB3"/>
    <w:rsid w:val="591D2D74"/>
    <w:rsid w:val="599A017E"/>
    <w:rsid w:val="5AEC31CD"/>
    <w:rsid w:val="5C472974"/>
    <w:rsid w:val="5E8274BE"/>
    <w:rsid w:val="64DE20B2"/>
    <w:rsid w:val="662C2C72"/>
    <w:rsid w:val="663448D4"/>
    <w:rsid w:val="6B41125D"/>
    <w:rsid w:val="6C2D797C"/>
    <w:rsid w:val="6E7B53E9"/>
    <w:rsid w:val="6EA35198"/>
    <w:rsid w:val="72272A05"/>
    <w:rsid w:val="737316F7"/>
    <w:rsid w:val="7400720C"/>
    <w:rsid w:val="75B51687"/>
    <w:rsid w:val="794B07DE"/>
    <w:rsid w:val="7A656BC4"/>
    <w:rsid w:val="7D44296B"/>
    <w:rsid w:val="7E386B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uiPriority="0"/>
    <w:lsdException w:name="Table Web 1" w:semiHidden="1" w:unhideWhenUsed="1"/>
    <w:lsdException w:name="Table Web 2" w:semiHidden="1" w:unhideWhenUsed="1"/>
    <w:lsdException w:name="Table Web 3" w:locked="1" w:uiPriority="0"/>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5B0"/>
    <w:pPr>
      <w:widowControl w:val="0"/>
      <w:jc w:val="both"/>
    </w:pPr>
    <w:rPr>
      <w:rFonts w:ascii="Times New Roman" w:hAnsi="Times New Roman"/>
      <w:szCs w:val="21"/>
    </w:rPr>
  </w:style>
  <w:style w:type="paragraph" w:styleId="Heading2">
    <w:name w:val="heading 2"/>
    <w:basedOn w:val="Normal"/>
    <w:next w:val="Normal"/>
    <w:link w:val="Heading2Char"/>
    <w:uiPriority w:val="99"/>
    <w:qFormat/>
    <w:rsid w:val="00F325B0"/>
    <w:pPr>
      <w:adjustRightInd w:val="0"/>
      <w:snapToGrid w:val="0"/>
      <w:spacing w:beforeLines="30" w:afterLines="30" w:line="600" w:lineRule="exact"/>
      <w:ind w:right="28"/>
      <w:jc w:val="center"/>
      <w:outlineLvl w:val="1"/>
    </w:pPr>
    <w:rPr>
      <w:rFonts w:ascii="黑体" w:eastAsia="黑体" w:cs="黑体"/>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325B0"/>
    <w:rPr>
      <w:rFonts w:ascii="黑体" w:eastAsia="黑体" w:hAnsi="Times New Roman" w:cs="黑体"/>
      <w:kern w:val="0"/>
      <w:sz w:val="36"/>
      <w:szCs w:val="36"/>
    </w:rPr>
  </w:style>
  <w:style w:type="paragraph" w:styleId="CommentText">
    <w:name w:val="annotation text"/>
    <w:basedOn w:val="Normal"/>
    <w:link w:val="CommentTextChar"/>
    <w:uiPriority w:val="99"/>
    <w:semiHidden/>
    <w:rsid w:val="00F325B0"/>
    <w:pPr>
      <w:jc w:val="left"/>
    </w:pPr>
  </w:style>
  <w:style w:type="character" w:customStyle="1" w:styleId="CommentTextChar">
    <w:name w:val="Comment Text Char"/>
    <w:basedOn w:val="DefaultParagraphFont"/>
    <w:link w:val="CommentText"/>
    <w:uiPriority w:val="99"/>
    <w:locked/>
    <w:rsid w:val="00F325B0"/>
    <w:rPr>
      <w:rFonts w:ascii="Times New Roman" w:eastAsia="宋体" w:hAnsi="Times New Roman" w:cs="Times New Roman"/>
      <w:sz w:val="24"/>
      <w:szCs w:val="24"/>
    </w:rPr>
  </w:style>
  <w:style w:type="paragraph" w:styleId="BalloonText">
    <w:name w:val="Balloon Text"/>
    <w:basedOn w:val="Normal"/>
    <w:link w:val="BalloonTextChar"/>
    <w:uiPriority w:val="99"/>
    <w:semiHidden/>
    <w:rsid w:val="00F325B0"/>
    <w:rPr>
      <w:sz w:val="18"/>
      <w:szCs w:val="18"/>
    </w:rPr>
  </w:style>
  <w:style w:type="character" w:customStyle="1" w:styleId="BalloonTextChar">
    <w:name w:val="Balloon Text Char"/>
    <w:basedOn w:val="DefaultParagraphFont"/>
    <w:link w:val="BalloonText"/>
    <w:uiPriority w:val="99"/>
    <w:locked/>
    <w:rsid w:val="00F325B0"/>
    <w:rPr>
      <w:rFonts w:ascii="Times New Roman" w:eastAsia="宋体" w:hAnsi="Times New Roman" w:cs="Times New Roman"/>
      <w:sz w:val="18"/>
      <w:szCs w:val="18"/>
    </w:rPr>
  </w:style>
  <w:style w:type="paragraph" w:styleId="Footer">
    <w:name w:val="footer"/>
    <w:basedOn w:val="Normal"/>
    <w:link w:val="FooterChar"/>
    <w:uiPriority w:val="99"/>
    <w:rsid w:val="00F325B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325B0"/>
    <w:rPr>
      <w:rFonts w:ascii="Times New Roman" w:eastAsia="宋体" w:hAnsi="Times New Roman" w:cs="Times New Roman"/>
      <w:sz w:val="18"/>
      <w:szCs w:val="18"/>
    </w:rPr>
  </w:style>
  <w:style w:type="paragraph" w:styleId="Header">
    <w:name w:val="header"/>
    <w:basedOn w:val="Normal"/>
    <w:link w:val="HeaderChar"/>
    <w:uiPriority w:val="99"/>
    <w:rsid w:val="00F325B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325B0"/>
    <w:rPr>
      <w:rFonts w:ascii="Times New Roman" w:eastAsia="宋体" w:hAnsi="Times New Roman" w:cs="Times New Roman"/>
      <w:sz w:val="18"/>
      <w:szCs w:val="18"/>
    </w:rPr>
  </w:style>
  <w:style w:type="paragraph" w:styleId="NormalWeb">
    <w:name w:val="Normal (Web)"/>
    <w:basedOn w:val="Normal"/>
    <w:uiPriority w:val="99"/>
    <w:rsid w:val="00F325B0"/>
    <w:pPr>
      <w:widowControl/>
      <w:spacing w:before="100" w:beforeAutospacing="1" w:after="100" w:afterAutospacing="1"/>
      <w:jc w:val="left"/>
    </w:pPr>
    <w:rPr>
      <w:rFonts w:ascii="宋体" w:hAnsi="宋体" w:cs="宋体"/>
      <w:color w:val="000000"/>
      <w:kern w:val="0"/>
      <w:sz w:val="24"/>
      <w:szCs w:val="24"/>
    </w:rPr>
  </w:style>
  <w:style w:type="paragraph" w:styleId="CommentSubject">
    <w:name w:val="annotation subject"/>
    <w:basedOn w:val="CommentText"/>
    <w:next w:val="CommentText"/>
    <w:link w:val="CommentSubjectChar"/>
    <w:uiPriority w:val="99"/>
    <w:semiHidden/>
    <w:rsid w:val="00F325B0"/>
    <w:rPr>
      <w:b/>
      <w:bCs/>
    </w:rPr>
  </w:style>
  <w:style w:type="character" w:customStyle="1" w:styleId="CommentSubjectChar">
    <w:name w:val="Comment Subject Char"/>
    <w:basedOn w:val="CommentTextChar"/>
    <w:link w:val="CommentSubject"/>
    <w:uiPriority w:val="99"/>
    <w:semiHidden/>
    <w:locked/>
    <w:rsid w:val="00F325B0"/>
    <w:rPr>
      <w:b/>
      <w:bCs/>
    </w:rPr>
  </w:style>
  <w:style w:type="character" w:styleId="CommentReference">
    <w:name w:val="annotation reference"/>
    <w:basedOn w:val="DefaultParagraphFont"/>
    <w:uiPriority w:val="99"/>
    <w:semiHidden/>
    <w:rsid w:val="00F325B0"/>
    <w:rPr>
      <w:sz w:val="21"/>
      <w:szCs w:val="21"/>
    </w:rPr>
  </w:style>
  <w:style w:type="paragraph" w:customStyle="1" w:styleId="1">
    <w:name w:val="无间隔1"/>
    <w:uiPriority w:val="99"/>
    <w:rsid w:val="00F325B0"/>
    <w:pPr>
      <w:widowControl w:val="0"/>
      <w:jc w:val="both"/>
    </w:pPr>
    <w:rPr>
      <w:rFonts w:ascii="Times New Roman" w:hAnsi="Times New Roman"/>
      <w:szCs w:val="21"/>
    </w:rPr>
  </w:style>
  <w:style w:type="paragraph" w:customStyle="1" w:styleId="a">
    <w:name w:val="正文条款"/>
    <w:basedOn w:val="Normal"/>
    <w:uiPriority w:val="99"/>
    <w:rsid w:val="00F325B0"/>
    <w:pPr>
      <w:numPr>
        <w:numId w:val="1"/>
      </w:numPr>
      <w:tabs>
        <w:tab w:val="left" w:pos="1838"/>
      </w:tabs>
      <w:adjustRightInd w:val="0"/>
      <w:snapToGrid w:val="0"/>
      <w:spacing w:line="550" w:lineRule="exact"/>
      <w:ind w:left="0" w:firstLine="680"/>
    </w:pPr>
    <w:rPr>
      <w:rFonts w:ascii="仿宋_GB2312" w:eastAsia="仿宋_GB2312" w:cs="仿宋_GB2312"/>
      <w:color w:val="000000"/>
      <w:sz w:val="30"/>
      <w:szCs w:val="30"/>
    </w:rPr>
  </w:style>
  <w:style w:type="paragraph" w:customStyle="1" w:styleId="a0">
    <w:name w:val="正文格式"/>
    <w:basedOn w:val="Normal"/>
    <w:link w:val="Char"/>
    <w:uiPriority w:val="99"/>
    <w:rsid w:val="00F325B0"/>
    <w:pPr>
      <w:adjustRightInd w:val="0"/>
      <w:snapToGrid w:val="0"/>
      <w:spacing w:line="560" w:lineRule="exact"/>
      <w:ind w:firstLineChars="200" w:firstLine="600"/>
    </w:pPr>
    <w:rPr>
      <w:rFonts w:eastAsia="仿宋_GB2312"/>
      <w:kern w:val="0"/>
      <w:sz w:val="30"/>
      <w:szCs w:val="30"/>
    </w:rPr>
  </w:style>
  <w:style w:type="paragraph" w:customStyle="1" w:styleId="a1">
    <w:name w:val="抬头称呼"/>
    <w:basedOn w:val="Normal"/>
    <w:uiPriority w:val="99"/>
    <w:rsid w:val="00F325B0"/>
    <w:pPr>
      <w:tabs>
        <w:tab w:val="left" w:pos="4860"/>
      </w:tabs>
      <w:adjustRightInd w:val="0"/>
      <w:snapToGrid w:val="0"/>
      <w:spacing w:line="600" w:lineRule="exact"/>
    </w:pPr>
    <w:rPr>
      <w:rFonts w:ascii="仿宋_GB2312" w:eastAsia="仿宋_GB2312" w:cs="仿宋_GB2312"/>
      <w:sz w:val="32"/>
      <w:szCs w:val="32"/>
    </w:rPr>
  </w:style>
  <w:style w:type="character" w:customStyle="1" w:styleId="Char">
    <w:name w:val="正文格式 Char"/>
    <w:link w:val="a0"/>
    <w:uiPriority w:val="99"/>
    <w:locked/>
    <w:rsid w:val="00F325B0"/>
    <w:rPr>
      <w:rFonts w:ascii="Times New Roman" w:eastAsia="仿宋_GB2312" w:hAnsi="Times New Roman" w:cs="Times New Roman"/>
      <w:kern w:val="0"/>
      <w:sz w:val="30"/>
      <w:szCs w:val="30"/>
    </w:rPr>
  </w:style>
  <w:style w:type="character" w:customStyle="1" w:styleId="apple-converted-space">
    <w:name w:val="apple-converted-space"/>
    <w:basedOn w:val="DefaultParagraphFont"/>
    <w:uiPriority w:val="99"/>
    <w:rsid w:val="00F325B0"/>
  </w:style>
  <w:style w:type="paragraph" w:customStyle="1" w:styleId="10">
    <w:name w:val="修订1"/>
    <w:hidden/>
    <w:uiPriority w:val="99"/>
    <w:semiHidden/>
    <w:rsid w:val="00F325B0"/>
    <w:rPr>
      <w:rFonts w:ascii="Times New Roman" w:hAnsi="Times New Roman"/>
      <w:szCs w:val="21"/>
    </w:rPr>
  </w:style>
  <w:style w:type="character" w:customStyle="1" w:styleId="CharChar">
    <w:name w:val="页眉 Char Char"/>
    <w:basedOn w:val="DefaultParagraphFont"/>
    <w:uiPriority w:val="99"/>
    <w:rsid w:val="00F325B0"/>
    <w:rPr>
      <w:kern w:val="2"/>
      <w:sz w:val="18"/>
      <w:szCs w:val="18"/>
    </w:rPr>
  </w:style>
  <w:style w:type="paragraph" w:styleId="ListParagraph">
    <w:name w:val="List Paragraph"/>
    <w:basedOn w:val="Normal"/>
    <w:uiPriority w:val="99"/>
    <w:qFormat/>
    <w:rsid w:val="00F325B0"/>
    <w:pPr>
      <w:ind w:firstLineChars="200" w:firstLine="420"/>
    </w:pPr>
  </w:style>
  <w:style w:type="character" w:customStyle="1" w:styleId="2Sylfaen">
    <w:name w:val="正文文本 (2) + Sylfaen"/>
    <w:basedOn w:val="DefaultParagraphFont"/>
    <w:uiPriority w:val="99"/>
    <w:rsid w:val="00F325B0"/>
    <w:rPr>
      <w:rFonts w:ascii="Sylfaen" w:eastAsia="MingLiU" w:hAnsi="Sylfaen" w:cs="Sylfaen"/>
      <w:spacing w:val="0"/>
      <w:sz w:val="17"/>
      <w:szCs w:val="17"/>
      <w:shd w:val="clear" w:color="auto" w:fill="FFFFFF"/>
      <w:lang w:val="en-US" w:eastAsia="en-US"/>
    </w:rPr>
  </w:style>
  <w:style w:type="character" w:customStyle="1" w:styleId="4">
    <w:name w:val="正文文本 (4)_"/>
    <w:basedOn w:val="DefaultParagraphFont"/>
    <w:link w:val="41"/>
    <w:uiPriority w:val="99"/>
    <w:locked/>
    <w:rsid w:val="00F325B0"/>
    <w:rPr>
      <w:rFonts w:ascii="MingLiU" w:eastAsia="MingLiU" w:cs="MingLiU"/>
      <w:sz w:val="14"/>
      <w:szCs w:val="14"/>
      <w:shd w:val="clear" w:color="auto" w:fill="FFFFFF"/>
    </w:rPr>
  </w:style>
  <w:style w:type="paragraph" w:customStyle="1" w:styleId="41">
    <w:name w:val="正文文本 (4)1"/>
    <w:basedOn w:val="Normal"/>
    <w:link w:val="4"/>
    <w:uiPriority w:val="99"/>
    <w:rsid w:val="00F325B0"/>
    <w:pPr>
      <w:shd w:val="clear" w:color="auto" w:fill="FFFFFF"/>
      <w:spacing w:before="120" w:after="120" w:line="240" w:lineRule="atLeast"/>
    </w:pPr>
    <w:rPr>
      <w:rFonts w:ascii="MingLiU" w:eastAsia="MingLiU" w:hAnsi="Calibri" w:cs="MingLiU"/>
      <w:kern w:val="0"/>
      <w:sz w:val="14"/>
      <w:szCs w:val="14"/>
    </w:rPr>
  </w:style>
  <w:style w:type="character" w:customStyle="1" w:styleId="40">
    <w:name w:val="正文文本 (4)"/>
    <w:basedOn w:val="4"/>
    <w:uiPriority w:val="99"/>
    <w:rsid w:val="00F325B0"/>
    <w:rPr>
      <w:u w:val="single"/>
      <w:lang w:val="en-US" w:eastAsia="en-US"/>
    </w:rPr>
  </w:style>
  <w:style w:type="character" w:customStyle="1" w:styleId="5">
    <w:name w:val="正文文本 (5)_"/>
    <w:basedOn w:val="DefaultParagraphFont"/>
    <w:link w:val="50"/>
    <w:uiPriority w:val="99"/>
    <w:locked/>
    <w:rsid w:val="00F325B0"/>
    <w:rPr>
      <w:rFonts w:ascii="MingLiU" w:eastAsia="MingLiU" w:cs="MingLiU"/>
      <w:i/>
      <w:iCs/>
      <w:spacing w:val="10"/>
      <w:sz w:val="10"/>
      <w:szCs w:val="10"/>
      <w:shd w:val="clear" w:color="auto" w:fill="FFFFFF"/>
    </w:rPr>
  </w:style>
  <w:style w:type="paragraph" w:customStyle="1" w:styleId="50">
    <w:name w:val="正文文本 (5)"/>
    <w:basedOn w:val="Normal"/>
    <w:link w:val="5"/>
    <w:uiPriority w:val="99"/>
    <w:rsid w:val="00F325B0"/>
    <w:pPr>
      <w:shd w:val="clear" w:color="auto" w:fill="FFFFFF"/>
      <w:spacing w:line="273" w:lineRule="exact"/>
      <w:jc w:val="distribute"/>
    </w:pPr>
    <w:rPr>
      <w:rFonts w:ascii="MingLiU" w:eastAsia="MingLiU" w:hAnsi="Calibri" w:cs="MingLiU"/>
      <w:i/>
      <w:iCs/>
      <w:spacing w:val="10"/>
      <w:kern w:val="0"/>
      <w:sz w:val="10"/>
      <w:szCs w:val="10"/>
    </w:rPr>
  </w:style>
  <w:style w:type="character" w:customStyle="1" w:styleId="45pt">
    <w:name w:val="正文文本 (4) + 间距 5 pt"/>
    <w:basedOn w:val="4"/>
    <w:uiPriority w:val="99"/>
    <w:rsid w:val="00F325B0"/>
    <w:rPr>
      <w:spacing w:val="11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21</Pages>
  <Words>1395</Words>
  <Characters>7955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2019-04-24T08:06:00Z</cp:lastPrinted>
  <dcterms:created xsi:type="dcterms:W3CDTF">2019-03-22T12:23:00Z</dcterms:created>
  <dcterms:modified xsi:type="dcterms:W3CDTF">2019-08-27T09:55:00Z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