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lang w:eastAsia="zh-CN"/>
          <w14:textFill>
            <w14:solidFill>
              <w14:schemeClr w14:val="tx1"/>
            </w14:solidFill>
          </w14:textFill>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Arial" w:hAnsi="Arial" w:eastAsia="Arial" w:cs="Arial"/>
          <w:i w:val="0"/>
          <w:iCs w:val="0"/>
          <w:caps w:val="0"/>
          <w:color w:val="000000" w:themeColor="text1"/>
          <w:spacing w:val="0"/>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lang w:eastAsia="zh-CN"/>
          <w14:textFill>
            <w14:solidFill>
              <w14:schemeClr w14:val="tx1"/>
            </w14:solidFill>
          </w14:textFill>
        </w:rPr>
        <w:t>张掖</w:t>
      </w:r>
      <w:r>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14:textFill>
            <w14:solidFill>
              <w14:schemeClr w14:val="tx1"/>
            </w14:solidFill>
          </w14:textFill>
        </w:rPr>
        <w:t>市健康影响评估</w:t>
      </w:r>
      <w:r>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lang w:eastAsia="zh-CN"/>
          <w14:textFill>
            <w14:solidFill>
              <w14:schemeClr w14:val="tx1"/>
            </w14:solidFill>
          </w14:textFill>
        </w:rPr>
        <w:t>管理</w:t>
      </w:r>
      <w:r>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14:textFill>
            <w14:solidFill>
              <w14:schemeClr w14:val="tx1"/>
            </w14:solidFill>
          </w14:textFill>
        </w:rPr>
        <w:t>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i w:val="0"/>
          <w:iCs w:val="0"/>
          <w:caps w:val="0"/>
          <w:color w:val="000000" w:themeColor="text1"/>
          <w:spacing w:val="0"/>
          <w:sz w:val="32"/>
          <w:szCs w:val="32"/>
          <w:highlight w:val="none"/>
          <w:shd w:val="clear" w:fill="FFFFFF"/>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Arial" w:hAnsi="Arial" w:eastAsia="Arial" w:cs="Arial"/>
          <w:i w:val="0"/>
          <w:iCs w:val="0"/>
          <w:caps w:val="0"/>
          <w:color w:val="000000" w:themeColor="text1"/>
          <w:spacing w:val="0"/>
          <w:sz w:val="32"/>
          <w:szCs w:val="32"/>
          <w:highlight w:val="none"/>
          <w:shd w:val="clear"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lang w:eastAsia="zh-CN"/>
          <w14:textFill>
            <w14:solidFill>
              <w14:schemeClr w14:val="tx1"/>
            </w14:solidFill>
          </w14:textFill>
        </w:rPr>
        <w:t>（征求意见稿）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CESI黑体-GB2312" w:hAnsi="CESI黑体-GB2312" w:eastAsia="CESI黑体-GB2312" w:cs="CESI黑体-GB2312"/>
          <w:b w:val="0"/>
          <w:bCs w:val="0"/>
          <w:color w:val="000000" w:themeColor="text1"/>
          <w:sz w:val="32"/>
          <w:szCs w:val="40"/>
          <w:highlight w:val="none"/>
          <w:lang w:eastAsia="zh-CN"/>
          <w14:textFill>
            <w14:solidFill>
              <w14:schemeClr w14:val="tx1"/>
            </w14:solidFill>
          </w14:textFill>
        </w:rPr>
      </w:pPr>
      <w:r>
        <w:rPr>
          <w:rFonts w:hint="default" w:ascii="Arial" w:hAnsi="Arial" w:eastAsia="Arial" w:cs="Arial"/>
          <w:i w:val="0"/>
          <w:iCs w:val="0"/>
          <w:caps w:val="0"/>
          <w:color w:val="000000" w:themeColor="text1"/>
          <w:spacing w:val="0"/>
          <w:sz w:val="32"/>
          <w:szCs w:val="32"/>
          <w:highlight w:val="none"/>
          <w:shd w:val="clear" w:fill="FFFFFF"/>
          <w14:textFill>
            <w14:solidFill>
              <w14:schemeClr w14:val="tx1"/>
            </w14:solidFill>
          </w14:textFill>
        </w:rPr>
        <w:t>　</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14:textFill>
            <w14:solidFill>
              <w14:schemeClr w14:val="tx1"/>
            </w14:solidFill>
          </w14:textFill>
        </w:rPr>
        <w:t>第一条</w:t>
      </w:r>
      <w:r>
        <w:rPr>
          <w:rFonts w:hint="eastAsia" w:ascii="仿宋_GB2312" w:hAnsi="仿宋_GB2312" w:eastAsia="仿宋_GB2312" w:cs="仿宋_GB2312"/>
          <w:b/>
          <w:bCs/>
          <w:color w:val="000000" w:themeColor="text1"/>
          <w:sz w:val="32"/>
          <w:szCs w:val="40"/>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40"/>
          <w:highlight w:val="none"/>
          <w14:textFill>
            <w14:solidFill>
              <w14:schemeClr w14:val="tx1"/>
            </w14:solidFill>
          </w14:textFill>
        </w:rPr>
        <w:t>为落实健康优先发展战略，有效防范重大健康安全风险，提高公民健康水平，推进健康</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张掖</w:t>
      </w:r>
      <w:r>
        <w:rPr>
          <w:rFonts w:hint="eastAsia" w:ascii="仿宋_GB2312" w:hAnsi="仿宋_GB2312" w:eastAsia="仿宋_GB2312" w:cs="仿宋_GB2312"/>
          <w:color w:val="000000" w:themeColor="text1"/>
          <w:sz w:val="32"/>
          <w:szCs w:val="40"/>
          <w:highlight w:val="none"/>
          <w14:textFill>
            <w14:solidFill>
              <w14:schemeClr w14:val="tx1"/>
            </w14:solidFill>
          </w14:textFill>
        </w:rPr>
        <w:t>建设，根据《中华人民共和国基本医疗卫生与健康促进法》等法律法规，结合</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本市</w:t>
      </w:r>
      <w:r>
        <w:rPr>
          <w:rFonts w:hint="eastAsia" w:ascii="仿宋_GB2312" w:hAnsi="仿宋_GB2312" w:eastAsia="仿宋_GB2312" w:cs="仿宋_GB2312"/>
          <w:color w:val="000000" w:themeColor="text1"/>
          <w:sz w:val="32"/>
          <w:szCs w:val="40"/>
          <w:highlight w:val="none"/>
          <w14:textFill>
            <w14:solidFill>
              <w14:schemeClr w14:val="tx1"/>
            </w14:solidFill>
          </w14:textFill>
        </w:rPr>
        <w:t>实际，制定本办法。</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　　</w:t>
      </w:r>
      <w:r>
        <w:rPr>
          <w:rFonts w:hint="eastAsia" w:ascii="仿宋_GB2312" w:hAnsi="仿宋_GB2312" w:eastAsia="仿宋_GB2312" w:cs="仿宋_GB2312"/>
          <w:b/>
          <w:bCs/>
          <w:color w:val="000000" w:themeColor="text1"/>
          <w:sz w:val="32"/>
          <w:szCs w:val="40"/>
          <w:highlight w:val="none"/>
          <w14:textFill>
            <w14:solidFill>
              <w14:schemeClr w14:val="tx1"/>
            </w14:solidFill>
          </w14:textFill>
        </w:rPr>
        <w:t>第二条</w:t>
      </w:r>
      <w:r>
        <w:rPr>
          <w:rFonts w:hint="eastAsia" w:ascii="仿宋_GB2312" w:hAnsi="仿宋_GB2312" w:eastAsia="仿宋_GB2312" w:cs="仿宋_GB2312"/>
          <w:b/>
          <w:bCs/>
          <w:color w:val="000000" w:themeColor="text1"/>
          <w:sz w:val="32"/>
          <w:szCs w:val="40"/>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40"/>
          <w:highlight w:val="none"/>
          <w14:textFill>
            <w14:solidFill>
              <w14:schemeClr w14:val="tx1"/>
            </w14:solidFill>
          </w14:textFill>
        </w:rPr>
        <w:t>本市行政区域内，市、县（区）人民政府及其工作部门开展健康影响评估工作</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40"/>
          <w:highlight w:val="none"/>
          <w14:textFill>
            <w14:solidFill>
              <w14:schemeClr w14:val="tx1"/>
            </w14:solidFill>
          </w14:textFill>
        </w:rPr>
        <w:t>适用本办法。</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　</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szCs w:val="40"/>
          <w:highlight w:val="none"/>
          <w:lang w:val="en-US" w:eastAsia="zh-CN"/>
          <w14:textFill>
            <w14:solidFill>
              <w14:schemeClr w14:val="tx1"/>
            </w14:solidFill>
          </w14:textFill>
        </w:rPr>
        <w:t xml:space="preserve"> 第三条  </w:t>
      </w:r>
      <w:r>
        <w:rPr>
          <w:rFonts w:hint="eastAsia" w:ascii="仿宋_GB2312" w:hAnsi="仿宋_GB2312" w:eastAsia="仿宋_GB2312" w:cs="仿宋_GB2312"/>
          <w:color w:val="000000" w:themeColor="text1"/>
          <w:sz w:val="32"/>
          <w:szCs w:val="40"/>
          <w:highlight w:val="none"/>
          <w14:textFill>
            <w14:solidFill>
              <w14:schemeClr w14:val="tx1"/>
            </w14:solidFill>
          </w14:textFill>
        </w:rPr>
        <w:t>本办法所称健康影响评估，是指系统分析、预测和 评估发展规划、</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重要公共政策</w:t>
      </w:r>
      <w:r>
        <w:rPr>
          <w:rFonts w:hint="eastAsia" w:ascii="仿宋_GB2312" w:hAnsi="仿宋_GB2312" w:eastAsia="仿宋_GB2312" w:cs="仿宋_GB2312"/>
          <w:color w:val="000000" w:themeColor="text1"/>
          <w:sz w:val="32"/>
          <w:szCs w:val="40"/>
          <w:highlight w:val="none"/>
          <w14:textFill>
            <w14:solidFill>
              <w14:schemeClr w14:val="tx1"/>
            </w14:solidFill>
          </w14:textFill>
        </w:rPr>
        <w:t>和重大工程项目实施后可能对人群健康产生的影响，提出预防或者减轻不良健康影响的对策和措施，进行跟踪监测的方法与制度。</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发展规划</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是</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指政府</w:t>
      </w:r>
      <w:r>
        <w:rPr>
          <w:rFonts w:ascii="仿宋_GB2312" w:hAnsi="宋体" w:eastAsia="仿宋_GB2312" w:cs="仿宋_GB2312"/>
          <w:i w:val="0"/>
          <w:iCs w:val="0"/>
          <w:caps w:val="0"/>
          <w:color w:val="000000" w:themeColor="text1"/>
          <w:spacing w:val="0"/>
          <w:kern w:val="0"/>
          <w:sz w:val="31"/>
          <w:szCs w:val="31"/>
          <w:highlight w:val="none"/>
          <w:shd w:val="clear" w:fill="FFFFFF"/>
          <w:lang w:val="en-US" w:eastAsia="zh-CN" w:bidi="ar"/>
          <w14:textFill>
            <w14:solidFill>
              <w14:schemeClr w14:val="tx1"/>
            </w14:solidFill>
          </w14:textFill>
        </w:rPr>
        <w:t>经济社会发展规划</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、部门事业发展规划、专项工作规划等</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color w:val="000000" w:themeColor="text1"/>
          <w:highlight w:val="none"/>
          <w14:textFill>
            <w14:solidFill>
              <w14:schemeClr w14:val="tx1"/>
            </w14:solidFill>
          </w14:textFill>
        </w:rPr>
      </w:pPr>
      <w:r>
        <w:rPr>
          <w:rFonts w:ascii="仿宋_GB2312" w:hAnsi="宋体" w:eastAsia="仿宋_GB2312" w:cs="仿宋_GB2312"/>
          <w:i w:val="0"/>
          <w:iCs w:val="0"/>
          <w:caps w:val="0"/>
          <w:color w:val="000000" w:themeColor="text1"/>
          <w:spacing w:val="0"/>
          <w:kern w:val="0"/>
          <w:sz w:val="31"/>
          <w:szCs w:val="31"/>
          <w:highlight w:val="none"/>
          <w:shd w:val="clear" w:fill="FFFFFF"/>
          <w:lang w:val="en-US" w:eastAsia="zh-CN" w:bidi="ar"/>
          <w14:textFill>
            <w14:solidFill>
              <w14:schemeClr w14:val="tx1"/>
            </w14:solidFill>
          </w14:textFill>
        </w:rPr>
        <w:t>重</w:t>
      </w:r>
      <w:r>
        <w:rPr>
          <w:rFonts w:hint="eastAsia" w:ascii="仿宋_GB2312" w:hAnsi="宋体" w:eastAsia="仿宋_GB2312" w:cs="仿宋_GB2312"/>
          <w:i w:val="0"/>
          <w:iCs w:val="0"/>
          <w:caps w:val="0"/>
          <w:color w:val="000000" w:themeColor="text1"/>
          <w:spacing w:val="0"/>
          <w:kern w:val="0"/>
          <w:sz w:val="31"/>
          <w:szCs w:val="31"/>
          <w:highlight w:val="none"/>
          <w:shd w:val="clear" w:fill="FFFFFF"/>
          <w:lang w:val="en-US" w:eastAsia="zh-CN" w:bidi="ar"/>
          <w14:textFill>
            <w14:solidFill>
              <w14:schemeClr w14:val="tx1"/>
            </w14:solidFill>
          </w14:textFill>
        </w:rPr>
        <w:t>要</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公共</w:t>
      </w:r>
      <w:r>
        <w:rPr>
          <w:rFonts w:ascii="仿宋_GB2312" w:hAnsi="宋体" w:eastAsia="仿宋_GB2312" w:cs="仿宋_GB2312"/>
          <w:i w:val="0"/>
          <w:iCs w:val="0"/>
          <w:caps w:val="0"/>
          <w:color w:val="000000" w:themeColor="text1"/>
          <w:spacing w:val="0"/>
          <w:kern w:val="0"/>
          <w:sz w:val="31"/>
          <w:szCs w:val="31"/>
          <w:highlight w:val="none"/>
          <w:shd w:val="clear" w:fill="FFFFFF"/>
          <w:lang w:val="en-US" w:eastAsia="zh-CN" w:bidi="ar"/>
          <w14:textFill>
            <w14:solidFill>
              <w14:schemeClr w14:val="tx1"/>
            </w14:solidFill>
          </w14:textFill>
        </w:rPr>
        <w:t>政策是指市、县（区）人民政府及其工作部门制定的</w:t>
      </w:r>
      <w:r>
        <w:rPr>
          <w:rFonts w:hint="eastAsia" w:ascii="仿宋_GB2312" w:hAnsi="宋体" w:eastAsia="仿宋_GB2312" w:cs="仿宋_GB2312"/>
          <w:i w:val="0"/>
          <w:iCs w:val="0"/>
          <w:caps w:val="0"/>
          <w:color w:val="000000" w:themeColor="text1"/>
          <w:spacing w:val="0"/>
          <w:kern w:val="0"/>
          <w:sz w:val="31"/>
          <w:szCs w:val="31"/>
          <w:highlight w:val="none"/>
          <w:shd w:val="clear" w:fill="FFFFFF"/>
          <w:lang w:val="en-US" w:eastAsia="zh-CN" w:bidi="ar"/>
          <w14:textFill>
            <w14:solidFill>
              <w14:schemeClr w14:val="tx1"/>
            </w14:solidFill>
          </w14:textFill>
        </w:rPr>
        <w:t>涉及公众健康的</w:t>
      </w:r>
      <w:r>
        <w:rPr>
          <w:rFonts w:ascii="仿宋_GB2312" w:hAnsi="宋体" w:eastAsia="仿宋_GB2312" w:cs="仿宋_GB2312"/>
          <w:i w:val="0"/>
          <w:iCs w:val="0"/>
          <w:caps w:val="0"/>
          <w:color w:val="000000" w:themeColor="text1"/>
          <w:spacing w:val="0"/>
          <w:kern w:val="0"/>
          <w:sz w:val="31"/>
          <w:szCs w:val="31"/>
          <w:highlight w:val="none"/>
          <w:shd w:val="clear" w:fill="FFFFFF"/>
          <w:lang w:val="en-US" w:eastAsia="zh-CN" w:bidi="ar"/>
          <w14:textFill>
            <w14:solidFill>
              <w14:schemeClr w14:val="tx1"/>
            </w14:solidFill>
          </w14:textFill>
        </w:rPr>
        <w:t>行政规范性文件和其他重大行政决策等。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重大工程项目是指</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地方经济社会发展规划中列入</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并</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由政府投资的重大工程和项目以及</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可能影响公众健康的</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一般性项目</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　　</w:t>
      </w:r>
      <w:r>
        <w:rPr>
          <w:rFonts w:hint="eastAsia" w:ascii="仿宋_GB2312" w:hAnsi="仿宋_GB2312" w:eastAsia="仿宋_GB2312" w:cs="仿宋_GB2312"/>
          <w:b/>
          <w:bCs/>
          <w:color w:val="000000" w:themeColor="text1"/>
          <w:sz w:val="32"/>
          <w:szCs w:val="40"/>
          <w:highlight w:val="none"/>
          <w14:textFill>
            <w14:solidFill>
              <w14:schemeClr w14:val="tx1"/>
            </w14:solidFill>
          </w14:textFill>
        </w:rPr>
        <w:t>第</w:t>
      </w:r>
      <w:r>
        <w:rPr>
          <w:rFonts w:hint="eastAsia" w:ascii="仿宋_GB2312" w:hAnsi="仿宋_GB2312" w:eastAsia="仿宋_GB2312" w:cs="仿宋_GB2312"/>
          <w:b/>
          <w:bCs/>
          <w:color w:val="000000" w:themeColor="text1"/>
          <w:sz w:val="32"/>
          <w:szCs w:val="40"/>
          <w:highlight w:val="none"/>
          <w:lang w:eastAsia="zh-CN"/>
          <w14:textFill>
            <w14:solidFill>
              <w14:schemeClr w14:val="tx1"/>
            </w14:solidFill>
          </w14:textFill>
        </w:rPr>
        <w:t>四</w:t>
      </w:r>
      <w:r>
        <w:rPr>
          <w:rFonts w:hint="eastAsia" w:ascii="仿宋_GB2312" w:hAnsi="仿宋_GB2312" w:eastAsia="仿宋_GB2312" w:cs="仿宋_GB2312"/>
          <w:b/>
          <w:bCs/>
          <w:color w:val="000000" w:themeColor="text1"/>
          <w:sz w:val="32"/>
          <w:szCs w:val="40"/>
          <w:highlight w:val="none"/>
          <w14:textFill>
            <w14:solidFill>
              <w14:schemeClr w14:val="tx1"/>
            </w14:solidFill>
          </w14:textFill>
        </w:rPr>
        <w:t>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40"/>
          <w:highlight w:val="none"/>
          <w14:textFill>
            <w14:solidFill>
              <w14:schemeClr w14:val="tx1"/>
            </w14:solidFill>
          </w14:textFill>
        </w:rPr>
        <w:t>健康影响评估应当坚持</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以人民健康为中心，</w:t>
      </w:r>
      <w:r>
        <w:rPr>
          <w:rFonts w:hint="eastAsia" w:ascii="仿宋_GB2312" w:hAnsi="仿宋_GB2312" w:eastAsia="仿宋_GB2312" w:cs="仿宋_GB2312"/>
          <w:color w:val="000000" w:themeColor="text1"/>
          <w:sz w:val="32"/>
          <w:szCs w:val="40"/>
          <w:highlight w:val="none"/>
          <w14:textFill>
            <w14:solidFill>
              <w14:schemeClr w14:val="tx1"/>
            </w14:solidFill>
          </w14:textFill>
        </w:rPr>
        <w:t>预防为主</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、源头管控</w:t>
      </w:r>
      <w:r>
        <w:rPr>
          <w:rFonts w:hint="eastAsia" w:ascii="仿宋_GB2312" w:hAnsi="仿宋_GB2312" w:eastAsia="仿宋_GB2312" w:cs="仿宋_GB2312"/>
          <w:color w:val="000000" w:themeColor="text1"/>
          <w:sz w:val="32"/>
          <w:szCs w:val="40"/>
          <w:highlight w:val="none"/>
          <w14:textFill>
            <w14:solidFill>
              <w14:schemeClr w14:val="tx1"/>
            </w14:solidFill>
          </w14:textFill>
        </w:rPr>
        <w:t>，遵循政府主导、部门负责、社会参与</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40"/>
          <w:highlight w:val="none"/>
          <w14:textFill>
            <w14:solidFill>
              <w14:schemeClr w14:val="tx1"/>
            </w14:solidFill>
          </w14:textFill>
        </w:rPr>
        <w:t>科学评估</w:t>
      </w:r>
      <w:r>
        <w:rPr>
          <w:rFonts w:hint="eastAsia" w:ascii="仿宋_GB2312" w:hAnsi="仿宋_GB2312" w:eastAsia="仿宋_GB2312" w:cs="仿宋_GB2312"/>
          <w:color w:val="000000" w:themeColor="text1"/>
          <w:sz w:val="32"/>
          <w:szCs w:val="32"/>
          <w:highlight w:val="none"/>
          <w14:textFill>
            <w14:solidFill>
              <w14:schemeClr w14:val="tx1"/>
            </w14:solidFill>
          </w14:textFill>
        </w:rPr>
        <w:t>的原则。</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　　</w:t>
      </w:r>
      <w:r>
        <w:rPr>
          <w:rFonts w:hint="eastAsia" w:ascii="仿宋_GB2312" w:hAnsi="仿宋_GB2312" w:eastAsia="仿宋_GB2312" w:cs="仿宋_GB2312"/>
          <w:b/>
          <w:bCs/>
          <w:color w:val="000000" w:themeColor="text1"/>
          <w:sz w:val="32"/>
          <w:szCs w:val="40"/>
          <w:highlight w:val="none"/>
          <w14:textFill>
            <w14:solidFill>
              <w14:schemeClr w14:val="tx1"/>
            </w14:solidFill>
          </w14:textFill>
        </w:rPr>
        <w:t>第</w:t>
      </w:r>
      <w:r>
        <w:rPr>
          <w:rFonts w:hint="eastAsia" w:ascii="仿宋_GB2312" w:hAnsi="仿宋_GB2312" w:eastAsia="仿宋_GB2312" w:cs="仿宋_GB2312"/>
          <w:b/>
          <w:bCs/>
          <w:color w:val="000000" w:themeColor="text1"/>
          <w:sz w:val="32"/>
          <w:szCs w:val="40"/>
          <w:highlight w:val="none"/>
          <w:lang w:eastAsia="zh-CN"/>
          <w14:textFill>
            <w14:solidFill>
              <w14:schemeClr w14:val="tx1"/>
            </w14:solidFill>
          </w14:textFill>
        </w:rPr>
        <w:t>五</w:t>
      </w:r>
      <w:r>
        <w:rPr>
          <w:rFonts w:hint="eastAsia" w:ascii="仿宋_GB2312" w:hAnsi="仿宋_GB2312" w:eastAsia="仿宋_GB2312" w:cs="仿宋_GB2312"/>
          <w:b/>
          <w:bCs/>
          <w:color w:val="000000" w:themeColor="text1"/>
          <w:sz w:val="32"/>
          <w:szCs w:val="40"/>
          <w:highlight w:val="none"/>
          <w14:textFill>
            <w14:solidFill>
              <w14:schemeClr w14:val="tx1"/>
            </w14:solidFill>
          </w14:textFill>
        </w:rPr>
        <w:t>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市、县（区）人民政府应当加强健康影响评估工作的组织领导，建立健全健康影响评估制度体系，研究解决健康影响评估工作中的重大问题</w:t>
      </w:r>
      <w:r>
        <w:rPr>
          <w:rFonts w:hint="eastAsia" w:ascii="仿宋_GB2312" w:hAnsi="仿宋_GB2312" w:eastAsia="仿宋_GB2312" w:cs="仿宋_GB2312"/>
          <w:color w:val="000000" w:themeColor="text1"/>
          <w:sz w:val="32"/>
          <w:szCs w:val="40"/>
          <w:highlight w:val="none"/>
          <w14:textFill>
            <w14:solidFill>
              <w14:schemeClr w14:val="tx1"/>
            </w14:solidFill>
          </w14:textFill>
        </w:rPr>
        <w:t>，强化健康影响评估队伍建设</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40"/>
          <w:highlight w:val="none"/>
          <w14:textFill>
            <w14:solidFill>
              <w14:schemeClr w14:val="tx1"/>
            </w14:solidFill>
          </w14:textFill>
        </w:rPr>
        <w:t>将健康影响评估工作经费纳入本级</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财政</w:t>
      </w:r>
      <w:r>
        <w:rPr>
          <w:rFonts w:hint="eastAsia" w:ascii="仿宋_GB2312" w:hAnsi="仿宋_GB2312" w:eastAsia="仿宋_GB2312" w:cs="仿宋_GB2312"/>
          <w:color w:val="000000" w:themeColor="text1"/>
          <w:sz w:val="32"/>
          <w:szCs w:val="40"/>
          <w:highlight w:val="none"/>
          <w14:textFill>
            <w14:solidFill>
              <w14:schemeClr w14:val="tx1"/>
            </w14:solidFill>
          </w14:textFill>
        </w:rPr>
        <w:t>预算。</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14:textFill>
            <w14:solidFill>
              <w14:schemeClr w14:val="tx1"/>
            </w14:solidFill>
          </w14:textFill>
        </w:rPr>
        <w:t>第</w:t>
      </w:r>
      <w:r>
        <w:rPr>
          <w:rFonts w:hint="eastAsia" w:ascii="仿宋_GB2312" w:hAnsi="仿宋_GB2312" w:eastAsia="仿宋_GB2312" w:cs="仿宋_GB2312"/>
          <w:b/>
          <w:bCs/>
          <w:color w:val="000000" w:themeColor="text1"/>
          <w:sz w:val="32"/>
          <w:szCs w:val="40"/>
          <w:highlight w:val="none"/>
          <w:lang w:eastAsia="zh-CN"/>
          <w14:textFill>
            <w14:solidFill>
              <w14:schemeClr w14:val="tx1"/>
            </w14:solidFill>
          </w14:textFill>
        </w:rPr>
        <w:t>六</w:t>
      </w:r>
      <w:r>
        <w:rPr>
          <w:rFonts w:hint="eastAsia" w:ascii="仿宋_GB2312" w:hAnsi="仿宋_GB2312" w:eastAsia="仿宋_GB2312" w:cs="仿宋_GB2312"/>
          <w:b/>
          <w:bCs/>
          <w:color w:val="000000" w:themeColor="text1"/>
          <w:sz w:val="32"/>
          <w:szCs w:val="40"/>
          <w:highlight w:val="none"/>
          <w14:textFill>
            <w14:solidFill>
              <w14:schemeClr w14:val="tx1"/>
            </w14:solidFill>
          </w14:textFill>
        </w:rPr>
        <w:t>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卫生健康主管部门是</w:t>
      </w:r>
      <w:r>
        <w:rPr>
          <w:rFonts w:hint="eastAsia" w:ascii="仿宋_GB2312" w:hAnsi="仿宋_GB2312" w:eastAsia="仿宋_GB2312" w:cs="仿宋_GB2312"/>
          <w:color w:val="000000" w:themeColor="text1"/>
          <w:sz w:val="32"/>
          <w:szCs w:val="40"/>
          <w:highlight w:val="none"/>
          <w14:textFill>
            <w14:solidFill>
              <w14:schemeClr w14:val="tx1"/>
            </w14:solidFill>
          </w14:textFill>
        </w:rPr>
        <w:t>本行政区域内</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健康影响评估的牵头管理部门，</w:t>
      </w:r>
      <w:r>
        <w:rPr>
          <w:rFonts w:hint="eastAsia" w:ascii="仿宋_GB2312" w:hAnsi="仿宋_GB2312" w:eastAsia="仿宋_GB2312" w:cs="仿宋_GB2312"/>
          <w:color w:val="000000" w:themeColor="text1"/>
          <w:sz w:val="32"/>
          <w:szCs w:val="32"/>
          <w:highlight w:val="none"/>
          <w14:textFill>
            <w14:solidFill>
              <w14:schemeClr w14:val="tx1"/>
            </w14:solidFill>
          </w14:textFill>
        </w:rPr>
        <w:t>建立跨部门联席会议制度，每年定期向本级政府报送工作开展情况</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40"/>
          <w:highlight w:val="none"/>
          <w14:textFill>
            <w14:solidFill>
              <w14:schemeClr w14:val="tx1"/>
            </w14:solidFill>
          </w14:textFill>
        </w:rPr>
        <w:t>接受上级</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卫生健康主管部门</w:t>
      </w:r>
      <w:r>
        <w:rPr>
          <w:rFonts w:hint="eastAsia" w:ascii="仿宋_GB2312" w:hAnsi="仿宋_GB2312" w:eastAsia="仿宋_GB2312" w:cs="仿宋_GB2312"/>
          <w:color w:val="000000" w:themeColor="text1"/>
          <w:sz w:val="32"/>
          <w:szCs w:val="40"/>
          <w:highlight w:val="none"/>
          <w14:textFill>
            <w14:solidFill>
              <w14:schemeClr w14:val="tx1"/>
            </w14:solidFill>
          </w14:textFill>
        </w:rPr>
        <w:t>的指导和监督</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40"/>
          <w:highlight w:val="none"/>
          <w14:textFill>
            <w14:solidFill>
              <w14:schemeClr w14:val="tx1"/>
            </w14:solidFill>
          </w14:textFill>
        </w:rPr>
        <w:t>依法履行以下职责：</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　（一）</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统筹组织本级</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人民政府拟出台的发展规划、</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重要公共政策</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及</w:t>
      </w:r>
      <w:r>
        <w:rPr>
          <w:rFonts w:hint="eastAsia" w:ascii="仿宋_GB2312" w:hAnsi="仿宋_GB2312" w:eastAsia="仿宋_GB2312" w:cs="仿宋_GB2312"/>
          <w:color w:val="000000" w:themeColor="text1"/>
          <w:sz w:val="32"/>
          <w:szCs w:val="40"/>
          <w:highlight w:val="none"/>
          <w14:textFill>
            <w14:solidFill>
              <w14:schemeClr w14:val="tx1"/>
            </w14:solidFill>
          </w14:textFill>
        </w:rPr>
        <w:t>拟实施的重大工程项目</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的</w:t>
      </w:r>
      <w:r>
        <w:rPr>
          <w:rFonts w:hint="eastAsia" w:ascii="仿宋_GB2312" w:hAnsi="仿宋_GB2312" w:eastAsia="仿宋_GB2312" w:cs="仿宋_GB2312"/>
          <w:color w:val="000000" w:themeColor="text1"/>
          <w:sz w:val="32"/>
          <w:szCs w:val="40"/>
          <w:highlight w:val="none"/>
          <w14:textFill>
            <w14:solidFill>
              <w14:schemeClr w14:val="tx1"/>
            </w14:solidFill>
          </w14:textFill>
        </w:rPr>
        <w:t>健康影响评估；</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　　（二）建立健全健康影响评估抽查督查</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、考核通报</w:t>
      </w:r>
      <w:r>
        <w:rPr>
          <w:rFonts w:hint="eastAsia" w:ascii="仿宋_GB2312" w:hAnsi="仿宋_GB2312" w:eastAsia="仿宋_GB2312" w:cs="仿宋_GB2312"/>
          <w:color w:val="000000" w:themeColor="text1"/>
          <w:sz w:val="32"/>
          <w:szCs w:val="40"/>
          <w:highlight w:val="none"/>
          <w14:textFill>
            <w14:solidFill>
              <w14:schemeClr w14:val="tx1"/>
            </w14:solidFill>
          </w14:textFill>
        </w:rPr>
        <w:t>机制，</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定期开展专项督导与质量核查</w:t>
      </w:r>
      <w:r>
        <w:rPr>
          <w:rFonts w:hint="eastAsia" w:ascii="仿宋_GB2312" w:hAnsi="仿宋_GB2312" w:eastAsia="仿宋_GB2312" w:cs="仿宋_GB2312"/>
          <w:color w:val="000000" w:themeColor="text1"/>
          <w:sz w:val="32"/>
          <w:szCs w:val="40"/>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　　（三）</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开展区域健康状况调查，研判主要健康问题、</w:t>
      </w:r>
      <w:r>
        <w:rPr>
          <w:rFonts w:hint="eastAsia" w:ascii="仿宋_GB2312" w:hAnsi="仿宋_GB2312" w:eastAsia="仿宋_GB2312" w:cs="仿宋_GB2312"/>
          <w:color w:val="000000" w:themeColor="text1"/>
          <w:sz w:val="32"/>
          <w:szCs w:val="40"/>
          <w:highlight w:val="none"/>
          <w14:textFill>
            <w14:solidFill>
              <w14:schemeClr w14:val="tx1"/>
            </w14:solidFill>
          </w14:textFill>
        </w:rPr>
        <w:t>健康</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影响因素</w:t>
      </w:r>
      <w:r>
        <w:rPr>
          <w:rFonts w:hint="eastAsia" w:ascii="仿宋_GB2312" w:hAnsi="仿宋_GB2312" w:eastAsia="仿宋_GB2312" w:cs="仿宋_GB2312"/>
          <w:color w:val="000000" w:themeColor="text1"/>
          <w:sz w:val="32"/>
          <w:szCs w:val="40"/>
          <w:highlight w:val="none"/>
          <w14:textFill>
            <w14:solidFill>
              <w14:schemeClr w14:val="tx1"/>
            </w14:solidFill>
          </w14:textFill>
        </w:rPr>
        <w:t>及居民健康需求，</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动态完善评估指标体系</w:t>
      </w:r>
      <w:r>
        <w:rPr>
          <w:rFonts w:hint="eastAsia" w:ascii="仿宋_GB2312" w:hAnsi="仿宋_GB2312" w:eastAsia="仿宋_GB2312" w:cs="仿宋_GB2312"/>
          <w:color w:val="000000" w:themeColor="text1"/>
          <w:sz w:val="32"/>
          <w:szCs w:val="40"/>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　　（四）编制健康影响评估工作指南，建立评估案例库和数据库</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，统一规范评估流程与技术标准</w:t>
      </w:r>
      <w:r>
        <w:rPr>
          <w:rFonts w:hint="eastAsia" w:ascii="仿宋_GB2312" w:hAnsi="仿宋_GB2312" w:eastAsia="仿宋_GB2312" w:cs="仿宋_GB2312"/>
          <w:color w:val="000000" w:themeColor="text1"/>
          <w:sz w:val="32"/>
          <w:szCs w:val="40"/>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　　（五）</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组建并管理</w:t>
      </w:r>
      <w:r>
        <w:rPr>
          <w:rFonts w:hint="eastAsia" w:ascii="仿宋_GB2312" w:hAnsi="仿宋_GB2312" w:eastAsia="仿宋_GB2312" w:cs="仿宋_GB2312"/>
          <w:color w:val="000000" w:themeColor="text1"/>
          <w:sz w:val="32"/>
          <w:szCs w:val="40"/>
          <w:highlight w:val="none"/>
          <w14:textFill>
            <w14:solidFill>
              <w14:schemeClr w14:val="tx1"/>
            </w14:solidFill>
          </w14:textFill>
        </w:rPr>
        <w:t>全市健康影响评估专家库，</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制定专家遴选、使用、考核与回避制度</w:t>
      </w:r>
      <w:r>
        <w:rPr>
          <w:rFonts w:hint="eastAsia" w:ascii="仿宋_GB2312" w:hAnsi="仿宋_GB2312" w:eastAsia="仿宋_GB2312" w:cs="仿宋_GB2312"/>
          <w:color w:val="000000" w:themeColor="text1"/>
          <w:sz w:val="32"/>
          <w:szCs w:val="40"/>
          <w:highlight w:val="none"/>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（六）指导、督促健康影响评估制度实施的其他事项。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jc w:val="both"/>
        <w:textAlignment w:val="auto"/>
        <w:rPr>
          <w:rFonts w:hint="eastAsia" w:ascii="仿宋_GB2312" w:hAnsi="仿宋_GB2312" w:eastAsia="仿宋_GB2312" w:cs="仿宋_GB2312"/>
          <w:color w:val="000000" w:themeColor="text1"/>
          <w:spacing w:val="-6"/>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pacing w:val="-6"/>
          <w:sz w:val="32"/>
          <w:szCs w:val="40"/>
          <w:highlight w:val="none"/>
          <w:lang w:val="en-US" w:eastAsia="zh-CN"/>
          <w14:textFill>
            <w14:solidFill>
              <w14:schemeClr w14:val="tx1"/>
            </w14:solidFill>
          </w14:textFill>
        </w:rPr>
        <w:t>第七条</w:t>
      </w:r>
      <w:r>
        <w:rPr>
          <w:rFonts w:hint="eastAsia" w:ascii="仿宋_GB2312" w:hAnsi="仿宋_GB2312" w:eastAsia="仿宋_GB2312" w:cs="仿宋_GB2312"/>
          <w:color w:val="000000" w:themeColor="text1"/>
          <w:spacing w:val="-6"/>
          <w:sz w:val="32"/>
          <w:szCs w:val="32"/>
          <w:highlight w:val="none"/>
          <w:lang w:val="en-US" w:eastAsia="zh-CN"/>
          <w14:textFill>
            <w14:solidFill>
              <w14:schemeClr w14:val="tx1"/>
            </w14:solidFill>
          </w14:textFill>
        </w:rPr>
        <w:t xml:space="preserve">  实行“谁起草、谁评估、谁主管、谁负责”工作机制：</w:t>
      </w:r>
    </w:p>
    <w:p>
      <w:pPr>
        <w:keepNext w:val="0"/>
        <w:keepLines w:val="0"/>
        <w:pageBreakBefore w:val="0"/>
        <w:widowControl w:val="0"/>
        <w:kinsoku/>
        <w:wordWrap/>
        <w:overflowPunct/>
        <w:topLinePunct w:val="0"/>
        <w:autoSpaceDE/>
        <w:autoSpaceDN/>
        <w:bidi w:val="0"/>
        <w:adjustRightInd/>
        <w:snapToGrid/>
        <w:spacing w:line="560" w:lineRule="exact"/>
        <w:ind w:firstLine="643"/>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（一）部门拟出台的发展规划、</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重要公共政策</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由起草部门组织评估；</w:t>
      </w:r>
    </w:p>
    <w:p>
      <w:pPr>
        <w:keepNext w:val="0"/>
        <w:keepLines w:val="0"/>
        <w:pageBreakBefore w:val="0"/>
        <w:widowControl w:val="0"/>
        <w:kinsoku/>
        <w:wordWrap/>
        <w:overflowPunct/>
        <w:topLinePunct w:val="0"/>
        <w:autoSpaceDE/>
        <w:autoSpaceDN/>
        <w:bidi w:val="0"/>
        <w:adjustRightInd/>
        <w:snapToGrid/>
        <w:spacing w:line="560" w:lineRule="exact"/>
        <w:ind w:firstLine="643"/>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（二）多部门拟联合出台的发展规划、</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重要公共政策</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，由牵头部门组织评估。</w:t>
      </w:r>
    </w:p>
    <w:p>
      <w:pPr>
        <w:keepNext w:val="0"/>
        <w:keepLines w:val="0"/>
        <w:pageBreakBefore w:val="0"/>
        <w:widowControl w:val="0"/>
        <w:kinsoku/>
        <w:wordWrap/>
        <w:overflowPunct/>
        <w:topLinePunct w:val="0"/>
        <w:autoSpaceDE/>
        <w:autoSpaceDN/>
        <w:bidi w:val="0"/>
        <w:adjustRightInd/>
        <w:snapToGrid/>
        <w:spacing w:line="560" w:lineRule="exact"/>
        <w:ind w:firstLine="643"/>
        <w:jc w:val="both"/>
        <w:textAlignment w:val="auto"/>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（三）评估结果应作为政策出台的重要依据，起草单位负责推进评估意见落地。</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14:textFill>
            <w14:solidFill>
              <w14:schemeClr w14:val="tx1"/>
            </w14:solidFill>
          </w14:textFill>
        </w:rPr>
        <w:t>第</w:t>
      </w:r>
      <w:r>
        <w:rPr>
          <w:rFonts w:hint="eastAsia" w:ascii="仿宋_GB2312" w:hAnsi="仿宋_GB2312" w:eastAsia="仿宋_GB2312" w:cs="仿宋_GB2312"/>
          <w:b/>
          <w:bCs/>
          <w:color w:val="000000" w:themeColor="text1"/>
          <w:sz w:val="32"/>
          <w:szCs w:val="40"/>
          <w:highlight w:val="none"/>
          <w:lang w:eastAsia="zh-CN"/>
          <w14:textFill>
            <w14:solidFill>
              <w14:schemeClr w14:val="tx1"/>
            </w14:solidFill>
          </w14:textFill>
        </w:rPr>
        <w:t>八</w:t>
      </w:r>
      <w:r>
        <w:rPr>
          <w:rFonts w:hint="eastAsia" w:ascii="仿宋_GB2312" w:hAnsi="仿宋_GB2312" w:eastAsia="仿宋_GB2312" w:cs="仿宋_GB2312"/>
          <w:b/>
          <w:bCs/>
          <w:color w:val="000000" w:themeColor="text1"/>
          <w:sz w:val="32"/>
          <w:szCs w:val="40"/>
          <w:highlight w:val="none"/>
          <w14:textFill>
            <w14:solidFill>
              <w14:schemeClr w14:val="tx1"/>
            </w14:solidFill>
          </w14:textFill>
        </w:rPr>
        <w:t>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40"/>
          <w:highlight w:val="none"/>
          <w14:textFill>
            <w14:solidFill>
              <w14:schemeClr w14:val="tx1"/>
            </w14:solidFill>
          </w14:textFill>
        </w:rPr>
        <w:t>健康影响评估</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实行应评尽评，重点覆盖以下事项：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（一）涉及公共卫生、城市更新、环境、食品、饮水、交通、能源、住房、养老、教育等与公众健康密切相关的发展规划；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（二）涉及公众健康权益、健康风险管控、健康服务保障的重要公共政策；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（三）政府投资重大工程项目、环境敏感型项目、人群密集型项目、可能产生健康风险的建设项目。</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lang w:eastAsia="zh-CN"/>
          <w14:textFill>
            <w14:solidFill>
              <w14:schemeClr w14:val="tx1"/>
            </w14:solidFill>
          </w14:textFill>
        </w:rPr>
        <w:t>第九条</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 xml:space="preserve">  健康影响评估重点围绕以下方面开展：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 xml:space="preserve">（一）公共卫生安全维度：对人群传染病和感染性疾病的发生发展可能的影响，对人群重点慢性病的发生发展可能的影响，对人群中毒和伤害发生可能的影响，对其他突发公共卫生事件可能的影响；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 xml:space="preserve">（二）健康环境与生活维度：对空气、土壤、饮用水、食品等可能的影响，对人群健康生活方式、社会心理健康等可能的影响，对人口高质量发展可能的影响；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 xml:space="preserve">（三）健康服务与保障维度：对卫生健康投入保障和医疗保险可能的影响，对优质医疗资源合理配置和利用可能的影响，对医疗服务质量安全和医疗卫生服务公平性、可及性可能的影响；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（四）其他可能对人群健康带来不利影响的方面。</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lang w:eastAsia="zh-CN"/>
          <w14:textFill>
            <w14:solidFill>
              <w14:schemeClr w14:val="tx1"/>
            </w14:solidFill>
          </w14:textFill>
        </w:rPr>
        <w:t>第十条</w:t>
      </w:r>
      <w:r>
        <w:rPr>
          <w:rFonts w:hint="eastAsia" w:ascii="仿宋_GB2312" w:hAnsi="仿宋_GB2312" w:eastAsia="仿宋_GB2312" w:cs="仿宋_GB2312"/>
          <w:b/>
          <w:bCs/>
          <w:color w:val="000000" w:themeColor="text1"/>
          <w:sz w:val="32"/>
          <w:szCs w:val="40"/>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评估材料与流程。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市、县（区）</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人民</w:t>
      </w:r>
      <w:r>
        <w:rPr>
          <w:rFonts w:hint="eastAsia" w:ascii="仿宋_GB2312" w:hAnsi="仿宋_GB2312" w:eastAsia="仿宋_GB2312" w:cs="仿宋_GB2312"/>
          <w:color w:val="000000" w:themeColor="text1"/>
          <w:sz w:val="32"/>
          <w:szCs w:val="40"/>
          <w:highlight w:val="none"/>
          <w14:textFill>
            <w14:solidFill>
              <w14:schemeClr w14:val="tx1"/>
            </w14:solidFill>
          </w14:textFill>
        </w:rPr>
        <w:t>政府</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拟</w:t>
      </w:r>
      <w:r>
        <w:rPr>
          <w:rFonts w:hint="eastAsia" w:ascii="仿宋_GB2312" w:hAnsi="仿宋_GB2312" w:eastAsia="仿宋_GB2312" w:cs="仿宋_GB2312"/>
          <w:color w:val="000000" w:themeColor="text1"/>
          <w:sz w:val="32"/>
          <w:szCs w:val="40"/>
          <w:highlight w:val="none"/>
          <w14:textFill>
            <w14:solidFill>
              <w14:schemeClr w14:val="tx1"/>
            </w14:solidFill>
          </w14:textFill>
        </w:rPr>
        <w:t>出台的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发展规划、</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重要公共政策</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在拟定阶段</w:t>
      </w:r>
      <w:r>
        <w:rPr>
          <w:rFonts w:hint="eastAsia" w:ascii="仿宋_GB2312" w:hAnsi="仿宋_GB2312" w:eastAsia="仿宋_GB2312" w:cs="仿宋_GB2312"/>
          <w:color w:val="000000" w:themeColor="text1"/>
          <w:sz w:val="32"/>
          <w:szCs w:val="40"/>
          <w:highlight w:val="none"/>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由起草部门报同级司法行政部门合法性审查前，</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报请</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同级卫生健康主管部门组织开展健康影响评估工作。</w:t>
      </w:r>
      <w:r>
        <w:rPr>
          <w:rFonts w:hint="eastAsia" w:ascii="仿宋_GB2312" w:hAnsi="仿宋_GB2312" w:eastAsia="仿宋_GB2312" w:cs="仿宋_GB2312"/>
          <w:color w:val="000000" w:themeColor="text1"/>
          <w:sz w:val="32"/>
          <w:szCs w:val="40"/>
          <w:highlight w:val="none"/>
          <w14:textFill>
            <w14:solidFill>
              <w14:schemeClr w14:val="tx1"/>
            </w14:solidFill>
          </w14:textFill>
        </w:rPr>
        <w:t>应提供以下材料：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40"/>
          <w:highlight w:val="none"/>
          <w14:textFill>
            <w14:solidFill>
              <w14:schemeClr w14:val="tx1"/>
            </w14:solidFill>
          </w14:textFill>
        </w:rPr>
        <w:t>健康影响评估</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申请表</w:t>
      </w:r>
      <w:r>
        <w:rPr>
          <w:rFonts w:hint="eastAsia" w:ascii="仿宋_GB2312" w:hAnsi="仿宋_GB2312" w:eastAsia="仿宋_GB2312" w:cs="仿宋_GB2312"/>
          <w:color w:val="000000" w:themeColor="text1"/>
          <w:sz w:val="32"/>
          <w:szCs w:val="40"/>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2.发展规划、</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重要公共政策</w:t>
      </w:r>
      <w:r>
        <w:rPr>
          <w:rFonts w:hint="eastAsia" w:ascii="仿宋_GB2312" w:hAnsi="仿宋_GB2312" w:eastAsia="仿宋_GB2312" w:cs="仿宋_GB2312"/>
          <w:color w:val="000000" w:themeColor="text1"/>
          <w:sz w:val="32"/>
          <w:szCs w:val="40"/>
          <w:highlight w:val="none"/>
          <w14:textFill>
            <w14:solidFill>
              <w14:schemeClr w14:val="tx1"/>
            </w14:solidFill>
          </w14:textFill>
        </w:rPr>
        <w:t>文本；</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　　</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40"/>
          <w:highlight w:val="none"/>
          <w14:textFill>
            <w14:solidFill>
              <w14:schemeClr w14:val="tx1"/>
            </w14:solidFill>
          </w14:textFill>
        </w:rPr>
        <w:t>起草说明</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及</w:t>
      </w:r>
      <w:r>
        <w:rPr>
          <w:rFonts w:hint="eastAsia" w:ascii="仿宋_GB2312" w:hAnsi="仿宋_GB2312" w:eastAsia="仿宋_GB2312" w:cs="仿宋_GB2312"/>
          <w:color w:val="000000" w:themeColor="text1"/>
          <w:sz w:val="32"/>
          <w:szCs w:val="40"/>
          <w:highlight w:val="none"/>
          <w14:textFill>
            <w14:solidFill>
              <w14:schemeClr w14:val="tx1"/>
            </w14:solidFill>
          </w14:textFill>
        </w:rPr>
        <w:t>征求意见情况；</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14:textFill>
            <w14:solidFill>
              <w14:schemeClr w14:val="tx1"/>
            </w14:solidFill>
          </w14:textFill>
        </w:rPr>
        <w:t>　</w:t>
      </w:r>
      <w:r>
        <w:rPr>
          <w:rFonts w:hint="eastAsia" w:ascii="仿宋_GB2312" w:hAnsi="仿宋_GB2312" w:eastAsia="仿宋_GB2312" w:cs="仿宋_GB2312"/>
          <w:color w:val="000000" w:themeColor="text1"/>
          <w:sz w:val="32"/>
          <w:szCs w:val="40"/>
          <w:highlight w:val="none"/>
          <w:lang w:val="en-US" w:eastAsia="zh-CN"/>
          <w14:textFill>
            <w14:solidFill>
              <w14:schemeClr w14:val="tx1"/>
            </w14:solidFill>
          </w14:textFill>
        </w:rPr>
        <w:t xml:space="preserve">  4.</w:t>
      </w:r>
      <w:r>
        <w:rPr>
          <w:rFonts w:hint="eastAsia" w:ascii="仿宋_GB2312" w:hAnsi="仿宋_GB2312" w:eastAsia="仿宋_GB2312" w:cs="仿宋_GB2312"/>
          <w:color w:val="000000" w:themeColor="text1"/>
          <w:sz w:val="32"/>
          <w:szCs w:val="40"/>
          <w:highlight w:val="none"/>
          <w14:textFill>
            <w14:solidFill>
              <w14:schemeClr w14:val="tx1"/>
            </w14:solidFill>
          </w14:textFill>
        </w:rPr>
        <w:t>其他</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需补充的</w:t>
      </w:r>
      <w:r>
        <w:rPr>
          <w:rFonts w:hint="eastAsia" w:ascii="仿宋_GB2312" w:hAnsi="仿宋_GB2312" w:eastAsia="仿宋_GB2312" w:cs="仿宋_GB2312"/>
          <w:color w:val="000000" w:themeColor="text1"/>
          <w:sz w:val="32"/>
          <w:szCs w:val="40"/>
          <w:highlight w:val="none"/>
          <w14:textFill>
            <w14:solidFill>
              <w14:schemeClr w14:val="tx1"/>
            </w14:solidFill>
          </w14:textFill>
        </w:rPr>
        <w:t>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highlight w:val="none"/>
          <w14:textFill>
            <w14:solidFill>
              <w14:schemeClr w14:val="tx1"/>
            </w14:solidFill>
          </w14:textFill>
        </w:rPr>
        <w:t>政府投资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14:textFill>
            <w14:solidFill>
              <w14:schemeClr w14:val="tx1"/>
            </w14:solidFill>
          </w14:textFill>
        </w:rPr>
        <w:t>重大工程项目在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可行性研究或设计阶段，</w:t>
      </w:r>
      <w:r>
        <w:rPr>
          <w:rFonts w:hint="eastAsia" w:ascii="仿宋_GB2312" w:hAnsi="仿宋_GB2312" w:eastAsia="仿宋_GB2312" w:cs="仿宋_GB2312"/>
          <w:color w:val="000000" w:themeColor="text1"/>
          <w:sz w:val="32"/>
          <w:szCs w:val="32"/>
          <w:highlight w:val="none"/>
          <w14:textFill>
            <w14:solidFill>
              <w14:schemeClr w14:val="tx1"/>
            </w14:solidFill>
          </w14:textFill>
        </w:rPr>
        <w:t>由</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项目主管部门会同</w:t>
      </w:r>
      <w:r>
        <w:rPr>
          <w:rFonts w:hint="eastAsia" w:ascii="仿宋_GB2312" w:hAnsi="仿宋_GB2312" w:eastAsia="仿宋_GB2312" w:cs="仿宋_GB2312"/>
          <w:color w:val="000000" w:themeColor="text1"/>
          <w:sz w:val="32"/>
          <w:szCs w:val="32"/>
          <w:highlight w:val="none"/>
          <w14:textFill>
            <w14:solidFill>
              <w14:schemeClr w14:val="tx1"/>
            </w14:solidFill>
          </w14:textFill>
        </w:rPr>
        <w:t>项目建设责任单位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报请本级卫生健康主管部门</w:t>
      </w:r>
      <w:r>
        <w:rPr>
          <w:rFonts w:hint="eastAsia" w:ascii="仿宋_GB2312" w:hAnsi="仿宋_GB2312" w:eastAsia="仿宋_GB2312" w:cs="仿宋_GB2312"/>
          <w:color w:val="000000" w:themeColor="text1"/>
          <w:sz w:val="32"/>
          <w:szCs w:val="32"/>
          <w:highlight w:val="none"/>
          <w14:textFill>
            <w14:solidFill>
              <w14:schemeClr w14:val="tx1"/>
            </w14:solidFill>
          </w14:textFill>
        </w:rPr>
        <w:t>开展评估，参照政策评估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流程执行</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40"/>
          <w:highlight w:val="none"/>
          <w14:textFill>
            <w14:solidFill>
              <w14:schemeClr w14:val="tx1"/>
            </w14:solidFill>
          </w14:textFill>
        </w:rPr>
      </w:pP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（三）</w:t>
      </w:r>
      <w:r>
        <w:rPr>
          <w:rFonts w:hint="eastAsia" w:ascii="仿宋_GB2312" w:hAnsi="仿宋_GB2312" w:eastAsia="仿宋_GB2312" w:cs="仿宋_GB2312"/>
          <w:color w:val="000000" w:themeColor="text1"/>
          <w:sz w:val="32"/>
          <w:szCs w:val="40"/>
          <w:highlight w:val="none"/>
          <w14:textFill>
            <w14:solidFill>
              <w14:schemeClr w14:val="tx1"/>
            </w14:solidFill>
          </w14:textFill>
        </w:rPr>
        <w:t>部门出台</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或联合出台的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发展规划、</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重要公共政策</w:t>
      </w:r>
      <w:r>
        <w:rPr>
          <w:rFonts w:hint="eastAsia" w:ascii="仿宋_GB2312" w:hAnsi="仿宋_GB2312" w:eastAsia="仿宋_GB2312" w:cs="仿宋_GB2312"/>
          <w:color w:val="000000" w:themeColor="text1"/>
          <w:sz w:val="32"/>
          <w:szCs w:val="40"/>
          <w:highlight w:val="none"/>
          <w14:textFill>
            <w14:solidFill>
              <w14:schemeClr w14:val="tx1"/>
            </w14:solidFill>
          </w14:textFill>
        </w:rPr>
        <w:t>，由起草</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或牵头</w:t>
      </w:r>
      <w:r>
        <w:rPr>
          <w:rFonts w:hint="eastAsia" w:ascii="仿宋_GB2312" w:hAnsi="仿宋_GB2312" w:eastAsia="仿宋_GB2312" w:cs="仿宋_GB2312"/>
          <w:color w:val="000000" w:themeColor="text1"/>
          <w:sz w:val="32"/>
          <w:szCs w:val="40"/>
          <w:highlight w:val="none"/>
          <w14:textFill>
            <w14:solidFill>
              <w14:schemeClr w14:val="tx1"/>
            </w14:solidFill>
          </w14:textFill>
        </w:rPr>
        <w:t>单位在起草阶段开展评估。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lang w:val="en-US" w:eastAsia="zh-CN"/>
          <w14:textFill>
            <w14:solidFill>
              <w14:schemeClr w14:val="tx1"/>
            </w14:solidFill>
          </w14:textFill>
        </w:rPr>
        <w:t>第十一条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评估时限及情况复杂的情形。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（一）一般评估事项，办理时限不超过10个工作日；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（二）情况复杂的、可延长至15个工作日。</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pPr>
      <w:r>
        <w:rPr>
          <w:rFonts w:hint="eastAsia" w:ascii="宋体" w:hAnsi="宋体" w:eastAsia="宋体" w:cs="宋体"/>
          <w:b/>
          <w:bCs/>
          <w:i w:val="0"/>
          <w:iCs w:val="0"/>
          <w:caps w:val="0"/>
          <w:color w:val="000000" w:themeColor="text1"/>
          <w:spacing w:val="0"/>
          <w:sz w:val="24"/>
          <w:szCs w:val="24"/>
          <w:highlight w:val="none"/>
          <w:shd w:val="clear" w:fill="FFFFFF"/>
          <w14:textFill>
            <w14:solidFill>
              <w14:schemeClr w14:val="tx1"/>
            </w14:solidFill>
          </w14:textFill>
        </w:rPr>
        <w:t>　</w:t>
      </w:r>
      <w:r>
        <w:rPr>
          <w:rFonts w:hint="eastAsia" w:ascii="仿宋_GB2312" w:hAnsi="仿宋_GB2312" w:eastAsia="仿宋_GB2312" w:cs="仿宋_GB2312"/>
          <w:b/>
          <w:bCs/>
          <w:i w:val="0"/>
          <w:iCs w:val="0"/>
          <w:caps w:val="0"/>
          <w:color w:val="000000" w:themeColor="text1"/>
          <w:spacing w:val="0"/>
          <w:sz w:val="32"/>
          <w:szCs w:val="32"/>
          <w:highlight w:val="none"/>
          <w:shd w:val="clear" w:fill="FFFFFF"/>
          <w14:textFill>
            <w14:solidFill>
              <w14:schemeClr w14:val="tx1"/>
            </w14:solidFill>
          </w14:textFill>
        </w:rPr>
        <w:t>第</w:t>
      </w:r>
      <w:r>
        <w:rPr>
          <w:rFonts w:hint="eastAsia" w:ascii="仿宋_GB2312" w:hAnsi="仿宋_GB2312" w:eastAsia="仿宋_GB2312" w:cs="仿宋_GB2312"/>
          <w:b/>
          <w:bCs/>
          <w:i w:val="0"/>
          <w:iCs w:val="0"/>
          <w:caps w:val="0"/>
          <w:color w:val="000000" w:themeColor="text1"/>
          <w:spacing w:val="0"/>
          <w:sz w:val="32"/>
          <w:szCs w:val="32"/>
          <w:highlight w:val="none"/>
          <w:shd w:val="clear" w:fill="FFFFFF"/>
          <w:lang w:eastAsia="zh-CN"/>
          <w14:textFill>
            <w14:solidFill>
              <w14:schemeClr w14:val="tx1"/>
            </w14:solidFill>
          </w14:textFill>
        </w:rPr>
        <w:t>十二</w:t>
      </w:r>
      <w:r>
        <w:rPr>
          <w:rFonts w:hint="eastAsia" w:ascii="仿宋_GB2312" w:hAnsi="仿宋_GB2312" w:eastAsia="仿宋_GB2312" w:cs="仿宋_GB2312"/>
          <w:b/>
          <w:bCs/>
          <w:i w:val="0"/>
          <w:iCs w:val="0"/>
          <w:caps w:val="0"/>
          <w:color w:val="000000" w:themeColor="text1"/>
          <w:spacing w:val="0"/>
          <w:sz w:val="32"/>
          <w:szCs w:val="32"/>
          <w:highlight w:val="none"/>
          <w:shd w:val="clear" w:fill="FFFFFF"/>
          <w14:textFill>
            <w14:solidFill>
              <w14:schemeClr w14:val="tx1"/>
            </w14:solidFill>
          </w14:textFill>
        </w:rPr>
        <w:t xml:space="preserve">条 </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t xml:space="preserve"> </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lang w:eastAsia="zh-CN"/>
          <w14:textFill>
            <w14:solidFill>
              <w14:schemeClr w14:val="tx1"/>
            </w14:solidFill>
          </w14:textFill>
        </w:rPr>
        <w:t>实施评估</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t>应当从</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lang w:eastAsia="zh-CN"/>
          <w14:textFill>
            <w14:solidFill>
              <w14:schemeClr w14:val="tx1"/>
            </w14:solidFill>
          </w14:textFill>
        </w:rPr>
        <w:t>全市</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t>健康影响评估专家库中分专业随机抽取专家，组建评估专家组，并确定专家组组长。专家组人数以奇数核定，一般不少于</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7</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t>人</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t>评估专家组应当客观、公正、独立地开展评估工作，出具书面评估意见。必要时，可以邀请上级专家库专家以及可能受拟定规划、</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lang w:eastAsia="zh-CN"/>
          <w14:textFill>
            <w14:solidFill>
              <w14:schemeClr w14:val="tx1"/>
            </w14:solidFill>
          </w14:textFill>
        </w:rPr>
        <w:t>政策</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t>或者项目直接影响的人群代表，参加评估座谈会或者听证会。</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highlight w:val="none"/>
          <w:shd w:val="clear" w:fill="FFFFFF"/>
          <w14:textFill>
            <w14:solidFill>
              <w14:schemeClr w14:val="tx1"/>
            </w14:solidFill>
          </w14:textFill>
        </w:rPr>
        <w:t>第十</w:t>
      </w:r>
      <w:r>
        <w:rPr>
          <w:rFonts w:hint="eastAsia" w:ascii="仿宋_GB2312" w:hAnsi="仿宋_GB2312" w:eastAsia="仿宋_GB2312" w:cs="仿宋_GB2312"/>
          <w:b/>
          <w:bCs/>
          <w:i w:val="0"/>
          <w:iCs w:val="0"/>
          <w:caps w:val="0"/>
          <w:color w:val="000000" w:themeColor="text1"/>
          <w:spacing w:val="0"/>
          <w:sz w:val="32"/>
          <w:szCs w:val="32"/>
          <w:highlight w:val="none"/>
          <w:shd w:val="clear" w:fill="FFFFFF"/>
          <w:lang w:eastAsia="zh-CN"/>
          <w14:textFill>
            <w14:solidFill>
              <w14:schemeClr w14:val="tx1"/>
            </w14:solidFill>
          </w14:textFill>
        </w:rPr>
        <w:t>三</w:t>
      </w:r>
      <w:r>
        <w:rPr>
          <w:rFonts w:hint="eastAsia" w:ascii="仿宋_GB2312" w:hAnsi="仿宋_GB2312" w:eastAsia="仿宋_GB2312" w:cs="仿宋_GB2312"/>
          <w:b/>
          <w:bCs/>
          <w:i w:val="0"/>
          <w:iCs w:val="0"/>
          <w:caps w:val="0"/>
          <w:color w:val="000000" w:themeColor="text1"/>
          <w:spacing w:val="0"/>
          <w:sz w:val="32"/>
          <w:szCs w:val="32"/>
          <w:highlight w:val="none"/>
          <w:shd w:val="clear" w:fill="FFFFFF"/>
          <w14:textFill>
            <w14:solidFill>
              <w14:schemeClr w14:val="tx1"/>
            </w14:solidFill>
          </w14:textFill>
        </w:rPr>
        <w:t xml:space="preserve">条 </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t xml:space="preserve"> 健康影响评估应当采取文献检索、现场调查、检验检测等定性、定量的方式方法进行，科学评估健康影响，客观作出评估结论。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highlight w:val="none"/>
          <w:shd w:val="clear" w:fill="FFFFFF"/>
          <w14:textFill>
            <w14:solidFill>
              <w14:schemeClr w14:val="tx1"/>
            </w14:solidFill>
          </w14:textFill>
        </w:rPr>
        <w:t>第十</w:t>
      </w:r>
      <w:r>
        <w:rPr>
          <w:rFonts w:hint="eastAsia" w:ascii="仿宋_GB2312" w:hAnsi="仿宋_GB2312" w:eastAsia="仿宋_GB2312" w:cs="仿宋_GB2312"/>
          <w:b/>
          <w:bCs/>
          <w:i w:val="0"/>
          <w:iCs w:val="0"/>
          <w:caps w:val="0"/>
          <w:color w:val="000000" w:themeColor="text1"/>
          <w:spacing w:val="0"/>
          <w:sz w:val="32"/>
          <w:szCs w:val="32"/>
          <w:highlight w:val="none"/>
          <w:shd w:val="clear" w:fill="FFFFFF"/>
          <w:lang w:eastAsia="zh-CN"/>
          <w14:textFill>
            <w14:solidFill>
              <w14:schemeClr w14:val="tx1"/>
            </w14:solidFill>
          </w14:textFill>
        </w:rPr>
        <w:t>四</w:t>
      </w:r>
      <w:r>
        <w:rPr>
          <w:rFonts w:hint="eastAsia" w:ascii="仿宋_GB2312" w:hAnsi="仿宋_GB2312" w:eastAsia="仿宋_GB2312" w:cs="仿宋_GB2312"/>
          <w:b/>
          <w:bCs/>
          <w:i w:val="0"/>
          <w:iCs w:val="0"/>
          <w:caps w:val="0"/>
          <w:color w:val="000000" w:themeColor="text1"/>
          <w:spacing w:val="0"/>
          <w:sz w:val="32"/>
          <w:szCs w:val="32"/>
          <w:highlight w:val="none"/>
          <w:shd w:val="clear" w:fill="FFFFFF"/>
          <w14:textFill>
            <w14:solidFill>
              <w14:schemeClr w14:val="tx1"/>
            </w14:solidFill>
          </w14:textFill>
        </w:rPr>
        <w:t>条</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t xml:space="preserve">  评估专家组初筛后，填写健康影响评估初筛表，并根据发展规划、</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lang w:eastAsia="zh-CN"/>
          <w14:textFill>
            <w14:solidFill>
              <w14:schemeClr w14:val="tx1"/>
            </w14:solidFill>
          </w14:textFill>
        </w:rPr>
        <w:t>重要公共政策</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t>和重大工程项目对健康的影响程度分类出具评估结果文书：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t>（一）</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lang w:eastAsia="zh-CN"/>
          <w14:textFill>
            <w14:solidFill>
              <w14:schemeClr w14:val="tx1"/>
            </w14:solidFill>
          </w14:textFill>
        </w:rPr>
        <w:t>不存在不良健康影响或不良健康影响极其轻微的</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t>，不需要进一步分析评估的，填写健康影响评估初筛表，即完成评估；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t>（二）可能造成轻度健康影响的，应当进一步分析评估，编制健康影响评估</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lang w:eastAsia="zh-CN"/>
          <w14:textFill>
            <w14:solidFill>
              <w14:schemeClr w14:val="tx1"/>
            </w14:solidFill>
          </w14:textFill>
        </w:rPr>
        <w:t>专家组意见反馈</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t>表，提出修改、完善意见；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14:textFill>
            <w14:solidFill>
              <w14:schemeClr w14:val="tx1"/>
            </w14:solidFill>
          </w14:textFill>
        </w:rPr>
        <w:t>（三）可能造成重大健康影响的，应当进一步分析评估，编制健康影响评估报告书，提出修改、完善、暂缓发布等意见</w:t>
      </w:r>
      <w:r>
        <w:rPr>
          <w:rFonts w:hint="eastAsia" w:ascii="仿宋_GB2312" w:hAnsi="仿宋_GB2312" w:eastAsia="仿宋_GB2312" w:cs="仿宋_GB2312"/>
          <w:b w:val="0"/>
          <w:bCs w:val="0"/>
          <w:i w:val="0"/>
          <w:iCs w:val="0"/>
          <w:caps w:val="0"/>
          <w:color w:val="000000" w:themeColor="text1"/>
          <w:spacing w:val="0"/>
          <w:sz w:val="32"/>
          <w:szCs w:val="32"/>
          <w:highlight w:val="none"/>
          <w:shd w:val="clear" w:fill="FFFFFF"/>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14:textFill>
            <w14:solidFill>
              <w14:schemeClr w14:val="tx1"/>
            </w14:solidFill>
          </w14:textFill>
        </w:rPr>
        <w:t>第</w:t>
      </w:r>
      <w:r>
        <w:rPr>
          <w:rFonts w:hint="eastAsia" w:ascii="仿宋_GB2312" w:hAnsi="仿宋_GB2312" w:eastAsia="仿宋_GB2312" w:cs="仿宋_GB2312"/>
          <w:b/>
          <w:bCs/>
          <w:color w:val="000000" w:themeColor="text1"/>
          <w:sz w:val="32"/>
          <w:szCs w:val="40"/>
          <w:highlight w:val="none"/>
          <w:lang w:eastAsia="zh-CN"/>
          <w14:textFill>
            <w14:solidFill>
              <w14:schemeClr w14:val="tx1"/>
            </w14:solidFill>
          </w14:textFill>
        </w:rPr>
        <w:t>十五</w:t>
      </w:r>
      <w:r>
        <w:rPr>
          <w:rFonts w:hint="eastAsia" w:ascii="仿宋_GB2312" w:hAnsi="仿宋_GB2312" w:eastAsia="仿宋_GB2312" w:cs="仿宋_GB2312"/>
          <w:b/>
          <w:bCs/>
          <w:color w:val="000000" w:themeColor="text1"/>
          <w:sz w:val="32"/>
          <w:szCs w:val="40"/>
          <w:highlight w:val="none"/>
          <w14:textFill>
            <w14:solidFill>
              <w14:schemeClr w14:val="tx1"/>
            </w14:solidFill>
          </w14:textFill>
        </w:rPr>
        <w:t>条</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起草部门、项目单位应当对专家组出具的健康影 响评估</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意见</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进行研究处理，根据评估</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意见</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对规划、</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政策</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或者项目 方案进行修改完善。在集体讨论决定或者履行报批程序时，应当 提交健康影响评估</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意见</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并附对评估</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意见</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采纳或者不采纳的</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说明。</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lang w:eastAsia="zh-CN"/>
          <w14:textFill>
            <w14:solidFill>
              <w14:schemeClr w14:val="tx1"/>
            </w14:solidFill>
          </w14:textFill>
        </w:rPr>
        <w:t>第十六条</w:t>
      </w:r>
      <w:r>
        <w:rPr>
          <w:rFonts w:hint="eastAsia"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起草部门、项目单位应当将健康影响评估</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意见</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和 对评估</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意见</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采纳或者不采纳的说明，及时报同级卫生健康主管部 门备案。卫生健康主管部门对备案材料进行审核，对评估</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意见</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不采纳理由不充分或者风险防控措施不足的，应当向起草部门或者项目单位提出书面整改意见，并根据情况报告本级人民政府。</w:t>
      </w:r>
      <w:r>
        <w:rPr>
          <w:rFonts w:hint="eastAsia"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14:textFill>
            <w14:solidFill>
              <w14:schemeClr w14:val="tx1"/>
            </w14:solidFill>
          </w14:textFill>
        </w:rPr>
        <w:t>第十</w:t>
      </w:r>
      <w:r>
        <w:rPr>
          <w:rFonts w:hint="eastAsia" w:ascii="仿宋_GB2312" w:hAnsi="仿宋_GB2312" w:eastAsia="仿宋_GB2312" w:cs="仿宋_GB2312"/>
          <w:b/>
          <w:bCs/>
          <w:color w:val="000000" w:themeColor="text1"/>
          <w:sz w:val="32"/>
          <w:szCs w:val="40"/>
          <w:highlight w:val="none"/>
          <w:lang w:eastAsia="zh-CN"/>
          <w14:textFill>
            <w14:solidFill>
              <w14:schemeClr w14:val="tx1"/>
            </w14:solidFill>
          </w14:textFill>
        </w:rPr>
        <w:t>七</w:t>
      </w:r>
      <w:r>
        <w:rPr>
          <w:rFonts w:hint="eastAsia" w:ascii="仿宋_GB2312" w:hAnsi="仿宋_GB2312" w:eastAsia="仿宋_GB2312" w:cs="仿宋_GB2312"/>
          <w:b/>
          <w:bCs/>
          <w:color w:val="000000" w:themeColor="text1"/>
          <w:sz w:val="32"/>
          <w:szCs w:val="40"/>
          <w:highlight w:val="none"/>
          <w14:textFill>
            <w14:solidFill>
              <w14:schemeClr w14:val="tx1"/>
            </w14:solidFill>
          </w14:textFill>
        </w:rPr>
        <w:t xml:space="preserve">条 </w:t>
      </w:r>
      <w:r>
        <w:rPr>
          <w:rFonts w:hint="eastAsia" w:ascii="仿宋_GB2312" w:hAnsi="仿宋_GB2312" w:eastAsia="仿宋_GB2312" w:cs="仿宋_GB2312"/>
          <w:b/>
          <w:bCs/>
          <w:color w:val="000000" w:themeColor="text1"/>
          <w:sz w:val="32"/>
          <w:szCs w:val="40"/>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发展规划、</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重要公共政策</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实施过程中，重大工程项目建设运营期间，评估实施主体应当</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定期</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根据实际情况对评估</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意见</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 xml:space="preserve">的执行情况以及对监测人群健康影响因素等开展跟踪监测工作。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监测发现规划、</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政策</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或者项目实施后产生重大不良健康影响 的，评估实施主体应当及时采取调整、暂缓或者停止实施等措施， 或者提出相关</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意见</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 xml:space="preserve">，并向本级人民政府报告。起草部门、项目单 位调整符合相关要求后，恢复实施。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lang w:eastAsia="zh-CN"/>
          <w14:textFill>
            <w14:solidFill>
              <w14:schemeClr w14:val="tx1"/>
            </w14:solidFill>
          </w14:textFill>
        </w:rPr>
        <w:t>第十八条</w:t>
      </w:r>
      <w:r>
        <w:rPr>
          <w:rFonts w:hint="eastAsia" w:ascii="仿宋_GB2312" w:hAnsi="仿宋_GB2312" w:eastAsia="仿宋_GB2312" w:cs="仿宋_GB2312"/>
          <w:b/>
          <w:bCs/>
          <w:color w:val="000000" w:themeColor="text1"/>
          <w:sz w:val="32"/>
          <w:szCs w:val="40"/>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卫生健康主管部门应当定期组织对有关发展规划、</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重要公共政策</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和重大工程项目开展抽查，经核查发现违反本规定的，应当督促起草部门、项目单位进行整改。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14:textFill>
            <w14:solidFill>
              <w14:schemeClr w14:val="tx1"/>
            </w14:solidFill>
          </w14:textFill>
        </w:rPr>
        <w:t>第</w:t>
      </w:r>
      <w:r>
        <w:rPr>
          <w:rFonts w:hint="eastAsia" w:ascii="仿宋_GB2312" w:hAnsi="仿宋_GB2312" w:eastAsia="仿宋_GB2312" w:cs="仿宋_GB2312"/>
          <w:b/>
          <w:bCs/>
          <w:color w:val="000000" w:themeColor="text1"/>
          <w:sz w:val="32"/>
          <w:szCs w:val="40"/>
          <w:highlight w:val="none"/>
          <w:lang w:eastAsia="zh-CN"/>
          <w14:textFill>
            <w14:solidFill>
              <w14:schemeClr w14:val="tx1"/>
            </w14:solidFill>
          </w14:textFill>
        </w:rPr>
        <w:t>十九</w:t>
      </w:r>
      <w:r>
        <w:rPr>
          <w:rFonts w:hint="eastAsia" w:ascii="仿宋_GB2312" w:hAnsi="仿宋_GB2312" w:eastAsia="仿宋_GB2312" w:cs="仿宋_GB2312"/>
          <w:b/>
          <w:bCs/>
          <w:color w:val="000000" w:themeColor="text1"/>
          <w:sz w:val="32"/>
          <w:szCs w:val="40"/>
          <w:highlight w:val="none"/>
          <w14:textFill>
            <w14:solidFill>
              <w14:schemeClr w14:val="tx1"/>
            </w14:solidFill>
          </w14:textFill>
        </w:rPr>
        <w:t xml:space="preserve">条 </w:t>
      </w:r>
      <w:r>
        <w:rPr>
          <w:rFonts w:hint="eastAsia" w:ascii="仿宋_GB2312" w:hAnsi="仿宋_GB2312" w:eastAsia="仿宋_GB2312" w:cs="仿宋_GB2312"/>
          <w:b/>
          <w:bCs/>
          <w:color w:val="000000" w:themeColor="text1"/>
          <w:sz w:val="32"/>
          <w:szCs w:val="40"/>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有关部门或者单位有下列情形之一的，由本级 人民政府或者上级人民政府有关部门对其主要负责人进行约谈：</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未按照规定将发展规划、</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重要公共政策</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和重大工程项目</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报请</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或者开展健康影响评估的；</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在评估工作中弄虚作假，导致评估结论失实的；</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无正当理由，不采纳评估提出的健康风险防控</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意见</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 xml:space="preserve">的， 或者对卫生健康主管部门提出的整改意见不执行的；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违反本规定第十</w:t>
      </w:r>
      <w:r>
        <w:rPr>
          <w:rFonts w:hint="eastAsia" w:ascii="仿宋_GB2312" w:hAnsi="仿宋_GB2312" w:eastAsia="仿宋_GB2312" w:cs="仿宋_GB2312"/>
          <w:b w:val="0"/>
          <w:bCs w:val="0"/>
          <w:color w:val="000000" w:themeColor="text1"/>
          <w:sz w:val="32"/>
          <w:szCs w:val="40"/>
          <w:highlight w:val="none"/>
          <w:lang w:eastAsia="zh-CN"/>
          <w14:textFill>
            <w14:solidFill>
              <w14:schemeClr w14:val="tx1"/>
            </w14:solidFill>
          </w14:textFill>
        </w:rPr>
        <w:t>七</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条，尚未造成严重后果的。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 xml:space="preserve">县（区）人民政府未履行健康影响评估相关职责的，由市人民政府对其主要负责人进行约谈。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 xml:space="preserve">被约谈的部门、单位和县（区）人民政府应当立即采取措施整改，并按要求报告整改情况。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 xml:space="preserve">卫生健康主管部门可以向本级人民政府提出约谈建议，并负 责约谈的组织实施和整改情况的跟踪督办。 </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14:textFill>
            <w14:solidFill>
              <w14:schemeClr w14:val="tx1"/>
            </w14:solidFill>
          </w14:textFill>
        </w:rPr>
        <w:t>第二十条</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违反本规定，滥用职权、玩忽职守、徇私舞弊， 造成公共卫生事件、群体性健康损害或者其他严重后果的，对直 接负责的主管人员和其他直接责任人员依法给予处分。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000000" w:themeColor="text1"/>
          <w:sz w:val="32"/>
          <w:szCs w:val="40"/>
          <w:highlight w:val="none"/>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14:textFill>
            <w14:solidFill>
              <w14:schemeClr w14:val="tx1"/>
            </w14:solidFill>
          </w14:textFill>
        </w:rPr>
        <w:t>第</w:t>
      </w:r>
      <w:r>
        <w:rPr>
          <w:rFonts w:hint="eastAsia" w:ascii="仿宋_GB2312" w:hAnsi="仿宋_GB2312" w:eastAsia="仿宋_GB2312" w:cs="仿宋_GB2312"/>
          <w:b/>
          <w:bCs/>
          <w:color w:val="000000" w:themeColor="text1"/>
          <w:sz w:val="32"/>
          <w:szCs w:val="40"/>
          <w:highlight w:val="none"/>
          <w:lang w:eastAsia="zh-CN"/>
          <w14:textFill>
            <w14:solidFill>
              <w14:schemeClr w14:val="tx1"/>
            </w14:solidFill>
          </w14:textFill>
        </w:rPr>
        <w:t>二十一</w:t>
      </w:r>
      <w:r>
        <w:rPr>
          <w:rFonts w:hint="eastAsia" w:ascii="仿宋_GB2312" w:hAnsi="仿宋_GB2312" w:eastAsia="仿宋_GB2312" w:cs="仿宋_GB2312"/>
          <w:b/>
          <w:bCs/>
          <w:color w:val="000000" w:themeColor="text1"/>
          <w:sz w:val="32"/>
          <w:szCs w:val="40"/>
          <w:highlight w:val="none"/>
          <w14:textFill>
            <w14:solidFill>
              <w14:schemeClr w14:val="tx1"/>
            </w14:solidFill>
          </w14:textFill>
        </w:rPr>
        <w:t>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有关单位和个人</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对在健康影响评估过程中</w:t>
      </w:r>
      <w:r>
        <w:rPr>
          <w:rFonts w:hint="eastAsia" w:ascii="仿宋_GB2312" w:hAnsi="仿宋_GB2312" w:eastAsia="仿宋_GB2312" w:cs="仿宋_GB2312"/>
          <w:color w:val="000000" w:themeColor="text1"/>
          <w:sz w:val="32"/>
          <w:szCs w:val="40"/>
          <w:highlight w:val="none"/>
          <w14:textFill>
            <w14:solidFill>
              <w14:schemeClr w14:val="tx1"/>
            </w14:solidFill>
          </w14:textFill>
        </w:rPr>
        <w:t>知悉的国家秘密、商业秘密</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和</w:t>
      </w:r>
      <w:r>
        <w:rPr>
          <w:rFonts w:hint="eastAsia" w:ascii="仿宋_GB2312" w:hAnsi="仿宋_GB2312" w:eastAsia="仿宋_GB2312" w:cs="仿宋_GB2312"/>
          <w:color w:val="000000" w:themeColor="text1"/>
          <w:sz w:val="32"/>
          <w:szCs w:val="40"/>
          <w:highlight w:val="none"/>
          <w14:textFill>
            <w14:solidFill>
              <w14:schemeClr w14:val="tx1"/>
            </w14:solidFill>
          </w14:textFill>
        </w:rPr>
        <w:t>个人隐私</w:t>
      </w:r>
      <w:r>
        <w:rPr>
          <w:rFonts w:hint="eastAsia" w:ascii="仿宋_GB2312" w:hAnsi="仿宋_GB2312" w:eastAsia="仿宋_GB2312" w:cs="仿宋_GB2312"/>
          <w:color w:val="000000" w:themeColor="text1"/>
          <w:sz w:val="32"/>
          <w:szCs w:val="40"/>
          <w:highlight w:val="none"/>
          <w:lang w:eastAsia="zh-CN"/>
          <w14:textFill>
            <w14:solidFill>
              <w14:schemeClr w14:val="tx1"/>
            </w14:solidFill>
          </w14:textFill>
        </w:rPr>
        <w:t>，应当依法予以</w:t>
      </w:r>
      <w:r>
        <w:rPr>
          <w:rFonts w:hint="eastAsia" w:ascii="仿宋_GB2312" w:hAnsi="仿宋_GB2312" w:eastAsia="仿宋_GB2312" w:cs="仿宋_GB2312"/>
          <w:color w:val="000000" w:themeColor="text1"/>
          <w:sz w:val="32"/>
          <w:szCs w:val="40"/>
          <w:highlight w:val="none"/>
          <w14:textFill>
            <w14:solidFill>
              <w14:schemeClr w14:val="tx1"/>
            </w14:solidFill>
          </w14:textFill>
        </w:rPr>
        <w:t>保密。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14:textFill>
            <w14:solidFill>
              <w14:schemeClr w14:val="tx1"/>
            </w14:solidFill>
          </w14:textFill>
        </w:rPr>
        <w:t>第二十</w:t>
      </w:r>
      <w:r>
        <w:rPr>
          <w:rFonts w:hint="eastAsia" w:ascii="仿宋_GB2312" w:hAnsi="仿宋_GB2312" w:eastAsia="仿宋_GB2312" w:cs="仿宋_GB2312"/>
          <w:b/>
          <w:bCs/>
          <w:color w:val="000000" w:themeColor="text1"/>
          <w:sz w:val="32"/>
          <w:szCs w:val="40"/>
          <w:highlight w:val="none"/>
          <w:lang w:eastAsia="zh-CN"/>
          <w14:textFill>
            <w14:solidFill>
              <w14:schemeClr w14:val="tx1"/>
            </w14:solidFill>
          </w14:textFill>
        </w:rPr>
        <w:t>二</w:t>
      </w:r>
      <w:r>
        <w:rPr>
          <w:rFonts w:hint="eastAsia" w:ascii="仿宋_GB2312" w:hAnsi="仿宋_GB2312" w:eastAsia="仿宋_GB2312" w:cs="仿宋_GB2312"/>
          <w:b/>
          <w:bCs/>
          <w:color w:val="000000" w:themeColor="text1"/>
          <w:sz w:val="32"/>
          <w:szCs w:val="40"/>
          <w:highlight w:val="none"/>
          <w14:textFill>
            <w14:solidFill>
              <w14:schemeClr w14:val="tx1"/>
            </w14:solidFill>
          </w14:textFill>
        </w:rPr>
        <w:t xml:space="preserve">条 </w:t>
      </w:r>
      <w:r>
        <w:rPr>
          <w:rFonts w:hint="eastAsia"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40"/>
          <w:highlight w:val="none"/>
          <w14:textFill>
            <w14:solidFill>
              <w14:schemeClr w14:val="tx1"/>
            </w14:solidFill>
          </w14:textFill>
        </w:rPr>
        <w:t>市、县（区）人民政府应当推动健康影响评估数据共享机制建设，支持健康影响评估大模型的研发。</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lang w:val="en-US" w:eastAsia="zh-CN"/>
          <w14:textFill>
            <w14:solidFill>
              <w14:schemeClr w14:val="tx1"/>
            </w14:solidFill>
          </w14:textFill>
        </w:rPr>
        <w:t xml:space="preserve">第二十三条 </w:t>
      </w:r>
      <w:r>
        <w:rPr>
          <w:rFonts w:hint="eastAsia"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鼓励企业、社会组织和公众等以适当方式参与健康影响评估。鼓励和支持高等院校、科研院所等开展健康影响评估研究。</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14:textFill>
            <w14:solidFill>
              <w14:schemeClr w14:val="tx1"/>
            </w14:solidFill>
          </w14:textFill>
        </w:rPr>
        <w:t>第</w:t>
      </w:r>
      <w:r>
        <w:rPr>
          <w:rFonts w:hint="eastAsia" w:ascii="仿宋_GB2312" w:hAnsi="仿宋_GB2312" w:eastAsia="仿宋_GB2312" w:cs="仿宋_GB2312"/>
          <w:b/>
          <w:bCs/>
          <w:color w:val="000000" w:themeColor="text1"/>
          <w:sz w:val="32"/>
          <w:szCs w:val="40"/>
          <w:highlight w:val="none"/>
          <w:lang w:eastAsia="zh-CN"/>
          <w14:textFill>
            <w14:solidFill>
              <w14:schemeClr w14:val="tx1"/>
            </w14:solidFill>
          </w14:textFill>
        </w:rPr>
        <w:t>二十四</w:t>
      </w:r>
      <w:r>
        <w:rPr>
          <w:rFonts w:hint="eastAsia" w:ascii="仿宋_GB2312" w:hAnsi="仿宋_GB2312" w:eastAsia="仿宋_GB2312" w:cs="仿宋_GB2312"/>
          <w:b/>
          <w:bCs/>
          <w:color w:val="000000" w:themeColor="text1"/>
          <w:sz w:val="32"/>
          <w:szCs w:val="40"/>
          <w:highlight w:val="none"/>
          <w14:textFill>
            <w14:solidFill>
              <w14:schemeClr w14:val="tx1"/>
            </w14:solidFill>
          </w14:textFill>
        </w:rPr>
        <w:t>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已依法完成环境影响评价、社会稳定风险评估等法定评估中包含健康影响内容的，可不再重复评估。</w:t>
      </w:r>
      <w:r>
        <w:rPr>
          <w:rFonts w:hint="eastAsia" w:ascii="仿宋_GB2312" w:hAnsi="仿宋_GB2312" w:eastAsia="仿宋_GB2312" w:cs="仿宋_GB2312"/>
          <w:color w:val="000000" w:themeColor="text1"/>
          <w:sz w:val="32"/>
          <w:szCs w:val="32"/>
          <w:highlight w:val="none"/>
          <w14:textFill>
            <w14:solidFill>
              <w14:schemeClr w14:val="tx1"/>
            </w14:solidFill>
          </w14:textFill>
        </w:rPr>
        <w:t>未评估部分，适用本办法。</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bCs w:val="0"/>
          <w:color w:val="000000" w:themeColor="text1"/>
          <w:spacing w:val="-6"/>
          <w:sz w:val="32"/>
          <w:szCs w:val="40"/>
          <w:highlight w:val="none"/>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14:textFill>
            <w14:solidFill>
              <w14:schemeClr w14:val="tx1"/>
            </w14:solidFill>
          </w14:textFill>
        </w:rPr>
        <w:t>第</w:t>
      </w:r>
      <w:r>
        <w:rPr>
          <w:rFonts w:hint="eastAsia" w:ascii="仿宋_GB2312" w:hAnsi="仿宋_GB2312" w:eastAsia="仿宋_GB2312" w:cs="仿宋_GB2312"/>
          <w:b/>
          <w:bCs/>
          <w:color w:val="000000" w:themeColor="text1"/>
          <w:sz w:val="32"/>
          <w:szCs w:val="40"/>
          <w:highlight w:val="none"/>
          <w:lang w:eastAsia="zh-CN"/>
          <w14:textFill>
            <w14:solidFill>
              <w14:schemeClr w14:val="tx1"/>
            </w14:solidFill>
          </w14:textFill>
        </w:rPr>
        <w:t>二十五</w:t>
      </w:r>
      <w:r>
        <w:rPr>
          <w:rFonts w:hint="eastAsia" w:ascii="仿宋_GB2312" w:hAnsi="仿宋_GB2312" w:eastAsia="仿宋_GB2312" w:cs="仿宋_GB2312"/>
          <w:b/>
          <w:bCs/>
          <w:color w:val="000000" w:themeColor="text1"/>
          <w:sz w:val="32"/>
          <w:szCs w:val="40"/>
          <w:highlight w:val="none"/>
          <w14:textFill>
            <w14:solidFill>
              <w14:schemeClr w14:val="tx1"/>
            </w14:solidFill>
          </w14:textFill>
        </w:rPr>
        <w:t xml:space="preserve">条 </w:t>
      </w:r>
      <w:r>
        <w:rPr>
          <w:rFonts w:hint="eastAsia" w:ascii="仿宋_GB2312" w:hAnsi="仿宋_GB2312" w:eastAsia="仿宋_GB2312" w:cs="仿宋_GB2312"/>
          <w:b w:val="0"/>
          <w:bCs w:val="0"/>
          <w:color w:val="000000" w:themeColor="text1"/>
          <w:spacing w:val="-6"/>
          <w:sz w:val="32"/>
          <w:szCs w:val="40"/>
          <w:highlight w:val="none"/>
          <w14:textFill>
            <w14:solidFill>
              <w14:schemeClr w14:val="tx1"/>
            </w14:solidFill>
          </w14:textFill>
        </w:rPr>
        <w:t>本</w:t>
      </w:r>
      <w:r>
        <w:rPr>
          <w:rFonts w:hint="eastAsia" w:ascii="仿宋_GB2312" w:hAnsi="仿宋_GB2312" w:eastAsia="仿宋_GB2312" w:cs="仿宋_GB2312"/>
          <w:b w:val="0"/>
          <w:bCs w:val="0"/>
          <w:color w:val="000000" w:themeColor="text1"/>
          <w:spacing w:val="-6"/>
          <w:sz w:val="32"/>
          <w:szCs w:val="40"/>
          <w:highlight w:val="none"/>
          <w:lang w:eastAsia="zh-CN"/>
          <w14:textFill>
            <w14:solidFill>
              <w14:schemeClr w14:val="tx1"/>
            </w14:solidFill>
          </w14:textFill>
        </w:rPr>
        <w:t>办法</w:t>
      </w:r>
      <w:r>
        <w:rPr>
          <w:rFonts w:hint="eastAsia" w:ascii="仿宋_GB2312" w:hAnsi="仿宋_GB2312" w:eastAsia="仿宋_GB2312" w:cs="仿宋_GB2312"/>
          <w:b w:val="0"/>
          <w:bCs w:val="0"/>
          <w:color w:val="000000" w:themeColor="text1"/>
          <w:spacing w:val="-6"/>
          <w:sz w:val="32"/>
          <w:szCs w:val="40"/>
          <w:highlight w:val="none"/>
          <w14:textFill>
            <w14:solidFill>
              <w14:schemeClr w14:val="tx1"/>
            </w14:solidFill>
          </w14:textFill>
        </w:rPr>
        <w:t xml:space="preserve">自 2026 年 </w:t>
      </w:r>
      <w:r>
        <w:rPr>
          <w:rFonts w:hint="eastAsia" w:ascii="仿宋_GB2312" w:hAnsi="仿宋_GB2312" w:eastAsia="仿宋_GB2312" w:cs="仿宋_GB2312"/>
          <w:b w:val="0"/>
          <w:bCs w:val="0"/>
          <w:color w:val="000000" w:themeColor="text1"/>
          <w:spacing w:val="-6"/>
          <w:sz w:val="32"/>
          <w:szCs w:val="40"/>
          <w:highlight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pacing w:val="-6"/>
          <w:sz w:val="32"/>
          <w:szCs w:val="40"/>
          <w:highlight w:val="none"/>
          <w14:textFill>
            <w14:solidFill>
              <w14:schemeClr w14:val="tx1"/>
            </w14:solidFill>
          </w14:textFill>
        </w:rPr>
        <w:t xml:space="preserve">月 </w:t>
      </w:r>
      <w:r>
        <w:rPr>
          <w:rFonts w:hint="eastAsia" w:ascii="仿宋_GB2312" w:hAnsi="仿宋_GB2312" w:eastAsia="仿宋_GB2312" w:cs="仿宋_GB2312"/>
          <w:b w:val="0"/>
          <w:bCs w:val="0"/>
          <w:color w:val="000000" w:themeColor="text1"/>
          <w:spacing w:val="-6"/>
          <w:sz w:val="32"/>
          <w:szCs w:val="40"/>
          <w:highlight w:val="none"/>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pacing w:val="-6"/>
          <w:sz w:val="32"/>
          <w:szCs w:val="40"/>
          <w:highlight w:val="none"/>
          <w14:textFill>
            <w14:solidFill>
              <w14:schemeClr w14:val="tx1"/>
            </w14:solidFill>
          </w14:textFill>
        </w:rPr>
        <w:t>日起施行</w:t>
      </w:r>
      <w:r>
        <w:rPr>
          <w:rFonts w:hint="eastAsia" w:ascii="仿宋_GB2312" w:hAnsi="仿宋_GB2312" w:eastAsia="仿宋_GB2312" w:cs="仿宋_GB2312"/>
          <w:b w:val="0"/>
          <w:bCs w:val="0"/>
          <w:color w:val="000000" w:themeColor="text1"/>
          <w:spacing w:val="-6"/>
          <w:sz w:val="32"/>
          <w:szCs w:val="40"/>
          <w:highlight w:val="none"/>
          <w:lang w:eastAsia="zh-CN"/>
          <w14:textFill>
            <w14:solidFill>
              <w14:schemeClr w14:val="tx1"/>
            </w14:solidFill>
          </w14:textFill>
        </w:rPr>
        <w:t>，有效期五年</w:t>
      </w:r>
      <w:r>
        <w:rPr>
          <w:rFonts w:hint="eastAsia" w:ascii="仿宋_GB2312" w:hAnsi="仿宋_GB2312" w:eastAsia="仿宋_GB2312" w:cs="仿宋_GB2312"/>
          <w:b w:val="0"/>
          <w:bCs w:val="0"/>
          <w:color w:val="000000" w:themeColor="text1"/>
          <w:spacing w:val="-6"/>
          <w:sz w:val="32"/>
          <w:szCs w:val="40"/>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bCs/>
          <w:color w:val="000000" w:themeColor="text1"/>
          <w:sz w:val="32"/>
          <w:szCs w:val="40"/>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40"/>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t xml:space="preserve"> 附件：1.健康影响评估重点内容清单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606" w:leftChars="0"/>
        <w:jc w:val="both"/>
        <w:textAlignment w:val="auto"/>
        <w:rPr>
          <w:rFonts w:hint="eastAsia"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t>2.张掖市各部门涉及健康相关因素的政策文件范围及对应健康问题清单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606" w:leftChars="0"/>
        <w:jc w:val="both"/>
        <w:textAlignment w:val="auto"/>
        <w:rPr>
          <w:rFonts w:hint="default"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t>3.</w:t>
      </w:r>
      <w:r>
        <w:rPr>
          <w:rFonts w:hint="default"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t>张掖市政策规划健康影响评估工作流程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606" w:leftChars="0"/>
        <w:jc w:val="both"/>
        <w:textAlignment w:val="auto"/>
        <w:rPr>
          <w:rFonts w:hint="default"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t>4.</w:t>
      </w:r>
      <w:r>
        <w:rPr>
          <w:rFonts w:hint="default"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t>张掖市重大工程项目健康影响评估</w:t>
      </w:r>
      <w:r>
        <w:rPr>
          <w:rFonts w:hint="eastAsia"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t>工作</w:t>
      </w:r>
      <w:r>
        <w:rPr>
          <w:rFonts w:hint="default"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t>流程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606" w:leftChars="0"/>
        <w:jc w:val="both"/>
        <w:textAlignment w:val="auto"/>
        <w:rPr>
          <w:rFonts w:hint="default" w:ascii="仿宋_GB2312" w:hAnsi="仿宋_GB2312" w:eastAsia="仿宋_GB2312" w:cs="仿宋_GB2312"/>
          <w:b w:val="0"/>
          <w:bCs w:val="0"/>
          <w:color w:val="000000" w:themeColor="text1"/>
          <w:sz w:val="32"/>
          <w:szCs w:val="40"/>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5.健康影响评估相关表格</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CESI黑体-GB2312" w:hAnsi="CESI黑体-GB2312" w:eastAsia="CESI黑体-GB2312" w:cs="CESI黑体-GB2312"/>
          <w:b w:val="0"/>
          <w:bCs w:val="0"/>
          <w:snapToGrid w:val="0"/>
          <w:color w:val="000000" w:themeColor="text1"/>
          <w:spacing w:val="0"/>
          <w:kern w:val="0"/>
          <w:sz w:val="32"/>
          <w:szCs w:val="32"/>
          <w:highlight w:val="none"/>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CESI黑体-GB2312" w:hAnsi="CESI黑体-GB2312" w:eastAsia="CESI黑体-GB2312" w:cs="CESI黑体-GB2312"/>
          <w:b w:val="0"/>
          <w:bCs w:val="0"/>
          <w:snapToGrid w:val="0"/>
          <w:color w:val="000000" w:themeColor="text1"/>
          <w:spacing w:val="0"/>
          <w:kern w:val="0"/>
          <w:sz w:val="32"/>
          <w:szCs w:val="32"/>
          <w:highlight w:val="none"/>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CESI黑体-GB2312" w:hAnsi="CESI黑体-GB2312" w:eastAsia="CESI黑体-GB2312" w:cs="CESI黑体-GB2312"/>
          <w:b w:val="0"/>
          <w:bCs w:val="0"/>
          <w:snapToGrid w:val="0"/>
          <w:color w:val="000000" w:themeColor="text1"/>
          <w:spacing w:val="0"/>
          <w:kern w:val="0"/>
          <w:sz w:val="32"/>
          <w:szCs w:val="32"/>
          <w:highlight w:val="none"/>
          <w:u w:val="none"/>
          <w:lang w:val="en-US" w:eastAsia="zh-CN"/>
          <w14:textFill>
            <w14:solidFill>
              <w14:schemeClr w14:val="tx1"/>
            </w14:solidFill>
          </w14:textFill>
        </w:rPr>
      </w:pPr>
      <w:r>
        <w:rPr>
          <w:rFonts w:hint="eastAsia" w:ascii="CESI黑体-GB2312" w:hAnsi="CESI黑体-GB2312" w:eastAsia="CESI黑体-GB2312" w:cs="CESI黑体-GB2312"/>
          <w:b w:val="0"/>
          <w:bCs w:val="0"/>
          <w:snapToGrid w:val="0"/>
          <w:color w:val="000000" w:themeColor="text1"/>
          <w:spacing w:val="0"/>
          <w:kern w:val="0"/>
          <w:sz w:val="32"/>
          <w:szCs w:val="32"/>
          <w:highlight w:val="none"/>
          <w:u w:val="none"/>
          <w:lang w:val="en-US" w:eastAsia="zh-CN"/>
          <w14:textFill>
            <w14:solidFill>
              <w14:schemeClr w14:val="tx1"/>
            </w14:solidFill>
          </w14:textFill>
        </w:rPr>
        <w:t>附件1</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方正小标宋简体" w:hAnsi="方正小标宋简体" w:eastAsia="方正小标宋简体" w:cs="方正小标宋简体"/>
          <w:b w:val="0"/>
          <w:bCs w:val="0"/>
          <w:snapToGrid w:val="0"/>
          <w:color w:val="000000" w:themeColor="text1"/>
          <w:spacing w:val="0"/>
          <w:kern w:val="0"/>
          <w:sz w:val="44"/>
          <w:szCs w:val="44"/>
          <w:highlight w:val="none"/>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方正小标宋简体" w:hAnsi="方正小标宋简体" w:eastAsia="方正小标宋简体" w:cs="方正小标宋简体"/>
          <w:b w:val="0"/>
          <w:bCs w:val="0"/>
          <w:snapToGrid w:val="0"/>
          <w:color w:val="000000" w:themeColor="text1"/>
          <w:spacing w:val="0"/>
          <w:kern w:val="0"/>
          <w:sz w:val="44"/>
          <w:szCs w:val="44"/>
          <w:highlight w:val="none"/>
          <w:u w:val="none"/>
          <w:lang w:val="en-US" w:eastAsia="zh-CN"/>
          <w14:textFill>
            <w14:solidFill>
              <w14:schemeClr w14:val="tx1"/>
            </w14:solidFill>
          </w14:textFill>
        </w:rPr>
      </w:pPr>
      <w:r>
        <w:rPr>
          <w:rFonts w:hint="eastAsia" w:ascii="方正小标宋简体" w:hAnsi="方正小标宋简体" w:eastAsia="方正小标宋简体" w:cs="方正小标宋简体"/>
          <w:b w:val="0"/>
          <w:bCs w:val="0"/>
          <w:snapToGrid w:val="0"/>
          <w:color w:val="000000" w:themeColor="text1"/>
          <w:spacing w:val="0"/>
          <w:kern w:val="0"/>
          <w:sz w:val="44"/>
          <w:szCs w:val="44"/>
          <w:highlight w:val="none"/>
          <w:u w:val="none"/>
          <w:lang w:val="en-US" w:eastAsia="zh-CN"/>
          <w14:textFill>
            <w14:solidFill>
              <w14:schemeClr w14:val="tx1"/>
            </w14:solidFill>
          </w14:textFill>
        </w:rPr>
        <w:t>健康影响评估重点内容清单</w:t>
      </w:r>
    </w:p>
    <w:tbl>
      <w:tblPr>
        <w:tblStyle w:val="9"/>
        <w:tblW w:w="89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2010"/>
        <w:gridCol w:w="5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blHeader/>
          <w:jc w:val="center"/>
        </w:trPr>
        <w:tc>
          <w:tcPr>
            <w:tcW w:w="1044" w:type="dxa"/>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黑体" w:eastAsia="黑体" w:cs="黑体"/>
                <w:b/>
                <w:bCs/>
                <w:color w:val="000000" w:themeColor="text1"/>
                <w:sz w:val="18"/>
                <w:szCs w:val="18"/>
                <w:highlight w:val="none"/>
                <w14:textFill>
                  <w14:solidFill>
                    <w14:schemeClr w14:val="tx1"/>
                  </w14:solidFill>
                </w14:textFill>
              </w:rPr>
            </w:pPr>
            <w:bookmarkStart w:id="0" w:name="_GoBack" w:colFirst="0" w:colLast="2"/>
            <w:r>
              <w:rPr>
                <w:rFonts w:hint="eastAsia" w:ascii="黑体" w:hAnsi="黑体" w:eastAsia="黑体" w:cs="黑体"/>
                <w:b/>
                <w:bCs/>
                <w:color w:val="000000" w:themeColor="text1"/>
                <w:kern w:val="0"/>
                <w:sz w:val="18"/>
                <w:szCs w:val="18"/>
                <w:highlight w:val="none"/>
                <w:lang w:bidi="ar"/>
                <w14:textFill>
                  <w14:solidFill>
                    <w14:schemeClr w14:val="tx1"/>
                  </w14:solidFill>
                </w14:textFill>
              </w:rPr>
              <w:t>评估内容</w:t>
            </w:r>
          </w:p>
        </w:tc>
        <w:tc>
          <w:tcPr>
            <w:tcW w:w="2010" w:type="dxa"/>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黑体" w:eastAsia="黑体" w:cs="黑体"/>
                <w:b/>
                <w:bCs/>
                <w:color w:val="000000" w:themeColor="text1"/>
                <w:sz w:val="18"/>
                <w:szCs w:val="18"/>
                <w:highlight w:val="none"/>
                <w14:textFill>
                  <w14:solidFill>
                    <w14:schemeClr w14:val="tx1"/>
                  </w14:solidFill>
                </w14:textFill>
              </w:rPr>
            </w:pPr>
            <w:r>
              <w:rPr>
                <w:rFonts w:hint="eastAsia" w:ascii="黑体" w:hAnsi="黑体" w:eastAsia="黑体" w:cs="黑体"/>
                <w:b/>
                <w:bCs/>
                <w:color w:val="000000" w:themeColor="text1"/>
                <w:kern w:val="0"/>
                <w:sz w:val="18"/>
                <w:szCs w:val="18"/>
                <w:highlight w:val="none"/>
                <w:lang w:bidi="ar"/>
                <w14:textFill>
                  <w14:solidFill>
                    <w14:schemeClr w14:val="tx1"/>
                  </w14:solidFill>
                </w14:textFill>
              </w:rPr>
              <w:t>可能涉及的原因</w:t>
            </w:r>
          </w:p>
        </w:tc>
        <w:tc>
          <w:tcPr>
            <w:tcW w:w="5880" w:type="dxa"/>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黑体" w:eastAsia="黑体" w:cs="黑体"/>
                <w:b/>
                <w:bCs/>
                <w:color w:val="000000" w:themeColor="text1"/>
                <w:sz w:val="18"/>
                <w:szCs w:val="18"/>
                <w:highlight w:val="none"/>
                <w14:textFill>
                  <w14:solidFill>
                    <w14:schemeClr w14:val="tx1"/>
                  </w14:solidFill>
                </w14:textFill>
              </w:rPr>
            </w:pPr>
            <w:r>
              <w:rPr>
                <w:rFonts w:hint="eastAsia" w:ascii="黑体" w:hAnsi="黑体" w:eastAsia="黑体" w:cs="黑体"/>
                <w:b/>
                <w:bCs/>
                <w:color w:val="000000" w:themeColor="text1"/>
                <w:kern w:val="0"/>
                <w:sz w:val="18"/>
                <w:szCs w:val="18"/>
                <w:highlight w:val="none"/>
                <w:lang w:bidi="ar"/>
                <w14:textFill>
                  <w14:solidFill>
                    <w14:schemeClr w14:val="tx1"/>
                  </w14:solidFill>
                </w14:textFill>
              </w:rPr>
              <w:t>对应表现</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8" w:hRule="atLeast"/>
          <w:jc w:val="center"/>
        </w:trPr>
        <w:tc>
          <w:tcPr>
            <w:tcW w:w="104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sz w:val="15"/>
                <w:szCs w:val="15"/>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1.可能导致人群传染病和感染性疾病的发生发展</w:t>
            </w: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sz w:val="18"/>
                <w:szCs w:val="18"/>
                <w:highlight w:val="none"/>
                <w14:textFill>
                  <w14:solidFill>
                    <w14:schemeClr w14:val="tx1"/>
                  </w14:solidFill>
                </w14:textFill>
              </w:rPr>
            </w:pPr>
            <w: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t>1.1影响卫生基础设施</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1.1.1可能影响安全饮用水可获得性，如：水源、水厂、供水设施等被污染等。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1.1.2可能影响污水的处理和排放，如：污水排放量增加、污水处理能力降低、污水未经处理直接排放等。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1.1.3可能影响垃圾的清运和无害化处理，如：垃圾无害化处理能力降低、处置日产日清率降低等。</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1.1.4可能影响卫生厕所普及率，如：卫生厕所建设、管理和维护的成本增加等。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pPr>
            <w: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t>1.2影响疫苗接种</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1.2.1可能影响疫苗的供应，如：疫苗的生产、销售、运输、储存等环节受到影响。</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1.2.2 可能影响疫苗受众的接种意愿和支付能力，如：疫苗价格提高、接种政策调整、公众对疫苗安全性信任度下降等。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pPr>
            <w: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t>1.3导致人口大规模迁移和流动（境内和境外）</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1.3.1可能导致从境外传染病流行区入境人数增多，如：</w:t>
            </w:r>
            <w:r>
              <w:rPr>
                <w:rFonts w:hint="eastAsia" w:ascii="仿宋_GB2312" w:hAnsi="仿宋_GB2312" w:eastAsia="仿宋_GB2312" w:cs="仿宋_GB2312"/>
                <w:bCs/>
                <w:color w:val="000000" w:themeColor="text1"/>
                <w:kern w:val="0"/>
                <w:sz w:val="18"/>
                <w:szCs w:val="18"/>
                <w:highlight w:val="none"/>
                <w:lang w:bidi="ar"/>
                <w14:textFill>
                  <w14:solidFill>
                    <w14:schemeClr w14:val="tx1"/>
                  </w14:solidFill>
                </w14:textFill>
              </w:rPr>
              <w:t>签证政策放宽、过境免签优化等措施。</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1.3.2可能导致跨区域流动人数增加，如：气候变化和生态环境恶化迫使人们离开原居住地‌、政策强制迁移、矿产资源的开发引起大量人口迁入等。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pPr>
            <w: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t>1.4造成外来物种入侵</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1.4.1可能增加外来物种入侵带来疾病传播、环境破坏等风险，如：</w:t>
            </w:r>
            <w:r>
              <w:rPr>
                <w:rFonts w:hint="eastAsia" w:ascii="仿宋_GB2312" w:hAnsi="仿宋_GB2312" w:eastAsia="仿宋_GB2312" w:cs="仿宋_GB2312"/>
                <w:bCs/>
                <w:color w:val="000000" w:themeColor="text1"/>
                <w:kern w:val="0"/>
                <w:sz w:val="18"/>
                <w:szCs w:val="18"/>
                <w:highlight w:val="none"/>
                <w:lang w:bidi="ar"/>
                <w14:textFill>
                  <w14:solidFill>
                    <w14:schemeClr w14:val="tx1"/>
                  </w14:solidFill>
                </w14:textFill>
              </w:rPr>
              <w:t>异宠贸易与非法携带、盲目引种与随意放生等。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pPr>
            <w: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t>1.5增加人畜共患病风险</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1.5.1可能增加养殖动物与人之间的疾病传播风险，如：影响养殖环境卫生条件、从业人员卫生防护等。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1.5.2可能增加人类接触携带病原体野生动物概率，如：土地利用变化增加人类与野生动物的接触机会、野生动物贸易管理不善等。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104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2.可能加剧人群心脑血管疾病、癌症、慢性呼吸系统疾病、糖尿病等重大慢性病的发生发展</w:t>
            </w: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2.1影响健康食物的可及性</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2.1.1可能增加中小学生不健康饮食摄入风险，如：中小学校内或周边200米内允许售卖含糖饮料、高盐、高糖、高</w:t>
            </w:r>
            <w:r>
              <w:rPr>
                <w:rFonts w:hint="eastAsia" w:ascii="仿宋_GB2312" w:hAnsi="仿宋_GB2312" w:eastAsia="仿宋_GB2312" w:cs="仿宋_GB2312"/>
                <w:color w:val="000000" w:themeColor="text1"/>
                <w:kern w:val="0"/>
                <w:sz w:val="18"/>
                <w:szCs w:val="18"/>
                <w:highlight w:val="none"/>
                <w:lang w:eastAsia="zh-CN" w:bidi="ar"/>
                <w14:textFill>
                  <w14:solidFill>
                    <w14:schemeClr w14:val="tx1"/>
                  </w14:solidFill>
                </w14:textFill>
              </w:rPr>
              <w:t>脂</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食品。</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2.1.2可能影响新鲜蔬菜、水果等健康食物的可获得性，如蔬菜、水果价格提高。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Style w:val="14"/>
                <w:rFonts w:hint="eastAsia" w:ascii="仿宋_GB2312" w:hAnsi="仿宋_GB2312" w:eastAsia="仿宋_GB2312" w:cs="仿宋_GB2312"/>
                <w:color w:val="000000" w:themeColor="text1"/>
                <w:sz w:val="18"/>
                <w:szCs w:val="18"/>
                <w:highlight w:val="none"/>
                <w:lang w:bidi="ar"/>
                <w14:textFill>
                  <w14:solidFill>
                    <w14:schemeClr w14:val="tx1"/>
                  </w14:solidFill>
                </w14:textFill>
              </w:rPr>
            </w:pPr>
            <w: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t>2.2增加</w:t>
            </w:r>
            <w:r>
              <w:rPr>
                <w:rStyle w:val="14"/>
                <w:rFonts w:hint="eastAsia" w:ascii="仿宋_GB2312" w:hAnsi="仿宋_GB2312" w:eastAsia="仿宋_GB2312" w:cs="仿宋_GB2312"/>
                <w:color w:val="000000" w:themeColor="text1"/>
                <w:sz w:val="18"/>
                <w:szCs w:val="18"/>
                <w:highlight w:val="none"/>
                <w:lang w:bidi="ar"/>
                <w14:textFill>
                  <w14:solidFill>
                    <w14:schemeClr w14:val="tx1"/>
                  </w14:solidFill>
                </w14:textFill>
              </w:rPr>
              <w:t>运动不足的风险</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pP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Cs/>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bCs/>
                <w:color w:val="000000" w:themeColor="text1"/>
                <w:kern w:val="0"/>
                <w:sz w:val="18"/>
                <w:szCs w:val="18"/>
                <w:highlight w:val="none"/>
                <w:lang w:bidi="ar"/>
                <w14:textFill>
                  <w14:solidFill>
                    <w14:schemeClr w14:val="tx1"/>
                  </w14:solidFill>
                </w14:textFill>
              </w:rPr>
              <w:t>2.2.1影响体育运动设施的可及性，如：体育场地及设施的规划建设不足、公共体育场馆向社会免费或低收费开放不足等。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bCs/>
                <w:color w:val="000000" w:themeColor="text1"/>
                <w:kern w:val="0"/>
                <w:sz w:val="18"/>
                <w:szCs w:val="18"/>
                <w:highlight w:val="none"/>
                <w:lang w:bidi="ar"/>
                <w14:textFill>
                  <w14:solidFill>
                    <w14:schemeClr w14:val="tx1"/>
                  </w14:solidFill>
                </w14:textFill>
              </w:rPr>
              <w:t>2.2.2导致人们运动机会减少，如：工作时间和通勤时间延长、人们过度依赖交通工具和智能设备出行等。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pPr>
            <w: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t>2.3增加烟草暴露风险</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Cs/>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2</w:t>
            </w:r>
            <w:r>
              <w:rPr>
                <w:rFonts w:hint="eastAsia" w:ascii="仿宋_GB2312" w:hAnsi="仿宋_GB2312" w:eastAsia="仿宋_GB2312" w:cs="仿宋_GB2312"/>
                <w:bCs/>
                <w:color w:val="000000" w:themeColor="text1"/>
                <w:kern w:val="0"/>
                <w:sz w:val="18"/>
                <w:szCs w:val="18"/>
                <w:highlight w:val="none"/>
                <w:lang w:bidi="ar"/>
                <w14:textFill>
                  <w14:solidFill>
                    <w14:schemeClr w14:val="tx1"/>
                  </w14:solidFill>
                </w14:textFill>
              </w:rPr>
              <w:t>.3.1可能增加非吸烟者暴露于二手烟的风险，如：不利于在室内工作场所、公共交通工具、室内公共场所等禁烟。</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bCs/>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bCs/>
                <w:color w:val="000000" w:themeColor="text1"/>
                <w:kern w:val="0"/>
                <w:sz w:val="18"/>
                <w:szCs w:val="18"/>
                <w:highlight w:val="none"/>
                <w:lang w:bidi="ar"/>
                <w14:textFill>
                  <w14:solidFill>
                    <w14:schemeClr w14:val="tx1"/>
                  </w14:solidFill>
                </w14:textFill>
              </w:rPr>
              <w:t>2.3.2可能促进公众吸烟或使用电子烟，如：增加烟草制品及电子烟的非法贸易和违法销售、影响控烟宣传活动及效果、助长烟草广告、促销和赞助等。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bCs/>
                <w:color w:val="000000" w:themeColor="text1"/>
                <w:kern w:val="0"/>
                <w:sz w:val="18"/>
                <w:szCs w:val="18"/>
                <w:highlight w:val="none"/>
                <w:lang w:bidi="ar"/>
                <w14:textFill>
                  <w14:solidFill>
                    <w14:schemeClr w14:val="tx1"/>
                  </w14:solidFill>
                </w14:textFill>
              </w:rPr>
              <w:t>2.3.3影响公众获取戒烟服务（包括戒烟产品）的公平性和便捷性，如：戒烟服务和药物价格提升等。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2.4</w:t>
            </w:r>
            <w:r>
              <w:rPr>
                <w:rStyle w:val="14"/>
                <w:rFonts w:hint="eastAsia" w:ascii="仿宋_GB2312" w:hAnsi="仿宋_GB2312" w:eastAsia="仿宋_GB2312" w:cs="仿宋_GB2312"/>
                <w:color w:val="000000" w:themeColor="text1"/>
                <w:sz w:val="18"/>
                <w:szCs w:val="18"/>
                <w:highlight w:val="none"/>
                <w:lang w:bidi="ar"/>
                <w14:textFill>
                  <w14:solidFill>
                    <w14:schemeClr w14:val="tx1"/>
                  </w14:solidFill>
                </w14:textFill>
              </w:rPr>
              <w:t>增加酒精使用风险</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2.4.1影响酒精售卖监管，如：向未成年人介绍、推荐酒类商品等。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pPr>
            <w: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t>2.5导致环境污染或增加污染物暴露风险</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2.5.1影响大气污染物排放或人群暴露风险（暴露机会、持续时间等）。</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2.5.2影响水体污染或饮用水中污染物及其人群暴露风险（暴露机会、持续时间等）。</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2.5.3影响土壤污染或人群暴露风险（暴露机会、持续时间等）。</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2.5.4影响居民区噪声污染或人群暴露风险（暴露机会、持续时间等）。</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2.5.5影响重点区域或场所（水源地、化工园区、自然保护区等）的环境污染或人群暴露风险（暴露机会、持续时间等）。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pPr>
            <w:r>
              <w:rPr>
                <w:rStyle w:val="13"/>
                <w:rFonts w:hint="eastAsia" w:ascii="仿宋_GB2312" w:hAnsi="仿宋_GB2312" w:eastAsia="仿宋_GB2312" w:cs="仿宋_GB2312"/>
                <w:color w:val="000000" w:themeColor="text1"/>
                <w:sz w:val="18"/>
                <w:szCs w:val="18"/>
                <w:highlight w:val="none"/>
                <w:lang w:bidi="ar"/>
                <w14:textFill>
                  <w14:solidFill>
                    <w14:schemeClr w14:val="tx1"/>
                  </w14:solidFill>
                </w14:textFill>
              </w:rPr>
              <w:t>2.6导致其他不良生活习惯</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2.6.1.导致人群长期睡眠不足或昼夜节律紊乱，如：学习压力、高强度加班、频繁夜班安排、夜间施工噪音污染</w:t>
            </w:r>
            <w:r>
              <w:rPr>
                <w:rFonts w:hint="eastAsia" w:ascii="仿宋_GB2312" w:hAnsi="仿宋_GB2312" w:eastAsia="仿宋_GB2312" w:cs="仿宋_GB2312"/>
                <w:color w:val="000000" w:themeColor="text1"/>
                <w:kern w:val="0"/>
                <w:sz w:val="18"/>
                <w:szCs w:val="18"/>
                <w:highlight w:val="none"/>
                <w:lang w:eastAsia="zh-CN" w:bidi="ar"/>
                <w14:textFill>
                  <w14:solidFill>
                    <w14:schemeClr w14:val="tx1"/>
                  </w14:solidFill>
                </w14:textFill>
              </w:rPr>
              <w:t>、夜市经营时间过长</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04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3.可能增加职业病危害、人群中毒、故意和非故意伤害发生的风险</w:t>
            </w: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3.1导致生产和工作环境中存在超标的有毒有害物质</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sz w:val="18"/>
                <w:szCs w:val="18"/>
                <w:highlight w:val="none"/>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3.1.1发展涉及有毒有害物质的生产工业。</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3.1.2影响现有生产工艺、设施设备的升级改造。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3.2影响职业健康防护措施落实</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3.2.1影响职业健康防护的投入，如：针对职业健康知识普及、防护用品配备、健康体检和有毒有害物质监测等费用不足。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3.3增加食品、农药等中毒风险</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3.3.1弱化对农药生产、销售、购买、</w:t>
            </w:r>
            <w:r>
              <w:rPr>
                <w:rFonts w:hint="eastAsia" w:ascii="仿宋_GB2312" w:hAnsi="仿宋_GB2312" w:eastAsia="仿宋_GB2312" w:cs="仿宋_GB2312"/>
                <w:color w:val="000000" w:themeColor="text1"/>
                <w:kern w:val="0"/>
                <w:sz w:val="18"/>
                <w:szCs w:val="18"/>
                <w:highlight w:val="none"/>
                <w:lang w:eastAsia="zh-CN" w:bidi="ar"/>
                <w14:textFill>
                  <w14:solidFill>
                    <w14:schemeClr w14:val="tx1"/>
                  </w14:solidFill>
                </w14:textFill>
              </w:rPr>
              <w:t>运输、</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使用过程的监管。</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3.3.2弱化对食品生产、销售、储存、加工</w:t>
            </w:r>
            <w:r>
              <w:rPr>
                <w:rFonts w:hint="eastAsia" w:ascii="仿宋_GB2312" w:hAnsi="仿宋_GB2312" w:eastAsia="仿宋_GB2312" w:cs="仿宋_GB2312"/>
                <w:color w:val="000000" w:themeColor="text1"/>
                <w:kern w:val="0"/>
                <w:sz w:val="18"/>
                <w:szCs w:val="18"/>
                <w:highlight w:val="none"/>
                <w:lang w:eastAsia="zh-CN" w:bidi="ar"/>
                <w14:textFill>
                  <w14:solidFill>
                    <w14:schemeClr w14:val="tx1"/>
                  </w14:solidFill>
                </w14:textFill>
              </w:rPr>
              <w:t>、运输</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等过程的监管。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3.4增加意外伤害风险</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3.4.1增加溺水风险，如：缺乏安全游泳场所、影响水域防护设施及措施等。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3.4.2增加交通事故风险，如：增加车辆密度、影响道路安全设施、弱化违法约束、导致外卖骑手增加交通隐患等。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3.4.3增加高处跌落风险，如：弱化对高空作业的监管等。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3.4.4增加火灾发生或火灾危险增大的风险。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04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4.可能增加其他突发公共卫生事件发生风险，以及各类突发事件衍生公共卫生事件风险</w:t>
            </w: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4.1影响卫生应急能力</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4.1.1弱化卫生应急建设,如：对监测预警、队伍建设、物资储备的投入减少等。</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4.1.2卫生应急预案缺失，如：允许在高风险区域（如泄洪区、地震断裂带附近、化工园区安全防护距离内）进行大规模住宅或关键设施建设等。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4.2增加药品安全事故风险</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4.2.1弱化药品安全监管机制，如：大幅削减监管资源配置、弱化对监管人员专业能力的持续培训投入、监管机构架构弱化或独立性受损等。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4.2.2为追求经济发展速度放松监管标准，如：取代或弱化必要的现场核查或飞行检查、忽视事中事后监管、降低上市后变更审批要求或备案门槛、放宽药品不良反应监测和报告要求等。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4.3增加动物疫情风险</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4.3.1影响主动监测水平，如：简化进口活畜及产品的检疫程序、监测费用标准过高、限制对野生动物或特殊种群的病原检测等。</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4.3.2导致媒介生物密度及带毒率升高，如：城市规划忽视病媒防治、边境生态通道无防控等。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04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5.可能对人口高质量发展带来不利影响</w:t>
            </w: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5.1影响积极应对人口老龄化</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5.1.1影响养老事业和养老产业发展，如：不利于形成多元化养老服务模式，削弱对养老机构和设施的投入、影响社会力量创办养老机构的积极性等。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5.1.2导致老年人力资源开发不合理，如：老年人就业机会少等。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5.2影响生育友好环境构建</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5.2.1导致总和生育率/生育意愿下降，如：导致家庭经济负担重、育儿成本和压力大、生育保险覆盖范围不足、普惠性托育服务的便捷性和可及性不足等。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5.2.2影响每千人口拥有3岁以下婴幼儿托位数（个）。</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5.2.3影响婚姻和家庭变迁，如：离结率上升（离婚/结婚×100%）、结婚门槛高等。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5.3影响人口流动与医疗卫生资源相协调</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5.3.1影响每千常住人口执业（助理）医师数（人）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5.4影响性别比例平衡</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5.4.1影响新出生人口性别比，如：支持性别选择性流产、加重社会对女性的刻板印象和偏见等。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5.5增加出生缺陷与遗传疾病</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5.5.1影响婚前、孕前、产前三级预防检查目标人群覆盖率。</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5.5.2影响出生缺陷致死率。</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5.5.3影响出生人口遗传性疾病防治率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044"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val="en-US" w:eastAsia="zh-CN" w:bidi="ar"/>
                <w14:textFill>
                  <w14:solidFill>
                    <w14:schemeClr w14:val="tx1"/>
                  </w14:solidFill>
                </w14:textFill>
              </w:rPr>
            </w:pPr>
          </w:p>
          <w:p>
            <w:pPr>
              <w:jc w:val="both"/>
              <w:rPr>
                <w:rFonts w:hint="eastAsia"/>
                <w:color w:val="000000" w:themeColor="text1"/>
                <w:highlight w:val="none"/>
                <w:lang w:val="en-US" w:eastAsia="zh-CN"/>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val="en-US" w:eastAsia="zh-CN" w:bidi="ar"/>
                <w14:textFill>
                  <w14:solidFill>
                    <w14:schemeClr w14:val="tx1"/>
                  </w14:solidFill>
                </w14:textFill>
              </w:rPr>
            </w:pPr>
          </w:p>
          <w:p>
            <w:pPr>
              <w:pStyle w:val="2"/>
              <w:jc w:val="both"/>
              <w:rPr>
                <w:rFonts w:hint="eastAsia"/>
                <w:color w:val="000000" w:themeColor="text1"/>
                <w:highlight w:val="none"/>
                <w:lang w:val="en-US" w:eastAsia="zh-CN"/>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可能对空气质量、饮用水、食品和环境卫生等健康环境带来不利影响</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6.1影响空气质量</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6.1.1增加重点工业污染源排放和暴露风险，如：火电/钢铁厂颗粒物/SO₂/NOx等排放、工业园区VOCs排放、涉重企业废水铅/铬等重金属排放、固废堆场周边二噁英排放等。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6.1.2增加交通污染源排放和暴露风险，如：交通道路的设计和布局不利于污染源防治、影响重型车等车型的流量分布、交通主干道颗粒物、NOx超标、临街住宅区噪声超标等。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6.1.3增加室内空气污染风险，如：不利于健康的室内装修模式或通风、增加室内甲醛、氡等污染物排放、增加密集办公区CO₂浓度、潮湿环境霉菌孢子等微生物繁殖等。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6.2影响饮用水质量</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6.2.1影响水源地、水体质量，如：对水源保护区造成污染、影响地下水水质等。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6.2.2影响</w:t>
            </w:r>
            <w:r>
              <w:rPr>
                <w:rFonts w:hint="eastAsia" w:ascii="仿宋_GB2312" w:hAnsi="仿宋_GB2312" w:eastAsia="仿宋_GB2312" w:cs="仿宋_GB2312"/>
                <w:color w:val="000000" w:themeColor="text1"/>
                <w:kern w:val="0"/>
                <w:sz w:val="18"/>
                <w:szCs w:val="18"/>
                <w:highlight w:val="none"/>
                <w:lang w:eastAsia="zh-CN" w:bidi="ar"/>
                <w14:textFill>
                  <w14:solidFill>
                    <w14:schemeClr w14:val="tx1"/>
                  </w14:solidFill>
                </w14:textFill>
              </w:rPr>
              <w:t>水质</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净化、消毒措施实施，如：导致</w:t>
            </w:r>
            <w:r>
              <w:rPr>
                <w:rFonts w:hint="eastAsia" w:ascii="仿宋_GB2312" w:hAnsi="仿宋_GB2312" w:eastAsia="仿宋_GB2312" w:cs="仿宋_GB2312"/>
                <w:color w:val="000000" w:themeColor="text1"/>
                <w:kern w:val="0"/>
                <w:sz w:val="18"/>
                <w:szCs w:val="18"/>
                <w:highlight w:val="none"/>
                <w:lang w:eastAsia="zh-CN" w:bidi="ar"/>
                <w14:textFill>
                  <w14:solidFill>
                    <w14:schemeClr w14:val="tx1"/>
                  </w14:solidFill>
                </w14:textFill>
              </w:rPr>
              <w:t>饮用水</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消毒不充分、老旧管网更新不及时、微生物污染等。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6.3增加重金属、农药等污染风险</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6.3.1影响农业和种植养殖业中土壤污染、农药兽药残留、重金属污染的风险，如：导致耕地土壤镉、汞等污染、蔬果有机磷农药残留超标、水产抗生素超标、畜禽粪便病原体污染等。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6.4影响气候变化应对</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6.4.1影响气候变化应对能力，如：削弱极端天气事件发生及应对能力、</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气候变化卫生保障能力等。</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6.4.2影响气候变化健康友好环境建设，如：导致绿地面积不足或分布不合理等。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6"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6.5增加食品安全风险</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6.5.1增加食品生产过程的安全与质量风险，如：在农业种养殖区或食品生产企业附近建造可能引起环境污染的工厂、在食品生产加工销售企业附近建造易引起微生物污染的工厂（如畜禽养殖场、动物屠宰场等）、</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弱化对食品从业人员的资质要求和专业培训等。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6.5.2增加食品因加工储存消费不当引发食源性疾病的风险，如：导致冷链系统建设滞后、削减食品安全科普人员与经费等。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6.5.3影响对食品安全和质量的监管，如：削减食品监管部门人员与经费、限制食品监管部门职权范围等。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1044" w:type="dxa"/>
            <w:vMerge w:val="restart"/>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both"/>
              <w:textAlignment w:val="center"/>
              <w:rPr>
                <w:rFonts w:hint="eastAsia" w:ascii="仿宋_GB2312" w:hAnsi="仿宋_GB2312" w:eastAsia="仿宋_GB2312" w:cs="仿宋_GB2312"/>
                <w:color w:val="000000" w:themeColor="text1"/>
                <w:kern w:val="0"/>
                <w:sz w:val="18"/>
                <w:szCs w:val="18"/>
                <w:highlight w:val="none"/>
                <w:lang w:val="en-US" w:eastAsia="zh-CN" w:bidi="ar"/>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both"/>
              <w:textAlignment w:val="center"/>
              <w:rPr>
                <w:rFonts w:hint="eastAsia" w:ascii="仿宋_GB2312" w:hAnsi="仿宋_GB2312" w:eastAsia="仿宋_GB2312" w:cs="仿宋_GB2312"/>
                <w:color w:val="000000" w:themeColor="text1"/>
                <w:kern w:val="0"/>
                <w:sz w:val="18"/>
                <w:szCs w:val="18"/>
                <w:highlight w:val="none"/>
                <w:lang w:val="en-US" w:eastAsia="zh-CN" w:bidi="ar"/>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both"/>
              <w:textAlignment w:val="center"/>
              <w:rPr>
                <w:rFonts w:hint="eastAsia" w:ascii="仿宋_GB2312" w:hAnsi="仿宋_GB2312" w:eastAsia="仿宋_GB2312" w:cs="仿宋_GB2312"/>
                <w:color w:val="000000" w:themeColor="text1"/>
                <w:kern w:val="0"/>
                <w:sz w:val="18"/>
                <w:szCs w:val="18"/>
                <w:highlight w:val="none"/>
                <w:lang w:val="en-US" w:eastAsia="zh-CN" w:bidi="ar"/>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0" w:leftChars="0" w:firstLine="0" w:firstLineChars="0"/>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val="en-US" w:eastAsia="zh-CN" w:bidi="ar"/>
                <w14:textFill>
                  <w14:solidFill>
                    <w14:schemeClr w14:val="tx1"/>
                  </w14:solidFill>
                </w14:textFill>
              </w:rPr>
              <w:t>7.</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可能对社会心理健康带来不利影响</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p>
            <w:pPr>
              <w:pStyle w:val="2"/>
              <w:jc w:val="both"/>
              <w:rPr>
                <w:rFonts w:hint="eastAsia"/>
                <w:color w:val="000000" w:themeColor="text1"/>
                <w:highlight w:val="none"/>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7.可能对社会心理健康带来不利影响</w:t>
            </w:r>
          </w:p>
          <w:p>
            <w:pPr>
              <w:keepNext w:val="0"/>
              <w:keepLines w:val="0"/>
              <w:pageBreakBefore w:val="0"/>
              <w:widowControl/>
              <w:numPr>
                <w:ilvl w:val="0"/>
                <w:numId w:val="0"/>
              </w:numPr>
              <w:kinsoku/>
              <w:wordWrap/>
              <w:overflowPunct/>
              <w:topLinePunct w:val="0"/>
              <w:autoSpaceDE/>
              <w:autoSpaceDN/>
              <w:bidi w:val="0"/>
              <w:adjustRightInd/>
              <w:snapToGrid/>
              <w:spacing w:line="240" w:lineRule="exact"/>
              <w:ind w:leftChars="0"/>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7.1增加物理环境不健康因素暴露风险</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7.1.1导致长期噪声污染（如交通、工业噪声）。</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7.1.2导致空气、水污染。</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7.1.3增加极端气候事件（如洪涝、高温）发生的概率。</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7.1.4导致绿地与公共空间不足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7.2影响社会环境与社区关系</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7.2.1导致社区凝聚力下降或社会信任缺失。</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7.2.2导致犯罪率提高或治安问题加剧。</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7.2.3人口快速流动（如移民、拆迁）引发文化冲突。</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7.2.4公共设施（如教育、医疗）分布不均引发焦虑。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7.3增加经济与就业压力</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7.3.1导致失业率上升或由于经济不稳定导致</w:t>
            </w:r>
            <w:r>
              <w:rPr>
                <w:rFonts w:hint="eastAsia" w:ascii="仿宋_GB2312" w:hAnsi="仿宋_GB2312" w:eastAsia="仿宋_GB2312" w:cs="仿宋_GB2312"/>
                <w:color w:val="000000" w:themeColor="text1"/>
                <w:kern w:val="0"/>
                <w:sz w:val="18"/>
                <w:szCs w:val="18"/>
                <w:highlight w:val="none"/>
                <w:lang w:eastAsia="zh-CN" w:bidi="ar"/>
                <w14:textFill>
                  <w14:solidFill>
                    <w14:schemeClr w14:val="tx1"/>
                  </w14:solidFill>
                </w14:textFill>
              </w:rPr>
              <w:t>心理健康</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风险。</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7.3.2导致工作环境压力过大（如过劳、职业不安全感）。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7.4影响家庭系统变化</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7.4.1导致家庭结构变动，如：离婚/分居率上升、单亲家庭增多、空巢老人/独居青年增多、增加多代同堂家庭中代际冲突等。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7.4.2导致家庭功能失调，如：导致父母务工迁徙、家庭暴力（肢体、语言或冷暴力）、家庭成员间沟通匮乏、家庭贫困或债务问题等。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7.4.3导致文化与社会适应冲突，如引发移民/流动家庭的文化适应困难、传统与现代家庭角色冲突（如性别分工、婚育选择）等。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7.5导致生活方式与行为变化</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7.5.1数字化生活导致社交疏离（如过度屏幕使用）。</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7.5.2导致睡眠障碍与不健康饮食模式的流行。</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7.5.3导致体育活动减少，进而影响情绪调节。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7.6增加特殊群体心理风险</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7.6.1加剧儿童青少年学业压力、网络欺凌等问题。</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7.6.2加剧老年人孤独感与社会参与不足。</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7.6.3加剧单身人士不正确的婚恋观和孤独感。</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7.6.4导致残障人、慢性病患者的社会排斥。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7.7影响心理健康政策与服务可及性</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7.7.1导致心理健康服务覆盖不足或污名化。</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7.7.2削弱灾害或公共卫生事件后的心理干预。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104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8.可能对健康生活方式和行为养成带来不利影</w:t>
            </w:r>
            <w:r>
              <w:rPr>
                <w:rFonts w:hint="eastAsia" w:ascii="仿宋_GB2312" w:hAnsi="仿宋_GB2312" w:eastAsia="仿宋_GB2312" w:cs="仿宋_GB2312"/>
                <w:b w:val="0"/>
                <w:bCs w:val="0"/>
                <w:color w:val="000000" w:themeColor="text1"/>
                <w:kern w:val="0"/>
                <w:sz w:val="18"/>
                <w:szCs w:val="18"/>
                <w:highlight w:val="none"/>
                <w:lang w:bidi="ar"/>
                <w14:textFill>
                  <w14:solidFill>
                    <w14:schemeClr w14:val="tx1"/>
                  </w14:solidFill>
                </w14:textFill>
              </w:rPr>
              <w:t>响（其他部分涉及的饮食、运动、烟酒、心理等内容不在此部分重复出现）</w:t>
            </w: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8.1导致健康认知偏差与信息污染</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8.1.1影响健康科普和健康教育服务提供，如对健康科普资源投入不足、健康教育体系建设滞后、高质量权威健康信息供给不足等。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 xml:space="preserve">8.1.2对不良健康信息的监管不到位，如对新媒体平台责任界定模糊或缺位、对劣质信息（虚假/误导信息）的监管缺失等。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8.2导致基础卫生行为退化</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8.2.1手卫生防护设备及用品（如水龙头、香皂/洗手液）不足。</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8.2.2餐具消毒合格率下降。</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8.2.3患者自行不正确使用抗生素。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8.3导致不安全性行为</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8.3.1导致安全套可及性下降，如：安全套零售价格上涨、供应减少（尤其免费/低价途径）、使用信息和教育受限等。</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8.3.2 导致HPV疫苗接种不足，如：财政支持削减、疫苗可及性降低（如供应渠道减少、预约复杂）等。</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8.3.3导致性别暴力举报通道通畅性不足，如：举证责任倒置、举报渠道多样性不足、举报者权益保障不力、反馈机制缺失等。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8.4增加药物滥用的风险</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8.4.1导致处方药监管强度降低，如：处方权门槛下降、取消复诊要求或延长单次处方可开药量、特殊药品管理宽松、放开远程处方的限制、降低处罚力度等。</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8.4.2导致药物依赖戒断服务可及性降低，如：公共支出过度集中于执法（如监禁吸毒者）而非预防和治疗、设置严格的准入条件、忽视特定群体需求等。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8.5导致安全急救行为与技能不足</w:t>
            </w:r>
          </w:p>
        </w:tc>
        <w:tc>
          <w:tcPr>
            <w:tcW w:w="5880" w:type="dxa"/>
            <w:noWrap w:val="0"/>
            <w:vAlign w:val="center"/>
          </w:tcPr>
          <w:p>
            <w:pPr>
              <w:keepNext w:val="0"/>
              <w:keepLines w:val="0"/>
              <w:pageBreakBefore w:val="0"/>
              <w:kinsoku/>
              <w:wordWrap/>
              <w:overflowPunct/>
              <w:topLinePunct w:val="0"/>
              <w:autoSpaceDE/>
              <w:autoSpaceDN/>
              <w:bidi w:val="0"/>
              <w:adjustRightInd/>
              <w:snapToGrid/>
              <w:spacing w:line="240" w:lineRule="exact"/>
              <w:jc w:val="both"/>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8.5.1影响公众安全急救能力，如应急物资配置不足、缺乏培训机会、宣传推广不足等。</w:t>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8.5.2影响逃生通道使用，如通道硬件设计、管理维护与制度不完善等。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04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9.可能对卫生健康投入保障和医疗保险水平提升带来不利影响</w:t>
            </w: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9.1导致财政投入不足与分配不均</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9.1.1影响地方政府卫生支出占财政比例。</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9.1.2影响中央转移支付分配公平性。</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9.1.3影响社会资本办医投资占比。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9.2影响医疗卫生服务可负担性</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9.2.1影响人群就业和收入水平，进而影响居民可支配收入。</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9.2.2影响医疗保险筹资与报销水平受限。</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9.2.3导致大病保障水平不足。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04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10.可能对医疗卫生服务资源合理配置带来不利影响</w:t>
            </w: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10.1导致医疗卫生资源供给不足</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10.1.1影响政府卫生支出占财政比例。</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10.1.2医学生招生规模减少。</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10.1.3医学类专业设置与医疗卫生服务需求不匹配。</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10.1.4医护人员执业环境安全性不足，如：社会舆论引导不足导致医患关系紧张，进而影响医护人员从业意愿及生命安全。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10.2导致医疗卫生资源配置结构失衡</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10.2.1医疗卫生机构、床位及人员设置与医疗卫生服务需求不匹配。</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10.2.2基层卫生技术人员等卫生资源投入占总比下降。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104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11.可能对医疗卫生服务质量安全和利用带来不利影响</w:t>
            </w: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11.1医疗卫生服务质量下降</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11.1.1临床路径管理覆盖率下降。</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11.1.2医疗设备故障率上升。</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11.1.3药品耗材质量抽检合格率下降。</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11.1.4医学院校教育、毕业后医学教育、继续医学教育质量下降。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11.2居民健康素养水平下降</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11.2.1居民受教育及认知水平下降。</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11.2.2削弱或限制面向公众的健康科普信息发布与传播。</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11.2.3降低对互联网上不良健康科普信息的监测力度。</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11.2.4健康教育人才数量不足。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4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12.可能对医疗卫生服务公平性可及性带来不利影响</w:t>
            </w: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12.1影响医疗卫生服务可及性</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12.1.1“15分钟医疗服务圈”人群覆盖率下降。</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12.1.2影响医疗机构周边道路联通，造成医疗机构附近交通拥挤。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10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p>
        </w:tc>
        <w:tc>
          <w:tcPr>
            <w:tcW w:w="201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12.2影响脆弱人群医疗卫生服务公平性</w:t>
            </w:r>
          </w:p>
        </w:tc>
        <w:tc>
          <w:tcPr>
            <w:tcW w:w="5880"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12.2.1低收入人群医疗费用实际自付比例上升。</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12.2.2适老化及无障碍环境建设水平不足，例如评估公共政策是否会造成老年人或残障人士“数字鸿沟”等。</w:t>
            </w:r>
          </w:p>
          <w:p>
            <w:pPr>
              <w:keepNext w:val="0"/>
              <w:keepLines w:val="0"/>
              <w:pageBreakBefore w:val="0"/>
              <w:widowControl/>
              <w:kinsoku/>
              <w:wordWrap/>
              <w:overflowPunct/>
              <w:topLinePunct w:val="0"/>
              <w:autoSpaceDE/>
              <w:autoSpaceDN/>
              <w:bidi w:val="0"/>
              <w:adjustRightInd/>
              <w:snapToGrid/>
              <w:spacing w:line="240" w:lineRule="exact"/>
              <w:jc w:val="both"/>
              <w:textAlignment w:val="cente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18"/>
                <w:szCs w:val="18"/>
                <w:highlight w:val="none"/>
                <w:lang w:bidi="ar"/>
                <w14:textFill>
                  <w14:solidFill>
                    <w14:schemeClr w14:val="tx1"/>
                  </w14:solidFill>
                </w14:textFill>
              </w:rPr>
              <w:t>12.2.3影响偏远地区急救响应时间。</w:t>
            </w:r>
          </w:p>
        </w:tc>
      </w:tr>
    </w:tbl>
    <w:p>
      <w:pPr>
        <w:jc w:val="both"/>
        <w:rPr>
          <w:rFonts w:hint="eastAsia" w:ascii="仿宋_GB2312" w:hAnsi="仿宋_GB2312" w:eastAsia="仿宋_GB2312" w:cs="仿宋_GB2312"/>
          <w:color w:val="000000" w:themeColor="text1"/>
          <w:highlight w:val="none"/>
          <w14:textFill>
            <w14:solidFill>
              <w14:schemeClr w14:val="tx1"/>
            </w14:solidFill>
          </w14:textFill>
        </w:rPr>
      </w:pPr>
    </w:p>
    <w:p>
      <w:pPr>
        <w:jc w:val="both"/>
        <w:rPr>
          <w:color w:val="000000" w:themeColor="text1"/>
          <w:highlight w:val="none"/>
          <w14:textFill>
            <w14:solidFill>
              <w14:schemeClr w14:val="tx1"/>
            </w14:solidFill>
          </w14:textFill>
        </w:rPr>
      </w:pPr>
    </w:p>
    <w:p>
      <w:pPr>
        <w:jc w:val="both"/>
        <w:rPr>
          <w:color w:val="000000" w:themeColor="text1"/>
          <w:highlight w:val="none"/>
          <w14:textFill>
            <w14:solidFill>
              <w14:schemeClr w14:val="tx1"/>
            </w14:solidFill>
          </w14:textFill>
        </w:rPr>
      </w:pPr>
    </w:p>
    <w:p>
      <w:pPr>
        <w:jc w:val="both"/>
        <w:rPr>
          <w:color w:val="000000" w:themeColor="text1"/>
          <w:highlight w:val="none"/>
          <w14:textFill>
            <w14:solidFill>
              <w14:schemeClr w14:val="tx1"/>
            </w14:solidFill>
          </w14:textFill>
        </w:rPr>
      </w:pPr>
    </w:p>
    <w:p>
      <w:pPr>
        <w:jc w:val="both"/>
        <w:rPr>
          <w:color w:val="000000" w:themeColor="text1"/>
          <w:highlight w:val="none"/>
          <w14:textFill>
            <w14:solidFill>
              <w14:schemeClr w14:val="tx1"/>
            </w14:solidFill>
          </w14:textFill>
        </w:rPr>
      </w:pPr>
    </w:p>
    <w:p>
      <w:pPr>
        <w:jc w:val="both"/>
        <w:rPr>
          <w:color w:val="000000" w:themeColor="text1"/>
          <w:highlight w:val="none"/>
          <w14:textFill>
            <w14:solidFill>
              <w14:schemeClr w14:val="tx1"/>
            </w14:solidFill>
          </w14:textFill>
        </w:rPr>
      </w:pPr>
    </w:p>
    <w:p>
      <w:pPr>
        <w:jc w:val="both"/>
        <w:rPr>
          <w:color w:val="000000" w:themeColor="text1"/>
          <w:highlight w:val="none"/>
          <w14:textFill>
            <w14:solidFill>
              <w14:schemeClr w14:val="tx1"/>
            </w14:solidFill>
          </w14:textFill>
        </w:rPr>
      </w:pPr>
    </w:p>
    <w:p>
      <w:pPr>
        <w:jc w:val="both"/>
        <w:rPr>
          <w:color w:val="000000" w:themeColor="text1"/>
          <w:highlight w:val="none"/>
          <w14:textFill>
            <w14:solidFill>
              <w14:schemeClr w14:val="tx1"/>
            </w14:solidFill>
          </w14:textFill>
        </w:rPr>
      </w:pPr>
    </w:p>
    <w:p>
      <w:pPr>
        <w:jc w:val="both"/>
        <w:rPr>
          <w:color w:val="000000" w:themeColor="text1"/>
          <w:highlight w:val="none"/>
          <w14:textFill>
            <w14:solidFill>
              <w14:schemeClr w14:val="tx1"/>
            </w14:solidFill>
          </w14:textFill>
        </w:rPr>
      </w:pPr>
    </w:p>
    <w:p>
      <w:pPr>
        <w:jc w:val="both"/>
        <w:rPr>
          <w:color w:val="000000" w:themeColor="text1"/>
          <w:highlight w:val="none"/>
          <w14:textFill>
            <w14:solidFill>
              <w14:schemeClr w14:val="tx1"/>
            </w14:solidFill>
          </w14:textFill>
        </w:rPr>
      </w:pPr>
    </w:p>
    <w:p>
      <w:pPr>
        <w:jc w:val="both"/>
        <w:rPr>
          <w:color w:val="000000" w:themeColor="text1"/>
          <w:highlight w:val="none"/>
          <w14:textFill>
            <w14:solidFill>
              <w14:schemeClr w14:val="tx1"/>
            </w14:solidFill>
          </w14:textFill>
        </w:rPr>
      </w:pPr>
    </w:p>
    <w:p>
      <w:pPr>
        <w:jc w:val="both"/>
        <w:rPr>
          <w:color w:val="000000" w:themeColor="text1"/>
          <w:highlight w:val="none"/>
          <w14:textFill>
            <w14:solidFill>
              <w14:schemeClr w14:val="tx1"/>
            </w14:solidFill>
          </w14:textFill>
        </w:rPr>
      </w:pPr>
    </w:p>
    <w:p>
      <w:pPr>
        <w:jc w:val="both"/>
        <w:rPr>
          <w:color w:val="000000" w:themeColor="text1"/>
          <w:highlight w:val="none"/>
          <w14:textFill>
            <w14:solidFill>
              <w14:schemeClr w14:val="tx1"/>
            </w14:solidFill>
          </w14:textFill>
        </w:rPr>
      </w:pPr>
    </w:p>
    <w:p>
      <w:pPr>
        <w:jc w:val="both"/>
        <w:rPr>
          <w:color w:val="000000" w:themeColor="text1"/>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CESI黑体-GB2312" w:hAnsi="CESI黑体-GB2312" w:eastAsia="CESI黑体-GB2312" w:cs="CESI黑体-GB2312"/>
          <w:b w:val="0"/>
          <w:bCs w:val="0"/>
          <w:i w:val="0"/>
          <w:iCs w:val="0"/>
          <w:caps w:val="0"/>
          <w:color w:val="000000" w:themeColor="text1"/>
          <w:spacing w:val="0"/>
          <w:sz w:val="31"/>
          <w:szCs w:val="31"/>
          <w:highlight w:val="none"/>
          <w:lang w:val="en-US" w:eastAsia="zh-CN"/>
          <w14:textFill>
            <w14:solidFill>
              <w14:schemeClr w14:val="tx1"/>
            </w14:solidFill>
          </w14:textFill>
        </w:rPr>
      </w:pPr>
      <w:r>
        <w:rPr>
          <w:rFonts w:hint="eastAsia" w:ascii="CESI黑体-GB2312" w:hAnsi="CESI黑体-GB2312" w:eastAsia="CESI黑体-GB2312" w:cs="CESI黑体-GB2312"/>
          <w:b w:val="0"/>
          <w:bCs w:val="0"/>
          <w:i w:val="0"/>
          <w:iCs w:val="0"/>
          <w:caps w:val="0"/>
          <w:color w:val="000000" w:themeColor="text1"/>
          <w:spacing w:val="0"/>
          <w:sz w:val="31"/>
          <w:szCs w:val="31"/>
          <w:highlight w:val="none"/>
          <w:lang w:val="en-US" w:eastAsia="zh-CN"/>
          <w14:textFill>
            <w14:solidFill>
              <w14:schemeClr w14:val="tx1"/>
            </w14:solidFill>
          </w14:textFill>
        </w:rPr>
        <w:t>附件2</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方正小标宋简体" w:hAnsi="方正小标宋简体" w:eastAsia="方正小标宋简体" w:cs="方正小标宋简体"/>
          <w:b w:val="0"/>
          <w:bCs w:val="0"/>
          <w:i w:val="0"/>
          <w:iCs w:val="0"/>
          <w:caps w:val="0"/>
          <w:color w:val="000000" w:themeColor="text1"/>
          <w:spacing w:val="0"/>
          <w:sz w:val="43"/>
          <w:szCs w:val="43"/>
          <w:highlight w:val="none"/>
          <w:lang w:eastAsia="zh-CN"/>
          <w14:textFill>
            <w14:solidFill>
              <w14:schemeClr w14:val="tx1"/>
            </w14:solidFill>
          </w14:textFill>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000000" w:themeColor="text1"/>
          <w:spacing w:val="0"/>
          <w:sz w:val="43"/>
          <w:szCs w:val="43"/>
          <w:highlight w:val="none"/>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3"/>
          <w:szCs w:val="43"/>
          <w:highlight w:val="none"/>
          <w:lang w:eastAsia="zh-CN"/>
          <w14:textFill>
            <w14:solidFill>
              <w14:schemeClr w14:val="tx1"/>
            </w14:solidFill>
          </w14:textFill>
        </w:rPr>
        <w:t>张掖</w:t>
      </w:r>
      <w:r>
        <w:rPr>
          <w:rFonts w:ascii="方正小标宋简体" w:hAnsi="方正小标宋简体" w:eastAsia="方正小标宋简体" w:cs="方正小标宋简体"/>
          <w:b w:val="0"/>
          <w:bCs w:val="0"/>
          <w:i w:val="0"/>
          <w:iCs w:val="0"/>
          <w:caps w:val="0"/>
          <w:color w:val="000000" w:themeColor="text1"/>
          <w:spacing w:val="0"/>
          <w:sz w:val="43"/>
          <w:szCs w:val="43"/>
          <w:highlight w:val="none"/>
          <w14:textFill>
            <w14:solidFill>
              <w14:schemeClr w14:val="tx1"/>
            </w14:solidFill>
          </w14:textFill>
        </w:rPr>
        <w:t>市</w:t>
      </w:r>
      <w:r>
        <w:rPr>
          <w:rFonts w:hint="eastAsia" w:ascii="方正小标宋简体" w:hAnsi="方正小标宋简体" w:eastAsia="方正小标宋简体" w:cs="方正小标宋简体"/>
          <w:b w:val="0"/>
          <w:bCs w:val="0"/>
          <w:i w:val="0"/>
          <w:iCs w:val="0"/>
          <w:caps w:val="0"/>
          <w:color w:val="000000" w:themeColor="text1"/>
          <w:spacing w:val="0"/>
          <w:sz w:val="43"/>
          <w:szCs w:val="43"/>
          <w:highlight w:val="none"/>
          <w14:textFill>
            <w14:solidFill>
              <w14:schemeClr w14:val="tx1"/>
            </w14:solidFill>
          </w14:textFill>
        </w:rPr>
        <w:t>各部门涉及健康相关因素的政策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000000" w:themeColor="text1"/>
          <w:spacing w:val="0"/>
          <w:sz w:val="43"/>
          <w:szCs w:val="43"/>
          <w:highlight w:val="none"/>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3"/>
          <w:szCs w:val="43"/>
          <w:highlight w:val="none"/>
          <w14:textFill>
            <w14:solidFill>
              <w14:schemeClr w14:val="tx1"/>
            </w14:solidFill>
          </w14:textFill>
        </w:rPr>
        <w:t>文件范围及对应健康问题清单</w:t>
      </w:r>
    </w:p>
    <w:tbl>
      <w:tblPr>
        <w:tblStyle w:val="9"/>
        <w:tblW w:w="8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47"/>
        <w:gridCol w:w="6289"/>
        <w:gridCol w:w="1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blHeader/>
          <w:jc w:val="center"/>
        </w:trPr>
        <w:tc>
          <w:tcPr>
            <w:tcW w:w="1547"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部</w:t>
            </w:r>
            <w:r>
              <w:rPr>
                <w:rFonts w:hint="eastAsia" w:ascii="黑体" w:hAnsi="宋体" w:eastAsia="黑体" w:cs="黑体"/>
                <w:b w:val="0"/>
                <w:bCs w:val="0"/>
                <w:color w:val="000000" w:themeColor="text1"/>
                <w:sz w:val="21"/>
                <w:szCs w:val="21"/>
                <w:highlight w:val="none"/>
                <w:lang w:val="en-US" w:eastAsia="zh-CN"/>
                <w14:textFill>
                  <w14:solidFill>
                    <w14:schemeClr w14:val="tx1"/>
                  </w14:solidFill>
                </w14:textFill>
              </w:rPr>
              <w:t xml:space="preserve">  </w:t>
            </w:r>
            <w:r>
              <w:rPr>
                <w:rFonts w:hint="eastAsia" w:ascii="黑体" w:hAnsi="宋体" w:eastAsia="黑体" w:cs="黑体"/>
                <w:b w:val="0"/>
                <w:bCs w:val="0"/>
                <w:color w:val="000000" w:themeColor="text1"/>
                <w:sz w:val="21"/>
                <w:szCs w:val="21"/>
                <w:highlight w:val="none"/>
                <w14:textFill>
                  <w14:solidFill>
                    <w14:schemeClr w14:val="tx1"/>
                  </w14:solidFill>
                </w14:textFill>
              </w:rPr>
              <w:t>门</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涉及健康相关因素的政策文件范围</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ascii="黑体" w:hAnsi="宋体" w:eastAsia="黑体" w:cs="黑体"/>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相应健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康问题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发展改革委</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both"/>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加大对健康领域相关项目资金争取和支持力度</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的文件</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对健康领域规划和投资的意见或办法</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8"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both"/>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将健康促进与健康教育纳入经济和社会发展规划</w:t>
            </w:r>
            <w:r>
              <w:rPr>
                <w:rFonts w:hint="eastAsia" w:ascii="Times New Roman" w:hAnsi="Times New Roman" w:eastAsia="仿宋_GB2312" w:cs="Times New Roman"/>
                <w:b w:val="0"/>
                <w:bCs w:val="0"/>
                <w:color w:val="000000" w:themeColor="text1"/>
                <w:sz w:val="21"/>
                <w:szCs w:val="21"/>
                <w:highlight w:val="none"/>
                <w:lang w:eastAsia="zh-CN"/>
                <w14:textFill>
                  <w14:solidFill>
                    <w14:schemeClr w14:val="tx1"/>
                  </w14:solidFill>
                </w14:textFill>
              </w:rPr>
              <w:t>，</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支持健康促进与教育基础设施建设和目标考核管理</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的举措</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关于促进健康产业发展的举措</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关于落实节能降耗的方案或规定</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市教育局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关于提高学生健康素养和身心素养的办法或措施</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关于加强和改善学校卫生环境，开展健康学校建设的方案及措施</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关于学校疾病预防控制工作的规范性措施、办法</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1547"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市科技局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鼓励健康领域科学研究和产品研发</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方案及措施</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jc w:val="center"/>
        </w:trPr>
        <w:tc>
          <w:tcPr>
            <w:tcW w:w="1547"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市工信局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关于加强工业节能降耗的方案或规定</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市公安局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pacing w:val="-6"/>
                <w:sz w:val="21"/>
                <w:szCs w:val="21"/>
                <w:highlight w:val="none"/>
                <w14:textFill>
                  <w14:solidFill>
                    <w14:schemeClr w14:val="tx1"/>
                  </w14:solidFill>
                </w14:textFill>
              </w:rPr>
              <w:t>关于加强维护社会治安</w:t>
            </w:r>
            <w:r>
              <w:rPr>
                <w:rFonts w:hint="eastAsia" w:ascii="Times New Roman" w:hAnsi="Times New Roman" w:eastAsia="仿宋_GB2312" w:cs="Times New Roman"/>
                <w:b w:val="0"/>
                <w:bCs w:val="0"/>
                <w:color w:val="000000" w:themeColor="text1"/>
                <w:spacing w:val="-6"/>
                <w:sz w:val="21"/>
                <w:szCs w:val="21"/>
                <w:highlight w:val="none"/>
                <w:lang w:eastAsia="zh-CN"/>
                <w14:textFill>
                  <w14:solidFill>
                    <w14:schemeClr w14:val="tx1"/>
                  </w14:solidFill>
                </w14:textFill>
              </w:rPr>
              <w:t>，</w:t>
            </w:r>
            <w:r>
              <w:rPr>
                <w:rFonts w:hint="eastAsia" w:ascii="仿宋_GB2312" w:hAnsi="Times New Roman" w:eastAsia="仿宋_GB2312" w:cs="仿宋_GB2312"/>
                <w:b w:val="0"/>
                <w:bCs w:val="0"/>
                <w:color w:val="000000" w:themeColor="text1"/>
                <w:spacing w:val="-6"/>
                <w:sz w:val="21"/>
                <w:szCs w:val="21"/>
                <w:highlight w:val="none"/>
                <w14:textFill>
                  <w14:solidFill>
                    <w14:schemeClr w14:val="tx1"/>
                  </w14:solidFill>
                </w14:textFill>
              </w:rPr>
              <w:t>减少犯罪的方案或措施的编制与修订</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社会环境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预防意外伤害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8"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关于加强道路交通秩序管理</w:t>
            </w:r>
            <w:r>
              <w:rPr>
                <w:rFonts w:hint="eastAsia" w:ascii="Times New Roman" w:hAnsi="Times New Roman" w:eastAsia="仿宋_GB2312" w:cs="Times New Roman"/>
                <w:b w:val="0"/>
                <w:bCs w:val="0"/>
                <w:color w:val="000000" w:themeColor="text1"/>
                <w:sz w:val="21"/>
                <w:szCs w:val="21"/>
                <w:highlight w:val="none"/>
                <w:lang w:eastAsia="zh-CN"/>
                <w14:textFill>
                  <w14:solidFill>
                    <w14:schemeClr w14:val="tx1"/>
                  </w14:solidFill>
                </w14:textFill>
              </w:rPr>
              <w:t>，</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维护道路交通安全畅通的方案或措施的编制与修订</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8"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和</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打击涉嫌毒品及环境、食品、药品、经济领域违法犯罪的方案或措施的编制与修订</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市民政局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关于提升社会救助水平的办法或措施</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社会救助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关于加强健康社区和养老服务建设政策的编制与修订</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社区服务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3"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关于支持健康领域社会组织发展的政策及办法的编制与修订</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8" w:hRule="atLeast"/>
          <w:jc w:val="center"/>
        </w:trPr>
        <w:tc>
          <w:tcPr>
            <w:tcW w:w="1547"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center"/>
              <w:textAlignment w:val="auto"/>
              <w:rPr>
                <w:rFonts w:hint="eastAsia" w:ascii="宋体"/>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民宗委</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leftChars="0" w:right="0" w:rightChars="0"/>
              <w:jc w:val="both"/>
              <w:textAlignment w:val="auto"/>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关于向宗教人士和信教群众传播健康理念和知识的措施及办法的编制与修订</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leftChars="0" w:right="0" w:rightChars="0"/>
              <w:jc w:val="center"/>
              <w:textAlignment w:val="auto"/>
              <w:rPr>
                <w:rFonts w:hint="eastAsia" w:ascii="宋体"/>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市司法局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关于加强法律援助的有关工作</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的意见</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社会环境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关于加强刑满释放人员帮教工作</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的意见</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特殊人群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8"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关于保障因过失犯罪在押服刑人员健康的办法或措施的编制与修订</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547"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市财政局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健康城市建设、重大项目、爱国卫生、健康</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张掖</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建设、健康教育与健康促进、重点慢性病防治等项目经费保障</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的文件</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健康资源</w:t>
            </w:r>
          </w:p>
        </w:tc>
      </w:tr>
    </w:tbl>
    <w:p>
      <w:pPr>
        <w:keepNext w:val="0"/>
        <w:keepLines w:val="0"/>
        <w:pageBreakBefore w:val="0"/>
        <w:widowControl w:val="0"/>
        <w:kinsoku/>
        <w:wordWrap/>
        <w:overflowPunct/>
        <w:topLinePunct w:val="0"/>
        <w:autoSpaceDE/>
        <w:autoSpaceDN/>
        <w:bidi w:val="0"/>
        <w:adjustRightInd/>
        <w:snapToGrid/>
        <w:spacing w:line="20" w:lineRule="exact"/>
        <w:jc w:val="both"/>
        <w:textAlignment w:val="auto"/>
        <w:rPr>
          <w:color w:val="000000" w:themeColor="text1"/>
          <w:highlight w:val="none"/>
          <w14:textFill>
            <w14:solidFill>
              <w14:schemeClr w14:val="tx1"/>
            </w14:solidFill>
          </w14:textFill>
        </w:rPr>
      </w:pPr>
    </w:p>
    <w:tbl>
      <w:tblPr>
        <w:tblStyle w:val="9"/>
        <w:tblW w:w="8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47"/>
        <w:gridCol w:w="6289"/>
        <w:gridCol w:w="1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blHeader/>
          <w:jc w:val="center"/>
        </w:trPr>
        <w:tc>
          <w:tcPr>
            <w:tcW w:w="1547"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部</w:t>
            </w:r>
            <w:r>
              <w:rPr>
                <w:rFonts w:hint="eastAsia" w:ascii="黑体" w:hAnsi="宋体" w:eastAsia="黑体" w:cs="黑体"/>
                <w:b w:val="0"/>
                <w:bCs w:val="0"/>
                <w:color w:val="000000" w:themeColor="text1"/>
                <w:sz w:val="21"/>
                <w:szCs w:val="21"/>
                <w:highlight w:val="none"/>
                <w:lang w:val="en-US" w:eastAsia="zh-CN"/>
                <w14:textFill>
                  <w14:solidFill>
                    <w14:schemeClr w14:val="tx1"/>
                  </w14:solidFill>
                </w14:textFill>
              </w:rPr>
              <w:t xml:space="preserve">  </w:t>
            </w:r>
            <w:r>
              <w:rPr>
                <w:rFonts w:hint="eastAsia" w:ascii="黑体" w:hAnsi="宋体" w:eastAsia="黑体" w:cs="黑体"/>
                <w:b w:val="0"/>
                <w:bCs w:val="0"/>
                <w:color w:val="000000" w:themeColor="text1"/>
                <w:sz w:val="21"/>
                <w:szCs w:val="21"/>
                <w:highlight w:val="none"/>
                <w14:textFill>
                  <w14:solidFill>
                    <w14:schemeClr w14:val="tx1"/>
                  </w14:solidFill>
                </w14:textFill>
              </w:rPr>
              <w:t>门</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涉及健康相关因素的政策文件范围</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rFonts w:hint="eastAsia" w:ascii="黑体" w:hAnsi="宋体" w:eastAsia="黑体" w:cs="黑体"/>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相应健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康问题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市人社局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城乡居民养老保险、失业保险、工伤保险等政策制度的编制与修订</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社会保障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劳动保障监察规范化管理制度的编制与修订</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关于企业职工参加基本养老、工伤等保险水平有关问题</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和</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政策的编制与修订</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关于加强劳动保护有关事项的公共政策的编制与修订</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市自然资源局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将健康元素融入国土空间总体规划，在规划中科学布局公共卫生、医疗、体育健身、公共交通等公共服务的编制与修订</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关于加强地质灾害防治的指导性文件制定和规划的编制与修订</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加大对生态保护红线管理，严守生态安全边界的规范性文件</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市生态环境局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关于预防、控制环境污染和环境健康影响评估政策和举措</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生态环境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关于指导和协调解决跨地域、跨领域、跨部门的重大环境问题的办法或方案的编制与修订</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生存环境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9"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关于加强水源地生态环境保护的规范性文件</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市住建局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关于城区排水防涝、地下综合管廊、海绵城市、市政道路交通</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、城市绿地系统</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等市政基础设施专项规划的编制与修订</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关于城区城市内涝治理系统化实施方案和排水防涝预案的编制和修订</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right="0"/>
              <w:jc w:val="both"/>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在建筑设计和施工过程中加强环境、健康保护</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的方案</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关于保障性住房供给的政策性文件的编制与修订</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社会公平人居保障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重大工程项目健康影响评价</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的方案</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1547" w:type="dxa"/>
            <w:vMerge w:val="continue"/>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关于加强城市园林绿化、绿地管理等制度性文件</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编制与修订</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加强市容市貌综合管理</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的方案</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6"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关于加强市区环境卫生专业规划、环卫设施建设和城乡垃圾处理</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方案</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食品流通摊贩、餐饮服务摊贩备案管理的编制与修订</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市容市貌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jc w:val="both"/>
              <w:textAlignment w:val="auto"/>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关于保障</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城市</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饮用水安全的措施或办法的编制与修订</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供水安全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市交通运输局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关于发展公共交通，方便群众出行的文件编制与修订</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6"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关于加强交通工具及车站卫生环境建设和无烟环境建设的制度性文件的编制与修订</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关于在道路设计和施工中加强环境、健康保护的措施或办法的编制与修订</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市水</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务</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关于保障农村饮用水安全措施或办法的编制与修订</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农村饮水安全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关于加强节约用水机制与办法的编制与修订</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eastAsia" w:ascii="宋体"/>
                <w:b w:val="0"/>
                <w:bCs w:val="0"/>
                <w:color w:val="000000" w:themeColor="text1"/>
                <w:sz w:val="21"/>
                <w:szCs w:val="21"/>
                <w:highlight w:val="none"/>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20" w:lineRule="exact"/>
        <w:jc w:val="both"/>
        <w:textAlignment w:val="auto"/>
        <w:rPr>
          <w:color w:val="000000" w:themeColor="text1"/>
          <w:highlight w:val="none"/>
          <w14:textFill>
            <w14:solidFill>
              <w14:schemeClr w14:val="tx1"/>
            </w14:solidFill>
          </w14:textFill>
        </w:rPr>
      </w:pPr>
    </w:p>
    <w:tbl>
      <w:tblPr>
        <w:tblStyle w:val="9"/>
        <w:tblW w:w="8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47"/>
        <w:gridCol w:w="6289"/>
        <w:gridCol w:w="1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tblHeader/>
          <w:jc w:val="center"/>
        </w:trPr>
        <w:tc>
          <w:tcPr>
            <w:tcW w:w="1547"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部</w:t>
            </w:r>
            <w:r>
              <w:rPr>
                <w:rFonts w:hint="eastAsia" w:ascii="黑体" w:hAnsi="宋体" w:eastAsia="黑体" w:cs="黑体"/>
                <w:b w:val="0"/>
                <w:bCs w:val="0"/>
                <w:color w:val="000000" w:themeColor="text1"/>
                <w:sz w:val="21"/>
                <w:szCs w:val="21"/>
                <w:highlight w:val="none"/>
                <w:lang w:val="en-US" w:eastAsia="zh-CN"/>
                <w14:textFill>
                  <w14:solidFill>
                    <w14:schemeClr w14:val="tx1"/>
                  </w14:solidFill>
                </w14:textFill>
              </w:rPr>
              <w:t xml:space="preserve">  </w:t>
            </w:r>
            <w:r>
              <w:rPr>
                <w:rFonts w:hint="eastAsia" w:ascii="黑体" w:hAnsi="宋体" w:eastAsia="黑体" w:cs="黑体"/>
                <w:b w:val="0"/>
                <w:bCs w:val="0"/>
                <w:color w:val="000000" w:themeColor="text1"/>
                <w:sz w:val="21"/>
                <w:szCs w:val="21"/>
                <w:highlight w:val="none"/>
                <w14:textFill>
                  <w14:solidFill>
                    <w14:schemeClr w14:val="tx1"/>
                  </w14:solidFill>
                </w14:textFill>
              </w:rPr>
              <w:t>门</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涉及健康相关因素的政策文件范围</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黑体" w:hAnsi="宋体" w:eastAsia="黑体" w:cs="黑体"/>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相应健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康问题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2"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市农业农村</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关于改善农村人居环境方案的编制与修订</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生态环境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2"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关于加强农业废弃物综合利用的政策性文件</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3"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关于加强农药监督管理相关工作的文件</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食品安全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关于大力推广有机肥，降低化肥施用量，保障农业可持续发展的文件</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关于加强农产品产量安全监管相关工作的文件</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3"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关于加强农产品质量的政策性文件</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1547" w:type="dxa"/>
            <w:vMerge w:val="restart"/>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eastAsia="宋体"/>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kern w:val="0"/>
                <w:sz w:val="21"/>
                <w:szCs w:val="21"/>
                <w:highlight w:val="none"/>
                <w:lang w:val="en-US" w:eastAsia="zh-CN" w:bidi="ar"/>
                <w14:textFill>
                  <w14:solidFill>
                    <w14:schemeClr w14:val="tx1"/>
                  </w14:solidFill>
                </w14:textFill>
              </w:rPr>
              <w:t>市畜牧兽医局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人畜共患疾病防控相关工作</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文件</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疾病防控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关于加强人、畜、禽粪便无害化处理及其他废弃物综合利用的政策性文件</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生态环境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0"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市林</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草</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关于加强植树造林、绿化环境的规范性文件</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生态环境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关于加强自然保护区域建设管理的规范性文件</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市文</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广</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旅游局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旅游突发事件应急预案的编制与修订</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预防意外伤害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1"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关于加强旅游景点环境卫生整治、控烟管理的规范性文件的编制与修订</w:t>
            </w:r>
          </w:p>
        </w:tc>
        <w:tc>
          <w:tcPr>
            <w:tcW w:w="1023" w:type="dxa"/>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健康环境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9"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关于加大健康政策和知识的宣传力度，倡导建立健康文化氛围，</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积极参与相关部门</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健康类节目、栏目和公益广告播放的政策性文件的编制与修订</w:t>
            </w:r>
          </w:p>
        </w:tc>
        <w:tc>
          <w:tcPr>
            <w:tcW w:w="1023" w:type="dxa"/>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val="0"/>
                <w:color w:val="000000" w:themeColor="text1"/>
                <w:sz w:val="21"/>
                <w:szCs w:val="21"/>
                <w:highlight w:val="none"/>
                <w14:textFill>
                  <w14:solidFill>
                    <w14:schemeClr w14:val="tx1"/>
                  </w14:solidFill>
                </w14:textFill>
              </w:rPr>
              <w:t>健康文化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3" w:hRule="atLeast"/>
          <w:jc w:val="center"/>
        </w:trPr>
        <w:tc>
          <w:tcPr>
            <w:tcW w:w="1547"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市文物局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古建筑保护、历史文化名城建设</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相关工作的文件</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8"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市卫生健康委</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关于深化医药卫生体制改革规范性文件的编制与修订</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卫生服务体制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8"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落实国家基本公共卫生服务项目、提升健康促进与健康教育技术水平</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的文件</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公共卫生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3"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关于提</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高医疗服务水平和质量</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的文件</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医疗服务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8"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突发公共卫生事件应急预案的编制与修订</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预防意外伤害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8"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关于加强职业卫生防护和管理</w:t>
            </w:r>
            <w:r>
              <w:rPr>
                <w:rFonts w:hint="eastAsia" w:ascii="Times New Roman" w:hAnsi="Times New Roman" w:eastAsia="仿宋_GB2312" w:cs="Times New Roman"/>
                <w:b w:val="0"/>
                <w:bCs w:val="0"/>
                <w:color w:val="000000" w:themeColor="text1"/>
                <w:sz w:val="21"/>
                <w:szCs w:val="21"/>
                <w:highlight w:val="none"/>
                <w:lang w:eastAsia="zh-CN"/>
                <w14:textFill>
                  <w14:solidFill>
                    <w14:schemeClr w14:val="tx1"/>
                  </w14:solidFill>
                </w14:textFill>
              </w:rPr>
              <w:t>，</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保障职业健康的政策性文件的编制与修订</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职业健康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6"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关于促进健康产业发展的举措</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6" w:hRule="atLeast"/>
          <w:jc w:val="center"/>
        </w:trPr>
        <w:tc>
          <w:tcPr>
            <w:tcW w:w="1547" w:type="dxa"/>
            <w:vMerge w:val="continue"/>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auto"/>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推进企业健康促进工作，持续开展健康企业建设工作</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的文件</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leftChars="0" w:right="0" w:rightChars="0" w:firstLine="0" w:firstLineChars="0"/>
              <w:jc w:val="center"/>
              <w:textAlignment w:val="auto"/>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3"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市应急局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关于提高安全生产水平</w:t>
            </w:r>
            <w:r>
              <w:rPr>
                <w:rFonts w:hint="eastAsia" w:ascii="Times New Roman" w:hAnsi="Times New Roman" w:eastAsia="仿宋_GB2312" w:cs="Times New Roman"/>
                <w:b w:val="0"/>
                <w:bCs w:val="0"/>
                <w:color w:val="000000" w:themeColor="text1"/>
                <w:sz w:val="21"/>
                <w:szCs w:val="21"/>
                <w:highlight w:val="none"/>
                <w:lang w:eastAsia="zh-CN"/>
                <w14:textFill>
                  <w14:solidFill>
                    <w14:schemeClr w14:val="tx1"/>
                  </w14:solidFill>
                </w14:textFill>
              </w:rPr>
              <w:t>，</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防范安全事故规范性文件的编制与修订</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8"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安全生产事故应急预案的编制与修订</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预防意外伤害</w:t>
            </w:r>
          </w:p>
        </w:tc>
      </w:tr>
    </w:tbl>
    <w:p>
      <w:pPr>
        <w:keepNext w:val="0"/>
        <w:keepLines w:val="0"/>
        <w:pageBreakBefore w:val="0"/>
        <w:widowControl w:val="0"/>
        <w:kinsoku/>
        <w:wordWrap/>
        <w:overflowPunct/>
        <w:topLinePunct w:val="0"/>
        <w:autoSpaceDE/>
        <w:autoSpaceDN/>
        <w:bidi w:val="0"/>
        <w:adjustRightInd/>
        <w:snapToGrid/>
        <w:spacing w:line="20" w:lineRule="exact"/>
        <w:jc w:val="both"/>
        <w:textAlignment w:val="auto"/>
        <w:rPr>
          <w:color w:val="000000" w:themeColor="text1"/>
          <w:highlight w:val="none"/>
          <w14:textFill>
            <w14:solidFill>
              <w14:schemeClr w14:val="tx1"/>
            </w14:solidFill>
          </w14:textFill>
        </w:rPr>
      </w:pPr>
    </w:p>
    <w:tbl>
      <w:tblPr>
        <w:tblStyle w:val="9"/>
        <w:tblW w:w="8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47"/>
        <w:gridCol w:w="6289"/>
        <w:gridCol w:w="1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blHeader/>
          <w:jc w:val="center"/>
        </w:trPr>
        <w:tc>
          <w:tcPr>
            <w:tcW w:w="1547"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部</w:t>
            </w:r>
            <w:r>
              <w:rPr>
                <w:rFonts w:hint="eastAsia" w:ascii="黑体" w:hAnsi="宋体" w:eastAsia="黑体" w:cs="黑体"/>
                <w:b w:val="0"/>
                <w:bCs w:val="0"/>
                <w:color w:val="000000" w:themeColor="text1"/>
                <w:sz w:val="21"/>
                <w:szCs w:val="21"/>
                <w:highlight w:val="none"/>
                <w:lang w:val="en-US" w:eastAsia="zh-CN"/>
                <w14:textFill>
                  <w14:solidFill>
                    <w14:schemeClr w14:val="tx1"/>
                  </w14:solidFill>
                </w14:textFill>
              </w:rPr>
              <w:t xml:space="preserve">  </w:t>
            </w:r>
            <w:r>
              <w:rPr>
                <w:rFonts w:hint="eastAsia" w:ascii="黑体" w:hAnsi="宋体" w:eastAsia="黑体" w:cs="黑体"/>
                <w:b w:val="0"/>
                <w:bCs w:val="0"/>
                <w:color w:val="000000" w:themeColor="text1"/>
                <w:sz w:val="21"/>
                <w:szCs w:val="21"/>
                <w:highlight w:val="none"/>
                <w14:textFill>
                  <w14:solidFill>
                    <w14:schemeClr w14:val="tx1"/>
                  </w14:solidFill>
                </w14:textFill>
              </w:rPr>
              <w:t>门</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涉及健康相关因素的政策文件范围</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黑体" w:hAnsi="宋体" w:eastAsia="黑体" w:cs="黑体"/>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相应健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康问题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0" w:hRule="atLeast"/>
          <w:jc w:val="center"/>
        </w:trPr>
        <w:tc>
          <w:tcPr>
            <w:tcW w:w="1547"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市审计局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加强对医保政策执行、医疗保险资金、医院财务收支、各类社会救助资金和社会福利资金规范使用审计</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的文件</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4"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市市场监管局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食品安全事故应急预案的编制与修订</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食品安全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食品安全监督抽检工作实施方案的编制与修订</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8"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食品生产加工小作坊、食品加工生产企业监督管理措施或办法的编制与修订</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关于加强食品安全监管</w:t>
            </w:r>
            <w:r>
              <w:rPr>
                <w:rFonts w:hint="eastAsia" w:ascii="Times New Roman" w:hAnsi="Times New Roman" w:eastAsia="仿宋_GB2312" w:cs="Times New Roman"/>
                <w:b w:val="0"/>
                <w:bCs w:val="0"/>
                <w:color w:val="000000" w:themeColor="text1"/>
                <w:sz w:val="21"/>
                <w:szCs w:val="21"/>
                <w:highlight w:val="none"/>
                <w:lang w:eastAsia="zh-CN"/>
                <w14:textFill>
                  <w14:solidFill>
                    <w14:schemeClr w14:val="tx1"/>
                  </w14:solidFill>
                </w14:textFill>
              </w:rPr>
              <w:t>，</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防范区域性系统性食品安全事故实施方案的编制与修订</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关于健康相关产品监管办法的编制与修订</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药品、医疗器械和化妆品监督管理的政策、规划及监督实施策略性文件</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8"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关于健康类知识产权保护办法的编制与修订</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4"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关于食品药品安全</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知识</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宣传和培训的制度及办法的编制与修订</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8"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特种设备</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安全监管相关</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办法的编制与修订</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关于加强</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医疗、药物、保健、健康管理类商业广告</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监管的文件</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2"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市商务局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落实商场、超市健康促进工作</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的文件</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1547" w:type="dxa"/>
            <w:vMerge w:val="continue"/>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文明用餐、反对餐饮浪费方面的措施与办法的编制与修订</w:t>
            </w:r>
          </w:p>
        </w:tc>
        <w:tc>
          <w:tcPr>
            <w:tcW w:w="1023" w:type="dxa"/>
            <w:vMerge w:val="continue"/>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市体育局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关于加强科学健身指导服务的规定或办法</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关于加强公共体育场地设施建设，推动全民体育健身活动的文件</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0"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推动全民健身实施计划、开展群众性体育赛事活动、实施国家体育锻炼标准、开展国民体质监测的文件</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健康生活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关于开展体育健身知识科普宣传活动的办法及措施</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市医保局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pacing w:val="-11"/>
                <w:sz w:val="21"/>
                <w:szCs w:val="21"/>
                <w:highlight w:val="none"/>
                <w14:textFill>
                  <w14:solidFill>
                    <w14:schemeClr w14:val="tx1"/>
                  </w14:solidFill>
                </w14:textFill>
              </w:rPr>
              <w:t>关于企业职工参加医疗、生育等保险水平有关问题的政策的编制与修订</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社会保障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关于医保基金管理使用的有关政策</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8" w:hRule="atLeast"/>
          <w:jc w:val="center"/>
        </w:trPr>
        <w:tc>
          <w:tcPr>
            <w:tcW w:w="1547"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政府</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国资委</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落实国有企业健康促进工作，组织开展健康企业建设</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的文件</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1547"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市</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机关事务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eastAsia="仿宋_GB2312" w:cs="仿宋_GB2312"/>
                <w:b w:val="0"/>
                <w:bCs w:val="0"/>
                <w:color w:val="000000" w:themeColor="text1"/>
                <w:sz w:val="21"/>
                <w:szCs w:val="21"/>
                <w:highlight w:val="none"/>
                <w:lang w:eastAsia="zh-CN"/>
                <w14:textFill>
                  <w14:solidFill>
                    <w14:schemeClr w14:val="tx1"/>
                  </w14:solidFill>
                </w14:textFill>
              </w:rPr>
              <w:t>管理局</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pacing w:val="6"/>
                <w:sz w:val="21"/>
                <w:szCs w:val="21"/>
                <w:highlight w:val="none"/>
                <w:lang w:eastAsia="zh-CN"/>
                <w14:textFill>
                  <w14:solidFill>
                    <w14:schemeClr w14:val="tx1"/>
                  </w14:solidFill>
                </w14:textFill>
              </w:rPr>
              <w:t>做好统管区域</w:t>
            </w:r>
            <w:r>
              <w:rPr>
                <w:rFonts w:hint="eastAsia" w:ascii="仿宋_GB2312" w:hAnsi="Times New Roman" w:eastAsia="仿宋_GB2312" w:cs="仿宋_GB2312"/>
                <w:b w:val="0"/>
                <w:bCs w:val="0"/>
                <w:color w:val="000000" w:themeColor="text1"/>
                <w:spacing w:val="6"/>
                <w:sz w:val="21"/>
                <w:szCs w:val="21"/>
                <w:highlight w:val="none"/>
                <w14:textFill>
                  <w14:solidFill>
                    <w14:schemeClr w14:val="tx1"/>
                  </w14:solidFill>
                </w14:textFill>
              </w:rPr>
              <w:t>机关健康促进工作，协助推进健康机关建设</w:t>
            </w:r>
            <w:r>
              <w:rPr>
                <w:rFonts w:hint="eastAsia" w:ascii="仿宋_GB2312" w:hAnsi="Times New Roman" w:eastAsia="仿宋_GB2312" w:cs="仿宋_GB2312"/>
                <w:b w:val="0"/>
                <w:bCs w:val="0"/>
                <w:color w:val="000000" w:themeColor="text1"/>
                <w:spacing w:val="6"/>
                <w:sz w:val="21"/>
                <w:szCs w:val="21"/>
                <w:highlight w:val="none"/>
                <w:lang w:eastAsia="zh-CN"/>
                <w14:textFill>
                  <w14:solidFill>
                    <w14:schemeClr w14:val="tx1"/>
                  </w14:solidFill>
                </w14:textFill>
              </w:rPr>
              <w:t>的文件</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健康人群</w:t>
            </w:r>
          </w:p>
        </w:tc>
      </w:tr>
    </w:tbl>
    <w:p>
      <w:pPr>
        <w:keepNext w:val="0"/>
        <w:keepLines w:val="0"/>
        <w:pageBreakBefore w:val="0"/>
        <w:widowControl w:val="0"/>
        <w:kinsoku/>
        <w:wordWrap/>
        <w:overflowPunct/>
        <w:topLinePunct w:val="0"/>
        <w:autoSpaceDE/>
        <w:autoSpaceDN/>
        <w:bidi w:val="0"/>
        <w:adjustRightInd/>
        <w:snapToGrid/>
        <w:spacing w:line="20" w:lineRule="exact"/>
        <w:jc w:val="both"/>
        <w:textAlignment w:val="auto"/>
        <w:rPr>
          <w:color w:val="000000" w:themeColor="text1"/>
          <w:highlight w:val="none"/>
          <w14:textFill>
            <w14:solidFill>
              <w14:schemeClr w14:val="tx1"/>
            </w14:solidFill>
          </w14:textFill>
        </w:rPr>
      </w:pPr>
    </w:p>
    <w:tbl>
      <w:tblPr>
        <w:tblStyle w:val="9"/>
        <w:tblW w:w="8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47"/>
        <w:gridCol w:w="6289"/>
        <w:gridCol w:w="1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blHeader/>
          <w:jc w:val="center"/>
        </w:trPr>
        <w:tc>
          <w:tcPr>
            <w:tcW w:w="1547"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部</w:t>
            </w:r>
            <w:r>
              <w:rPr>
                <w:rFonts w:hint="eastAsia" w:ascii="黑体" w:hAnsi="宋体" w:eastAsia="黑体" w:cs="黑体"/>
                <w:b w:val="0"/>
                <w:bCs w:val="0"/>
                <w:color w:val="000000" w:themeColor="text1"/>
                <w:sz w:val="21"/>
                <w:szCs w:val="21"/>
                <w:highlight w:val="none"/>
                <w:lang w:val="en-US" w:eastAsia="zh-CN"/>
                <w14:textFill>
                  <w14:solidFill>
                    <w14:schemeClr w14:val="tx1"/>
                  </w14:solidFill>
                </w14:textFill>
              </w:rPr>
              <w:t xml:space="preserve">  </w:t>
            </w:r>
            <w:r>
              <w:rPr>
                <w:rFonts w:hint="eastAsia" w:ascii="黑体" w:hAnsi="宋体" w:eastAsia="黑体" w:cs="黑体"/>
                <w:b w:val="0"/>
                <w:bCs w:val="0"/>
                <w:color w:val="000000" w:themeColor="text1"/>
                <w:sz w:val="21"/>
                <w:szCs w:val="21"/>
                <w:highlight w:val="none"/>
                <w14:textFill>
                  <w14:solidFill>
                    <w14:schemeClr w14:val="tx1"/>
                  </w14:solidFill>
                </w14:textFill>
              </w:rPr>
              <w:t>门</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涉及健康相关因素的政策文件范围</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hint="eastAsia" w:ascii="黑体" w:hAnsi="宋体" w:eastAsia="黑体" w:cs="黑体"/>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相应健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黑体" w:hAnsi="宋体" w:eastAsia="黑体" w:cs="黑体"/>
                <w:b w:val="0"/>
                <w:bCs w:val="0"/>
                <w:color w:val="000000" w:themeColor="text1"/>
                <w:sz w:val="21"/>
                <w:szCs w:val="21"/>
                <w:highlight w:val="none"/>
                <w14:textFill>
                  <w14:solidFill>
                    <w14:schemeClr w14:val="tx1"/>
                  </w14:solidFill>
                </w14:textFill>
              </w:rPr>
              <w:t>康问题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市总工会</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pacing w:val="6"/>
                <w:sz w:val="21"/>
                <w:szCs w:val="21"/>
                <w:highlight w:val="none"/>
                <w14:textFill>
                  <w14:solidFill>
                    <w14:schemeClr w14:val="tx1"/>
                  </w14:solidFill>
                </w14:textFill>
              </w:rPr>
              <w:t>关于</w:t>
            </w:r>
            <w:r>
              <w:rPr>
                <w:rFonts w:hint="eastAsia" w:ascii="仿宋_GB2312" w:hAnsi="Times New Roman" w:eastAsia="仿宋_GB2312" w:cs="仿宋_GB2312"/>
                <w:b w:val="0"/>
                <w:bCs w:val="0"/>
                <w:color w:val="000000" w:themeColor="text1"/>
                <w:spacing w:val="6"/>
                <w:sz w:val="21"/>
                <w:szCs w:val="21"/>
                <w:highlight w:val="none"/>
                <w:lang w:eastAsia="zh-CN"/>
                <w14:textFill>
                  <w14:solidFill>
                    <w14:schemeClr w14:val="tx1"/>
                  </w14:solidFill>
                </w14:textFill>
              </w:rPr>
              <w:t>把</w:t>
            </w:r>
            <w:r>
              <w:rPr>
                <w:rFonts w:hint="eastAsia" w:ascii="仿宋_GB2312" w:hAnsi="Times New Roman" w:eastAsia="仿宋_GB2312" w:cs="仿宋_GB2312"/>
                <w:b w:val="0"/>
                <w:bCs w:val="0"/>
                <w:color w:val="000000" w:themeColor="text1"/>
                <w:spacing w:val="6"/>
                <w:sz w:val="21"/>
                <w:szCs w:val="21"/>
                <w:highlight w:val="none"/>
                <w14:textFill>
                  <w14:solidFill>
                    <w14:schemeClr w14:val="tx1"/>
                  </w14:solidFill>
                </w14:textFill>
              </w:rPr>
              <w:t>健康促进与健康教育、健康管理纳入各级工会工作</w:t>
            </w:r>
            <w:r>
              <w:rPr>
                <w:rFonts w:hint="eastAsia" w:ascii="仿宋_GB2312" w:hAnsi="Times New Roman" w:eastAsia="仿宋_GB2312" w:cs="仿宋_GB2312"/>
                <w:b w:val="0"/>
                <w:bCs w:val="0"/>
                <w:color w:val="000000" w:themeColor="text1"/>
                <w:spacing w:val="6"/>
                <w:sz w:val="21"/>
                <w:szCs w:val="21"/>
                <w:highlight w:val="none"/>
                <w:lang w:eastAsia="zh-CN"/>
                <w14:textFill>
                  <w14:solidFill>
                    <w14:schemeClr w14:val="tx1"/>
                  </w14:solidFill>
                </w14:textFill>
              </w:rPr>
              <w:t>的意见或措施</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倡议广大职工积极参与健康机关、健康企业、健康城市建设</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w:t>
            </w:r>
            <w:r>
              <w:rPr>
                <w:rFonts w:hint="eastAsia" w:ascii="仿宋_GB2312" w:hAnsi="Times New Roman" w:eastAsia="仿宋_GB2312" w:cs="仿宋_GB2312"/>
                <w:b w:val="0"/>
                <w:bCs w:val="0"/>
                <w:color w:val="000000" w:themeColor="text1"/>
                <w:spacing w:val="6"/>
                <w:sz w:val="21"/>
                <w:szCs w:val="21"/>
                <w:highlight w:val="none"/>
                <w:lang w:eastAsia="zh-CN"/>
                <w14:textFill>
                  <w14:solidFill>
                    <w14:schemeClr w14:val="tx1"/>
                  </w14:solidFill>
                </w14:textFill>
              </w:rPr>
              <w:t>意见或措施</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团市委</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关于把</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健康促进与健康教育、爱国卫生纳入各级团组织工作</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w:t>
            </w:r>
            <w:r>
              <w:rPr>
                <w:rFonts w:hint="eastAsia" w:ascii="仿宋_GB2312" w:hAnsi="Times New Roman" w:eastAsia="仿宋_GB2312" w:cs="仿宋_GB2312"/>
                <w:b w:val="0"/>
                <w:bCs w:val="0"/>
                <w:color w:val="000000" w:themeColor="text1"/>
                <w:spacing w:val="6"/>
                <w:sz w:val="21"/>
                <w:szCs w:val="21"/>
                <w:highlight w:val="none"/>
                <w:lang w:eastAsia="zh-CN"/>
                <w14:textFill>
                  <w14:solidFill>
                    <w14:schemeClr w14:val="tx1"/>
                  </w14:solidFill>
                </w14:textFill>
              </w:rPr>
              <w:t>意见或措施</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both"/>
              <w:textAlignment w:val="auto"/>
              <w:rPr>
                <w:rFonts w:hint="eastAsia" w:eastAsia="仿宋_GB2312"/>
                <w:b w:val="0"/>
                <w:bCs w:val="0"/>
                <w:color w:val="000000" w:themeColor="text1"/>
                <w:sz w:val="21"/>
                <w:szCs w:val="21"/>
                <w:highlight w:val="none"/>
                <w:lang w:eastAsia="zh-CN"/>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倡议广大团员青年、少先队员积极参与健康学校、健康城市建设</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w:t>
            </w:r>
            <w:r>
              <w:rPr>
                <w:rFonts w:hint="eastAsia" w:ascii="仿宋_GB2312" w:hAnsi="Times New Roman" w:eastAsia="仿宋_GB2312" w:cs="仿宋_GB2312"/>
                <w:b w:val="0"/>
                <w:bCs w:val="0"/>
                <w:color w:val="000000" w:themeColor="text1"/>
                <w:spacing w:val="6"/>
                <w:sz w:val="21"/>
                <w:szCs w:val="21"/>
                <w:highlight w:val="none"/>
                <w:lang w:eastAsia="zh-CN"/>
                <w14:textFill>
                  <w14:solidFill>
                    <w14:schemeClr w14:val="tx1"/>
                  </w14:solidFill>
                </w14:textFill>
              </w:rPr>
              <w:t>意见或措施</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9" w:hRule="atLeast"/>
          <w:jc w:val="center"/>
        </w:trPr>
        <w:tc>
          <w:tcPr>
            <w:tcW w:w="1547"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市妇联</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关于把</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健康促进与健康教育纳入各级妇联组织工作</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w:t>
            </w:r>
            <w:r>
              <w:rPr>
                <w:rFonts w:hint="eastAsia" w:ascii="仿宋_GB2312" w:hAnsi="Times New Roman" w:eastAsia="仿宋_GB2312" w:cs="仿宋_GB2312"/>
                <w:b w:val="0"/>
                <w:bCs w:val="0"/>
                <w:color w:val="000000" w:themeColor="text1"/>
                <w:spacing w:val="6"/>
                <w:sz w:val="21"/>
                <w:szCs w:val="21"/>
                <w:highlight w:val="none"/>
                <w:lang w:eastAsia="zh-CN"/>
                <w14:textFill>
                  <w14:solidFill>
                    <w14:schemeClr w14:val="tx1"/>
                  </w14:solidFill>
                </w14:textFill>
              </w:rPr>
              <w:t>意见或措施</w:t>
            </w:r>
          </w:p>
        </w:tc>
        <w:tc>
          <w:tcPr>
            <w:tcW w:w="1023" w:type="dxa"/>
            <w:vMerge w:val="restart"/>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5" w:hRule="atLeast"/>
          <w:jc w:val="center"/>
        </w:trPr>
        <w:tc>
          <w:tcPr>
            <w:tcW w:w="1547"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开展健康家庭、无烟家庭建设</w:t>
            </w:r>
            <w:r>
              <w:rPr>
                <w:rFonts w:hint="eastAsia" w:ascii="Times New Roman" w:hAnsi="Times New Roman" w:eastAsia="仿宋_GB2312" w:cs="Times New Roman"/>
                <w:b w:val="0"/>
                <w:bCs w:val="0"/>
                <w:color w:val="000000" w:themeColor="text1"/>
                <w:sz w:val="21"/>
                <w:szCs w:val="21"/>
                <w:highlight w:val="none"/>
                <w:lang w:eastAsia="zh-CN"/>
                <w14:textFill>
                  <w14:solidFill>
                    <w14:schemeClr w14:val="tx1"/>
                  </w14:solidFill>
                </w14:textFill>
              </w:rPr>
              <w:t>，</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倡议广大妇女积极参与健康家庭、健康城市建设</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w:t>
            </w:r>
            <w:r>
              <w:rPr>
                <w:rFonts w:hint="eastAsia" w:ascii="仿宋_GB2312" w:hAnsi="Times New Roman" w:eastAsia="仿宋_GB2312" w:cs="仿宋_GB2312"/>
                <w:b w:val="0"/>
                <w:bCs w:val="0"/>
                <w:color w:val="000000" w:themeColor="text1"/>
                <w:spacing w:val="6"/>
                <w:sz w:val="21"/>
                <w:szCs w:val="21"/>
                <w:highlight w:val="none"/>
                <w:lang w:eastAsia="zh-CN"/>
                <w14:textFill>
                  <w14:solidFill>
                    <w14:schemeClr w14:val="tx1"/>
                  </w14:solidFill>
                </w14:textFill>
              </w:rPr>
              <w:t>意见或措施</w:t>
            </w:r>
          </w:p>
        </w:tc>
        <w:tc>
          <w:tcPr>
            <w:tcW w:w="1023" w:type="dxa"/>
            <w:vMerge w:val="continue"/>
            <w:noWrap w:val="0"/>
            <w:tcMar>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b w:val="0"/>
                <w:bCs w:val="0"/>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1547"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市残联</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关于把</w:t>
            </w: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健康促进与健康教育纳入各级残联组织工作</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w:t>
            </w:r>
            <w:r>
              <w:rPr>
                <w:rFonts w:hint="eastAsia" w:ascii="仿宋_GB2312" w:hAnsi="Times New Roman" w:eastAsia="仿宋_GB2312" w:cs="仿宋_GB2312"/>
                <w:b w:val="0"/>
                <w:bCs w:val="0"/>
                <w:color w:val="000000" w:themeColor="text1"/>
                <w:spacing w:val="6"/>
                <w:sz w:val="21"/>
                <w:szCs w:val="21"/>
                <w:highlight w:val="none"/>
                <w:lang w:eastAsia="zh-CN"/>
                <w14:textFill>
                  <w14:solidFill>
                    <w14:schemeClr w14:val="tx1"/>
                  </w14:solidFill>
                </w14:textFill>
              </w:rPr>
              <w:t>意见或措施</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9" w:hRule="atLeast"/>
          <w:jc w:val="center"/>
        </w:trPr>
        <w:tc>
          <w:tcPr>
            <w:tcW w:w="1547"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市关工委</w:t>
            </w:r>
          </w:p>
        </w:tc>
        <w:tc>
          <w:tcPr>
            <w:tcW w:w="6289"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jc w:val="both"/>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pacing w:val="0"/>
                <w:sz w:val="21"/>
                <w:szCs w:val="21"/>
                <w:highlight w:val="none"/>
                <w:lang w:eastAsia="zh-CN"/>
                <w14:textFill>
                  <w14:solidFill>
                    <w14:schemeClr w14:val="tx1"/>
                  </w14:solidFill>
                </w14:textFill>
              </w:rPr>
              <w:t>关于</w:t>
            </w:r>
            <w:r>
              <w:rPr>
                <w:rFonts w:hint="eastAsia" w:ascii="仿宋_GB2312" w:hAnsi="Times New Roman" w:eastAsia="仿宋_GB2312" w:cs="仿宋_GB2312"/>
                <w:b w:val="0"/>
                <w:bCs w:val="0"/>
                <w:color w:val="000000" w:themeColor="text1"/>
                <w:spacing w:val="0"/>
                <w:sz w:val="21"/>
                <w:szCs w:val="21"/>
                <w:highlight w:val="none"/>
                <w14:textFill>
                  <w14:solidFill>
                    <w14:schemeClr w14:val="tx1"/>
                  </w14:solidFill>
                </w14:textFill>
              </w:rPr>
              <w:t>加强青少年健康促进工作</w:t>
            </w:r>
            <w:r>
              <w:rPr>
                <w:rFonts w:hint="eastAsia" w:ascii="仿宋_GB2312" w:hAnsi="Times New Roman" w:eastAsia="仿宋_GB2312" w:cs="仿宋_GB2312"/>
                <w:b w:val="0"/>
                <w:bCs w:val="0"/>
                <w:color w:val="000000" w:themeColor="text1"/>
                <w:sz w:val="21"/>
                <w:szCs w:val="21"/>
                <w:highlight w:val="none"/>
                <w:lang w:eastAsia="zh-CN"/>
                <w14:textFill>
                  <w14:solidFill>
                    <w14:schemeClr w14:val="tx1"/>
                  </w14:solidFill>
                </w14:textFill>
              </w:rPr>
              <w:t>的</w:t>
            </w:r>
            <w:r>
              <w:rPr>
                <w:rFonts w:hint="eastAsia" w:ascii="仿宋_GB2312" w:hAnsi="Times New Roman" w:eastAsia="仿宋_GB2312" w:cs="仿宋_GB2312"/>
                <w:b w:val="0"/>
                <w:bCs w:val="0"/>
                <w:color w:val="000000" w:themeColor="text1"/>
                <w:spacing w:val="6"/>
                <w:sz w:val="21"/>
                <w:szCs w:val="21"/>
                <w:highlight w:val="none"/>
                <w:lang w:eastAsia="zh-CN"/>
                <w14:textFill>
                  <w14:solidFill>
                    <w14:schemeClr w14:val="tx1"/>
                  </w14:solidFill>
                </w14:textFill>
              </w:rPr>
              <w:t>意见或措施</w:t>
            </w:r>
          </w:p>
        </w:tc>
        <w:tc>
          <w:tcPr>
            <w:tcW w:w="1023" w:type="dxa"/>
            <w:noWrap w:val="0"/>
            <w:tcMar>
              <w:left w:w="15" w:type="dxa"/>
              <w:right w:w="1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b w:val="0"/>
                <w:bCs w:val="0"/>
                <w:color w:val="000000" w:themeColor="text1"/>
                <w:sz w:val="21"/>
                <w:szCs w:val="21"/>
                <w:highlight w:val="none"/>
                <w14:textFill>
                  <w14:solidFill>
                    <w14:schemeClr w14:val="tx1"/>
                  </w14:solidFill>
                </w14:textFill>
              </w:rPr>
            </w:pPr>
            <w:r>
              <w:rPr>
                <w:rFonts w:hint="eastAsia" w:ascii="仿宋_GB2312" w:hAnsi="Times New Roman" w:eastAsia="仿宋_GB2312" w:cs="仿宋_GB2312"/>
                <w:b w:val="0"/>
                <w:bCs w:val="0"/>
                <w:color w:val="000000" w:themeColor="text1"/>
                <w:sz w:val="21"/>
                <w:szCs w:val="21"/>
                <w:highlight w:val="none"/>
                <w14:textFill>
                  <w14:solidFill>
                    <w14:schemeClr w14:val="tx1"/>
                  </w14:solidFill>
                </w14:textFill>
              </w:rPr>
              <w:t>健康人群</w:t>
            </w: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spacing w:before="0" w:beforeAutospacing="0" w:after="0" w:afterAutospacing="0" w:line="587" w:lineRule="exact"/>
        <w:ind w:left="0" w:right="0"/>
        <w:jc w:val="both"/>
        <w:textAlignment w:val="auto"/>
        <w:rPr>
          <w:rFonts w:hint="default" w:ascii="CESI黑体-GB2312" w:hAnsi="CESI黑体-GB2312" w:eastAsia="CESI仿宋-GB2312" w:cs="CESI仿宋-GB2312"/>
          <w:b w:val="0"/>
          <w:bCs w:val="0"/>
          <w:i w:val="0"/>
          <w:iCs w:val="0"/>
          <w:caps w:val="0"/>
          <w:color w:val="000000" w:themeColor="text1"/>
          <w:spacing w:val="0"/>
          <w:sz w:val="31"/>
          <w:szCs w:val="31"/>
          <w:highlight w:val="none"/>
          <w:lang w:val="en-US" w:eastAsia="zh-CN"/>
          <w14:textFill>
            <w14:solidFill>
              <w14:schemeClr w14:val="tx1"/>
            </w14:solidFill>
          </w14:textFill>
        </w:rPr>
      </w:pPr>
      <w:r>
        <w:rPr>
          <w:rFonts w:hint="eastAsia" w:ascii="CESI黑体-GB2312" w:hAnsi="CESI黑体-GB2312" w:eastAsia="CESI黑体-GB2312" w:cs="CESI黑体-GB2312"/>
          <w:b w:val="0"/>
          <w:bCs w:val="0"/>
          <w:i w:val="0"/>
          <w:iCs w:val="0"/>
          <w:caps w:val="0"/>
          <w:color w:val="000000" w:themeColor="text1"/>
          <w:spacing w:val="0"/>
          <w:sz w:val="31"/>
          <w:szCs w:val="31"/>
          <w:highlight w:val="none"/>
          <w:lang w:val="en-US" w:eastAsia="zh-CN"/>
          <w14:textFill>
            <w14:solidFill>
              <w14:schemeClr w14:val="tx1"/>
            </w14:solidFill>
          </w14:textFill>
        </w:rPr>
        <w:t xml:space="preserve">   </w:t>
      </w:r>
      <w:r>
        <w:rPr>
          <w:rFonts w:hint="eastAsia" w:ascii="仿宋_GB2312" w:hAnsi="仿宋_GB2312" w:eastAsia="CESI仿宋-GB2312" w:cs="CESI仿宋-GB2312"/>
          <w:b w:val="0"/>
          <w:bCs w:val="0"/>
          <w:i w:val="0"/>
          <w:iCs w:val="0"/>
          <w:caps w:val="0"/>
          <w:color w:val="000000" w:themeColor="text1"/>
          <w:spacing w:val="0"/>
          <w:sz w:val="32"/>
          <w:szCs w:val="32"/>
          <w:highlight w:val="none"/>
          <w:lang w:val="en-US" w:eastAsia="zh-CN"/>
          <w14:textFill>
            <w14:solidFill>
              <w14:schemeClr w14:val="tx1"/>
            </w14:solidFill>
          </w14:textFill>
        </w:rPr>
        <w:t xml:space="preserve"> 备注:本清单由卫生健康主管部门会同相关部门根据实际工作需要动态调整，原则上每两年修订一次。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spacing w:before="0" w:beforeAutospacing="0" w:after="0" w:afterAutospacing="0" w:line="587" w:lineRule="exact"/>
        <w:ind w:left="0" w:right="0"/>
        <w:jc w:val="both"/>
        <w:textAlignment w:val="auto"/>
        <w:rPr>
          <w:rFonts w:hint="eastAsia" w:ascii="CESI黑体-GB2312" w:hAnsi="CESI黑体-GB2312" w:eastAsia="CESI黑体-GB2312" w:cs="CESI黑体-GB2312"/>
          <w:b w:val="0"/>
          <w:bCs w:val="0"/>
          <w:i w:val="0"/>
          <w:iCs w:val="0"/>
          <w:caps w:val="0"/>
          <w:color w:val="000000" w:themeColor="text1"/>
          <w:spacing w:val="0"/>
          <w:sz w:val="31"/>
          <w:szCs w:val="31"/>
          <w:highlight w:val="none"/>
          <w14:textFill>
            <w14:solidFill>
              <w14:schemeClr w14:val="tx1"/>
            </w14:solidFill>
          </w14:textFill>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spacing w:before="0" w:beforeAutospacing="0" w:after="0" w:afterAutospacing="0" w:line="587" w:lineRule="exact"/>
        <w:ind w:left="0" w:right="0"/>
        <w:jc w:val="both"/>
        <w:textAlignment w:val="auto"/>
        <w:rPr>
          <w:rFonts w:hint="eastAsia" w:ascii="CESI黑体-GB2312" w:hAnsi="CESI黑体-GB2312" w:eastAsia="CESI黑体-GB2312" w:cs="CESI黑体-GB2312"/>
          <w:b w:val="0"/>
          <w:bCs w:val="0"/>
          <w:i w:val="0"/>
          <w:iCs w:val="0"/>
          <w:caps w:val="0"/>
          <w:color w:val="000000" w:themeColor="text1"/>
          <w:spacing w:val="0"/>
          <w:sz w:val="31"/>
          <w:szCs w:val="31"/>
          <w:highlight w:val="none"/>
          <w14:textFill>
            <w14:solidFill>
              <w14:schemeClr w14:val="tx1"/>
            </w14:solidFill>
          </w14:textFill>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spacing w:before="0" w:beforeAutospacing="0" w:after="0" w:afterAutospacing="0" w:line="587" w:lineRule="exact"/>
        <w:ind w:left="0" w:right="0"/>
        <w:jc w:val="both"/>
        <w:textAlignment w:val="auto"/>
        <w:rPr>
          <w:rFonts w:hint="eastAsia" w:ascii="CESI黑体-GB2312" w:hAnsi="CESI黑体-GB2312" w:eastAsia="CESI黑体-GB2312" w:cs="CESI黑体-GB2312"/>
          <w:b w:val="0"/>
          <w:bCs w:val="0"/>
          <w:i w:val="0"/>
          <w:iCs w:val="0"/>
          <w:caps w:val="0"/>
          <w:color w:val="000000" w:themeColor="text1"/>
          <w:spacing w:val="0"/>
          <w:sz w:val="31"/>
          <w:szCs w:val="31"/>
          <w:highlight w:val="none"/>
          <w14:textFill>
            <w14:solidFill>
              <w14:schemeClr w14:val="tx1"/>
            </w14:solidFill>
          </w14:textFill>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spacing w:before="0" w:beforeAutospacing="0" w:after="0" w:afterAutospacing="0" w:line="587" w:lineRule="exact"/>
        <w:ind w:left="0" w:right="0"/>
        <w:jc w:val="both"/>
        <w:textAlignment w:val="auto"/>
        <w:rPr>
          <w:rFonts w:hint="eastAsia" w:ascii="CESI黑体-GB2312" w:hAnsi="CESI黑体-GB2312" w:eastAsia="CESI黑体-GB2312" w:cs="CESI黑体-GB2312"/>
          <w:b w:val="0"/>
          <w:bCs w:val="0"/>
          <w:i w:val="0"/>
          <w:iCs w:val="0"/>
          <w:caps w:val="0"/>
          <w:color w:val="000000" w:themeColor="text1"/>
          <w:spacing w:val="0"/>
          <w:sz w:val="31"/>
          <w:szCs w:val="31"/>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i w:val="0"/>
          <w:iCs w:val="0"/>
          <w:caps w:val="0"/>
          <w:color w:val="000000" w:themeColor="text1"/>
          <w:spacing w:val="0"/>
          <w:sz w:val="43"/>
          <w:szCs w:val="43"/>
          <w:highlight w:val="none"/>
          <w:lang w:eastAsia="zh-CN"/>
          <w14:textFill>
            <w14:solidFill>
              <w14:schemeClr w14:val="tx1"/>
            </w14:solidFill>
          </w14:textFill>
        </w:rPr>
      </w:pPr>
      <w:r>
        <w:rPr>
          <w:rFonts w:hint="eastAsia" w:ascii="CESI黑体-GB2312" w:hAnsi="CESI黑体-GB2312" w:eastAsia="CESI黑体-GB2312" w:cs="CESI黑体-GB2312"/>
          <w:b w:val="0"/>
          <w:bCs w:val="0"/>
          <w:i w:val="0"/>
          <w:iCs w:val="0"/>
          <w:caps w:val="0"/>
          <w:color w:val="000000" w:themeColor="text1"/>
          <w:spacing w:val="0"/>
          <w:sz w:val="31"/>
          <w:szCs w:val="31"/>
          <w:highlight w:val="none"/>
          <w14:textFill>
            <w14:solidFill>
              <w14:schemeClr w14:val="tx1"/>
            </w14:solidFill>
          </w14:textFill>
        </w:rPr>
        <w:br w:type="page"/>
      </w:r>
      <w:r>
        <w:rPr>
          <w:rFonts w:hint="eastAsia" w:ascii="CESI黑体-GB2312" w:hAnsi="CESI黑体-GB2312" w:eastAsia="CESI黑体-GB2312" w:cs="CESI黑体-GB2312"/>
          <w:b w:val="0"/>
          <w:bCs w:val="0"/>
          <w:i w:val="0"/>
          <w:iCs w:val="0"/>
          <w:caps w:val="0"/>
          <w:color w:val="000000" w:themeColor="text1"/>
          <w:spacing w:val="0"/>
          <w:sz w:val="32"/>
          <w:szCs w:val="32"/>
          <w:highlight w:val="none"/>
          <w14:textFill>
            <w14:solidFill>
              <w14:schemeClr w14:val="tx1"/>
            </w14:solidFill>
          </w14:textFill>
        </w:rPr>
        <w:t>附件</w:t>
      </w:r>
      <w:r>
        <w:rPr>
          <w:rFonts w:hint="eastAsia" w:ascii="CESI黑体-GB2312" w:hAnsi="CESI黑体-GB2312" w:eastAsia="CESI黑体-GB2312" w:cs="CESI黑体-GB2312"/>
          <w:b w:val="0"/>
          <w:bCs w:val="0"/>
          <w:i w:val="0"/>
          <w:iCs w:val="0"/>
          <w:caps w:val="0"/>
          <w:color w:val="000000" w:themeColor="text1"/>
          <w:spacing w:val="0"/>
          <w:sz w:val="32"/>
          <w:szCs w:val="32"/>
          <w:highlight w:val="none"/>
          <w:lang w:val="en-US" w:eastAsia="zh-CN"/>
          <w14:textFill>
            <w14:solidFill>
              <w14:schemeClr w14:val="tx1"/>
            </w14:solidFill>
          </w14:textFill>
        </w:rPr>
        <w:t>3</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方正小标宋简体" w:hAnsi="方正小标宋简体" w:eastAsia="方正小标宋简体" w:cs="方正小标宋简体"/>
          <w:b w:val="0"/>
          <w:bCs w:val="0"/>
          <w:i w:val="0"/>
          <w:iCs w:val="0"/>
          <w:caps w:val="0"/>
          <w:color w:val="000000" w:themeColor="text1"/>
          <w:spacing w:val="0"/>
          <w:sz w:val="43"/>
          <w:szCs w:val="43"/>
          <w:highlight w:val="none"/>
          <w:lang w:eastAsia="zh-CN"/>
          <w14:textFill>
            <w14:solidFill>
              <w14:schemeClr w14:val="tx1"/>
            </w14:solidFill>
          </w14:textFill>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b w:val="0"/>
          <w:bCs w:val="0"/>
          <w:color w:val="000000" w:themeColor="text1"/>
          <w:highlight w:val="none"/>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3"/>
          <w:szCs w:val="43"/>
          <w:highlight w:val="none"/>
          <w:lang w:eastAsia="zh-CN"/>
          <w14:textFill>
            <w14:solidFill>
              <w14:schemeClr w14:val="tx1"/>
            </w14:solidFill>
          </w14:textFill>
        </w:rPr>
        <w:t>张掖</w:t>
      </w:r>
      <w:r>
        <w:rPr>
          <w:rFonts w:hint="eastAsia" w:ascii="方正小标宋简体" w:hAnsi="方正小标宋简体" w:eastAsia="方正小标宋简体" w:cs="方正小标宋简体"/>
          <w:b w:val="0"/>
          <w:bCs w:val="0"/>
          <w:i w:val="0"/>
          <w:iCs w:val="0"/>
          <w:caps w:val="0"/>
          <w:color w:val="000000" w:themeColor="text1"/>
          <w:spacing w:val="0"/>
          <w:sz w:val="43"/>
          <w:szCs w:val="43"/>
          <w:highlight w:val="none"/>
          <w14:textFill>
            <w14:solidFill>
              <w14:schemeClr w14:val="tx1"/>
            </w14:solidFill>
          </w14:textFill>
        </w:rPr>
        <w:t>市政策规划健康影响评</w:t>
      </w:r>
      <w:r>
        <w:rPr>
          <w:rFonts w:hint="eastAsia" w:ascii="方正小标宋简体" w:hAnsi="方正小标宋简体" w:eastAsia="方正小标宋简体" w:cs="方正小标宋简体"/>
          <w:b w:val="0"/>
          <w:bCs w:val="0"/>
          <w:i w:val="0"/>
          <w:iCs w:val="0"/>
          <w:caps w:val="0"/>
          <w:color w:val="000000" w:themeColor="text1"/>
          <w:spacing w:val="0"/>
          <w:sz w:val="43"/>
          <w:szCs w:val="43"/>
          <w:highlight w:val="none"/>
          <w:lang w:eastAsia="zh-CN"/>
          <w14:textFill>
            <w14:solidFill>
              <w14:schemeClr w14:val="tx1"/>
            </w14:solidFill>
          </w14:textFill>
        </w:rPr>
        <w:t>估</w:t>
      </w:r>
      <w:r>
        <w:rPr>
          <w:rFonts w:hint="eastAsia" w:ascii="方正小标宋简体" w:hAnsi="方正小标宋简体" w:eastAsia="方正小标宋简体" w:cs="方正小标宋简体"/>
          <w:b w:val="0"/>
          <w:bCs w:val="0"/>
          <w:i w:val="0"/>
          <w:iCs w:val="0"/>
          <w:caps w:val="0"/>
          <w:color w:val="000000" w:themeColor="text1"/>
          <w:spacing w:val="0"/>
          <w:sz w:val="43"/>
          <w:szCs w:val="43"/>
          <w:highlight w:val="none"/>
          <w14:textFill>
            <w14:solidFill>
              <w14:schemeClr w14:val="tx1"/>
            </w14:solidFill>
          </w14:textFill>
        </w:rPr>
        <w:t>工作流程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楷体_GB2312" w:hAnsi="楷体_GB2312" w:eastAsia="楷体_GB2312" w:cs="楷体_GB2312"/>
          <w:b w:val="0"/>
          <w:bCs w:val="0"/>
          <w:i w:val="0"/>
          <w:iCs w:val="0"/>
          <w:caps w:val="0"/>
          <w:color w:val="000000" w:themeColor="text1"/>
          <w:spacing w:val="0"/>
          <w:sz w:val="32"/>
          <w:szCs w:val="32"/>
          <w:highlight w:val="none"/>
          <w14:textFill>
            <w14:solidFill>
              <w14:schemeClr w14:val="tx1"/>
            </w14:solidFill>
          </w14:textFill>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5"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themeColor="text1"/>
          <w:spacing w:val="0"/>
          <w:sz w:val="32"/>
          <w:szCs w:val="32"/>
          <w:highlight w:val="none"/>
          <w:lang w:eastAsia="zh-CN"/>
          <w14:textFill>
            <w14:solidFill>
              <w14:schemeClr w14:val="tx1"/>
            </w14:solidFill>
          </w14:textFill>
        </w:rPr>
      </w:pPr>
      <w:r>
        <w:rPr>
          <w:rFonts w:hint="eastAsia" w:ascii="楷体_GB2312" w:hAnsi="楷体_GB2312" w:eastAsia="楷体_GB2312" w:cs="楷体_GB2312"/>
          <w:b w:val="0"/>
          <w:bCs w:val="0"/>
          <w:i w:val="0"/>
          <w:iCs w:val="0"/>
          <w:caps w:val="0"/>
          <w:color w:val="000000" w:themeColor="text1"/>
          <w:spacing w:val="0"/>
          <w:sz w:val="32"/>
          <w:szCs w:val="32"/>
          <w:highlight w:val="none"/>
          <w14:textFill>
            <w14:solidFill>
              <w14:schemeClr w14:val="tx1"/>
            </w14:solidFill>
          </w14:textFill>
        </w:rPr>
        <w:t>环节1：政策规划</w:t>
      </w:r>
      <w:r>
        <w:rPr>
          <w:rFonts w:hint="eastAsia" w:ascii="楷体_GB2312" w:hAnsi="楷体_GB2312" w:eastAsia="楷体_GB2312" w:cs="楷体_GB2312"/>
          <w:b w:val="0"/>
          <w:bCs w:val="0"/>
          <w:i w:val="0"/>
          <w:iCs w:val="0"/>
          <w:caps w:val="0"/>
          <w:color w:val="000000" w:themeColor="text1"/>
          <w:spacing w:val="0"/>
          <w:sz w:val="32"/>
          <w:szCs w:val="32"/>
          <w:highlight w:val="none"/>
          <w:lang w:eastAsia="zh-CN"/>
          <w14:textFill>
            <w14:solidFill>
              <w14:schemeClr w14:val="tx1"/>
            </w14:solidFill>
          </w14:textFill>
        </w:rPr>
        <w:t>单位申请健评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5" w:lineRule="exact"/>
        <w:ind w:left="0" w:right="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起草部门初稿</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成文后，送相关部门征求意见</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5" w:lineRule="exact"/>
        <w:ind w:left="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征求意见稿完善后</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向</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同级卫生健康主管部门</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提交健评</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申请表。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5"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themeColor="text1"/>
          <w:spacing w:val="0"/>
          <w:sz w:val="32"/>
          <w:szCs w:val="32"/>
          <w:highlight w:val="none"/>
          <w14:textFill>
            <w14:solidFill>
              <w14:schemeClr w14:val="tx1"/>
            </w14:solidFill>
          </w14:textFill>
        </w:rPr>
      </w:pPr>
      <w:r>
        <w:rPr>
          <w:rFonts w:hint="eastAsia" w:ascii="楷体_GB2312" w:hAnsi="楷体_GB2312" w:eastAsia="楷体_GB2312" w:cs="楷体_GB2312"/>
          <w:b w:val="0"/>
          <w:bCs w:val="0"/>
          <w:i w:val="0"/>
          <w:iCs w:val="0"/>
          <w:caps w:val="0"/>
          <w:color w:val="000000" w:themeColor="text1"/>
          <w:spacing w:val="0"/>
          <w:sz w:val="32"/>
          <w:szCs w:val="32"/>
          <w:highlight w:val="none"/>
          <w14:textFill>
            <w14:solidFill>
              <w14:schemeClr w14:val="tx1"/>
            </w14:solidFill>
          </w14:textFill>
        </w:rPr>
        <w:t>环节2：</w:t>
      </w:r>
      <w:r>
        <w:rPr>
          <w:rFonts w:hint="eastAsia" w:ascii="楷体_GB2312" w:hAnsi="楷体_GB2312" w:eastAsia="楷体_GB2312" w:cs="楷体_GB2312"/>
          <w:b w:val="0"/>
          <w:bCs w:val="0"/>
          <w:i w:val="0"/>
          <w:iCs w:val="0"/>
          <w:caps w:val="0"/>
          <w:color w:val="000000" w:themeColor="text1"/>
          <w:spacing w:val="0"/>
          <w:sz w:val="32"/>
          <w:szCs w:val="32"/>
          <w:highlight w:val="none"/>
          <w:lang w:eastAsia="zh-CN"/>
          <w14:textFill>
            <w14:solidFill>
              <w14:schemeClr w14:val="tx1"/>
            </w14:solidFill>
          </w14:textFill>
        </w:rPr>
        <w:t>组织开展健评工作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5" w:lineRule="exact"/>
        <w:ind w:left="0" w:right="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●组建健评专家组</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5" w:lineRule="exact"/>
        <w:ind w:left="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●根据政策规划发布主体的不同，由起草部门</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或同级卫生健康主管部门</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组织实施健评</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5" w:lineRule="exact"/>
        <w:ind w:left="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由</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起草部门</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组织的</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健评</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，由专家组直接向该部门反馈</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健评</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意见；由同级卫生健康委组织的</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健评</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，直接反馈给起草部门。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5"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themeColor="text1"/>
          <w:spacing w:val="0"/>
          <w:sz w:val="32"/>
          <w:szCs w:val="32"/>
          <w:highlight w:val="none"/>
          <w:lang w:eastAsia="zh-CN"/>
          <w14:textFill>
            <w14:solidFill>
              <w14:schemeClr w14:val="tx1"/>
            </w14:solidFill>
          </w14:textFill>
        </w:rPr>
      </w:pPr>
      <w:r>
        <w:rPr>
          <w:rFonts w:hint="eastAsia" w:ascii="楷体_GB2312" w:hAnsi="楷体_GB2312" w:eastAsia="楷体_GB2312" w:cs="楷体_GB2312"/>
          <w:b w:val="0"/>
          <w:bCs w:val="0"/>
          <w:i w:val="0"/>
          <w:iCs w:val="0"/>
          <w:caps w:val="0"/>
          <w:color w:val="000000" w:themeColor="text1"/>
          <w:spacing w:val="0"/>
          <w:sz w:val="32"/>
          <w:szCs w:val="32"/>
          <w:highlight w:val="none"/>
          <w14:textFill>
            <w14:solidFill>
              <w14:schemeClr w14:val="tx1"/>
            </w14:solidFill>
          </w14:textFill>
        </w:rPr>
        <w:t>环节3：</w:t>
      </w:r>
      <w:r>
        <w:rPr>
          <w:rFonts w:hint="eastAsia" w:ascii="楷体_GB2312" w:hAnsi="楷体_GB2312" w:eastAsia="楷体_GB2312" w:cs="楷体_GB2312"/>
          <w:b w:val="0"/>
          <w:bCs w:val="0"/>
          <w:i w:val="0"/>
          <w:iCs w:val="0"/>
          <w:caps w:val="0"/>
          <w:color w:val="000000" w:themeColor="text1"/>
          <w:spacing w:val="0"/>
          <w:sz w:val="32"/>
          <w:szCs w:val="32"/>
          <w:highlight w:val="none"/>
          <w:lang w:eastAsia="zh-CN"/>
          <w14:textFill>
            <w14:solidFill>
              <w14:schemeClr w14:val="tx1"/>
            </w14:solidFill>
          </w14:textFill>
        </w:rPr>
        <w:t>修改完善政策规划</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5" w:lineRule="exact"/>
        <w:ind w:left="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●起草部门根据反馈的健评建议，修改完善征求意见稿</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5" w:lineRule="exact"/>
        <w:ind w:left="0" w:right="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●起草部门对健评意见有异议时，向</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同级卫生健康主管部门</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申请复评</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，同级卫生健康主管部门</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协调专家复议并反馈意见</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5"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themeColor="text1"/>
          <w:spacing w:val="0"/>
          <w:sz w:val="32"/>
          <w:szCs w:val="32"/>
          <w:highlight w:val="none"/>
          <w14:textFill>
            <w14:solidFill>
              <w14:schemeClr w14:val="tx1"/>
            </w14:solidFill>
          </w14:textFill>
        </w:rPr>
      </w:pPr>
      <w:r>
        <w:rPr>
          <w:rFonts w:hint="eastAsia" w:ascii="楷体_GB2312" w:hAnsi="楷体_GB2312" w:eastAsia="楷体_GB2312" w:cs="楷体_GB2312"/>
          <w:b w:val="0"/>
          <w:bCs w:val="0"/>
          <w:i w:val="0"/>
          <w:iCs w:val="0"/>
          <w:caps w:val="0"/>
          <w:color w:val="000000" w:themeColor="text1"/>
          <w:spacing w:val="0"/>
          <w:sz w:val="32"/>
          <w:szCs w:val="32"/>
          <w:highlight w:val="none"/>
          <w14:textFill>
            <w14:solidFill>
              <w14:schemeClr w14:val="tx1"/>
            </w14:solidFill>
          </w14:textFill>
        </w:rPr>
        <w:t>环节4：</w:t>
      </w:r>
      <w:r>
        <w:rPr>
          <w:rFonts w:hint="eastAsia" w:ascii="楷体_GB2312" w:hAnsi="楷体_GB2312" w:eastAsia="楷体_GB2312" w:cs="楷体_GB2312"/>
          <w:b w:val="0"/>
          <w:bCs w:val="0"/>
          <w:i w:val="0"/>
          <w:iCs w:val="0"/>
          <w:caps w:val="0"/>
          <w:color w:val="000000" w:themeColor="text1"/>
          <w:spacing w:val="0"/>
          <w:sz w:val="32"/>
          <w:szCs w:val="32"/>
          <w:highlight w:val="none"/>
          <w:lang w:eastAsia="zh-CN"/>
          <w14:textFill>
            <w14:solidFill>
              <w14:schemeClr w14:val="tx1"/>
            </w14:solidFill>
          </w14:textFill>
        </w:rPr>
        <w:t>政策规划合法性审查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5" w:lineRule="exact"/>
        <w:ind w:left="0" w:right="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起草部门完成健评程序后，将政策规划送同级</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司法</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部门</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进行合法性审核</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5" w:lineRule="exact"/>
        <w:ind w:left="0" w:right="0" w:firstLine="640" w:firstLineChars="200"/>
        <w:jc w:val="both"/>
        <w:textAlignment w:val="auto"/>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同级司法部门</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审查</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政策规划</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是否履行健评程序</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再进入合法性审查程序，并将审查意见反馈起草部门。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5"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themeColor="text1"/>
          <w:spacing w:val="0"/>
          <w:sz w:val="32"/>
          <w:szCs w:val="32"/>
          <w:highlight w:val="none"/>
          <w:lang w:eastAsia="zh-CN"/>
          <w14:textFill>
            <w14:solidFill>
              <w14:schemeClr w14:val="tx1"/>
            </w14:solidFill>
          </w14:textFill>
        </w:rPr>
      </w:pPr>
      <w:r>
        <w:rPr>
          <w:rFonts w:hint="eastAsia" w:ascii="楷体_GB2312" w:hAnsi="楷体_GB2312" w:eastAsia="楷体_GB2312" w:cs="楷体_GB2312"/>
          <w:b w:val="0"/>
          <w:bCs w:val="0"/>
          <w:i w:val="0"/>
          <w:iCs w:val="0"/>
          <w:caps w:val="0"/>
          <w:color w:val="000000" w:themeColor="text1"/>
          <w:spacing w:val="0"/>
          <w:sz w:val="32"/>
          <w:szCs w:val="32"/>
          <w:highlight w:val="none"/>
          <w14:textFill>
            <w14:solidFill>
              <w14:schemeClr w14:val="tx1"/>
            </w14:solidFill>
          </w14:textFill>
        </w:rPr>
        <w:t>环节5：</w:t>
      </w:r>
      <w:r>
        <w:rPr>
          <w:rFonts w:hint="eastAsia" w:ascii="楷体_GB2312" w:hAnsi="楷体_GB2312" w:eastAsia="楷体_GB2312" w:cs="楷体_GB2312"/>
          <w:b w:val="0"/>
          <w:bCs w:val="0"/>
          <w:i w:val="0"/>
          <w:iCs w:val="0"/>
          <w:caps w:val="0"/>
          <w:color w:val="000000" w:themeColor="text1"/>
          <w:spacing w:val="0"/>
          <w:sz w:val="32"/>
          <w:szCs w:val="32"/>
          <w:highlight w:val="none"/>
          <w:lang w:eastAsia="zh-CN"/>
          <w14:textFill>
            <w14:solidFill>
              <w14:schemeClr w14:val="tx1"/>
            </w14:solidFill>
          </w14:textFill>
        </w:rPr>
        <w:t>健评意见采纳情况反馈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5" w:lineRule="exact"/>
        <w:ind w:left="0" w:right="0" w:firstLine="640" w:firstLineChars="200"/>
        <w:jc w:val="both"/>
        <w:textAlignment w:val="auto"/>
        <w:rPr>
          <w:rFonts w:hint="eastAsia" w:ascii="CESI黑体-GB2312" w:hAnsi="CESI黑体-GB2312" w:eastAsia="CESI黑体-GB2312" w:cs="CESI黑体-GB2312"/>
          <w:b w:val="0"/>
          <w:bCs w:val="0"/>
          <w:i w:val="0"/>
          <w:iCs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文件印发后，起草部门</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向</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同级卫生健康主管部门反馈</w:t>
      </w:r>
      <w:r>
        <w:rPr>
          <w:rFonts w:hint="eastAsia"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健评意见采纳情况</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方正小标宋简体" w:hAnsi="方正小标宋简体" w:eastAsia="方正小标宋简体" w:cs="方正小标宋简体"/>
          <w:b w:val="0"/>
          <w:bCs w:val="0"/>
          <w:i w:val="0"/>
          <w:iCs w:val="0"/>
          <w:caps w:val="0"/>
          <w:color w:val="000000" w:themeColor="text1"/>
          <w:spacing w:val="0"/>
          <w:sz w:val="32"/>
          <w:szCs w:val="32"/>
          <w:highlight w:val="none"/>
          <w:lang w:eastAsia="zh-CN"/>
          <w14:textFill>
            <w14:solidFill>
              <w14:schemeClr w14:val="tx1"/>
            </w14:solidFill>
          </w14:textFill>
        </w:rPr>
      </w:pPr>
      <w:r>
        <w:rPr>
          <w:rFonts w:hint="eastAsia" w:ascii="CESI黑体-GB2312" w:hAnsi="CESI黑体-GB2312" w:eastAsia="CESI黑体-GB2312" w:cs="CESI黑体-GB2312"/>
          <w:b w:val="0"/>
          <w:bCs w:val="0"/>
          <w:i w:val="0"/>
          <w:iCs w:val="0"/>
          <w:caps w:val="0"/>
          <w:color w:val="000000" w:themeColor="text1"/>
          <w:spacing w:val="0"/>
          <w:sz w:val="32"/>
          <w:szCs w:val="32"/>
          <w:highlight w:val="none"/>
          <w14:textFill>
            <w14:solidFill>
              <w14:schemeClr w14:val="tx1"/>
            </w14:solidFill>
          </w14:textFill>
        </w:rPr>
        <w:t>附件</w:t>
      </w:r>
      <w:r>
        <w:rPr>
          <w:rFonts w:hint="eastAsia" w:ascii="CESI黑体-GB2312" w:hAnsi="CESI黑体-GB2312" w:eastAsia="CESI黑体-GB2312" w:cs="CESI黑体-GB2312"/>
          <w:b w:val="0"/>
          <w:bCs w:val="0"/>
          <w:i w:val="0"/>
          <w:iCs w:val="0"/>
          <w:caps w:val="0"/>
          <w:color w:val="000000" w:themeColor="text1"/>
          <w:spacing w:val="0"/>
          <w:sz w:val="32"/>
          <w:szCs w:val="32"/>
          <w:highlight w:val="none"/>
          <w:lang w:val="en-US" w:eastAsia="zh-CN"/>
          <w14:textFill>
            <w14:solidFill>
              <w14:schemeClr w14:val="tx1"/>
            </w14:solidFill>
          </w14:textFill>
        </w:rPr>
        <w:t>4</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方正小标宋简体" w:hAnsi="方正小标宋简体" w:eastAsia="方正小标宋简体" w:cs="方正小标宋简体"/>
          <w:b w:val="0"/>
          <w:bCs w:val="0"/>
          <w:i w:val="0"/>
          <w:iCs w:val="0"/>
          <w:caps w:val="0"/>
          <w:color w:val="000000" w:themeColor="text1"/>
          <w:spacing w:val="0"/>
          <w:sz w:val="43"/>
          <w:szCs w:val="43"/>
          <w:highlight w:val="none"/>
          <w:lang w:eastAsia="zh-CN"/>
          <w14:textFill>
            <w14:solidFill>
              <w14:schemeClr w14:val="tx1"/>
            </w14:solidFill>
          </w14:textFill>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000000" w:themeColor="text1"/>
          <w:spacing w:val="0"/>
          <w:sz w:val="43"/>
          <w:szCs w:val="43"/>
          <w:highlight w:val="none"/>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3"/>
          <w:szCs w:val="43"/>
          <w:highlight w:val="none"/>
          <w:lang w:eastAsia="zh-CN"/>
          <w14:textFill>
            <w14:solidFill>
              <w14:schemeClr w14:val="tx1"/>
            </w14:solidFill>
          </w14:textFill>
        </w:rPr>
        <w:t>张掖</w:t>
      </w:r>
      <w:r>
        <w:rPr>
          <w:rFonts w:hint="default" w:ascii="方正小标宋简体" w:hAnsi="方正小标宋简体" w:eastAsia="方正小标宋简体" w:cs="方正小标宋简体"/>
          <w:b w:val="0"/>
          <w:bCs w:val="0"/>
          <w:i w:val="0"/>
          <w:iCs w:val="0"/>
          <w:caps w:val="0"/>
          <w:color w:val="000000" w:themeColor="text1"/>
          <w:spacing w:val="0"/>
          <w:sz w:val="43"/>
          <w:szCs w:val="43"/>
          <w:highlight w:val="none"/>
          <w14:textFill>
            <w14:solidFill>
              <w14:schemeClr w14:val="tx1"/>
            </w14:solidFill>
          </w14:textFill>
        </w:rPr>
        <w:t>市重大工程项目健康影响评</w:t>
      </w:r>
      <w:r>
        <w:rPr>
          <w:rFonts w:hint="eastAsia" w:ascii="方正小标宋简体" w:hAnsi="方正小标宋简体" w:eastAsia="方正小标宋简体" w:cs="方正小标宋简体"/>
          <w:b w:val="0"/>
          <w:bCs w:val="0"/>
          <w:i w:val="0"/>
          <w:iCs w:val="0"/>
          <w:caps w:val="0"/>
          <w:color w:val="000000" w:themeColor="text1"/>
          <w:spacing w:val="0"/>
          <w:sz w:val="43"/>
          <w:szCs w:val="43"/>
          <w:highlight w:val="none"/>
          <w:lang w:eastAsia="zh-CN"/>
          <w14:textFill>
            <w14:solidFill>
              <w14:schemeClr w14:val="tx1"/>
            </w14:solidFill>
          </w14:textFill>
        </w:rPr>
        <w:t>估工作</w:t>
      </w:r>
      <w:r>
        <w:rPr>
          <w:rFonts w:hint="default" w:ascii="方正小标宋简体" w:hAnsi="方正小标宋简体" w:eastAsia="方正小标宋简体" w:cs="方正小标宋简体"/>
          <w:b w:val="0"/>
          <w:bCs w:val="0"/>
          <w:i w:val="0"/>
          <w:iCs w:val="0"/>
          <w:caps w:val="0"/>
          <w:color w:val="000000" w:themeColor="text1"/>
          <w:spacing w:val="0"/>
          <w:sz w:val="43"/>
          <w:szCs w:val="43"/>
          <w:highlight w:val="none"/>
          <w14:textFill>
            <w14:solidFill>
              <w14:schemeClr w14:val="tx1"/>
            </w14:solidFill>
          </w14:textFill>
        </w:rPr>
        <w:t>流程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themeColor="text1"/>
          <w:spacing w:val="0"/>
          <w:sz w:val="32"/>
          <w:szCs w:val="32"/>
          <w:highlight w:val="none"/>
          <w:lang w:eastAsia="zh-CN"/>
          <w14:textFill>
            <w14:solidFill>
              <w14:schemeClr w14:val="tx1"/>
            </w14:solidFill>
          </w14:textFill>
        </w:rPr>
      </w:pPr>
      <w:r>
        <w:rPr>
          <w:rFonts w:hint="default" w:ascii="楷体_GB2312" w:hAnsi="楷体_GB2312" w:eastAsia="楷体_GB2312" w:cs="楷体_GB2312"/>
          <w:b w:val="0"/>
          <w:bCs w:val="0"/>
          <w:i w:val="0"/>
          <w:iCs w:val="0"/>
          <w:caps w:val="0"/>
          <w:color w:val="000000" w:themeColor="text1"/>
          <w:spacing w:val="0"/>
          <w:sz w:val="32"/>
          <w:szCs w:val="32"/>
          <w:highlight w:val="none"/>
          <w14:textFill>
            <w14:solidFill>
              <w14:schemeClr w14:val="tx1"/>
            </w14:solidFill>
          </w14:textFill>
        </w:rPr>
        <w:t>环节1：项目主管（建设）单位</w:t>
      </w:r>
      <w:r>
        <w:rPr>
          <w:rFonts w:hint="eastAsia" w:ascii="楷体_GB2312" w:hAnsi="楷体_GB2312" w:eastAsia="楷体_GB2312" w:cs="楷体_GB2312"/>
          <w:b w:val="0"/>
          <w:bCs w:val="0"/>
          <w:i w:val="0"/>
          <w:iCs w:val="0"/>
          <w:caps w:val="0"/>
          <w:color w:val="000000" w:themeColor="text1"/>
          <w:spacing w:val="0"/>
          <w:sz w:val="32"/>
          <w:szCs w:val="32"/>
          <w:highlight w:val="none"/>
          <w:lang w:eastAsia="zh-CN"/>
          <w14:textFill>
            <w14:solidFill>
              <w14:schemeClr w14:val="tx1"/>
            </w14:solidFill>
          </w14:textFill>
        </w:rPr>
        <w:t>申请健评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pPr>
      <w:r>
        <w:rPr>
          <w:rFonts w:hint="default"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●项目建议书成文后，</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由</w:t>
      </w:r>
      <w:r>
        <w:rPr>
          <w:rFonts w:hint="default"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主管（建设）单位向</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同级卫生健康主管部门</w:t>
      </w:r>
      <w:r>
        <w:rPr>
          <w:rFonts w:hint="default"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提交健评</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申请表。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6"/>
          <w:sz w:val="32"/>
          <w:szCs w:val="32"/>
          <w:highlight w:val="none"/>
          <w:lang w:eastAsia="zh-CN"/>
          <w14:textFill>
            <w14:solidFill>
              <w14:schemeClr w14:val="tx1"/>
            </w14:solidFill>
          </w14:textFill>
        </w:rPr>
      </w:pPr>
      <w:r>
        <w:rPr>
          <w:rFonts w:hint="default"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w:t>
      </w:r>
      <w:r>
        <w:rPr>
          <w:rFonts w:hint="default" w:ascii="仿宋_GB2312" w:hAnsi="仿宋_GB2312" w:eastAsia="仿宋_GB2312" w:cs="仿宋_GB2312"/>
          <w:b w:val="0"/>
          <w:bCs w:val="0"/>
          <w:i w:val="0"/>
          <w:iCs w:val="0"/>
          <w:caps w:val="0"/>
          <w:color w:val="000000" w:themeColor="text1"/>
          <w:spacing w:val="-6"/>
          <w:sz w:val="32"/>
          <w:szCs w:val="32"/>
          <w:highlight w:val="none"/>
          <w14:textFill>
            <w14:solidFill>
              <w14:schemeClr w14:val="tx1"/>
            </w14:solidFill>
          </w14:textFill>
        </w:rPr>
        <w:t>项目立项审批后，</w:t>
      </w:r>
      <w:r>
        <w:rPr>
          <w:rFonts w:hint="eastAsia" w:ascii="仿宋_GB2312" w:hAnsi="仿宋_GB2312" w:eastAsia="仿宋_GB2312" w:cs="仿宋_GB2312"/>
          <w:b w:val="0"/>
          <w:bCs w:val="0"/>
          <w:i w:val="0"/>
          <w:iCs w:val="0"/>
          <w:caps w:val="0"/>
          <w:color w:val="000000" w:themeColor="text1"/>
          <w:spacing w:val="-6"/>
          <w:sz w:val="32"/>
          <w:szCs w:val="32"/>
          <w:highlight w:val="none"/>
          <w:lang w:eastAsia="zh-CN"/>
          <w14:textFill>
            <w14:solidFill>
              <w14:schemeClr w14:val="tx1"/>
            </w14:solidFill>
          </w14:textFill>
        </w:rPr>
        <w:t>同级发改部门</w:t>
      </w:r>
      <w:r>
        <w:rPr>
          <w:rFonts w:hint="default" w:ascii="仿宋_GB2312" w:hAnsi="仿宋_GB2312" w:eastAsia="仿宋_GB2312" w:cs="仿宋_GB2312"/>
          <w:b w:val="0"/>
          <w:bCs w:val="0"/>
          <w:i w:val="0"/>
          <w:iCs w:val="0"/>
          <w:caps w:val="0"/>
          <w:color w:val="000000" w:themeColor="text1"/>
          <w:spacing w:val="-6"/>
          <w:sz w:val="32"/>
          <w:szCs w:val="32"/>
          <w:highlight w:val="none"/>
          <w14:textFill>
            <w14:solidFill>
              <w14:schemeClr w14:val="tx1"/>
            </w14:solidFill>
          </w14:textFill>
        </w:rPr>
        <w:t>向</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同级卫生健康主管部门</w:t>
      </w:r>
      <w:r>
        <w:rPr>
          <w:rFonts w:hint="default" w:ascii="仿宋_GB2312" w:hAnsi="仿宋_GB2312" w:eastAsia="仿宋_GB2312" w:cs="仿宋_GB2312"/>
          <w:b w:val="0"/>
          <w:bCs w:val="0"/>
          <w:i w:val="0"/>
          <w:iCs w:val="0"/>
          <w:caps w:val="0"/>
          <w:color w:val="000000" w:themeColor="text1"/>
          <w:spacing w:val="-6"/>
          <w:sz w:val="32"/>
          <w:szCs w:val="32"/>
          <w:highlight w:val="none"/>
          <w14:textFill>
            <w14:solidFill>
              <w14:schemeClr w14:val="tx1"/>
            </w14:solidFill>
          </w14:textFill>
        </w:rPr>
        <w:t>提供项目目录</w:t>
      </w:r>
      <w:r>
        <w:rPr>
          <w:rFonts w:hint="eastAsia" w:ascii="仿宋_GB2312" w:hAnsi="仿宋_GB2312" w:eastAsia="仿宋_GB2312" w:cs="仿宋_GB2312"/>
          <w:b w:val="0"/>
          <w:bCs w:val="0"/>
          <w:i w:val="0"/>
          <w:iCs w:val="0"/>
          <w:caps w:val="0"/>
          <w:color w:val="000000" w:themeColor="text1"/>
          <w:spacing w:val="-6"/>
          <w:sz w:val="32"/>
          <w:szCs w:val="32"/>
          <w:highlight w:val="none"/>
          <w:lang w:eastAsia="zh-CN"/>
          <w14:textFill>
            <w14:solidFill>
              <w14:schemeClr w14:val="tx1"/>
            </w14:solidFill>
          </w14:textFill>
        </w:rPr>
        <w:t>，建议项目主管（建设）单位开展健评。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themeColor="text1"/>
          <w:spacing w:val="0"/>
          <w:sz w:val="32"/>
          <w:szCs w:val="32"/>
          <w:highlight w:val="none"/>
          <w:lang w:eastAsia="zh-CN"/>
          <w14:textFill>
            <w14:solidFill>
              <w14:schemeClr w14:val="tx1"/>
            </w14:solidFill>
          </w14:textFill>
        </w:rPr>
      </w:pPr>
      <w:r>
        <w:rPr>
          <w:rFonts w:hint="default" w:ascii="楷体_GB2312" w:hAnsi="楷体_GB2312" w:eastAsia="楷体_GB2312" w:cs="楷体_GB2312"/>
          <w:b w:val="0"/>
          <w:bCs w:val="0"/>
          <w:i w:val="0"/>
          <w:iCs w:val="0"/>
          <w:caps w:val="0"/>
          <w:color w:val="000000" w:themeColor="text1"/>
          <w:spacing w:val="0"/>
          <w:sz w:val="32"/>
          <w:szCs w:val="32"/>
          <w:highlight w:val="none"/>
          <w14:textFill>
            <w14:solidFill>
              <w14:schemeClr w14:val="tx1"/>
            </w14:solidFill>
          </w14:textFill>
        </w:rPr>
        <w:t>环节2：</w:t>
      </w:r>
      <w:r>
        <w:rPr>
          <w:rFonts w:hint="eastAsia" w:ascii="楷体_GB2312" w:hAnsi="楷体_GB2312" w:eastAsia="楷体_GB2312" w:cs="楷体_GB2312"/>
          <w:b w:val="0"/>
          <w:bCs w:val="0"/>
          <w:i w:val="0"/>
          <w:iCs w:val="0"/>
          <w:caps w:val="0"/>
          <w:color w:val="000000" w:themeColor="text1"/>
          <w:spacing w:val="0"/>
          <w:sz w:val="32"/>
          <w:szCs w:val="32"/>
          <w:highlight w:val="none"/>
          <w:lang w:eastAsia="zh-CN"/>
          <w14:textFill>
            <w14:solidFill>
              <w14:schemeClr w14:val="tx1"/>
            </w14:solidFill>
          </w14:textFill>
        </w:rPr>
        <w:t>组织开展健评工作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pPr>
      <w:r>
        <w:rPr>
          <w:rFonts w:hint="default"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●项目主管（建设）单位向</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同级卫生健康主管部门</w:t>
      </w:r>
      <w:r>
        <w:rPr>
          <w:rFonts w:hint="default"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提供“项目建议书、可行性研究报告、项目选址意见书、用地预审意见”等资料清单</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6"/>
          <w:sz w:val="32"/>
          <w:szCs w:val="32"/>
          <w:highlight w:val="none"/>
          <w:lang w:eastAsia="zh-CN"/>
          <w14:textFill>
            <w14:solidFill>
              <w14:schemeClr w14:val="tx1"/>
            </w14:solidFill>
          </w14:textFill>
        </w:rPr>
      </w:pPr>
      <w:r>
        <w:rPr>
          <w:rFonts w:hint="default"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同级卫生健康主管部门</w:t>
      </w:r>
      <w:r>
        <w:rPr>
          <w:rFonts w:hint="default" w:ascii="仿宋_GB2312" w:hAnsi="仿宋_GB2312" w:eastAsia="仿宋_GB2312" w:cs="仿宋_GB2312"/>
          <w:b w:val="0"/>
          <w:bCs w:val="0"/>
          <w:i w:val="0"/>
          <w:iCs w:val="0"/>
          <w:caps w:val="0"/>
          <w:color w:val="000000" w:themeColor="text1"/>
          <w:spacing w:val="-6"/>
          <w:sz w:val="32"/>
          <w:szCs w:val="32"/>
          <w:highlight w:val="none"/>
          <w:lang w:eastAsia="zh-CN"/>
          <w14:textFill>
            <w14:solidFill>
              <w14:schemeClr w14:val="tx1"/>
            </w14:solidFill>
          </w14:textFill>
        </w:rPr>
        <w:t>组建健评专家</w:t>
      </w:r>
      <w:r>
        <w:rPr>
          <w:rFonts w:hint="eastAsia" w:ascii="仿宋_GB2312" w:hAnsi="仿宋_GB2312" w:eastAsia="仿宋_GB2312" w:cs="仿宋_GB2312"/>
          <w:b w:val="0"/>
          <w:bCs w:val="0"/>
          <w:i w:val="0"/>
          <w:iCs w:val="0"/>
          <w:caps w:val="0"/>
          <w:color w:val="000000" w:themeColor="text1"/>
          <w:spacing w:val="-6"/>
          <w:sz w:val="32"/>
          <w:szCs w:val="32"/>
          <w:highlight w:val="none"/>
          <w:lang w:eastAsia="zh-CN"/>
          <w14:textFill>
            <w14:solidFill>
              <w14:schemeClr w14:val="tx1"/>
            </w14:solidFill>
          </w14:textFill>
        </w:rPr>
        <w:t>组织开展</w:t>
      </w:r>
      <w:r>
        <w:rPr>
          <w:rFonts w:hint="default" w:ascii="仿宋_GB2312" w:hAnsi="仿宋_GB2312" w:eastAsia="仿宋_GB2312" w:cs="仿宋_GB2312"/>
          <w:b w:val="0"/>
          <w:bCs w:val="0"/>
          <w:i w:val="0"/>
          <w:iCs w:val="0"/>
          <w:caps w:val="0"/>
          <w:color w:val="000000" w:themeColor="text1"/>
          <w:spacing w:val="-6"/>
          <w:sz w:val="32"/>
          <w:szCs w:val="32"/>
          <w:highlight w:val="none"/>
          <w:lang w:eastAsia="zh-CN"/>
          <w14:textFill>
            <w14:solidFill>
              <w14:schemeClr w14:val="tx1"/>
            </w14:solidFill>
          </w14:textFill>
        </w:rPr>
        <w:t>健评，</w:t>
      </w:r>
      <w:r>
        <w:rPr>
          <w:rFonts w:hint="eastAsia" w:ascii="仿宋_GB2312" w:hAnsi="仿宋_GB2312" w:eastAsia="仿宋_GB2312" w:cs="仿宋_GB2312"/>
          <w:b w:val="0"/>
          <w:bCs w:val="0"/>
          <w:i w:val="0"/>
          <w:iCs w:val="0"/>
          <w:caps w:val="0"/>
          <w:color w:val="000000" w:themeColor="text1"/>
          <w:spacing w:val="-6"/>
          <w:sz w:val="32"/>
          <w:szCs w:val="32"/>
          <w:highlight w:val="none"/>
          <w:lang w:eastAsia="zh-CN"/>
          <w14:textFill>
            <w14:solidFill>
              <w14:schemeClr w14:val="tx1"/>
            </w14:solidFill>
          </w14:textFill>
        </w:rPr>
        <w:t>形成健评意见。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pPr>
      <w:r>
        <w:rPr>
          <w:rFonts w:hint="default"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同级卫生健康主管部门</w:t>
      </w:r>
      <w:r>
        <w:rPr>
          <w:rFonts w:hint="default"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向项目主管（建设）单位反馈健评意见建议</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themeColor="text1"/>
          <w:spacing w:val="0"/>
          <w:sz w:val="32"/>
          <w:szCs w:val="32"/>
          <w:highlight w:val="none"/>
          <w:lang w:eastAsia="zh-CN"/>
          <w14:textFill>
            <w14:solidFill>
              <w14:schemeClr w14:val="tx1"/>
            </w14:solidFill>
          </w14:textFill>
        </w:rPr>
      </w:pPr>
      <w:r>
        <w:rPr>
          <w:rFonts w:hint="default" w:ascii="楷体_GB2312" w:hAnsi="楷体_GB2312" w:eastAsia="楷体_GB2312" w:cs="楷体_GB2312"/>
          <w:b w:val="0"/>
          <w:bCs w:val="0"/>
          <w:i w:val="0"/>
          <w:iCs w:val="0"/>
          <w:caps w:val="0"/>
          <w:color w:val="000000" w:themeColor="text1"/>
          <w:spacing w:val="0"/>
          <w:sz w:val="32"/>
          <w:szCs w:val="32"/>
          <w:highlight w:val="none"/>
          <w14:textFill>
            <w14:solidFill>
              <w14:schemeClr w14:val="tx1"/>
            </w14:solidFill>
          </w14:textFill>
        </w:rPr>
        <w:t>环节3：</w:t>
      </w:r>
      <w:r>
        <w:rPr>
          <w:rFonts w:hint="eastAsia" w:ascii="楷体_GB2312" w:hAnsi="楷体_GB2312" w:eastAsia="楷体_GB2312" w:cs="楷体_GB2312"/>
          <w:b w:val="0"/>
          <w:bCs w:val="0"/>
          <w:i w:val="0"/>
          <w:iCs w:val="0"/>
          <w:caps w:val="0"/>
          <w:color w:val="000000" w:themeColor="text1"/>
          <w:spacing w:val="0"/>
          <w:sz w:val="32"/>
          <w:szCs w:val="32"/>
          <w:highlight w:val="none"/>
          <w:lang w:eastAsia="zh-CN"/>
          <w14:textFill>
            <w14:solidFill>
              <w14:schemeClr w14:val="tx1"/>
            </w14:solidFill>
          </w14:textFill>
        </w:rPr>
        <w:t>修改完善项目设计方案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pPr>
      <w:r>
        <w:rPr>
          <w:rFonts w:hint="default"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●项目主管（建设）单位根据</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同级卫生健康主管部门</w:t>
      </w:r>
      <w:r>
        <w:rPr>
          <w:rFonts w:hint="default"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反馈的健评意见，对设计方案进行修改完善</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pPr>
      <w:r>
        <w:rPr>
          <w:rFonts w:hint="default"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●项目主管（建设）单位对健评意见有异议时，向</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同级卫生健康主管部门</w:t>
      </w:r>
      <w:r>
        <w:rPr>
          <w:rFonts w:hint="default"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申请复</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评，同级卫生健康主管部门</w:t>
      </w:r>
      <w:r>
        <w:rPr>
          <w:rFonts w:hint="default"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协调专家复议并反馈意见</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b w:val="0"/>
          <w:bCs w:val="0"/>
          <w:i w:val="0"/>
          <w:iCs w:val="0"/>
          <w:caps w:val="0"/>
          <w:color w:val="000000" w:themeColor="text1"/>
          <w:spacing w:val="0"/>
          <w:sz w:val="32"/>
          <w:szCs w:val="32"/>
          <w:highlight w:val="none"/>
          <w:lang w:eastAsia="zh-CN"/>
          <w14:textFill>
            <w14:solidFill>
              <w14:schemeClr w14:val="tx1"/>
            </w14:solidFill>
          </w14:textFill>
        </w:rPr>
      </w:pPr>
      <w:r>
        <w:rPr>
          <w:rFonts w:hint="default" w:ascii="楷体_GB2312" w:hAnsi="楷体_GB2312" w:eastAsia="楷体_GB2312" w:cs="楷体_GB2312"/>
          <w:b w:val="0"/>
          <w:bCs w:val="0"/>
          <w:i w:val="0"/>
          <w:iCs w:val="0"/>
          <w:caps w:val="0"/>
          <w:color w:val="000000" w:themeColor="text1"/>
          <w:spacing w:val="0"/>
          <w:sz w:val="32"/>
          <w:szCs w:val="32"/>
          <w:highlight w:val="none"/>
          <w14:textFill>
            <w14:solidFill>
              <w14:schemeClr w14:val="tx1"/>
            </w14:solidFill>
          </w14:textFill>
        </w:rPr>
        <w:t>环节4：</w:t>
      </w:r>
      <w:r>
        <w:rPr>
          <w:rFonts w:hint="eastAsia" w:ascii="楷体_GB2312" w:hAnsi="楷体_GB2312" w:eastAsia="楷体_GB2312" w:cs="楷体_GB2312"/>
          <w:b w:val="0"/>
          <w:bCs w:val="0"/>
          <w:i w:val="0"/>
          <w:iCs w:val="0"/>
          <w:caps w:val="0"/>
          <w:color w:val="000000" w:themeColor="text1"/>
          <w:spacing w:val="0"/>
          <w:sz w:val="32"/>
          <w:szCs w:val="32"/>
          <w:highlight w:val="none"/>
          <w:lang w:eastAsia="zh-CN"/>
          <w14:textFill>
            <w14:solidFill>
              <w14:schemeClr w14:val="tx1"/>
            </w14:solidFill>
          </w14:textFill>
        </w:rPr>
        <w:t>健评意见采纳情况反馈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pPr>
      <w:r>
        <w:rPr>
          <w:rFonts w:hint="default"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●项目主管（建设）单位向</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同级卫生健康主管部门</w:t>
      </w:r>
      <w:r>
        <w:rPr>
          <w:rFonts w:hint="default" w:ascii="仿宋_GB2312" w:hAnsi="仿宋_GB2312" w:eastAsia="仿宋_GB2312" w:cs="仿宋_GB2312"/>
          <w:b w:val="0"/>
          <w:bCs w:val="0"/>
          <w:i w:val="0"/>
          <w:iCs w:val="0"/>
          <w:caps w:val="0"/>
          <w:color w:val="000000" w:themeColor="text1"/>
          <w:spacing w:val="0"/>
          <w:sz w:val="32"/>
          <w:szCs w:val="32"/>
          <w:highlight w:val="none"/>
          <w14:textFill>
            <w14:solidFill>
              <w14:schemeClr w14:val="tx1"/>
            </w14:solidFill>
          </w14:textFill>
        </w:rPr>
        <w:t>备案健评意见采纳情况</w:t>
      </w:r>
      <w:r>
        <w:rPr>
          <w:rFonts w:hint="eastAsia" w:ascii="仿宋_GB2312" w:hAnsi="仿宋_GB2312" w:eastAsia="仿宋_GB2312" w:cs="仿宋_GB2312"/>
          <w:b w:val="0"/>
          <w:bCs w:val="0"/>
          <w:i w:val="0"/>
          <w:iCs w:val="0"/>
          <w:caps w:val="0"/>
          <w:color w:val="000000" w:themeColor="text1"/>
          <w:spacing w:val="0"/>
          <w:sz w:val="32"/>
          <w:szCs w:val="32"/>
          <w:highlight w:val="none"/>
          <w:lang w:eastAsia="zh-CN"/>
          <w14:textFill>
            <w14:solidFill>
              <w14:schemeClr w14:val="tx1"/>
            </w14:solidFill>
          </w14:textFill>
        </w:rPr>
        <w:t>。</w:t>
      </w:r>
    </w:p>
    <w:p>
      <w:pPr>
        <w:keepNext w:val="0"/>
        <w:keepLines w:val="0"/>
        <w:pageBreakBefore w:val="0"/>
        <w:widowControl w:val="0"/>
        <w:kinsoku/>
        <w:overflowPunct/>
        <w:topLinePunct w:val="0"/>
        <w:autoSpaceDE/>
        <w:autoSpaceDN/>
        <w:bidi w:val="0"/>
        <w:adjustRightInd/>
        <w:snapToGrid/>
        <w:spacing w:line="560" w:lineRule="exact"/>
        <w:ind w:right="197" w:rightChars="94" w:firstLine="280" w:firstLineChars="100"/>
        <w:jc w:val="both"/>
        <w:textAlignment w:val="auto"/>
        <w:rPr>
          <w:rFonts w:hint="eastAsia" w:ascii="仿宋_GB2312" w:eastAsia="仿宋_GB2312"/>
          <w:color w:val="000000" w:themeColor="text1"/>
          <w:sz w:val="28"/>
          <w:szCs w:val="28"/>
          <w:highlight w:val="none"/>
          <w14:textFill>
            <w14:solidFill>
              <w14:schemeClr w14:val="tx1"/>
            </w14:solidFill>
          </w14:textFill>
        </w:rPr>
        <w:sectPr>
          <w:footerReference r:id="rId3" w:type="default"/>
          <w:pgSz w:w="11906" w:h="16838"/>
          <w:pgMar w:top="2098" w:right="1474" w:bottom="1814" w:left="1587" w:header="851" w:footer="1417" w:gutter="0"/>
          <w:pgBorders>
            <w:top w:val="none" w:sz="0" w:space="0"/>
            <w:left w:val="none" w:sz="0" w:space="0"/>
            <w:bottom w:val="none" w:sz="0" w:space="0"/>
            <w:right w:val="none" w:sz="0" w:space="0"/>
          </w:pgBorders>
          <w:pgNumType w:fmt="decimal" w:start="1"/>
          <w:cols w:space="0" w:num="1"/>
          <w:rtlGutter w:val="0"/>
          <w:docGrid w:type="lines" w:linePitch="445" w:charSpace="0"/>
        </w:sectPr>
      </w:pPr>
    </w:p>
    <w:p>
      <w:pPr>
        <w:keepNext w:val="0"/>
        <w:keepLines w:val="0"/>
        <w:pageBreakBefore w:val="0"/>
        <w:kinsoku/>
        <w:wordWrap/>
        <w:overflowPunct/>
        <w:topLinePunct w:val="0"/>
        <w:autoSpaceDE/>
        <w:autoSpaceDN/>
        <w:bidi w:val="0"/>
        <w:adjustRightInd/>
        <w:snapToGrid/>
        <w:spacing w:line="540" w:lineRule="exact"/>
        <w:jc w:val="both"/>
        <w:textAlignment w:val="auto"/>
        <w:rPr>
          <w:rFonts w:hint="default" w:ascii="Times New Roman" w:hAnsi="Times New Roman" w:eastAsia="国标仿宋"/>
          <w:color w:val="000000" w:themeColor="text1"/>
          <w:sz w:val="32"/>
          <w:szCs w:val="36"/>
          <w:highlight w:val="none"/>
          <w:lang w:val="en-US" w:eastAsia="zh-CN"/>
          <w14:textFill>
            <w14:solidFill>
              <w14:schemeClr w14:val="tx1"/>
            </w14:solidFill>
          </w14:textFill>
        </w:rPr>
      </w:pPr>
      <w:r>
        <w:rPr>
          <w:rFonts w:hint="eastAsia" w:ascii="CESI黑体-GB2312" w:hAnsi="CESI黑体-GB2312" w:eastAsia="CESI黑体-GB2312" w:cs="CESI黑体-GB2312"/>
          <w:color w:val="000000" w:themeColor="text1"/>
          <w:sz w:val="32"/>
          <w:szCs w:val="36"/>
          <w:highlight w:val="none"/>
          <w:lang w:eastAsia="zh-CN"/>
          <w14:textFill>
            <w14:solidFill>
              <w14:schemeClr w14:val="tx1"/>
            </w14:solidFill>
          </w14:textFill>
        </w:rPr>
        <w:t>附件</w:t>
      </w:r>
      <w:r>
        <w:rPr>
          <w:rFonts w:hint="eastAsia" w:ascii="CESI黑体-GB2312" w:hAnsi="CESI黑体-GB2312" w:eastAsia="CESI黑体-GB2312" w:cs="CESI黑体-GB2312"/>
          <w:color w:val="000000" w:themeColor="text1"/>
          <w:sz w:val="32"/>
          <w:szCs w:val="36"/>
          <w:highlight w:val="none"/>
          <w:lang w:val="en-US" w:eastAsia="zh-CN"/>
          <w14:textFill>
            <w14:solidFill>
              <w14:schemeClr w14:val="tx1"/>
            </w14:solidFill>
          </w14:textFill>
        </w:rPr>
        <w:t xml:space="preserve">5 </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方正小标宋简体" w:hAnsi="方正小标宋简体" w:eastAsia="方正小标宋简体" w:cs="方正小标宋简体"/>
          <w:b w:val="0"/>
          <w:bCs w:val="0"/>
          <w:snapToGrid w:val="0"/>
          <w:color w:val="000000" w:themeColor="text1"/>
          <w:spacing w:val="0"/>
          <w:kern w:val="0"/>
          <w:sz w:val="44"/>
          <w:szCs w:val="44"/>
          <w:highlight w:val="none"/>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方正小标宋简体" w:hAnsi="方正小标宋简体" w:eastAsia="方正小标宋简体" w:cs="方正小标宋简体"/>
          <w:snapToGrid w:val="0"/>
          <w:color w:val="000000" w:themeColor="text1"/>
          <w:spacing w:val="0"/>
          <w:kern w:val="0"/>
          <w:sz w:val="44"/>
          <w:szCs w:val="44"/>
          <w:highlight w:val="none"/>
          <w:u w:val="none"/>
          <w14:textFill>
            <w14:solidFill>
              <w14:schemeClr w14:val="tx1"/>
            </w14:solidFill>
          </w14:textFill>
        </w:rPr>
      </w:pPr>
      <w:r>
        <w:rPr>
          <w:rFonts w:hint="eastAsia" w:ascii="方正小标宋简体" w:hAnsi="方正小标宋简体" w:eastAsia="方正小标宋简体" w:cs="方正小标宋简体"/>
          <w:b w:val="0"/>
          <w:bCs w:val="0"/>
          <w:snapToGrid w:val="0"/>
          <w:color w:val="000000" w:themeColor="text1"/>
          <w:spacing w:val="0"/>
          <w:kern w:val="0"/>
          <w:sz w:val="44"/>
          <w:szCs w:val="44"/>
          <w:highlight w:val="none"/>
          <w:u w:val="none"/>
          <w:lang w:val="en-US" w:eastAsia="zh-CN"/>
          <w14:textFill>
            <w14:solidFill>
              <w14:schemeClr w14:val="tx1"/>
            </w14:solidFill>
          </w14:textFill>
        </w:rPr>
        <w:t xml:space="preserve">表5-1 </w:t>
      </w:r>
      <w:r>
        <w:rPr>
          <w:rFonts w:hint="eastAsia" w:ascii="方正小标宋简体" w:hAnsi="方正小标宋简体" w:eastAsia="方正小标宋简体" w:cs="方正小标宋简体"/>
          <w:b w:val="0"/>
          <w:bCs w:val="0"/>
          <w:snapToGrid w:val="0"/>
          <w:color w:val="000000" w:themeColor="text1"/>
          <w:spacing w:val="0"/>
          <w:kern w:val="0"/>
          <w:sz w:val="44"/>
          <w:szCs w:val="44"/>
          <w:highlight w:val="none"/>
          <w:u w:val="none"/>
          <w14:textFill>
            <w14:solidFill>
              <w14:schemeClr w14:val="tx1"/>
            </w14:solidFill>
          </w14:textFill>
        </w:rPr>
        <w:t>健康影响评</w:t>
      </w:r>
      <w:r>
        <w:rPr>
          <w:rFonts w:hint="eastAsia" w:ascii="方正小标宋简体" w:hAnsi="方正小标宋简体" w:eastAsia="方正小标宋简体" w:cs="方正小标宋简体"/>
          <w:b w:val="0"/>
          <w:bCs w:val="0"/>
          <w:snapToGrid w:val="0"/>
          <w:color w:val="000000" w:themeColor="text1"/>
          <w:spacing w:val="0"/>
          <w:kern w:val="0"/>
          <w:sz w:val="44"/>
          <w:szCs w:val="44"/>
          <w:highlight w:val="none"/>
          <w:u w:val="none"/>
          <w:lang w:val="en-US" w:eastAsia="zh-CN"/>
          <w14:textFill>
            <w14:solidFill>
              <w14:schemeClr w14:val="tx1"/>
            </w14:solidFill>
          </w14:textFill>
        </w:rPr>
        <w:t>估</w:t>
      </w:r>
      <w:r>
        <w:rPr>
          <w:rFonts w:hint="eastAsia" w:ascii="方正小标宋简体" w:hAnsi="方正小标宋简体" w:eastAsia="方正小标宋简体" w:cs="方正小标宋简体"/>
          <w:b w:val="0"/>
          <w:bCs w:val="0"/>
          <w:snapToGrid w:val="0"/>
          <w:color w:val="000000" w:themeColor="text1"/>
          <w:spacing w:val="0"/>
          <w:kern w:val="0"/>
          <w:sz w:val="44"/>
          <w:szCs w:val="44"/>
          <w:highlight w:val="none"/>
          <w:u w:val="none"/>
          <w:lang w:eastAsia="zh-CN"/>
          <w14:textFill>
            <w14:solidFill>
              <w14:schemeClr w14:val="tx1"/>
            </w14:solidFill>
          </w14:textFill>
        </w:rPr>
        <w:t>申请</w:t>
      </w:r>
      <w:r>
        <w:rPr>
          <w:rFonts w:hint="eastAsia" w:ascii="方正小标宋简体" w:hAnsi="方正小标宋简体" w:eastAsia="方正小标宋简体" w:cs="方正小标宋简体"/>
          <w:b w:val="0"/>
          <w:bCs w:val="0"/>
          <w:snapToGrid w:val="0"/>
          <w:color w:val="000000" w:themeColor="text1"/>
          <w:spacing w:val="0"/>
          <w:kern w:val="0"/>
          <w:sz w:val="44"/>
          <w:szCs w:val="44"/>
          <w:highlight w:val="none"/>
          <w:u w:val="none"/>
          <w14:textFill>
            <w14:solidFill>
              <w14:schemeClr w14:val="tx1"/>
            </w14:solidFill>
          </w14:textFill>
        </w:rPr>
        <w:t>表</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906"/>
        <w:gridCol w:w="1049"/>
        <w:gridCol w:w="2139"/>
        <w:gridCol w:w="1296"/>
        <w:gridCol w:w="1255"/>
        <w:gridCol w:w="780"/>
        <w:gridCol w:w="132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0" w:hRule="exact"/>
        </w:trPr>
        <w:tc>
          <w:tcPr>
            <w:tcW w:w="195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规划</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政策</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/项目</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名称</w:t>
            </w:r>
          </w:p>
        </w:tc>
        <w:tc>
          <w:tcPr>
            <w:tcW w:w="6795"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2" w:hRule="exact"/>
        </w:trPr>
        <w:tc>
          <w:tcPr>
            <w:tcW w:w="1955"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规划</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政策</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/项目</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类别</w:t>
            </w:r>
          </w:p>
        </w:tc>
        <w:tc>
          <w:tcPr>
            <w:tcW w:w="6795"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630" w:firstLineChars="300"/>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sym w:font="Wingdings 2" w:char="00A3"/>
            </w:r>
            <w:r>
              <w:rPr>
                <w:rFonts w:hint="eastAsia" w:ascii="仿宋_GB2312" w:hAnsi="仿宋_GB2312" w:eastAsia="仿宋_GB2312" w:cs="仿宋_GB2312"/>
                <w:snapToGrid w:val="0"/>
                <w:color w:val="000000" w:themeColor="text1"/>
                <w:spacing w:val="0"/>
                <w:kern w:val="0"/>
                <w:sz w:val="21"/>
                <w:szCs w:val="21"/>
                <w:highlight w:val="none"/>
                <w:u w:val="none"/>
                <w:lang w:val="zh-TW" w:eastAsia="zh-CN" w:bidi="zh-CN"/>
                <w14:textFill>
                  <w14:solidFill>
                    <w14:schemeClr w14:val="tx1"/>
                  </w14:solidFill>
                </w14:textFill>
              </w:rPr>
              <w:t>政府发布</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 xml:space="preserve">     </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TW"/>
                <w14:textFill>
                  <w14:solidFill>
                    <w14:schemeClr w14:val="tx1"/>
                  </w14:solidFill>
                </w14:textFill>
              </w:rPr>
              <w:t xml:space="preserve">  </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sym w:font="Wingdings 2" w:char="00A3"/>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部门发布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4" w:hRule="exact"/>
        </w:trPr>
        <w:tc>
          <w:tcPr>
            <w:tcW w:w="1955"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涉及相关部门</w:t>
            </w:r>
          </w:p>
        </w:tc>
        <w:tc>
          <w:tcPr>
            <w:tcW w:w="6795"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10" w:hRule="exact"/>
        </w:trPr>
        <w:tc>
          <w:tcPr>
            <w:tcW w:w="1955" w:type="dxa"/>
            <w:gridSpan w:val="2"/>
            <w:noWrap w:val="0"/>
            <w:vAlign w:val="top"/>
          </w:tcPr>
          <w:p>
            <w:pPr>
              <w:keepNext w:val="0"/>
              <w:keepLines w:val="0"/>
              <w:pageBreakBefore w:val="0"/>
              <w:widowControl w:val="0"/>
              <w:kinsoku/>
              <w:wordWrap/>
              <w:overflowPunct/>
              <w:topLinePunct w:val="0"/>
              <w:autoSpaceDE/>
              <w:autoSpaceDN/>
              <w:bidi w:val="0"/>
              <w:adjustRightInd/>
              <w:snapToGrid/>
              <w:spacing w:before="135" w:line="260" w:lineRule="exact"/>
              <w:ind w:left="57"/>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起草</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/申请</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部门</w:t>
            </w:r>
          </w:p>
          <w:p>
            <w:pPr>
              <w:keepNext w:val="0"/>
              <w:keepLines w:val="0"/>
              <w:pageBreakBefore w:val="0"/>
              <w:widowControl w:val="0"/>
              <w:kinsoku/>
              <w:wordWrap/>
              <w:overflowPunct/>
              <w:topLinePunct w:val="0"/>
              <w:autoSpaceDE/>
              <w:autoSpaceDN/>
              <w:bidi w:val="0"/>
              <w:adjustRightInd/>
              <w:snapToGrid/>
              <w:spacing w:before="135" w:line="260" w:lineRule="exact"/>
              <w:ind w:left="57"/>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（盖章）</w:t>
            </w:r>
          </w:p>
        </w:tc>
        <w:tc>
          <w:tcPr>
            <w:tcW w:w="213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firstLine="0" w:firstLineChars="0"/>
              <w:jc w:val="both"/>
              <w:textAlignment w:val="auto"/>
              <w:outlineLvl w:val="9"/>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96" w:type="dxa"/>
            <w:noWrap w:val="0"/>
            <w:vAlign w:val="center"/>
          </w:tcPr>
          <w:p>
            <w:pPr>
              <w:keepNext w:val="0"/>
              <w:keepLines w:val="0"/>
              <w:pageBreakBefore w:val="0"/>
              <w:widowControl w:val="0"/>
              <w:kinsoku/>
              <w:wordWrap/>
              <w:overflowPunct/>
              <w:topLinePunct w:val="0"/>
              <w:autoSpaceDE/>
              <w:autoSpaceDN/>
              <w:bidi w:val="0"/>
              <w:adjustRightInd/>
              <w:snapToGrid/>
              <w:spacing w:before="135" w:line="280" w:lineRule="exact"/>
              <w:ind w:left="53"/>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提交人</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210" w:firstLineChars="100"/>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p>
        </w:tc>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before="135" w:line="280" w:lineRule="exact"/>
              <w:ind w:left="52"/>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电话</w:t>
            </w:r>
          </w:p>
        </w:tc>
        <w:tc>
          <w:tcPr>
            <w:tcW w:w="132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3" w:hRule="exact"/>
        </w:trPr>
        <w:tc>
          <w:tcPr>
            <w:tcW w:w="195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35" w:line="280" w:lineRule="exact"/>
              <w:ind w:left="54"/>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受理部门</w:t>
            </w:r>
          </w:p>
        </w:tc>
        <w:tc>
          <w:tcPr>
            <w:tcW w:w="213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sym w:font="Wingdings 2" w:char="00A3"/>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本级卫生健康</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主管部门</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sym w:font="Wingdings 2" w:char="00A3"/>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本部门</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96" w:type="dxa"/>
            <w:noWrap w:val="0"/>
            <w:vAlign w:val="center"/>
          </w:tcPr>
          <w:p>
            <w:pPr>
              <w:keepNext w:val="0"/>
              <w:keepLines w:val="0"/>
              <w:pageBreakBefore w:val="0"/>
              <w:widowControl w:val="0"/>
              <w:kinsoku/>
              <w:wordWrap/>
              <w:overflowPunct/>
              <w:topLinePunct w:val="0"/>
              <w:autoSpaceDE/>
              <w:autoSpaceDN/>
              <w:bidi w:val="0"/>
              <w:adjustRightInd/>
              <w:snapToGrid/>
              <w:spacing w:before="135" w:line="280" w:lineRule="exact"/>
              <w:ind w:left="53"/>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受理人</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firstLine="210" w:firstLineChars="100"/>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p>
        </w:tc>
        <w:tc>
          <w:tcPr>
            <w:tcW w:w="780" w:type="dxa"/>
            <w:noWrap w:val="0"/>
            <w:vAlign w:val="center"/>
          </w:tcPr>
          <w:p>
            <w:pPr>
              <w:keepNext w:val="0"/>
              <w:keepLines w:val="0"/>
              <w:pageBreakBefore w:val="0"/>
              <w:widowControl w:val="0"/>
              <w:kinsoku/>
              <w:wordWrap/>
              <w:overflowPunct/>
              <w:topLinePunct w:val="0"/>
              <w:autoSpaceDE/>
              <w:autoSpaceDN/>
              <w:bidi w:val="0"/>
              <w:adjustRightInd/>
              <w:snapToGrid/>
              <w:spacing w:before="135" w:line="280" w:lineRule="exact"/>
              <w:ind w:left="52"/>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电话</w:t>
            </w:r>
          </w:p>
        </w:tc>
        <w:tc>
          <w:tcPr>
            <w:tcW w:w="1325"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645" w:hRule="exact"/>
        </w:trPr>
        <w:tc>
          <w:tcPr>
            <w:tcW w:w="195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34" w:line="280" w:lineRule="exact"/>
              <w:ind w:left="54"/>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受理日期</w:t>
            </w:r>
          </w:p>
        </w:tc>
        <w:tc>
          <w:tcPr>
            <w:tcW w:w="2139"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p>
        </w:tc>
        <w:tc>
          <w:tcPr>
            <w:tcW w:w="255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134"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评估完成时限</w:t>
            </w:r>
          </w:p>
        </w:tc>
        <w:tc>
          <w:tcPr>
            <w:tcW w:w="210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4" w:hRule="atLeast"/>
        </w:trPr>
        <w:tc>
          <w:tcPr>
            <w:tcW w:w="1955"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是否做过其他审查、审核、评价及内容</w:t>
            </w:r>
          </w:p>
        </w:tc>
        <w:tc>
          <w:tcPr>
            <w:tcW w:w="6795"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做过</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sym w:font="Wingdings 2" w:char="00A3"/>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 xml:space="preserve">   </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未做过</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sym w:font="Wingdings 2" w:char="00A3"/>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748" w:hRule="atLeast"/>
        </w:trPr>
        <w:tc>
          <w:tcPr>
            <w:tcW w:w="1955" w:type="dxa"/>
            <w:gridSpan w:val="2"/>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6795"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评价内容概要：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40" w:hRule="atLeast"/>
        </w:trPr>
        <w:tc>
          <w:tcPr>
            <w:tcW w:w="1955" w:type="dxa"/>
            <w:gridSpan w:val="2"/>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部门初筛结果</w:t>
            </w:r>
          </w:p>
        </w:tc>
        <w:tc>
          <w:tcPr>
            <w:tcW w:w="6795"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7" w:hRule="atLeast"/>
        </w:trPr>
        <w:tc>
          <w:tcPr>
            <w:tcW w:w="90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right="68"/>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提交相关资料清单</w:t>
            </w:r>
          </w:p>
        </w:tc>
        <w:tc>
          <w:tcPr>
            <w:tcW w:w="1049" w:type="dxa"/>
            <w:noWrap w:val="0"/>
            <w:vAlign w:val="top"/>
          </w:tcPr>
          <w:p>
            <w:pPr>
              <w:jc w:val="both"/>
              <w:rPr>
                <w:rFonts w:hint="eastAsia" w:ascii="仿宋_GB2312" w:hAnsi="仿宋_GB2312" w:eastAsia="仿宋_GB2312" w:cs="仿宋_GB2312"/>
                <w:color w:val="000000" w:themeColor="text1"/>
                <w:highlight w:val="none"/>
                <w:lang w:val="zh-CN" w:eastAsia="zh-CN"/>
                <w14:textFill>
                  <w14:solidFill>
                    <w14:schemeClr w14:val="tx1"/>
                  </w14:solidFill>
                </w14:textFill>
              </w:rPr>
            </w:pPr>
            <w:r>
              <w:rPr>
                <w:rFonts w:hint="eastAsia" w:ascii="仿宋_GB2312" w:hAnsi="仿宋_GB2312" w:eastAsia="仿宋_GB2312" w:cs="仿宋_GB2312"/>
                <w:color w:val="000000" w:themeColor="text1"/>
                <w:highlight w:val="none"/>
                <w:lang w:val="zh-CN" w:eastAsia="zh-CN"/>
                <w14:textFill>
                  <w14:solidFill>
                    <w14:schemeClr w14:val="tx1"/>
                  </w14:solidFill>
                </w14:textFill>
              </w:rPr>
              <w:t>序号</w:t>
            </w:r>
          </w:p>
        </w:tc>
        <w:tc>
          <w:tcPr>
            <w:tcW w:w="3435" w:type="dxa"/>
            <w:gridSpan w:val="2"/>
            <w:noWrap w:val="0"/>
            <w:vAlign w:val="top"/>
          </w:tcPr>
          <w:p>
            <w:pPr>
              <w:jc w:val="both"/>
              <w:rPr>
                <w:rFonts w:hint="eastAsia" w:ascii="仿宋_GB2312" w:hAnsi="仿宋_GB2312" w:eastAsia="仿宋_GB2312" w:cs="仿宋_GB2312"/>
                <w:color w:val="000000" w:themeColor="text1"/>
                <w:highlight w:val="none"/>
                <w:lang w:val="zh-CN" w:eastAsia="zh-CN"/>
                <w14:textFill>
                  <w14:solidFill>
                    <w14:schemeClr w14:val="tx1"/>
                  </w14:solidFill>
                </w14:textFill>
              </w:rPr>
            </w:pPr>
            <w:r>
              <w:rPr>
                <w:rFonts w:hint="eastAsia" w:ascii="仿宋_GB2312" w:hAnsi="仿宋_GB2312" w:eastAsia="仿宋_GB2312" w:cs="仿宋_GB2312"/>
                <w:color w:val="000000" w:themeColor="text1"/>
                <w:highlight w:val="none"/>
                <w:lang w:val="zh-CN" w:eastAsia="zh-CN"/>
                <w14:textFill>
                  <w14:solidFill>
                    <w14:schemeClr w14:val="tx1"/>
                  </w14:solidFill>
                </w14:textFill>
              </w:rPr>
              <w:t>文件名称</w:t>
            </w:r>
          </w:p>
        </w:tc>
        <w:tc>
          <w:tcPr>
            <w:tcW w:w="1255" w:type="dxa"/>
            <w:noWrap w:val="0"/>
            <w:vAlign w:val="top"/>
          </w:tcPr>
          <w:p>
            <w:pPr>
              <w:jc w:val="both"/>
              <w:rPr>
                <w:rFonts w:hint="eastAsia" w:ascii="仿宋_GB2312" w:hAnsi="仿宋_GB2312" w:eastAsia="仿宋_GB2312" w:cs="仿宋_GB2312"/>
                <w:color w:val="000000" w:themeColor="text1"/>
                <w:highlight w:val="none"/>
                <w:lang w:val="zh-CN" w:eastAsia="zh-CN"/>
                <w14:textFill>
                  <w14:solidFill>
                    <w14:schemeClr w14:val="tx1"/>
                  </w14:solidFill>
                </w14:textFill>
              </w:rPr>
            </w:pPr>
            <w:r>
              <w:rPr>
                <w:rFonts w:hint="eastAsia" w:ascii="仿宋_GB2312" w:hAnsi="仿宋_GB2312" w:eastAsia="仿宋_GB2312" w:cs="仿宋_GB2312"/>
                <w:color w:val="000000" w:themeColor="text1"/>
                <w:highlight w:val="none"/>
                <w:lang w:val="zh-CN" w:eastAsia="zh-CN"/>
                <w14:textFill>
                  <w14:solidFill>
                    <w14:schemeClr w14:val="tx1"/>
                  </w14:solidFill>
                </w14:textFill>
              </w:rPr>
              <w:t>份数</w:t>
            </w:r>
          </w:p>
        </w:tc>
        <w:tc>
          <w:tcPr>
            <w:tcW w:w="2105" w:type="dxa"/>
            <w:gridSpan w:val="2"/>
            <w:noWrap w:val="0"/>
            <w:vAlign w:val="top"/>
          </w:tcPr>
          <w:p>
            <w:pPr>
              <w:jc w:val="both"/>
              <w:rPr>
                <w:rFonts w:hint="eastAsia" w:ascii="仿宋_GB2312" w:hAnsi="仿宋_GB2312" w:eastAsia="仿宋_GB2312" w:cs="仿宋_GB2312"/>
                <w:color w:val="000000" w:themeColor="text1"/>
                <w:highlight w:val="none"/>
                <w:lang w:val="zh-CN" w:eastAsia="zh-CN"/>
                <w14:textFill>
                  <w14:solidFill>
                    <w14:schemeClr w14:val="tx1"/>
                  </w14:solidFill>
                </w14:textFill>
              </w:rPr>
            </w:pPr>
            <w:r>
              <w:rPr>
                <w:rFonts w:hint="eastAsia" w:ascii="仿宋_GB2312" w:hAnsi="仿宋_GB2312" w:eastAsia="仿宋_GB2312" w:cs="仿宋_GB2312"/>
                <w:color w:val="000000" w:themeColor="text1"/>
                <w:highlight w:val="none"/>
                <w:lang w:val="zh-CN" w:eastAsia="zh-CN"/>
                <w14:textFill>
                  <w14:solidFill>
                    <w14:schemeClr w14:val="tx1"/>
                  </w14:solidFill>
                </w14:textFill>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9" w:hRule="atLeast"/>
        </w:trPr>
        <w:tc>
          <w:tcPr>
            <w:tcW w:w="90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14:textFill>
                  <w14:solidFill>
                    <w14:schemeClr w14:val="tx1"/>
                  </w14:solidFill>
                </w14:textFill>
              </w:rPr>
            </w:pPr>
          </w:p>
        </w:tc>
        <w:tc>
          <w:tcPr>
            <w:tcW w:w="1049" w:type="dxa"/>
            <w:noWrap w:val="0"/>
            <w:vAlign w:val="top"/>
          </w:tcPr>
          <w:p>
            <w:pPr>
              <w:keepNext w:val="0"/>
              <w:keepLines w:val="0"/>
              <w:pageBreakBefore w:val="0"/>
              <w:widowControl w:val="0"/>
              <w:kinsoku/>
              <w:wordWrap/>
              <w:overflowPunct/>
              <w:topLinePunct w:val="0"/>
              <w:autoSpaceDE/>
              <w:autoSpaceDN/>
              <w:bidi w:val="0"/>
              <w:adjustRightInd/>
              <w:snapToGrid/>
              <w:spacing w:before="43" w:line="280" w:lineRule="exact"/>
              <w:ind w:right="333"/>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1</w:t>
            </w:r>
          </w:p>
        </w:tc>
        <w:tc>
          <w:tcPr>
            <w:tcW w:w="343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规划</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政策草案文本、项目相关资料</w:t>
            </w:r>
          </w:p>
        </w:tc>
        <w:tc>
          <w:tcPr>
            <w:tcW w:w="1255" w:type="dxa"/>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p>
        </w:tc>
        <w:tc>
          <w:tcPr>
            <w:tcW w:w="2105"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8" w:hRule="atLeast"/>
        </w:trPr>
        <w:tc>
          <w:tcPr>
            <w:tcW w:w="90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14:textFill>
                  <w14:solidFill>
                    <w14:schemeClr w14:val="tx1"/>
                  </w14:solidFill>
                </w14:textFill>
              </w:rPr>
            </w:pPr>
          </w:p>
        </w:tc>
        <w:tc>
          <w:tcPr>
            <w:tcW w:w="1049" w:type="dxa"/>
            <w:noWrap w:val="0"/>
            <w:vAlign w:val="top"/>
          </w:tcPr>
          <w:p>
            <w:pPr>
              <w:keepNext w:val="0"/>
              <w:keepLines w:val="0"/>
              <w:pageBreakBefore w:val="0"/>
              <w:widowControl w:val="0"/>
              <w:kinsoku/>
              <w:wordWrap/>
              <w:overflowPunct/>
              <w:topLinePunct w:val="0"/>
              <w:autoSpaceDE/>
              <w:autoSpaceDN/>
              <w:bidi w:val="0"/>
              <w:adjustRightInd/>
              <w:snapToGrid/>
              <w:spacing w:before="46" w:line="280" w:lineRule="exact"/>
              <w:ind w:right="351"/>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2</w:t>
            </w:r>
          </w:p>
        </w:tc>
        <w:tc>
          <w:tcPr>
            <w:tcW w:w="343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起草说明及征求意见情况</w:t>
            </w:r>
          </w:p>
        </w:tc>
        <w:tc>
          <w:tcPr>
            <w:tcW w:w="1255" w:type="dxa"/>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p>
        </w:tc>
        <w:tc>
          <w:tcPr>
            <w:tcW w:w="2105"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57" w:hRule="atLeast"/>
        </w:trPr>
        <w:tc>
          <w:tcPr>
            <w:tcW w:w="90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14:textFill>
                  <w14:solidFill>
                    <w14:schemeClr w14:val="tx1"/>
                  </w14:solidFill>
                </w14:textFill>
              </w:rPr>
            </w:pPr>
          </w:p>
        </w:tc>
        <w:tc>
          <w:tcPr>
            <w:tcW w:w="1049" w:type="dxa"/>
            <w:noWrap w:val="0"/>
            <w:vAlign w:val="top"/>
          </w:tcPr>
          <w:p>
            <w:pPr>
              <w:keepNext w:val="0"/>
              <w:keepLines w:val="0"/>
              <w:pageBreakBefore w:val="0"/>
              <w:widowControl w:val="0"/>
              <w:kinsoku/>
              <w:wordWrap/>
              <w:overflowPunct/>
              <w:topLinePunct w:val="0"/>
              <w:autoSpaceDE/>
              <w:autoSpaceDN/>
              <w:bidi w:val="0"/>
              <w:adjustRightInd/>
              <w:snapToGrid/>
              <w:spacing w:before="46" w:line="280" w:lineRule="exact"/>
              <w:ind w:right="348"/>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3</w:t>
            </w:r>
          </w:p>
        </w:tc>
        <w:tc>
          <w:tcPr>
            <w:tcW w:w="343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其他需补充的资料</w:t>
            </w:r>
          </w:p>
        </w:tc>
        <w:tc>
          <w:tcPr>
            <w:tcW w:w="1255" w:type="dxa"/>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p>
        </w:tc>
        <w:tc>
          <w:tcPr>
            <w:tcW w:w="2105"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66" w:hRule="atLeast"/>
        </w:trPr>
        <w:tc>
          <w:tcPr>
            <w:tcW w:w="90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14:textFill>
                  <w14:solidFill>
                    <w14:schemeClr w14:val="tx1"/>
                  </w14:solidFill>
                </w14:textFill>
              </w:rPr>
            </w:pPr>
          </w:p>
        </w:tc>
        <w:tc>
          <w:tcPr>
            <w:tcW w:w="1049" w:type="dxa"/>
            <w:noWrap w:val="0"/>
            <w:vAlign w:val="top"/>
          </w:tcPr>
          <w:p>
            <w:pPr>
              <w:keepNext w:val="0"/>
              <w:keepLines w:val="0"/>
              <w:pageBreakBefore w:val="0"/>
              <w:widowControl w:val="0"/>
              <w:kinsoku/>
              <w:wordWrap/>
              <w:overflowPunct/>
              <w:topLinePunct w:val="0"/>
              <w:autoSpaceDE/>
              <w:autoSpaceDN/>
              <w:bidi w:val="0"/>
              <w:adjustRightInd/>
              <w:snapToGrid/>
              <w:spacing w:before="46" w:line="280" w:lineRule="exact"/>
              <w:ind w:right="348"/>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4</w:t>
            </w:r>
          </w:p>
        </w:tc>
        <w:tc>
          <w:tcPr>
            <w:tcW w:w="343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55" w:type="dxa"/>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p>
        </w:tc>
        <w:tc>
          <w:tcPr>
            <w:tcW w:w="2105"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68" w:hRule="atLeast"/>
        </w:trPr>
        <w:tc>
          <w:tcPr>
            <w:tcW w:w="90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14:textFill>
                  <w14:solidFill>
                    <w14:schemeClr w14:val="tx1"/>
                  </w14:solidFill>
                </w14:textFill>
              </w:rPr>
            </w:pPr>
          </w:p>
        </w:tc>
        <w:tc>
          <w:tcPr>
            <w:tcW w:w="1049" w:type="dxa"/>
            <w:noWrap w:val="0"/>
            <w:vAlign w:val="top"/>
          </w:tcPr>
          <w:p>
            <w:pPr>
              <w:keepNext w:val="0"/>
              <w:keepLines w:val="0"/>
              <w:pageBreakBefore w:val="0"/>
              <w:widowControl w:val="0"/>
              <w:kinsoku/>
              <w:wordWrap/>
              <w:overflowPunct/>
              <w:topLinePunct w:val="0"/>
              <w:autoSpaceDE/>
              <w:autoSpaceDN/>
              <w:bidi w:val="0"/>
              <w:adjustRightInd/>
              <w:snapToGrid/>
              <w:spacing w:before="46" w:line="280" w:lineRule="exact"/>
              <w:ind w:right="348"/>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5</w:t>
            </w:r>
          </w:p>
        </w:tc>
        <w:tc>
          <w:tcPr>
            <w:tcW w:w="343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55" w:type="dxa"/>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p>
        </w:tc>
        <w:tc>
          <w:tcPr>
            <w:tcW w:w="2105"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0" w:hRule="atLeast"/>
        </w:trPr>
        <w:tc>
          <w:tcPr>
            <w:tcW w:w="90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14:textFill>
                  <w14:solidFill>
                    <w14:schemeClr w14:val="tx1"/>
                  </w14:solidFill>
                </w14:textFill>
              </w:rPr>
            </w:pPr>
          </w:p>
        </w:tc>
        <w:tc>
          <w:tcPr>
            <w:tcW w:w="1049" w:type="dxa"/>
            <w:noWrap w:val="0"/>
            <w:vAlign w:val="top"/>
          </w:tcPr>
          <w:p>
            <w:pPr>
              <w:keepNext w:val="0"/>
              <w:keepLines w:val="0"/>
              <w:pageBreakBefore w:val="0"/>
              <w:widowControl w:val="0"/>
              <w:kinsoku/>
              <w:wordWrap/>
              <w:overflowPunct/>
              <w:topLinePunct w:val="0"/>
              <w:autoSpaceDE/>
              <w:autoSpaceDN/>
              <w:bidi w:val="0"/>
              <w:adjustRightInd/>
              <w:snapToGrid/>
              <w:spacing w:before="46" w:line="280" w:lineRule="exact"/>
              <w:ind w:right="348"/>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6</w:t>
            </w:r>
          </w:p>
        </w:tc>
        <w:tc>
          <w:tcPr>
            <w:tcW w:w="343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w:t>
            </w:r>
          </w:p>
        </w:tc>
        <w:tc>
          <w:tcPr>
            <w:tcW w:w="1255" w:type="dxa"/>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p>
        </w:tc>
        <w:tc>
          <w:tcPr>
            <w:tcW w:w="2105"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1146" w:hRule="atLeast"/>
        </w:trPr>
        <w:tc>
          <w:tcPr>
            <w:tcW w:w="906" w:type="dxa"/>
            <w:noWrap w:val="0"/>
            <w:vAlign w:val="center"/>
          </w:tcPr>
          <w:p>
            <w:pPr>
              <w:keepNext w:val="0"/>
              <w:keepLines w:val="0"/>
              <w:pageBreakBefore w:val="0"/>
              <w:widowControl w:val="0"/>
              <w:kinsoku/>
              <w:wordWrap/>
              <w:overflowPunct/>
              <w:topLinePunct w:val="0"/>
              <w:autoSpaceDE/>
              <w:autoSpaceDN/>
              <w:bidi w:val="0"/>
              <w:adjustRightInd/>
              <w:snapToGrid/>
              <w:spacing w:before="1"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情况说明</w:t>
            </w:r>
          </w:p>
        </w:tc>
        <w:tc>
          <w:tcPr>
            <w:tcW w:w="7844" w:type="dxa"/>
            <w:gridSpan w:val="6"/>
            <w:noWrap w:val="0"/>
            <w:vAlign w:val="top"/>
          </w:tcPr>
          <w:p>
            <w:pPr>
              <w:pStyle w:val="5"/>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1.</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提交方对提交的相关资料的真实性负责。</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color w:val="000000" w:themeColor="text1"/>
                <w:sz w:val="21"/>
                <w:szCs w:val="21"/>
                <w:highlight w:val="none"/>
                <w:u w:val="none"/>
                <w:lang w:val="en-US" w:eastAsia="zh-CN"/>
                <w14:textFill>
                  <w14:solidFill>
                    <w14:schemeClr w14:val="tx1"/>
                  </w14:solidFill>
                </w14:textFill>
              </w:rPr>
              <w:t>2.</w:t>
            </w:r>
            <w:r>
              <w:rPr>
                <w:rFonts w:hint="eastAsia" w:ascii="仿宋_GB2312" w:hAnsi="仿宋_GB2312" w:eastAsia="仿宋_GB2312" w:cs="仿宋_GB2312"/>
                <w:color w:val="000000" w:themeColor="text1"/>
                <w:spacing w:val="-1"/>
                <w:sz w:val="21"/>
                <w:szCs w:val="21"/>
                <w:highlight w:val="none"/>
                <w:u w:val="none"/>
                <w:lang w:val="en-US"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15" w:hRule="atLeast"/>
        </w:trPr>
        <w:tc>
          <w:tcPr>
            <w:tcW w:w="8750" w:type="dxa"/>
            <w:gridSpan w:val="7"/>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snapToGrid w:val="0"/>
                <w:color w:val="000000" w:themeColor="text1"/>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填表说明：其他相关评价包括但不限于：宏观政策取向一致性评估、合法性审查、公平竞争审查、社会稳定风险评估、公共安全评估、环境影响评价、卫生学评价等</w:t>
            </w:r>
          </w:p>
        </w:tc>
      </w:tr>
    </w:tbl>
    <w:p>
      <w:pPr>
        <w:keepNext w:val="0"/>
        <w:keepLines w:val="0"/>
        <w:pageBreakBefore w:val="0"/>
        <w:widowControl w:val="0"/>
        <w:kinsoku/>
        <w:overflowPunct/>
        <w:topLinePunct w:val="0"/>
        <w:autoSpaceDE/>
        <w:autoSpaceDN/>
        <w:bidi w:val="0"/>
        <w:spacing w:line="560" w:lineRule="exact"/>
        <w:ind w:firstLine="560" w:firstLineChars="200"/>
        <w:jc w:val="both"/>
        <w:textAlignment w:val="auto"/>
        <w:rPr>
          <w:rFonts w:hint="eastAsia" w:ascii="方正小标宋简体" w:hAnsi="方正小标宋简体" w:eastAsia="方正小标宋简体" w:cs="方正小标宋简体"/>
          <w:b w:val="0"/>
          <w:bCs w:val="0"/>
          <w:snapToGrid w:val="0"/>
          <w:color w:val="000000" w:themeColor="text1"/>
          <w:spacing w:val="0"/>
          <w:kern w:val="0"/>
          <w:sz w:val="44"/>
          <w:szCs w:val="44"/>
          <w:highlight w:val="none"/>
          <w:u w:val="none"/>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highlight w:val="none"/>
          <w14:textFill>
            <w14:solidFill>
              <w14:schemeClr w14:val="tx1"/>
            </w14:solidFill>
          </w14:textFill>
        </w:rPr>
        <w:t>（</w:t>
      </w:r>
      <w:r>
        <w:rPr>
          <w:rFonts w:hint="eastAsia" w:ascii="仿宋_GB2312" w:hAnsi="仿宋_GB2312" w:eastAsia="仿宋_GB2312" w:cs="仿宋_GB2312"/>
          <w:b w:val="0"/>
          <w:bCs/>
          <w:color w:val="000000" w:themeColor="text1"/>
          <w:sz w:val="28"/>
          <w:szCs w:val="28"/>
          <w:highlight w:val="none"/>
          <w:lang w:val="zh-CN" w:eastAsia="zh-CN"/>
          <w14:textFill>
            <w14:solidFill>
              <w14:schemeClr w14:val="tx1"/>
            </w14:solidFill>
          </w14:textFill>
        </w:rPr>
        <w:t>规划</w:t>
      </w:r>
      <w:r>
        <w:rPr>
          <w:rFonts w:hint="eastAsia" w:ascii="仿宋_GB2312" w:hAnsi="仿宋_GB2312" w:eastAsia="仿宋_GB2312" w:cs="仿宋_GB2312"/>
          <w:b w:val="0"/>
          <w:bCs/>
          <w:color w:val="000000" w:themeColor="text1"/>
          <w:sz w:val="28"/>
          <w:szCs w:val="28"/>
          <w:highlight w:val="none"/>
          <w:lang w:val="en-US"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highlight w:val="none"/>
          <w:lang w:val="zh-CN" w:eastAsia="zh-CN"/>
          <w14:textFill>
            <w14:solidFill>
              <w14:schemeClr w14:val="tx1"/>
            </w14:solidFill>
          </w14:textFill>
        </w:rPr>
        <w:t>政策</w:t>
      </w:r>
      <w:r>
        <w:rPr>
          <w:rFonts w:hint="eastAsia" w:ascii="仿宋_GB2312" w:hAnsi="仿宋_GB2312" w:eastAsia="仿宋_GB2312" w:cs="仿宋_GB2312"/>
          <w:b w:val="0"/>
          <w:bCs/>
          <w:color w:val="000000" w:themeColor="text1"/>
          <w:sz w:val="28"/>
          <w:szCs w:val="28"/>
          <w:highlight w:val="none"/>
          <w:lang w:val="en-US" w:eastAsia="zh-CN"/>
          <w14:textFill>
            <w14:solidFill>
              <w14:schemeClr w14:val="tx1"/>
            </w14:solidFill>
          </w14:textFill>
        </w:rPr>
        <w:t>/项目申请部门</w:t>
      </w:r>
      <w:r>
        <w:rPr>
          <w:rFonts w:hint="eastAsia" w:ascii="仿宋_GB2312" w:hAnsi="仿宋_GB2312" w:eastAsia="仿宋_GB2312" w:cs="仿宋_GB2312"/>
          <w:b w:val="0"/>
          <w:bCs/>
          <w:color w:val="000000" w:themeColor="text1"/>
          <w:sz w:val="28"/>
          <w:szCs w:val="28"/>
          <w:highlight w:val="none"/>
          <w14:textFill>
            <w14:solidFill>
              <w14:schemeClr w14:val="tx1"/>
            </w14:solidFill>
          </w14:textFill>
        </w:rPr>
        <w:t>填写并提交相关材料）</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方正小标宋简体" w:hAnsi="方正小标宋简体" w:eastAsia="方正小标宋简体" w:cs="方正小标宋简体"/>
          <w:color w:val="000000" w:themeColor="text1"/>
          <w:kern w:val="2"/>
          <w:sz w:val="44"/>
          <w:szCs w:val="44"/>
          <w:highlight w:val="none"/>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snapToGrid w:val="0"/>
          <w:color w:val="000000" w:themeColor="text1"/>
          <w:spacing w:val="0"/>
          <w:kern w:val="0"/>
          <w:sz w:val="44"/>
          <w:szCs w:val="44"/>
          <w:highlight w:val="none"/>
          <w:u w:val="none"/>
          <w:lang w:val="en-US" w:eastAsia="zh-CN"/>
          <w14:textFill>
            <w14:solidFill>
              <w14:schemeClr w14:val="tx1"/>
            </w14:solidFill>
          </w14:textFill>
        </w:rPr>
        <w:t>表5-2 健康影响评估初筛表</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CESI楷体-GB2312" w:hAnsi="CESI楷体-GB2312" w:eastAsia="CESI楷体-GB2312" w:cs="CESI楷体-GB2312"/>
          <w:color w:val="000000" w:themeColor="text1"/>
          <w:sz w:val="24"/>
          <w:szCs w:val="24"/>
          <w:highlight w:val="none"/>
          <w:lang w:val="en-US" w:eastAsia="zh-CN"/>
          <w14:textFill>
            <w14:solidFill>
              <w14:schemeClr w14:val="tx1"/>
            </w14:solidFill>
          </w14:textFill>
        </w:rPr>
      </w:pPr>
      <w:r>
        <w:rPr>
          <w:rFonts w:hint="eastAsia" w:ascii="CESI楷体-GB2312" w:hAnsi="CESI楷体-GB2312" w:eastAsia="CESI楷体-GB2312" w:cs="CESI楷体-GB2312"/>
          <w:b w:val="0"/>
          <w:bCs/>
          <w:color w:val="000000" w:themeColor="text1"/>
          <w:kern w:val="2"/>
          <w:sz w:val="24"/>
          <w:szCs w:val="24"/>
          <w:highlight w:val="none"/>
          <w:lang w:val="en-US" w:eastAsia="zh-CN" w:bidi="ar"/>
          <w14:textFill>
            <w14:solidFill>
              <w14:schemeClr w14:val="tx1"/>
            </w14:solidFill>
          </w14:textFill>
        </w:rPr>
        <w:t>（□初筛意见/□专家</w:t>
      </w:r>
      <w:r>
        <w:rPr>
          <w:rFonts w:hint="eastAsia" w:ascii="CESI楷体-GB2312" w:hAnsi="CESI楷体-GB2312" w:eastAsia="CESI楷体-GB2312" w:cs="CESI楷体-GB2312"/>
          <w:color w:val="000000" w:themeColor="text1"/>
          <w:sz w:val="24"/>
          <w:szCs w:val="24"/>
          <w:highlight w:val="none"/>
          <w:lang w:val="en-US" w:eastAsia="zh-CN"/>
          <w14:textFill>
            <w14:solidFill>
              <w14:schemeClr w14:val="tx1"/>
            </w14:solidFill>
          </w14:textFill>
        </w:rPr>
        <w:t>个人意见</w:t>
      </w:r>
      <w:r>
        <w:rPr>
          <w:rFonts w:hint="eastAsia" w:ascii="CESI楷体-GB2312" w:hAnsi="CESI楷体-GB2312" w:eastAsia="CESI楷体-GB2312" w:cs="CESI楷体-GB2312"/>
          <w:b w:val="0"/>
          <w:bCs/>
          <w:color w:val="000000" w:themeColor="text1"/>
          <w:kern w:val="2"/>
          <w:sz w:val="24"/>
          <w:szCs w:val="24"/>
          <w:highlight w:val="none"/>
          <w:lang w:val="en-US" w:eastAsia="zh-CN" w:bidi="ar"/>
          <w14:textFill>
            <w14:solidFill>
              <w14:schemeClr w14:val="tx1"/>
            </w14:solidFill>
          </w14:textFill>
        </w:rPr>
        <w:t>）</w:t>
      </w:r>
    </w:p>
    <w:tbl>
      <w:tblPr>
        <w:tblStyle w:val="17"/>
        <w:tblW w:w="8833" w:type="dxa"/>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66"/>
        <w:gridCol w:w="375"/>
        <w:gridCol w:w="480"/>
        <w:gridCol w:w="1143"/>
        <w:gridCol w:w="1256"/>
        <w:gridCol w:w="15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4066" w:type="dxa"/>
            <w:vMerge w:val="restart"/>
            <w:tcBorders>
              <w:bottom w:val="nil"/>
            </w:tcBorders>
            <w:vAlign w:val="center"/>
          </w:tcPr>
          <w:p>
            <w:pPr>
              <w:pStyle w:val="16"/>
              <w:keepNext w:val="0"/>
              <w:keepLines w:val="0"/>
              <w:pageBreakBefore w:val="0"/>
              <w:widowControl w:val="0"/>
              <w:kinsoku/>
              <w:wordWrap/>
              <w:overflowPunct/>
              <w:topLinePunct w:val="0"/>
              <w:autoSpaceDE/>
              <w:autoSpaceDN/>
              <w:bidi w:val="0"/>
              <w:adjustRightInd/>
              <w:snapToGrid/>
              <w:spacing w:before="324" w:line="240" w:lineRule="exact"/>
              <w:ind w:firstLine="1897" w:firstLineChars="900"/>
              <w:jc w:val="both"/>
              <w:textAlignment w:val="auto"/>
              <w:rPr>
                <w:rFonts w:hint="eastAsia" w:ascii="仿宋_GB2312" w:hAnsi="仿宋_GB2312" w:eastAsia="仿宋_GB2312" w:cs="仿宋_GB2312"/>
                <w:b/>
                <w:bCs/>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21"/>
                <w:szCs w:val="21"/>
                <w:highlight w:val="none"/>
                <w:lang w:eastAsia="zh-CN"/>
                <w14:textFill>
                  <w14:solidFill>
                    <w14:schemeClr w14:val="tx1"/>
                  </w14:solidFill>
                </w14:textFill>
              </w:rPr>
              <w:t>问题</w:t>
            </w:r>
          </w:p>
        </w:tc>
        <w:tc>
          <w:tcPr>
            <w:tcW w:w="855" w:type="dxa"/>
            <w:gridSpan w:val="2"/>
            <w:vAlign w:val="center"/>
          </w:tcPr>
          <w:p>
            <w:pPr>
              <w:pStyle w:val="16"/>
              <w:keepNext w:val="0"/>
              <w:keepLines w:val="0"/>
              <w:pageBreakBefore w:val="0"/>
              <w:widowControl w:val="0"/>
              <w:kinsoku/>
              <w:wordWrap/>
              <w:overflowPunct/>
              <w:topLinePunct w:val="0"/>
              <w:autoSpaceDE/>
              <w:autoSpaceDN/>
              <w:bidi w:val="0"/>
              <w:adjustRightInd/>
              <w:snapToGrid/>
              <w:spacing w:before="89" w:line="240" w:lineRule="exact"/>
              <w:ind w:firstLine="234" w:firstLineChars="100"/>
              <w:jc w:val="both"/>
              <w:textAlignment w:val="auto"/>
              <w:rPr>
                <w:rFonts w:hint="eastAsia" w:ascii="仿宋_GB2312" w:hAnsi="仿宋_GB2312" w:eastAsia="仿宋_GB2312" w:cs="仿宋_GB2312"/>
                <w:b/>
                <w:bCs/>
                <w:color w:val="000000" w:themeColor="text1"/>
                <w:sz w:val="21"/>
                <w:szCs w:val="21"/>
                <w:highlight w:val="none"/>
                <w14:textFill>
                  <w14:solidFill>
                    <w14:schemeClr w14:val="tx1"/>
                  </w14:solidFill>
                </w14:textFill>
              </w:rPr>
            </w:pPr>
            <w:r>
              <w:rPr>
                <w:rFonts w:hint="eastAsia" w:ascii="仿宋_GB2312" w:hAnsi="仿宋_GB2312" w:eastAsia="仿宋_GB2312" w:cs="仿宋_GB2312"/>
                <w:b/>
                <w:bCs/>
                <w:color w:val="000000" w:themeColor="text1"/>
                <w:spacing w:val="12"/>
                <w:sz w:val="21"/>
                <w:szCs w:val="21"/>
                <w:highlight w:val="none"/>
                <w14:textFill>
                  <w14:solidFill>
                    <w14:schemeClr w14:val="tx1"/>
                  </w14:solidFill>
                </w14:textFill>
              </w:rPr>
              <w:t>预判</w:t>
            </w:r>
          </w:p>
        </w:tc>
        <w:tc>
          <w:tcPr>
            <w:tcW w:w="1143" w:type="dxa"/>
            <w:vMerge w:val="restart"/>
            <w:tcBorders>
              <w:bottom w:val="nil"/>
            </w:tcBorders>
            <w:vAlign w:val="center"/>
          </w:tcPr>
          <w:p>
            <w:pPr>
              <w:pStyle w:val="16"/>
              <w:keepNext w:val="0"/>
              <w:keepLines w:val="0"/>
              <w:pageBreakBefore w:val="0"/>
              <w:widowControl w:val="0"/>
              <w:kinsoku/>
              <w:wordWrap/>
              <w:overflowPunct/>
              <w:topLinePunct w:val="0"/>
              <w:autoSpaceDE/>
              <w:autoSpaceDN/>
              <w:bidi w:val="0"/>
              <w:adjustRightInd/>
              <w:snapToGrid/>
              <w:spacing w:before="110" w:line="240" w:lineRule="exact"/>
              <w:ind w:left="127"/>
              <w:jc w:val="both"/>
              <w:textAlignment w:val="auto"/>
              <w:rPr>
                <w:rFonts w:hint="eastAsia" w:ascii="仿宋_GB2312" w:hAnsi="仿宋_GB2312" w:eastAsia="仿宋_GB2312" w:cs="仿宋_GB2312"/>
                <w:b/>
                <w:bCs/>
                <w:color w:val="000000" w:themeColor="text1"/>
                <w:sz w:val="21"/>
                <w:szCs w:val="21"/>
                <w:highlight w:val="none"/>
                <w14:textFill>
                  <w14:solidFill>
                    <w14:schemeClr w14:val="tx1"/>
                  </w14:solidFill>
                </w14:textFill>
              </w:rPr>
            </w:pPr>
            <w:r>
              <w:rPr>
                <w:rFonts w:hint="eastAsia" w:ascii="仿宋_GB2312" w:hAnsi="仿宋_GB2312" w:eastAsia="仿宋_GB2312" w:cs="仿宋_GB2312"/>
                <w:b/>
                <w:bCs/>
                <w:color w:val="000000" w:themeColor="text1"/>
                <w:spacing w:val="9"/>
                <w:sz w:val="21"/>
                <w:szCs w:val="21"/>
                <w:highlight w:val="none"/>
                <w14:textFill>
                  <w14:solidFill>
                    <w14:schemeClr w14:val="tx1"/>
                  </w14:solidFill>
                </w14:textFill>
              </w:rPr>
              <w:t>涉及</w:t>
            </w:r>
            <w:r>
              <w:rPr>
                <w:rFonts w:hint="eastAsia" w:ascii="仿宋_GB2312" w:hAnsi="仿宋_GB2312" w:eastAsia="仿宋_GB2312" w:cs="仿宋_GB2312"/>
                <w:b/>
                <w:bCs/>
                <w:color w:val="000000" w:themeColor="text1"/>
                <w:spacing w:val="7"/>
                <w:sz w:val="21"/>
                <w:szCs w:val="21"/>
                <w:highlight w:val="none"/>
                <w14:textFill>
                  <w14:solidFill>
                    <w14:schemeClr w14:val="tx1"/>
                  </w14:solidFill>
                </w14:textFill>
              </w:rPr>
              <w:t>条款</w:t>
            </w:r>
          </w:p>
        </w:tc>
        <w:tc>
          <w:tcPr>
            <w:tcW w:w="1256" w:type="dxa"/>
            <w:vMerge w:val="restart"/>
            <w:tcBorders>
              <w:bottom w:val="nil"/>
            </w:tcBorders>
            <w:vAlign w:val="center"/>
          </w:tcPr>
          <w:p>
            <w:pPr>
              <w:pStyle w:val="16"/>
              <w:keepNext w:val="0"/>
              <w:keepLines w:val="0"/>
              <w:pageBreakBefore w:val="0"/>
              <w:widowControl w:val="0"/>
              <w:kinsoku/>
              <w:wordWrap/>
              <w:overflowPunct/>
              <w:topLinePunct w:val="0"/>
              <w:autoSpaceDE/>
              <w:autoSpaceDN/>
              <w:bidi w:val="0"/>
              <w:adjustRightInd/>
              <w:snapToGrid/>
              <w:spacing w:before="137" w:line="240" w:lineRule="exact"/>
              <w:ind w:left="247" w:right="64" w:hanging="160"/>
              <w:jc w:val="both"/>
              <w:textAlignment w:val="auto"/>
              <w:rPr>
                <w:rFonts w:hint="eastAsia" w:ascii="仿宋_GB2312" w:hAnsi="仿宋_GB2312" w:eastAsia="仿宋_GB2312" w:cs="仿宋_GB2312"/>
                <w:b/>
                <w:bCs/>
                <w:color w:val="000000" w:themeColor="text1"/>
                <w:sz w:val="21"/>
                <w:szCs w:val="21"/>
                <w:highlight w:val="none"/>
                <w:lang w:eastAsia="zh-CN"/>
                <w14:textFill>
                  <w14:solidFill>
                    <w14:schemeClr w14:val="tx1"/>
                  </w14:solidFill>
                </w14:textFill>
              </w:rPr>
            </w:pPr>
            <w:r>
              <w:rPr>
                <w:rFonts w:hint="eastAsia" w:ascii="仿宋_GB2312" w:hAnsi="仿宋_GB2312" w:eastAsia="仿宋_GB2312" w:cs="仿宋_GB2312"/>
                <w:b/>
                <w:bCs/>
                <w:color w:val="000000" w:themeColor="text1"/>
                <w:spacing w:val="3"/>
                <w:sz w:val="21"/>
                <w:szCs w:val="21"/>
                <w:highlight w:val="none"/>
                <w14:textFill>
                  <w14:solidFill>
                    <w14:schemeClr w14:val="tx1"/>
                  </w14:solidFill>
                </w14:textFill>
              </w:rPr>
              <w:t>对应</w:t>
            </w:r>
            <w:r>
              <w:rPr>
                <w:rFonts w:hint="eastAsia" w:ascii="仿宋_GB2312" w:hAnsi="仿宋_GB2312" w:eastAsia="仿宋_GB2312" w:cs="仿宋_GB2312"/>
                <w:b/>
                <w:bCs/>
                <w:color w:val="000000" w:themeColor="text1"/>
                <w:spacing w:val="3"/>
                <w:sz w:val="21"/>
                <w:szCs w:val="21"/>
                <w:highlight w:val="none"/>
                <w:lang w:eastAsia="zh-CN"/>
                <w14:textFill>
                  <w14:solidFill>
                    <w14:schemeClr w14:val="tx1"/>
                  </w14:solidFill>
                </w14:textFill>
              </w:rPr>
              <w:t>表现</w:t>
            </w:r>
          </w:p>
        </w:tc>
        <w:tc>
          <w:tcPr>
            <w:tcW w:w="1513" w:type="dxa"/>
            <w:vMerge w:val="restart"/>
            <w:tcBorders>
              <w:bottom w:val="nil"/>
            </w:tcBorders>
            <w:vAlign w:val="center"/>
          </w:tcPr>
          <w:p>
            <w:pPr>
              <w:pStyle w:val="16"/>
              <w:keepNext w:val="0"/>
              <w:keepLines w:val="0"/>
              <w:pageBreakBefore w:val="0"/>
              <w:widowControl w:val="0"/>
              <w:kinsoku/>
              <w:wordWrap/>
              <w:overflowPunct/>
              <w:topLinePunct w:val="0"/>
              <w:autoSpaceDE/>
              <w:autoSpaceDN/>
              <w:bidi w:val="0"/>
              <w:adjustRightInd/>
              <w:snapToGrid/>
              <w:spacing w:before="148" w:line="240" w:lineRule="exact"/>
              <w:ind w:left="140"/>
              <w:jc w:val="both"/>
              <w:textAlignment w:val="auto"/>
              <w:rPr>
                <w:rFonts w:hint="eastAsia" w:ascii="仿宋_GB2312" w:hAnsi="仿宋_GB2312" w:eastAsia="仿宋_GB2312" w:cs="仿宋_GB2312"/>
                <w:b/>
                <w:bCs/>
                <w:color w:val="000000" w:themeColor="text1"/>
                <w:sz w:val="21"/>
                <w:szCs w:val="21"/>
                <w:highlight w:val="none"/>
                <w14:textFill>
                  <w14:solidFill>
                    <w14:schemeClr w14:val="tx1"/>
                  </w14:solidFill>
                </w14:textFill>
              </w:rPr>
            </w:pPr>
            <w:r>
              <w:rPr>
                <w:rFonts w:hint="eastAsia" w:ascii="仿宋_GB2312" w:hAnsi="仿宋_GB2312" w:eastAsia="仿宋_GB2312" w:cs="仿宋_GB2312"/>
                <w:b/>
                <w:bCs/>
                <w:color w:val="000000" w:themeColor="text1"/>
                <w:spacing w:val="8"/>
                <w:sz w:val="21"/>
                <w:szCs w:val="21"/>
                <w:highlight w:val="none"/>
                <w14:textFill>
                  <w14:solidFill>
                    <w14:schemeClr w14:val="tx1"/>
                  </w14:solidFill>
                </w14:textFill>
              </w:rPr>
              <w:t>完善</w:t>
            </w:r>
            <w:r>
              <w:rPr>
                <w:rFonts w:hint="eastAsia" w:ascii="仿宋_GB2312" w:hAnsi="仿宋_GB2312" w:eastAsia="仿宋_GB2312" w:cs="仿宋_GB2312"/>
                <w:b/>
                <w:bCs/>
                <w:color w:val="000000" w:themeColor="text1"/>
                <w:spacing w:val="7"/>
                <w:sz w:val="21"/>
                <w:szCs w:val="21"/>
                <w:highlight w:val="none"/>
                <w14:textFill>
                  <w14:solidFill>
                    <w14:schemeClr w14:val="tx1"/>
                  </w14:solidFill>
                </w14:textFill>
              </w:rPr>
              <w:t>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8" w:hRule="atLeast"/>
        </w:trPr>
        <w:tc>
          <w:tcPr>
            <w:tcW w:w="4066"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375" w:type="dxa"/>
            <w:vAlign w:val="center"/>
          </w:tcPr>
          <w:p>
            <w:pPr>
              <w:pStyle w:val="16"/>
              <w:keepNext w:val="0"/>
              <w:keepLines w:val="0"/>
              <w:pageBreakBefore w:val="0"/>
              <w:widowControl w:val="0"/>
              <w:kinsoku/>
              <w:wordWrap/>
              <w:overflowPunct/>
              <w:topLinePunct w:val="0"/>
              <w:autoSpaceDE/>
              <w:autoSpaceDN/>
              <w:bidi w:val="0"/>
              <w:adjustRightInd/>
              <w:snapToGrid/>
              <w:spacing w:before="94" w:line="240" w:lineRule="exact"/>
              <w:ind w:left="186"/>
              <w:jc w:val="both"/>
              <w:textAlignment w:val="auto"/>
              <w:rPr>
                <w:rFonts w:hint="eastAsia" w:ascii="仿宋_GB2312" w:hAnsi="仿宋_GB2312" w:eastAsia="仿宋_GB2312" w:cs="仿宋_GB2312"/>
                <w:b/>
                <w:bCs/>
                <w:color w:val="000000" w:themeColor="text1"/>
                <w:sz w:val="21"/>
                <w:szCs w:val="21"/>
                <w:highlight w:val="none"/>
                <w14:textFill>
                  <w14:solidFill>
                    <w14:schemeClr w14:val="tx1"/>
                  </w14:solidFill>
                </w14:textFill>
              </w:rPr>
            </w:pPr>
            <w:r>
              <w:rPr>
                <w:rFonts w:hint="eastAsia" w:ascii="仿宋_GB2312" w:hAnsi="仿宋_GB2312" w:eastAsia="仿宋_GB2312" w:cs="仿宋_GB2312"/>
                <w:b/>
                <w:bCs/>
                <w:color w:val="000000" w:themeColor="text1"/>
                <w:sz w:val="21"/>
                <w:szCs w:val="21"/>
                <w:highlight w:val="none"/>
                <w14:textFill>
                  <w14:solidFill>
                    <w14:schemeClr w14:val="tx1"/>
                  </w14:solidFill>
                </w14:textFill>
              </w:rPr>
              <w:t>否</w:t>
            </w:r>
          </w:p>
        </w:tc>
        <w:tc>
          <w:tcPr>
            <w:tcW w:w="480" w:type="dxa"/>
            <w:vAlign w:val="center"/>
          </w:tcPr>
          <w:p>
            <w:pPr>
              <w:pStyle w:val="16"/>
              <w:keepNext w:val="0"/>
              <w:keepLines w:val="0"/>
              <w:pageBreakBefore w:val="0"/>
              <w:widowControl w:val="0"/>
              <w:kinsoku/>
              <w:wordWrap/>
              <w:overflowPunct/>
              <w:topLinePunct w:val="0"/>
              <w:autoSpaceDE/>
              <w:autoSpaceDN/>
              <w:bidi w:val="0"/>
              <w:adjustRightInd/>
              <w:snapToGrid/>
              <w:spacing w:before="100" w:line="240" w:lineRule="exact"/>
              <w:ind w:left="147"/>
              <w:jc w:val="both"/>
              <w:textAlignment w:val="auto"/>
              <w:rPr>
                <w:rFonts w:hint="eastAsia" w:ascii="仿宋_GB2312" w:hAnsi="仿宋_GB2312" w:eastAsia="仿宋_GB2312" w:cs="仿宋_GB2312"/>
                <w:b/>
                <w:bCs/>
                <w:color w:val="000000" w:themeColor="text1"/>
                <w:sz w:val="21"/>
                <w:szCs w:val="21"/>
                <w:highlight w:val="none"/>
                <w14:textFill>
                  <w14:solidFill>
                    <w14:schemeClr w14:val="tx1"/>
                  </w14:solidFill>
                </w14:textFill>
              </w:rPr>
            </w:pPr>
            <w:r>
              <w:rPr>
                <w:rFonts w:hint="eastAsia" w:ascii="仿宋_GB2312" w:hAnsi="仿宋_GB2312" w:eastAsia="仿宋_GB2312" w:cs="仿宋_GB2312"/>
                <w:b/>
                <w:bCs/>
                <w:color w:val="000000" w:themeColor="text1"/>
                <w:sz w:val="21"/>
                <w:szCs w:val="21"/>
                <w:highlight w:val="none"/>
                <w14:textFill>
                  <w14:solidFill>
                    <w14:schemeClr w14:val="tx1"/>
                  </w14:solidFill>
                </w14:textFill>
              </w:rPr>
              <w:t>是</w:t>
            </w:r>
          </w:p>
        </w:tc>
        <w:tc>
          <w:tcPr>
            <w:tcW w:w="1143"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256"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513"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4066" w:type="dxa"/>
            <w:vAlign w:val="top"/>
          </w:tcPr>
          <w:p>
            <w:pPr>
              <w:pStyle w:val="16"/>
              <w:keepNext w:val="0"/>
              <w:keepLines w:val="0"/>
              <w:pageBreakBefore w:val="0"/>
              <w:widowControl w:val="0"/>
              <w:kinsoku/>
              <w:wordWrap/>
              <w:overflowPunct/>
              <w:topLinePunct w:val="0"/>
              <w:autoSpaceDE/>
              <w:autoSpaceDN/>
              <w:bidi w:val="0"/>
              <w:adjustRightInd/>
              <w:snapToGrid/>
              <w:spacing w:before="123" w:line="240" w:lineRule="exact"/>
              <w:ind w:right="150"/>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1.该</w:t>
            </w:r>
            <w:r>
              <w:rPr>
                <w:rFonts w:hint="eastAsia" w:ascii="仿宋_GB2312" w:hAnsi="仿宋_GB2312" w:eastAsia="仿宋_GB2312" w:cs="仿宋_GB2312"/>
                <w:color w:val="000000" w:themeColor="text1"/>
                <w:spacing w:val="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是否可能导致人群传染病</w:t>
            </w:r>
            <w:r>
              <w:rPr>
                <w:rFonts w:hint="eastAsia" w:ascii="仿宋_GB2312" w:hAnsi="仿宋_GB2312" w:eastAsia="仿宋_GB2312" w:cs="仿宋_GB2312"/>
                <w:color w:val="000000" w:themeColor="text1"/>
                <w:sz w:val="21"/>
                <w:szCs w:val="21"/>
                <w:highlight w:val="none"/>
                <w14:textFill>
                  <w14:solidFill>
                    <w14:schemeClr w14:val="tx1"/>
                  </w14:solidFill>
                </w14:textFill>
              </w:rPr>
              <w:t>和感染性疾病的发生发展?</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48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1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25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51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6" w:hRule="atLeast"/>
        </w:trPr>
        <w:tc>
          <w:tcPr>
            <w:tcW w:w="4066" w:type="dxa"/>
            <w:vAlign w:val="top"/>
          </w:tcPr>
          <w:p>
            <w:pPr>
              <w:pStyle w:val="16"/>
              <w:keepNext w:val="0"/>
              <w:keepLines w:val="0"/>
              <w:pageBreakBefore w:val="0"/>
              <w:widowControl w:val="0"/>
              <w:kinsoku/>
              <w:wordWrap/>
              <w:overflowPunct/>
              <w:topLinePunct w:val="0"/>
              <w:autoSpaceDE/>
              <w:autoSpaceDN/>
              <w:bidi w:val="0"/>
              <w:adjustRightInd/>
              <w:snapToGrid/>
              <w:spacing w:before="143"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2.该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是否可能加剧人群心脑血管疾病、癌症、慢性呼吸系统疾病、糖尿病等重</w:t>
            </w:r>
            <w:r>
              <w:rPr>
                <w:rFonts w:hint="eastAsia" w:ascii="仿宋_GB2312" w:hAnsi="仿宋_GB2312" w:eastAsia="仿宋_GB2312" w:cs="仿宋_GB2312"/>
                <w:color w:val="000000" w:themeColor="text1"/>
                <w:spacing w:val="7"/>
                <w:sz w:val="21"/>
                <w:szCs w:val="21"/>
                <w:highlight w:val="none"/>
                <w14:textFill>
                  <w14:solidFill>
                    <w14:schemeClr w14:val="tx1"/>
                  </w14:solidFill>
                </w14:textFill>
              </w:rPr>
              <w:t>点慢性病的发生发展?</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48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1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25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51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54" w:hRule="atLeast"/>
        </w:trPr>
        <w:tc>
          <w:tcPr>
            <w:tcW w:w="4066" w:type="dxa"/>
            <w:vAlign w:val="top"/>
          </w:tcPr>
          <w:p>
            <w:pPr>
              <w:pStyle w:val="16"/>
              <w:keepNext w:val="0"/>
              <w:keepLines w:val="0"/>
              <w:pageBreakBefore w:val="0"/>
              <w:widowControl w:val="0"/>
              <w:kinsoku/>
              <w:wordWrap/>
              <w:overflowPunct/>
              <w:topLinePunct w:val="0"/>
              <w:autoSpaceDE/>
              <w:autoSpaceDN/>
              <w:bidi w:val="0"/>
              <w:adjustRightInd/>
              <w:snapToGrid/>
              <w:spacing w:before="106" w:line="240" w:lineRule="exact"/>
              <w:ind w:left="53" w:hanging="49"/>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3.该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是否可能增加职业病危害、</w:t>
            </w:r>
            <w:r>
              <w:rPr>
                <w:rFonts w:hint="eastAsia" w:ascii="仿宋_GB2312" w:hAnsi="仿宋_GB2312" w:eastAsia="仿宋_GB2312" w:cs="仿宋_GB2312"/>
                <w:color w:val="000000" w:themeColor="text1"/>
                <w:spacing w:val="-7"/>
                <w:sz w:val="21"/>
                <w:szCs w:val="21"/>
                <w:highlight w:val="none"/>
                <w14:textFill>
                  <w14:solidFill>
                    <w14:schemeClr w14:val="tx1"/>
                  </w14:solidFill>
                </w14:textFill>
              </w:rPr>
              <w:t>人群中毒、故意和非故意伤害发生的风险?</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48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1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25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51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4066" w:type="dxa"/>
            <w:vAlign w:val="top"/>
          </w:tcPr>
          <w:p>
            <w:pPr>
              <w:pStyle w:val="16"/>
              <w:keepNext w:val="0"/>
              <w:keepLines w:val="0"/>
              <w:pageBreakBefore w:val="0"/>
              <w:widowControl w:val="0"/>
              <w:kinsoku/>
              <w:wordWrap/>
              <w:overflowPunct/>
              <w:topLinePunct w:val="0"/>
              <w:autoSpaceDE/>
              <w:autoSpaceDN/>
              <w:bidi w:val="0"/>
              <w:adjustRightInd/>
              <w:snapToGrid/>
              <w:spacing w:before="127"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4.该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是否可能增加其他突发公共卫生事件发生风险，以及各类突发事件衍生公</w:t>
            </w:r>
            <w:r>
              <w:rPr>
                <w:rFonts w:hint="eastAsia" w:ascii="仿宋_GB2312" w:hAnsi="仿宋_GB2312" w:eastAsia="仿宋_GB2312" w:cs="仿宋_GB2312"/>
                <w:color w:val="000000" w:themeColor="text1"/>
                <w:spacing w:val="7"/>
                <w:sz w:val="21"/>
                <w:szCs w:val="21"/>
                <w:highlight w:val="none"/>
                <w14:textFill>
                  <w14:solidFill>
                    <w14:schemeClr w14:val="tx1"/>
                  </w14:solidFill>
                </w14:textFill>
              </w:rPr>
              <w:t>共卫生事件风险?</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48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1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25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51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5" w:hRule="atLeast"/>
        </w:trPr>
        <w:tc>
          <w:tcPr>
            <w:tcW w:w="4066" w:type="dxa"/>
            <w:vAlign w:val="top"/>
          </w:tcPr>
          <w:p>
            <w:pPr>
              <w:pStyle w:val="16"/>
              <w:keepNext w:val="0"/>
              <w:keepLines w:val="0"/>
              <w:pageBreakBefore w:val="0"/>
              <w:widowControl w:val="0"/>
              <w:kinsoku/>
              <w:wordWrap/>
              <w:overflowPunct/>
              <w:topLinePunct w:val="0"/>
              <w:autoSpaceDE/>
              <w:autoSpaceDN/>
              <w:bidi w:val="0"/>
              <w:adjustRightInd/>
              <w:snapToGrid/>
              <w:spacing w:before="126" w:line="240" w:lineRule="exact"/>
              <w:ind w:right="159"/>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5.该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是否可能对人口高质量发</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展带来不利影响?</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48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1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25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51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4066" w:type="dxa"/>
            <w:vAlign w:val="top"/>
          </w:tcPr>
          <w:p>
            <w:pPr>
              <w:pStyle w:val="16"/>
              <w:keepNext w:val="0"/>
              <w:keepLines w:val="0"/>
              <w:pageBreakBefore w:val="0"/>
              <w:widowControl w:val="0"/>
              <w:kinsoku/>
              <w:wordWrap/>
              <w:overflowPunct/>
              <w:topLinePunct w:val="0"/>
              <w:autoSpaceDE/>
              <w:autoSpaceDN/>
              <w:bidi w:val="0"/>
              <w:adjustRightInd/>
              <w:snapToGrid/>
              <w:spacing w:before="169"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6.该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是否可能对空气质量、饮</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用水、食品和环境卫生等健康环境带来不利</w:t>
            </w:r>
            <w:r>
              <w:rPr>
                <w:rFonts w:hint="eastAsia" w:ascii="仿宋_GB2312" w:hAnsi="仿宋_GB2312" w:eastAsia="仿宋_GB2312" w:cs="仿宋_GB2312"/>
                <w:color w:val="000000" w:themeColor="text1"/>
                <w:spacing w:val="3"/>
                <w:sz w:val="21"/>
                <w:szCs w:val="21"/>
                <w:highlight w:val="none"/>
                <w14:textFill>
                  <w14:solidFill>
                    <w14:schemeClr w14:val="tx1"/>
                  </w14:solidFill>
                </w14:textFill>
              </w:rPr>
              <w:t>影响?</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48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1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25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51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4066" w:type="dxa"/>
            <w:vAlign w:val="top"/>
          </w:tcPr>
          <w:p>
            <w:pPr>
              <w:pStyle w:val="16"/>
              <w:keepNext w:val="0"/>
              <w:keepLines w:val="0"/>
              <w:pageBreakBefore w:val="0"/>
              <w:widowControl w:val="0"/>
              <w:kinsoku/>
              <w:wordWrap/>
              <w:overflowPunct/>
              <w:topLinePunct w:val="0"/>
              <w:autoSpaceDE/>
              <w:autoSpaceDN/>
              <w:bidi w:val="0"/>
              <w:adjustRightInd/>
              <w:snapToGrid/>
              <w:spacing w:before="127" w:line="240" w:lineRule="exact"/>
              <w:ind w:right="158"/>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7.该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是否可能对社会心理健康带来不利影响?</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48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1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25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51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5" w:hRule="atLeast"/>
        </w:trPr>
        <w:tc>
          <w:tcPr>
            <w:tcW w:w="4066" w:type="dxa"/>
            <w:vAlign w:val="top"/>
          </w:tcPr>
          <w:p>
            <w:pPr>
              <w:pStyle w:val="16"/>
              <w:keepNext w:val="0"/>
              <w:keepLines w:val="0"/>
              <w:pageBreakBefore w:val="0"/>
              <w:widowControl w:val="0"/>
              <w:kinsoku/>
              <w:wordWrap/>
              <w:overflowPunct/>
              <w:topLinePunct w:val="0"/>
              <w:autoSpaceDE/>
              <w:autoSpaceDN/>
              <w:bidi w:val="0"/>
              <w:adjustRightInd/>
              <w:snapToGrid/>
              <w:spacing w:before="98" w:line="240" w:lineRule="exact"/>
              <w:ind w:right="160"/>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8.该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是否可能对健康生活方式和行为养成带来不利影响?</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48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1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25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51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066" w:type="dxa"/>
            <w:vAlign w:val="top"/>
          </w:tcPr>
          <w:p>
            <w:pPr>
              <w:pStyle w:val="16"/>
              <w:keepNext w:val="0"/>
              <w:keepLines w:val="0"/>
              <w:pageBreakBefore w:val="0"/>
              <w:widowControl w:val="0"/>
              <w:kinsoku/>
              <w:wordWrap/>
              <w:overflowPunct/>
              <w:topLinePunct w:val="0"/>
              <w:autoSpaceDE/>
              <w:autoSpaceDN/>
              <w:bidi w:val="0"/>
              <w:adjustRightInd/>
              <w:snapToGrid/>
              <w:spacing w:before="119" w:line="240" w:lineRule="exact"/>
              <w:ind w:right="159"/>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9.该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是否可能对卫生健康投入</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保障和医疗保险水平提升带来不利影响?</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48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1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25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51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4066" w:type="dxa"/>
            <w:vAlign w:val="top"/>
          </w:tcPr>
          <w:p>
            <w:pPr>
              <w:pStyle w:val="16"/>
              <w:keepNext w:val="0"/>
              <w:keepLines w:val="0"/>
              <w:pageBreakBefore w:val="0"/>
              <w:widowControl w:val="0"/>
              <w:kinsoku/>
              <w:wordWrap/>
              <w:overflowPunct/>
              <w:topLinePunct w:val="0"/>
              <w:autoSpaceDE/>
              <w:autoSpaceDN/>
              <w:bidi w:val="0"/>
              <w:adjustRightInd/>
              <w:snapToGrid/>
              <w:spacing w:before="152" w:line="240" w:lineRule="exact"/>
              <w:ind w:right="78"/>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10.该</w:t>
            </w:r>
            <w:r>
              <w:rPr>
                <w:rFonts w:hint="eastAsia" w:ascii="仿宋_GB2312" w:hAnsi="仿宋_GB2312" w:eastAsia="仿宋_GB2312" w:cs="仿宋_GB2312"/>
                <w:color w:val="000000" w:themeColor="text1"/>
                <w:spacing w:val="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是否可能对医疗</w:t>
            </w:r>
            <w:r>
              <w:rPr>
                <w:rFonts w:hint="eastAsia" w:ascii="仿宋_GB2312" w:hAnsi="仿宋_GB2312" w:eastAsia="仿宋_GB2312" w:cs="仿宋_GB2312"/>
                <w:color w:val="000000" w:themeColor="text1"/>
                <w:sz w:val="21"/>
                <w:szCs w:val="21"/>
                <w:highlight w:val="none"/>
                <w14:textFill>
                  <w14:solidFill>
                    <w14:schemeClr w14:val="tx1"/>
                  </w14:solidFill>
                </w14:textFill>
              </w:rPr>
              <w:t>卫生服务资源合理配置带来不利影响?</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48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1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25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51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0" w:hRule="atLeast"/>
        </w:trPr>
        <w:tc>
          <w:tcPr>
            <w:tcW w:w="4066" w:type="dxa"/>
            <w:vAlign w:val="top"/>
          </w:tcPr>
          <w:p>
            <w:pPr>
              <w:pStyle w:val="16"/>
              <w:keepNext w:val="0"/>
              <w:keepLines w:val="0"/>
              <w:pageBreakBefore w:val="0"/>
              <w:widowControl w:val="0"/>
              <w:kinsoku/>
              <w:wordWrap/>
              <w:overflowPunct/>
              <w:topLinePunct w:val="0"/>
              <w:autoSpaceDE/>
              <w:autoSpaceDN/>
              <w:bidi w:val="0"/>
              <w:adjustRightInd/>
              <w:snapToGrid/>
              <w:spacing w:before="129" w:line="240" w:lineRule="exact"/>
              <w:ind w:right="78"/>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11.该</w:t>
            </w:r>
            <w:r>
              <w:rPr>
                <w:rFonts w:hint="eastAsia" w:ascii="仿宋_GB2312" w:hAnsi="仿宋_GB2312" w:eastAsia="仿宋_GB2312" w:cs="仿宋_GB2312"/>
                <w:color w:val="000000" w:themeColor="text1"/>
                <w:spacing w:val="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是否可能对医疗</w:t>
            </w:r>
            <w:r>
              <w:rPr>
                <w:rFonts w:hint="eastAsia" w:ascii="仿宋_GB2312" w:hAnsi="仿宋_GB2312" w:eastAsia="仿宋_GB2312" w:cs="仿宋_GB2312"/>
                <w:color w:val="000000" w:themeColor="text1"/>
                <w:sz w:val="21"/>
                <w:szCs w:val="21"/>
                <w:highlight w:val="none"/>
                <w14:textFill>
                  <w14:solidFill>
                    <w14:schemeClr w14:val="tx1"/>
                  </w14:solidFill>
                </w14:textFill>
              </w:rPr>
              <w:t>卫生服务质量安全和利用带来不利影响?</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48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1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25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51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4066" w:type="dxa"/>
            <w:vAlign w:val="top"/>
          </w:tcPr>
          <w:p>
            <w:pPr>
              <w:pStyle w:val="16"/>
              <w:keepNext w:val="0"/>
              <w:keepLines w:val="0"/>
              <w:pageBreakBefore w:val="0"/>
              <w:widowControl w:val="0"/>
              <w:kinsoku/>
              <w:wordWrap/>
              <w:overflowPunct/>
              <w:topLinePunct w:val="0"/>
              <w:autoSpaceDE/>
              <w:autoSpaceDN/>
              <w:bidi w:val="0"/>
              <w:adjustRightInd/>
              <w:snapToGrid/>
              <w:spacing w:before="153" w:line="240" w:lineRule="exact"/>
              <w:ind w:right="78"/>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12.该</w:t>
            </w:r>
            <w:r>
              <w:rPr>
                <w:rFonts w:hint="eastAsia" w:ascii="仿宋_GB2312" w:hAnsi="仿宋_GB2312" w:eastAsia="仿宋_GB2312" w:cs="仿宋_GB2312"/>
                <w:color w:val="000000" w:themeColor="text1"/>
                <w:spacing w:val="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是否可能对医疗</w:t>
            </w:r>
            <w:r>
              <w:rPr>
                <w:rFonts w:hint="eastAsia" w:ascii="仿宋_GB2312" w:hAnsi="仿宋_GB2312" w:eastAsia="仿宋_GB2312" w:cs="仿宋_GB2312"/>
                <w:color w:val="000000" w:themeColor="text1"/>
                <w:sz w:val="21"/>
                <w:szCs w:val="21"/>
                <w:highlight w:val="none"/>
                <w14:textFill>
                  <w14:solidFill>
                    <w14:schemeClr w14:val="tx1"/>
                  </w14:solidFill>
                </w14:textFill>
              </w:rPr>
              <w:t>卫生服务公平性可及性带来不利影响?</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48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1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25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51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4" w:hRule="atLeast"/>
        </w:trPr>
        <w:tc>
          <w:tcPr>
            <w:tcW w:w="4066" w:type="dxa"/>
            <w:vAlign w:val="top"/>
          </w:tcPr>
          <w:p>
            <w:pPr>
              <w:pStyle w:val="16"/>
              <w:keepNext w:val="0"/>
              <w:keepLines w:val="0"/>
              <w:pageBreakBefore w:val="0"/>
              <w:widowControl w:val="0"/>
              <w:kinsoku/>
              <w:wordWrap/>
              <w:overflowPunct/>
              <w:topLinePunct w:val="0"/>
              <w:autoSpaceDE/>
              <w:autoSpaceDN/>
              <w:bidi w:val="0"/>
              <w:adjustRightInd/>
              <w:snapToGrid/>
              <w:spacing w:before="114"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13.地方重点关注的其它问题：</w:t>
            </w:r>
          </w:p>
        </w:tc>
        <w:tc>
          <w:tcPr>
            <w:tcW w:w="375"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480"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1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25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151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8833" w:type="dxa"/>
            <w:gridSpan w:val="6"/>
            <w:vAlign w:val="top"/>
          </w:tcPr>
          <w:p>
            <w:pPr>
              <w:pStyle w:val="16"/>
              <w:keepNext w:val="0"/>
              <w:keepLines w:val="0"/>
              <w:pageBreakBefore w:val="0"/>
              <w:widowControl w:val="0"/>
              <w:kinsoku/>
              <w:wordWrap/>
              <w:overflowPunct/>
              <w:topLinePunct w:val="0"/>
              <w:autoSpaceDE/>
              <w:autoSpaceDN/>
              <w:bidi w:val="0"/>
              <w:adjustRightInd/>
              <w:snapToGrid/>
              <w:spacing w:before="130" w:line="240" w:lineRule="exact"/>
              <w:ind w:left="65"/>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color w:val="000000" w:themeColor="text1"/>
                <w:spacing w:val="2"/>
                <w:position w:val="1"/>
                <w:sz w:val="21"/>
                <w:szCs w:val="21"/>
                <w:highlight w:val="none"/>
                <w14:textFill>
                  <w14:solidFill>
                    <w14:schemeClr w14:val="tx1"/>
                  </w14:solidFill>
                </w14:textFill>
              </w:rPr>
              <w:t>是否</w:t>
            </w:r>
            <w:r>
              <w:rPr>
                <w:rFonts w:hint="eastAsia" w:ascii="仿宋_GB2312" w:hAnsi="仿宋_GB2312" w:eastAsia="仿宋_GB2312" w:cs="仿宋_GB2312"/>
                <w:color w:val="000000" w:themeColor="text1"/>
                <w:spacing w:val="2"/>
                <w:position w:val="1"/>
                <w:sz w:val="21"/>
                <w:szCs w:val="21"/>
                <w:highlight w:val="none"/>
                <w:lang w:eastAsia="zh-CN"/>
                <w14:textFill>
                  <w14:solidFill>
                    <w14:schemeClr w14:val="tx1"/>
                  </w14:solidFill>
                </w14:textFill>
              </w:rPr>
              <w:t>进行</w:t>
            </w:r>
            <w:r>
              <w:rPr>
                <w:rFonts w:hint="eastAsia" w:ascii="仿宋_GB2312" w:hAnsi="仿宋_GB2312" w:eastAsia="仿宋_GB2312" w:cs="仿宋_GB2312"/>
                <w:color w:val="000000" w:themeColor="text1"/>
                <w:spacing w:val="2"/>
                <w:position w:val="1"/>
                <w:sz w:val="21"/>
                <w:szCs w:val="21"/>
                <w:highlight w:val="none"/>
                <w14:textFill>
                  <w14:solidFill>
                    <w14:schemeClr w14:val="tx1"/>
                  </w14:solidFill>
                </w14:textFill>
              </w:rPr>
              <w:t>健康影响评估</w:t>
            </w:r>
            <w:r>
              <w:rPr>
                <w:rFonts w:hint="eastAsia" w:ascii="仿宋_GB2312" w:hAnsi="仿宋_GB2312" w:eastAsia="仿宋_GB2312" w:cs="仿宋_GB2312"/>
                <w:color w:val="000000" w:themeColor="text1"/>
                <w:spacing w:val="2"/>
                <w:position w:val="1"/>
                <w:sz w:val="21"/>
                <w:szCs w:val="21"/>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2"/>
                <w:sz w:val="21"/>
                <w:szCs w:val="21"/>
                <w:highlight w:val="none"/>
                <w14:textFill>
                  <w14:solidFill>
                    <w14:schemeClr w14:val="tx1"/>
                  </w14:solidFill>
                </w14:textFill>
              </w:rPr>
              <w:t>□</w:t>
            </w:r>
            <w:r>
              <w:rPr>
                <w:rFonts w:hint="eastAsia" w:ascii="仿宋_GB2312" w:hAnsi="仿宋_GB2312" w:eastAsia="仿宋_GB2312" w:cs="仿宋_GB2312"/>
                <w:color w:val="000000" w:themeColor="text1"/>
                <w:spacing w:val="2"/>
                <w:sz w:val="21"/>
                <w:szCs w:val="21"/>
                <w:highlight w:val="none"/>
                <w:lang w:eastAsia="zh-CN"/>
                <w14:textFill>
                  <w14:solidFill>
                    <w14:schemeClr w14:val="tx1"/>
                  </w14:solidFill>
                </w14:textFill>
              </w:rPr>
              <w:t>是</w:t>
            </w:r>
            <w:r>
              <w:rPr>
                <w:rFonts w:hint="eastAsia" w:ascii="仿宋_GB2312" w:hAnsi="仿宋_GB2312" w:eastAsia="仿宋_GB2312" w:cs="仿宋_GB2312"/>
                <w:color w:val="000000" w:themeColor="text1"/>
                <w:spacing w:val="2"/>
                <w:sz w:val="21"/>
                <w:szCs w:val="21"/>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2"/>
                <w:sz w:val="21"/>
                <w:szCs w:val="21"/>
                <w:highlight w:val="none"/>
                <w14:textFill>
                  <w14:solidFill>
                    <w14:schemeClr w14:val="tx1"/>
                  </w14:solidFill>
                </w14:textFill>
              </w:rPr>
              <w:t>□</w:t>
            </w:r>
            <w:r>
              <w:rPr>
                <w:rFonts w:hint="eastAsia" w:ascii="仿宋_GB2312" w:hAnsi="仿宋_GB2312" w:eastAsia="仿宋_GB2312" w:cs="仿宋_GB2312"/>
                <w:color w:val="000000" w:themeColor="text1"/>
                <w:spacing w:val="2"/>
                <w:position w:val="-2"/>
                <w:sz w:val="21"/>
                <w:szCs w:val="21"/>
                <w:highlight w:val="none"/>
                <w:lang w:eastAsia="zh-CN"/>
                <w14:textFill>
                  <w14:solidFill>
                    <w14:schemeClr w14:val="tx1"/>
                  </w14:solidFill>
                </w14:textFill>
              </w:rPr>
              <w:t>否</w:t>
            </w:r>
            <w:r>
              <w:rPr>
                <w:rFonts w:hint="eastAsia" w:ascii="仿宋_GB2312" w:hAnsi="仿宋_GB2312" w:eastAsia="仿宋_GB2312" w:cs="仿宋_GB2312"/>
                <w:color w:val="000000" w:themeColor="text1"/>
                <w:spacing w:val="2"/>
                <w:position w:val="-2"/>
                <w:sz w:val="21"/>
                <w:szCs w:val="21"/>
                <w:highlight w:val="none"/>
                <w:lang w:val="en-US" w:eastAsia="zh-CN"/>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8833" w:type="dxa"/>
            <w:gridSpan w:val="6"/>
            <w:vAlign w:val="top"/>
          </w:tcPr>
          <w:p>
            <w:pPr>
              <w:pStyle w:val="16"/>
              <w:keepNext w:val="0"/>
              <w:keepLines w:val="0"/>
              <w:pageBreakBefore w:val="0"/>
              <w:widowControl w:val="0"/>
              <w:kinsoku/>
              <w:wordWrap/>
              <w:overflowPunct/>
              <w:topLinePunct w:val="0"/>
              <w:autoSpaceDE/>
              <w:autoSpaceDN/>
              <w:bidi w:val="0"/>
              <w:adjustRightInd/>
              <w:snapToGrid/>
              <w:spacing w:before="130" w:line="240" w:lineRule="exact"/>
              <w:ind w:left="65"/>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color w:val="000000" w:themeColor="text1"/>
                <w:spacing w:val="9"/>
                <w:sz w:val="21"/>
                <w:szCs w:val="21"/>
                <w:highlight w:val="none"/>
                <w14:textFill>
                  <w14:solidFill>
                    <w14:schemeClr w14:val="tx1"/>
                  </w14:solidFill>
                </w14:textFill>
              </w:rPr>
              <w:t>评估专家(签名)</w:t>
            </w:r>
            <w:r>
              <w:rPr>
                <w:rFonts w:hint="eastAsia" w:ascii="仿宋_GB2312" w:hAnsi="仿宋_GB2312" w:eastAsia="仿宋_GB2312" w:cs="仿宋_GB2312"/>
                <w:color w:val="000000" w:themeColor="text1"/>
                <w:spacing w:val="9"/>
                <w:sz w:val="21"/>
                <w:szCs w:val="21"/>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评估时间</w:t>
            </w:r>
            <w:r>
              <w:rPr>
                <w:rFonts w:hint="eastAsia" w:ascii="仿宋_GB2312" w:hAnsi="仿宋_GB2312" w:eastAsia="仿宋_GB2312" w:cs="仿宋_GB2312"/>
                <w:color w:val="000000" w:themeColor="text1"/>
                <w:spacing w:val="-1"/>
                <w:sz w:val="21"/>
                <w:szCs w:val="21"/>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年</w:t>
            </w:r>
            <w:r>
              <w:rPr>
                <w:rFonts w:hint="eastAsia" w:ascii="仿宋_GB2312" w:hAnsi="仿宋_GB2312" w:eastAsia="仿宋_GB2312" w:cs="仿宋_GB2312"/>
                <w:color w:val="000000" w:themeColor="text1"/>
                <w:spacing w:val="-1"/>
                <w:sz w:val="21"/>
                <w:szCs w:val="21"/>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月</w:t>
            </w:r>
            <w:r>
              <w:rPr>
                <w:rFonts w:hint="eastAsia" w:ascii="仿宋_GB2312" w:hAnsi="仿宋_GB2312" w:eastAsia="仿宋_GB2312" w:cs="仿宋_GB2312"/>
                <w:color w:val="000000" w:themeColor="text1"/>
                <w:spacing w:val="-1"/>
                <w:sz w:val="21"/>
                <w:szCs w:val="21"/>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1"/>
                <w:position w:val="-1"/>
                <w:sz w:val="21"/>
                <w:szCs w:val="21"/>
                <w:highlight w:val="none"/>
                <w14:textFill>
                  <w14:solidFill>
                    <w14:schemeClr w14:val="tx1"/>
                  </w14:solidFill>
                </w14:textFill>
              </w:rPr>
              <w:t>日</w:t>
            </w:r>
          </w:p>
        </w:tc>
      </w:tr>
    </w:tbl>
    <w:p>
      <w:pPr>
        <w:keepNext w:val="0"/>
        <w:keepLines w:val="0"/>
        <w:pageBreakBefore w:val="0"/>
        <w:widowControl w:val="0"/>
        <w:kinsoku/>
        <w:overflowPunct/>
        <w:topLinePunct w:val="0"/>
        <w:autoSpaceDE/>
        <w:autoSpaceDN/>
        <w:bidi w:val="0"/>
        <w:spacing w:line="560" w:lineRule="exact"/>
        <w:ind w:firstLine="560" w:firstLineChars="200"/>
        <w:jc w:val="both"/>
        <w:textAlignment w:val="auto"/>
        <w:rPr>
          <w:rFonts w:hint="eastAsia" w:ascii="仿宋_GB2312" w:hAnsi="仿宋_GB2312" w:eastAsia="仿宋_GB2312" w:cs="仿宋_GB2312"/>
          <w:b w:val="0"/>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color w:val="000000" w:themeColor="text1"/>
          <w:sz w:val="28"/>
          <w:szCs w:val="28"/>
          <w:highlight w:val="none"/>
          <w14:textFill>
            <w14:solidFill>
              <w14:schemeClr w14:val="tx1"/>
            </w14:solidFill>
          </w14:textFill>
        </w:rPr>
        <w:t>（健康影响评估专家</w:t>
      </w:r>
      <w:r>
        <w:rPr>
          <w:rFonts w:hint="eastAsia" w:ascii="仿宋_GB2312" w:hAnsi="仿宋_GB2312" w:eastAsia="仿宋_GB2312" w:cs="仿宋_GB2312"/>
          <w:b w:val="0"/>
          <w:bCs/>
          <w:color w:val="000000" w:themeColor="text1"/>
          <w:sz w:val="28"/>
          <w:szCs w:val="28"/>
          <w:highlight w:val="none"/>
          <w:lang w:eastAsia="zh-CN"/>
          <w14:textFill>
            <w14:solidFill>
              <w14:schemeClr w14:val="tx1"/>
            </w14:solidFill>
          </w14:textFill>
        </w:rPr>
        <w:t>个人</w:t>
      </w:r>
      <w:r>
        <w:rPr>
          <w:rFonts w:hint="eastAsia" w:ascii="仿宋_GB2312" w:hAnsi="仿宋_GB2312" w:eastAsia="仿宋_GB2312" w:cs="仿宋_GB2312"/>
          <w:b w:val="0"/>
          <w:bCs/>
          <w:color w:val="000000" w:themeColor="text1"/>
          <w:sz w:val="28"/>
          <w:szCs w:val="28"/>
          <w:highlight w:val="none"/>
          <w14:textFill>
            <w14:solidFill>
              <w14:schemeClr w14:val="tx1"/>
            </w14:solidFill>
          </w14:textFill>
        </w:rPr>
        <w:t>填写）</w:t>
      </w:r>
    </w:p>
    <w:p>
      <w:pPr>
        <w:keepNext w:val="0"/>
        <w:keepLines w:val="0"/>
        <w:pageBreakBefore w:val="0"/>
        <w:widowControl w:val="0"/>
        <w:kinsoku/>
        <w:overflowPunct/>
        <w:topLinePunct w:val="0"/>
        <w:autoSpaceDE/>
        <w:autoSpaceDN/>
        <w:bidi w:val="0"/>
        <w:spacing w:line="560" w:lineRule="exact"/>
        <w:ind w:firstLine="560" w:firstLineChars="200"/>
        <w:jc w:val="both"/>
        <w:textAlignment w:val="auto"/>
        <w:rPr>
          <w:rFonts w:hint="eastAsia" w:ascii="仿宋_GB2312" w:hAnsi="仿宋_GB2312" w:eastAsia="仿宋_GB2312" w:cs="仿宋_GB2312"/>
          <w:b w:val="0"/>
          <w:bCs/>
          <w:color w:val="000000" w:themeColor="text1"/>
          <w:sz w:val="28"/>
          <w:szCs w:val="28"/>
          <w:highlight w:val="none"/>
          <w:lang w:val="en-US" w:eastAsia="zh-CN"/>
          <w14:textFill>
            <w14:solidFill>
              <w14:schemeClr w14:val="tx1"/>
            </w14:solidFill>
          </w14:textFill>
        </w:rPr>
      </w:pPr>
    </w:p>
    <w:p>
      <w:pPr>
        <w:keepNext w:val="0"/>
        <w:keepLines w:val="0"/>
        <w:pageBreakBefore w:val="0"/>
        <w:widowControl w:val="0"/>
        <w:kinsoku/>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表5-3 健康影响评估专家组意见反馈表</w:t>
      </w:r>
    </w:p>
    <w:p>
      <w:pPr>
        <w:pStyle w:val="11"/>
        <w:jc w:val="both"/>
        <w:rPr>
          <w:rFonts w:hint="default"/>
          <w:color w:val="000000" w:themeColor="text1"/>
          <w:highlight w:val="none"/>
          <w:lang w:val="en-US" w:eastAsia="zh-CN"/>
          <w14:textFill>
            <w14:solidFill>
              <w14:schemeClr w14:val="tx1"/>
            </w14:solidFill>
          </w14:textFill>
        </w:rPr>
      </w:pPr>
    </w:p>
    <w:tbl>
      <w:tblPr>
        <w:tblStyle w:val="9"/>
        <w:tblW w:w="8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700"/>
        <w:gridCol w:w="1480"/>
        <w:gridCol w:w="360"/>
        <w:gridCol w:w="390"/>
        <w:gridCol w:w="1215"/>
        <w:gridCol w:w="1395"/>
        <w:gridCol w:w="1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244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规划/政策/项目</w:t>
            </w:r>
            <w:r>
              <w:rPr>
                <w:rFonts w:hint="eastAsia" w:ascii="仿宋_GB2312" w:hAnsi="仿宋_GB2312" w:eastAsia="仿宋_GB2312" w:cs="仿宋_GB2312"/>
                <w:color w:val="000000" w:themeColor="text1"/>
                <w:sz w:val="24"/>
                <w:szCs w:val="24"/>
                <w:highlight w:val="none"/>
                <w14:textFill>
                  <w14:solidFill>
                    <w14:schemeClr w14:val="tx1"/>
                  </w14:solidFill>
                </w14:textFill>
              </w:rPr>
              <w:t>名称</w:t>
            </w:r>
          </w:p>
        </w:tc>
        <w:tc>
          <w:tcPr>
            <w:tcW w:w="6278"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244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报送部门单位</w:t>
            </w:r>
          </w:p>
        </w:tc>
        <w:tc>
          <w:tcPr>
            <w:tcW w:w="6278"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3921" w:type="dxa"/>
            <w:gridSpan w:val="3"/>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评估内容</w:t>
            </w:r>
          </w:p>
        </w:tc>
        <w:tc>
          <w:tcPr>
            <w:tcW w:w="75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预判</w:t>
            </w:r>
          </w:p>
        </w:tc>
        <w:tc>
          <w:tcPr>
            <w:tcW w:w="121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涉及条款</w:t>
            </w:r>
          </w:p>
        </w:tc>
        <w:tc>
          <w:tcPr>
            <w:tcW w:w="139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对应表现</w:t>
            </w:r>
          </w:p>
        </w:tc>
        <w:tc>
          <w:tcPr>
            <w:tcW w:w="14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完善建议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921"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p>
        </w:tc>
        <w:tc>
          <w:tcPr>
            <w:tcW w:w="36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否</w:t>
            </w:r>
          </w:p>
        </w:tc>
        <w:tc>
          <w:tcPr>
            <w:tcW w:w="39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是</w:t>
            </w:r>
          </w:p>
        </w:tc>
        <w:tc>
          <w:tcPr>
            <w:tcW w:w="121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pStyle w:val="16"/>
              <w:keepNext w:val="0"/>
              <w:keepLines w:val="0"/>
              <w:pageBreakBefore w:val="0"/>
              <w:widowControl w:val="0"/>
              <w:kinsoku/>
              <w:wordWrap/>
              <w:overflowPunct/>
              <w:topLinePunct w:val="0"/>
              <w:autoSpaceDE/>
              <w:autoSpaceDN/>
              <w:bidi w:val="0"/>
              <w:adjustRightInd/>
              <w:snapToGrid/>
              <w:spacing w:before="123" w:line="240" w:lineRule="exact"/>
              <w:ind w:right="150" w:rightChars="0"/>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1.该</w:t>
            </w:r>
            <w:r>
              <w:rPr>
                <w:rFonts w:hint="eastAsia" w:ascii="仿宋_GB2312" w:hAnsi="仿宋_GB2312" w:eastAsia="仿宋_GB2312" w:cs="仿宋_GB2312"/>
                <w:color w:val="000000" w:themeColor="text1"/>
                <w:spacing w:val="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是否可能导致人群传染病</w:t>
            </w:r>
            <w:r>
              <w:rPr>
                <w:rFonts w:hint="eastAsia" w:ascii="仿宋_GB2312" w:hAnsi="仿宋_GB2312" w:eastAsia="仿宋_GB2312" w:cs="仿宋_GB2312"/>
                <w:color w:val="000000" w:themeColor="text1"/>
                <w:sz w:val="21"/>
                <w:szCs w:val="21"/>
                <w:highlight w:val="none"/>
                <w14:textFill>
                  <w14:solidFill>
                    <w14:schemeClr w14:val="tx1"/>
                  </w14:solidFill>
                </w14:textFill>
              </w:rPr>
              <w:t>和感染性疾病的发生发展?</w:t>
            </w: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pStyle w:val="16"/>
              <w:keepNext w:val="0"/>
              <w:keepLines w:val="0"/>
              <w:pageBreakBefore w:val="0"/>
              <w:widowControl w:val="0"/>
              <w:kinsoku/>
              <w:wordWrap/>
              <w:overflowPunct/>
              <w:topLinePunct w:val="0"/>
              <w:autoSpaceDE/>
              <w:autoSpaceDN/>
              <w:bidi w:val="0"/>
              <w:adjustRightInd/>
              <w:snapToGrid/>
              <w:spacing w:before="143" w:line="24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2.该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是否可能加剧人群心脑血管疾病、癌症、慢性呼吸系统疾病、糖尿病等重</w:t>
            </w:r>
            <w:r>
              <w:rPr>
                <w:rFonts w:hint="eastAsia" w:ascii="仿宋_GB2312" w:hAnsi="仿宋_GB2312" w:eastAsia="仿宋_GB2312" w:cs="仿宋_GB2312"/>
                <w:color w:val="000000" w:themeColor="text1"/>
                <w:spacing w:val="7"/>
                <w:sz w:val="21"/>
                <w:szCs w:val="21"/>
                <w:highlight w:val="none"/>
                <w14:textFill>
                  <w14:solidFill>
                    <w14:schemeClr w14:val="tx1"/>
                  </w14:solidFill>
                </w14:textFill>
              </w:rPr>
              <w:t>点慢性病的发生发展?</w:t>
            </w: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pStyle w:val="16"/>
              <w:keepNext w:val="0"/>
              <w:keepLines w:val="0"/>
              <w:pageBreakBefore w:val="0"/>
              <w:widowControl w:val="0"/>
              <w:kinsoku/>
              <w:wordWrap/>
              <w:overflowPunct/>
              <w:topLinePunct w:val="0"/>
              <w:autoSpaceDE/>
              <w:autoSpaceDN/>
              <w:bidi w:val="0"/>
              <w:adjustRightInd/>
              <w:snapToGrid/>
              <w:spacing w:before="106" w:line="240" w:lineRule="exact"/>
              <w:ind w:left="53" w:leftChars="0" w:hanging="49" w:firstLineChars="0"/>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3.该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是否可能增加职业病危害、</w:t>
            </w:r>
            <w:r>
              <w:rPr>
                <w:rFonts w:hint="eastAsia" w:ascii="仿宋_GB2312" w:hAnsi="仿宋_GB2312" w:eastAsia="仿宋_GB2312" w:cs="仿宋_GB2312"/>
                <w:color w:val="000000" w:themeColor="text1"/>
                <w:spacing w:val="-7"/>
                <w:sz w:val="21"/>
                <w:szCs w:val="21"/>
                <w:highlight w:val="none"/>
                <w14:textFill>
                  <w14:solidFill>
                    <w14:schemeClr w14:val="tx1"/>
                  </w14:solidFill>
                </w14:textFill>
              </w:rPr>
              <w:t>人群中毒、故意和非故意伤害发生的风险?</w:t>
            </w: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pStyle w:val="16"/>
              <w:keepNext w:val="0"/>
              <w:keepLines w:val="0"/>
              <w:pageBreakBefore w:val="0"/>
              <w:widowControl w:val="0"/>
              <w:kinsoku/>
              <w:wordWrap/>
              <w:overflowPunct/>
              <w:topLinePunct w:val="0"/>
              <w:autoSpaceDE/>
              <w:autoSpaceDN/>
              <w:bidi w:val="0"/>
              <w:adjustRightInd/>
              <w:snapToGrid/>
              <w:spacing w:before="127" w:line="24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4.该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是否可能增加其他突发公共卫生事件发生风险，以及各类突发事件衍生公</w:t>
            </w:r>
            <w:r>
              <w:rPr>
                <w:rFonts w:hint="eastAsia" w:ascii="仿宋_GB2312" w:hAnsi="仿宋_GB2312" w:eastAsia="仿宋_GB2312" w:cs="仿宋_GB2312"/>
                <w:color w:val="000000" w:themeColor="text1"/>
                <w:spacing w:val="7"/>
                <w:sz w:val="21"/>
                <w:szCs w:val="21"/>
                <w:highlight w:val="none"/>
                <w14:textFill>
                  <w14:solidFill>
                    <w14:schemeClr w14:val="tx1"/>
                  </w14:solidFill>
                </w14:textFill>
              </w:rPr>
              <w:t>共卫生事件风险?</w:t>
            </w: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pStyle w:val="16"/>
              <w:keepNext w:val="0"/>
              <w:keepLines w:val="0"/>
              <w:pageBreakBefore w:val="0"/>
              <w:widowControl w:val="0"/>
              <w:kinsoku/>
              <w:wordWrap/>
              <w:overflowPunct/>
              <w:topLinePunct w:val="0"/>
              <w:autoSpaceDE/>
              <w:autoSpaceDN/>
              <w:bidi w:val="0"/>
              <w:adjustRightInd/>
              <w:snapToGrid/>
              <w:spacing w:before="126" w:line="240" w:lineRule="exact"/>
              <w:ind w:right="159" w:rightChars="0"/>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5.该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是否可能对人口高质量发</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展带来不利影响?</w:t>
            </w: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pStyle w:val="16"/>
              <w:keepNext w:val="0"/>
              <w:keepLines w:val="0"/>
              <w:pageBreakBefore w:val="0"/>
              <w:widowControl w:val="0"/>
              <w:kinsoku/>
              <w:wordWrap/>
              <w:overflowPunct/>
              <w:topLinePunct w:val="0"/>
              <w:autoSpaceDE/>
              <w:autoSpaceDN/>
              <w:bidi w:val="0"/>
              <w:adjustRightInd/>
              <w:snapToGrid/>
              <w:spacing w:before="169" w:line="24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6.该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是否可能对空气质量、饮</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用水、食品和环境卫生等健康环境带来不利</w:t>
            </w:r>
            <w:r>
              <w:rPr>
                <w:rFonts w:hint="eastAsia" w:ascii="仿宋_GB2312" w:hAnsi="仿宋_GB2312" w:eastAsia="仿宋_GB2312" w:cs="仿宋_GB2312"/>
                <w:color w:val="000000" w:themeColor="text1"/>
                <w:spacing w:val="3"/>
                <w:sz w:val="21"/>
                <w:szCs w:val="21"/>
                <w:highlight w:val="none"/>
                <w14:textFill>
                  <w14:solidFill>
                    <w14:schemeClr w14:val="tx1"/>
                  </w14:solidFill>
                </w14:textFill>
              </w:rPr>
              <w:t>影响?</w:t>
            </w: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pStyle w:val="16"/>
              <w:keepNext w:val="0"/>
              <w:keepLines w:val="0"/>
              <w:pageBreakBefore w:val="0"/>
              <w:widowControl w:val="0"/>
              <w:kinsoku/>
              <w:wordWrap/>
              <w:overflowPunct/>
              <w:topLinePunct w:val="0"/>
              <w:autoSpaceDE/>
              <w:autoSpaceDN/>
              <w:bidi w:val="0"/>
              <w:adjustRightInd/>
              <w:snapToGrid/>
              <w:spacing w:before="127" w:line="240" w:lineRule="exact"/>
              <w:ind w:right="158" w:rightChars="0"/>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7.该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是否可能对社会心理健康带来不利影响?</w:t>
            </w: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pStyle w:val="16"/>
              <w:keepNext w:val="0"/>
              <w:keepLines w:val="0"/>
              <w:pageBreakBefore w:val="0"/>
              <w:widowControl w:val="0"/>
              <w:kinsoku/>
              <w:wordWrap/>
              <w:overflowPunct/>
              <w:topLinePunct w:val="0"/>
              <w:autoSpaceDE/>
              <w:autoSpaceDN/>
              <w:bidi w:val="0"/>
              <w:adjustRightInd/>
              <w:snapToGrid/>
              <w:spacing w:before="98" w:line="240" w:lineRule="exact"/>
              <w:ind w:right="160" w:rightChars="0"/>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8.该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是否可能对健康生活方式和行为养成带来不利影响?</w:t>
            </w: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3921" w:type="dxa"/>
            <w:gridSpan w:val="3"/>
            <w:noWrap w:val="0"/>
            <w:vAlign w:val="top"/>
          </w:tcPr>
          <w:p>
            <w:pPr>
              <w:pStyle w:val="16"/>
              <w:keepNext w:val="0"/>
              <w:keepLines w:val="0"/>
              <w:pageBreakBefore w:val="0"/>
              <w:widowControl w:val="0"/>
              <w:kinsoku/>
              <w:wordWrap/>
              <w:overflowPunct/>
              <w:topLinePunct w:val="0"/>
              <w:autoSpaceDE/>
              <w:autoSpaceDN/>
              <w:bidi w:val="0"/>
              <w:adjustRightInd/>
              <w:snapToGrid/>
              <w:spacing w:before="119" w:line="240" w:lineRule="exact"/>
              <w:ind w:right="159" w:rightChars="0"/>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9.该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是否可能对卫生健康投入</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保障和医疗保险水平提升带来不利影响?</w:t>
            </w: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pStyle w:val="16"/>
              <w:keepNext w:val="0"/>
              <w:keepLines w:val="0"/>
              <w:pageBreakBefore w:val="0"/>
              <w:widowControl w:val="0"/>
              <w:kinsoku/>
              <w:wordWrap/>
              <w:overflowPunct/>
              <w:topLinePunct w:val="0"/>
              <w:autoSpaceDE/>
              <w:autoSpaceDN/>
              <w:bidi w:val="0"/>
              <w:adjustRightInd/>
              <w:snapToGrid/>
              <w:spacing w:before="152" w:line="240" w:lineRule="exact"/>
              <w:ind w:right="78" w:rightChars="0"/>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10.该</w:t>
            </w:r>
            <w:r>
              <w:rPr>
                <w:rFonts w:hint="eastAsia" w:ascii="仿宋_GB2312" w:hAnsi="仿宋_GB2312" w:eastAsia="仿宋_GB2312" w:cs="仿宋_GB2312"/>
                <w:color w:val="000000" w:themeColor="text1"/>
                <w:spacing w:val="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是否可能对医疗</w:t>
            </w:r>
            <w:r>
              <w:rPr>
                <w:rFonts w:hint="eastAsia" w:ascii="仿宋_GB2312" w:hAnsi="仿宋_GB2312" w:eastAsia="仿宋_GB2312" w:cs="仿宋_GB2312"/>
                <w:color w:val="000000" w:themeColor="text1"/>
                <w:sz w:val="21"/>
                <w:szCs w:val="21"/>
                <w:highlight w:val="none"/>
                <w14:textFill>
                  <w14:solidFill>
                    <w14:schemeClr w14:val="tx1"/>
                  </w14:solidFill>
                </w14:textFill>
              </w:rPr>
              <w:t>卫生服务资源合理配置带来不利影响?</w:t>
            </w: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3921" w:type="dxa"/>
            <w:gridSpan w:val="3"/>
            <w:noWrap w:val="0"/>
            <w:vAlign w:val="top"/>
          </w:tcPr>
          <w:p>
            <w:pPr>
              <w:pStyle w:val="16"/>
              <w:keepNext w:val="0"/>
              <w:keepLines w:val="0"/>
              <w:pageBreakBefore w:val="0"/>
              <w:widowControl w:val="0"/>
              <w:kinsoku/>
              <w:wordWrap/>
              <w:overflowPunct/>
              <w:topLinePunct w:val="0"/>
              <w:autoSpaceDE/>
              <w:autoSpaceDN/>
              <w:bidi w:val="0"/>
              <w:adjustRightInd/>
              <w:snapToGrid/>
              <w:spacing w:before="129" w:line="240" w:lineRule="exact"/>
              <w:ind w:right="78" w:rightChars="0"/>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11.该</w:t>
            </w:r>
            <w:r>
              <w:rPr>
                <w:rFonts w:hint="eastAsia" w:ascii="仿宋_GB2312" w:hAnsi="仿宋_GB2312" w:eastAsia="仿宋_GB2312" w:cs="仿宋_GB2312"/>
                <w:color w:val="000000" w:themeColor="text1"/>
                <w:spacing w:val="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是否可能对医疗</w:t>
            </w:r>
            <w:r>
              <w:rPr>
                <w:rFonts w:hint="eastAsia" w:ascii="仿宋_GB2312" w:hAnsi="仿宋_GB2312" w:eastAsia="仿宋_GB2312" w:cs="仿宋_GB2312"/>
                <w:color w:val="000000" w:themeColor="text1"/>
                <w:sz w:val="21"/>
                <w:szCs w:val="21"/>
                <w:highlight w:val="none"/>
                <w14:textFill>
                  <w14:solidFill>
                    <w14:schemeClr w14:val="tx1"/>
                  </w14:solidFill>
                </w14:textFill>
              </w:rPr>
              <w:t>卫生服务质量安全和利用带来不利影响?</w:t>
            </w: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pStyle w:val="16"/>
              <w:keepNext w:val="0"/>
              <w:keepLines w:val="0"/>
              <w:pageBreakBefore w:val="0"/>
              <w:widowControl w:val="0"/>
              <w:kinsoku/>
              <w:wordWrap/>
              <w:overflowPunct/>
              <w:topLinePunct w:val="0"/>
              <w:autoSpaceDE/>
              <w:autoSpaceDN/>
              <w:bidi w:val="0"/>
              <w:adjustRightInd/>
              <w:snapToGrid/>
              <w:spacing w:before="153" w:line="240" w:lineRule="exact"/>
              <w:ind w:right="78" w:rightChars="0"/>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12.该</w:t>
            </w:r>
            <w:r>
              <w:rPr>
                <w:rFonts w:hint="eastAsia" w:ascii="仿宋_GB2312" w:hAnsi="仿宋_GB2312" w:eastAsia="仿宋_GB2312" w:cs="仿宋_GB2312"/>
                <w:color w:val="000000" w:themeColor="text1"/>
                <w:spacing w:val="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是否可能对医疗</w:t>
            </w:r>
            <w:r>
              <w:rPr>
                <w:rFonts w:hint="eastAsia" w:ascii="仿宋_GB2312" w:hAnsi="仿宋_GB2312" w:eastAsia="仿宋_GB2312" w:cs="仿宋_GB2312"/>
                <w:color w:val="000000" w:themeColor="text1"/>
                <w:sz w:val="21"/>
                <w:szCs w:val="21"/>
                <w:highlight w:val="none"/>
                <w14:textFill>
                  <w14:solidFill>
                    <w14:schemeClr w14:val="tx1"/>
                  </w14:solidFill>
                </w14:textFill>
              </w:rPr>
              <w:t>卫生服务公平性可及性带来不利影响?</w:t>
            </w: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pStyle w:val="16"/>
              <w:keepNext w:val="0"/>
              <w:keepLines w:val="0"/>
              <w:pageBreakBefore w:val="0"/>
              <w:widowControl w:val="0"/>
              <w:kinsoku/>
              <w:wordWrap/>
              <w:overflowPunct/>
              <w:topLinePunct w:val="0"/>
              <w:autoSpaceDE/>
              <w:autoSpaceDN/>
              <w:bidi w:val="0"/>
              <w:adjustRightInd/>
              <w:snapToGrid/>
              <w:spacing w:before="114" w:line="24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13.地方重点关注的其它问题：</w:t>
            </w: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pStyle w:val="16"/>
              <w:keepNext w:val="0"/>
              <w:keepLines w:val="0"/>
              <w:pageBreakBefore w:val="0"/>
              <w:widowControl w:val="0"/>
              <w:kinsoku/>
              <w:wordWrap/>
              <w:overflowPunct/>
              <w:topLinePunct w:val="0"/>
              <w:autoSpaceDE/>
              <w:autoSpaceDN/>
              <w:bidi w:val="0"/>
              <w:adjustRightInd/>
              <w:snapToGrid/>
              <w:spacing w:before="123" w:line="240" w:lineRule="exact"/>
              <w:ind w:right="150" w:rightChars="0"/>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92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750"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1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395"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38"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8719" w:type="dxa"/>
            <w:gridSpan w:val="8"/>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（内容较多可另附页填写）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共  页  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741"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0" w:firstLineChars="0"/>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color w:val="000000" w:themeColor="text1"/>
                <w:sz w:val="21"/>
                <w:szCs w:val="21"/>
                <w:highlight w:val="none"/>
                <w:lang w:val="en-US" w:eastAsia="zh-CN"/>
                <w14:textFill>
                  <w14:solidFill>
                    <w14:schemeClr w14:val="tx1"/>
                  </w14:solidFill>
                </w14:textFill>
              </w:rPr>
              <w:t>专家组分析评估结果</w:t>
            </w:r>
          </w:p>
        </w:tc>
        <w:tc>
          <w:tcPr>
            <w:tcW w:w="7978" w:type="dxa"/>
            <w:gridSpan w:val="7"/>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b w:val="0"/>
                <w:bCs/>
                <w:color w:val="000000" w:themeColor="text1"/>
                <w:kern w:val="2"/>
                <w:sz w:val="21"/>
                <w:szCs w:val="21"/>
                <w:highlight w:val="none"/>
                <w:lang w:val="en-US" w:eastAsia="zh-CN" w:bidi="ar"/>
                <w14:textFill>
                  <w14:solidFill>
                    <w14:schemeClr w14:val="tx1"/>
                  </w14:solidFill>
                </w14:textFill>
              </w:rPr>
            </w:pPr>
            <w:r>
              <w:rPr>
                <w:rFonts w:hint="eastAsia" w:ascii="仿宋_GB2312" w:hAnsi="仿宋_GB2312" w:eastAsia="仿宋_GB2312" w:cs="仿宋_GB2312"/>
                <w:b w:val="0"/>
                <w:bCs/>
                <w:color w:val="000000" w:themeColor="text1"/>
                <w:kern w:val="2"/>
                <w:sz w:val="21"/>
                <w:szCs w:val="21"/>
                <w:highlight w:val="none"/>
                <w:lang w:val="en-US" w:eastAsia="zh-CN" w:bidi="ar"/>
                <w14:textFill>
                  <w14:solidFill>
                    <w14:schemeClr w14:val="tx1"/>
                  </w14:solidFill>
                </w14:textFill>
              </w:rPr>
              <w:t xml:space="preserve">是否建议通过健康影响评估？  □ 通过     □ 完善后通过    </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color w:val="000000" w:themeColor="text1"/>
                <w:sz w:val="21"/>
                <w:szCs w:val="21"/>
                <w:highlight w:val="none"/>
                <w:lang w:val="en-US" w:eastAsia="zh-CN"/>
                <w14:textFill>
                  <w14:solidFill>
                    <w14:schemeClr w14:val="tx1"/>
                  </w14:solidFill>
                </w14:textFill>
              </w:rPr>
            </w:pPr>
            <w:r>
              <w:rPr>
                <w:rFonts w:hint="eastAsia" w:ascii="仿宋_GB2312" w:hAnsi="仿宋_GB2312" w:eastAsia="仿宋_GB2312" w:cs="仿宋_GB2312"/>
                <w:b w:val="0"/>
                <w:bCs/>
                <w:color w:val="000000" w:themeColor="text1"/>
                <w:kern w:val="2"/>
                <w:sz w:val="21"/>
                <w:szCs w:val="21"/>
                <w:highlight w:val="none"/>
                <w:lang w:val="en-US" w:eastAsia="zh-CN" w:bidi="ar"/>
                <w14:textFill>
                  <w14:solidFill>
                    <w14:schemeClr w14:val="tx1"/>
                  </w14:solidFill>
                </w14:textFill>
              </w:rPr>
              <w:t xml:space="preserve"> □ 不通过（修改后重新提交评估）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5" w:hRule="atLeast"/>
          <w:jc w:val="center"/>
        </w:trPr>
        <w:tc>
          <w:tcPr>
            <w:tcW w:w="741" w:type="dxa"/>
            <w:vMerge w:val="continue"/>
            <w:noWrap w:val="0"/>
            <w:vAlign w:val="top"/>
          </w:tcPr>
          <w:p>
            <w:pPr>
              <w:keepNext w:val="0"/>
              <w:keepLines w:val="0"/>
              <w:pageBreakBefore w:val="0"/>
              <w:widowControl w:val="0"/>
              <w:suppressLineNumbers w:val="0"/>
              <w:kinsoku/>
              <w:overflowPunct/>
              <w:topLinePunct w:val="0"/>
              <w:autoSpaceDE/>
              <w:autoSpaceDN/>
              <w:bidi w:val="0"/>
              <w:spacing w:before="0" w:beforeAutospacing="0" w:after="0" w:afterAutospacing="0" w:line="560" w:lineRule="exact"/>
              <w:ind w:left="0" w:leftChars="0" w:right="0" w:rightChars="0" w:firstLine="0" w:firstLineChars="0"/>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7978" w:type="dxa"/>
            <w:gridSpan w:val="7"/>
            <w:noWrap w:val="0"/>
            <w:vAlign w:val="top"/>
          </w:tcPr>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b w:val="0"/>
                <w:bCs/>
                <w:color w:val="000000" w:themeColor="text1"/>
                <w:kern w:val="2"/>
                <w:sz w:val="21"/>
                <w:szCs w:val="21"/>
                <w:highlight w:val="none"/>
                <w:lang w:val="en-US" w:eastAsia="zh-CN" w:bidi="ar"/>
                <w14:textFill>
                  <w14:solidFill>
                    <w14:schemeClr w14:val="tx1"/>
                  </w14:solidFill>
                </w14:textFill>
              </w:rPr>
            </w:pP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b w:val="0"/>
                <w:bCs/>
                <w:color w:val="000000" w:themeColor="text1"/>
                <w:kern w:val="2"/>
                <w:sz w:val="21"/>
                <w:szCs w:val="21"/>
                <w:highlight w:val="none"/>
                <w:lang w:val="en-US" w:eastAsia="zh-CN" w:bidi="ar"/>
                <w14:textFill>
                  <w14:solidFill>
                    <w14:schemeClr w14:val="tx1"/>
                  </w14:solidFill>
                </w14:textFill>
              </w:rPr>
            </w:pPr>
            <w:r>
              <w:rPr>
                <w:rFonts w:hint="eastAsia" w:ascii="仿宋_GB2312" w:hAnsi="仿宋_GB2312" w:eastAsia="仿宋_GB2312" w:cs="仿宋_GB2312"/>
                <w:b w:val="0"/>
                <w:bCs/>
                <w:color w:val="000000" w:themeColor="text1"/>
                <w:kern w:val="2"/>
                <w:sz w:val="21"/>
                <w:szCs w:val="21"/>
                <w:highlight w:val="none"/>
                <w:lang w:val="en-US" w:eastAsia="zh-CN" w:bidi="ar"/>
                <w14:textFill>
                  <w14:solidFill>
                    <w14:schemeClr w14:val="tx1"/>
                  </w14:solidFill>
                </w14:textFill>
              </w:rPr>
              <w:t>专家组组长（签名）：</w:t>
            </w: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b w:val="0"/>
                <w:bCs/>
                <w:color w:val="000000" w:themeColor="text1"/>
                <w:kern w:val="2"/>
                <w:sz w:val="21"/>
                <w:szCs w:val="21"/>
                <w:highlight w:val="none"/>
                <w:lang w:val="en-US" w:eastAsia="zh-CN" w:bidi="ar"/>
                <w14:textFill>
                  <w14:solidFill>
                    <w14:schemeClr w14:val="tx1"/>
                  </w14:solidFill>
                </w14:textFill>
              </w:rPr>
            </w:pP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b w:val="0"/>
                <w:bCs/>
                <w:color w:val="000000" w:themeColor="text1"/>
                <w:kern w:val="2"/>
                <w:sz w:val="21"/>
                <w:szCs w:val="21"/>
                <w:highlight w:val="none"/>
                <w:lang w:val="en-US" w:eastAsia="zh-CN" w:bidi="ar"/>
                <w14:textFill>
                  <w14:solidFill>
                    <w14:schemeClr w14:val="tx1"/>
                  </w14:solidFill>
                </w14:textFill>
              </w:rPr>
            </w:pPr>
          </w:p>
          <w:p>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b w:val="0"/>
                <w:bCs/>
                <w:color w:val="000000" w:themeColor="text1"/>
                <w:kern w:val="2"/>
                <w:sz w:val="21"/>
                <w:szCs w:val="21"/>
                <w:highlight w:val="none"/>
                <w14:textFill>
                  <w14:solidFill>
                    <w14:schemeClr w14:val="tx1"/>
                  </w14:solidFill>
                </w14:textFill>
              </w:rPr>
            </w:pPr>
            <w:r>
              <w:rPr>
                <w:rFonts w:hint="eastAsia" w:ascii="仿宋_GB2312" w:hAnsi="仿宋_GB2312" w:eastAsia="仿宋_GB2312" w:cs="仿宋_GB2312"/>
                <w:b w:val="0"/>
                <w:bCs/>
                <w:color w:val="000000" w:themeColor="text1"/>
                <w:kern w:val="2"/>
                <w:sz w:val="21"/>
                <w:szCs w:val="21"/>
                <w:highlight w:val="none"/>
                <w:lang w:val="en-US" w:eastAsia="zh-CN" w:bidi="ar"/>
                <w14:textFill>
                  <w14:solidFill>
                    <w14:schemeClr w14:val="tx1"/>
                  </w14:solidFill>
                </w14:textFill>
              </w:rPr>
              <w:t xml:space="preserve">评估专家（签名）：                                                         </w:t>
            </w:r>
          </w:p>
          <w:p>
            <w:pPr>
              <w:keepNext w:val="0"/>
              <w:keepLines w:val="0"/>
              <w:pageBreakBefore w:val="0"/>
              <w:widowControl w:val="0"/>
              <w:kinsoku/>
              <w:overflowPunct/>
              <w:topLinePunct w:val="0"/>
              <w:autoSpaceDE/>
              <w:autoSpaceDN/>
              <w:bidi w:val="0"/>
              <w:spacing w:line="560" w:lineRule="exact"/>
              <w:jc w:val="both"/>
              <w:textAlignment w:val="auto"/>
              <w:rPr>
                <w:rFonts w:hint="eastAsia" w:ascii="仿宋_GB2312" w:hAnsi="仿宋_GB2312" w:eastAsia="仿宋_GB2312" w:cs="仿宋_GB2312"/>
                <w:b w:val="0"/>
                <w:bCs/>
                <w:color w:val="000000" w:themeColor="text1"/>
                <w:kern w:val="2"/>
                <w:sz w:val="21"/>
                <w:szCs w:val="21"/>
                <w:highlight w:val="none"/>
                <w:lang w:val="en-US" w:eastAsia="zh-CN" w:bidi="ar"/>
                <w14:textFill>
                  <w14:solidFill>
                    <w14:schemeClr w14:val="tx1"/>
                  </w14:solidFill>
                </w14:textFill>
              </w:rPr>
            </w:pPr>
          </w:p>
          <w:p>
            <w:pPr>
              <w:keepNext w:val="0"/>
              <w:keepLines w:val="0"/>
              <w:pageBreakBefore w:val="0"/>
              <w:widowControl w:val="0"/>
              <w:kinsoku/>
              <w:overflowPunct/>
              <w:topLinePunct w:val="0"/>
              <w:autoSpaceDE/>
              <w:autoSpaceDN/>
              <w:bidi w:val="0"/>
              <w:spacing w:line="560" w:lineRule="exact"/>
              <w:jc w:val="both"/>
              <w:textAlignment w:val="auto"/>
              <w:rPr>
                <w:rFonts w:hint="eastAsia" w:ascii="仿宋_GB2312" w:hAnsi="仿宋_GB2312" w:eastAsia="仿宋_GB2312" w:cs="仿宋_GB2312"/>
                <w:b w:val="0"/>
                <w:bCs/>
                <w:color w:val="000000" w:themeColor="text1"/>
                <w:kern w:val="2"/>
                <w:sz w:val="21"/>
                <w:szCs w:val="21"/>
                <w:highlight w:val="none"/>
                <w:lang w:val="en-US" w:eastAsia="zh-CN" w:bidi="ar"/>
                <w14:textFill>
                  <w14:solidFill>
                    <w14:schemeClr w14:val="tx1"/>
                  </w14:solidFill>
                </w14:textFill>
              </w:rPr>
            </w:pPr>
          </w:p>
          <w:p>
            <w:pPr>
              <w:keepNext w:val="0"/>
              <w:keepLines w:val="0"/>
              <w:pageBreakBefore w:val="0"/>
              <w:widowControl w:val="0"/>
              <w:kinsoku/>
              <w:overflowPunct/>
              <w:topLinePunct w:val="0"/>
              <w:autoSpaceDE/>
              <w:autoSpaceDN/>
              <w:bidi w:val="0"/>
              <w:spacing w:line="560" w:lineRule="exact"/>
              <w:ind w:firstLine="1260" w:firstLineChars="600"/>
              <w:jc w:val="both"/>
              <w:textAlignment w:val="auto"/>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b w:val="0"/>
                <w:bCs/>
                <w:color w:val="000000" w:themeColor="text1"/>
                <w:kern w:val="2"/>
                <w:sz w:val="21"/>
                <w:szCs w:val="21"/>
                <w:highlight w:val="none"/>
                <w:lang w:val="en-US" w:eastAsia="zh-CN" w:bidi="ar"/>
                <w14:textFill>
                  <w14:solidFill>
                    <w14:schemeClr w14:val="tx1"/>
                  </w14:solidFill>
                </w14:textFill>
              </w:rPr>
              <w:t xml:space="preserve">评估时间：   年   月     日 </w:t>
            </w:r>
          </w:p>
        </w:tc>
      </w:tr>
    </w:tbl>
    <w:p>
      <w:pPr>
        <w:keepNext w:val="0"/>
        <w:keepLines w:val="0"/>
        <w:pageBreakBefore w:val="0"/>
        <w:widowControl w:val="0"/>
        <w:kinsoku/>
        <w:overflowPunct/>
        <w:topLinePunct w:val="0"/>
        <w:autoSpaceDE/>
        <w:autoSpaceDN/>
        <w:bidi w:val="0"/>
        <w:spacing w:line="560" w:lineRule="exact"/>
        <w:ind w:firstLine="560" w:firstLineChars="200"/>
        <w:jc w:val="both"/>
        <w:textAlignment w:val="auto"/>
        <w:rPr>
          <w:rFonts w:hint="eastAsia" w:ascii="仿宋_GB2312" w:hAnsi="仿宋_GB2312" w:eastAsia="仿宋_GB2312" w:cs="仿宋_GB2312"/>
          <w:b w:val="0"/>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bCs/>
          <w:color w:val="000000" w:themeColor="text1"/>
          <w:sz w:val="28"/>
          <w:szCs w:val="28"/>
          <w:highlight w:val="none"/>
          <w14:textFill>
            <w14:solidFill>
              <w14:schemeClr w14:val="tx1"/>
            </w14:solidFill>
          </w14:textFill>
        </w:rPr>
        <w:t>（健康影响评估专家组填写）</w:t>
      </w:r>
    </w:p>
    <w:p>
      <w:pPr>
        <w:keepNext w:val="0"/>
        <w:keepLines w:val="0"/>
        <w:pageBreakBefore w:val="0"/>
        <w:widowControl w:val="0"/>
        <w:kinsoku/>
        <w:overflowPunct/>
        <w:topLinePunct w:val="0"/>
        <w:autoSpaceDE/>
        <w:autoSpaceDN/>
        <w:bidi w:val="0"/>
        <w:spacing w:line="560" w:lineRule="exact"/>
        <w:ind w:firstLine="560" w:firstLineChars="200"/>
        <w:jc w:val="both"/>
        <w:textAlignment w:val="auto"/>
        <w:rPr>
          <w:rFonts w:hint="eastAsia" w:ascii="仿宋_GB2312" w:hAnsi="仿宋_GB2312" w:eastAsia="仿宋_GB2312" w:cs="仿宋_GB2312"/>
          <w:b w:val="0"/>
          <w:bCs/>
          <w:color w:val="000000" w:themeColor="text1"/>
          <w:sz w:val="28"/>
          <w:szCs w:val="28"/>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方正小标宋简体" w:hAnsi="方正小标宋简体" w:eastAsia="方正小标宋简体" w:cs="方正小标宋简体"/>
          <w:b w:val="0"/>
          <w:bCs w:val="0"/>
          <w:snapToGrid w:val="0"/>
          <w:color w:val="000000" w:themeColor="text1"/>
          <w:spacing w:val="0"/>
          <w:kern w:val="0"/>
          <w:sz w:val="44"/>
          <w:szCs w:val="44"/>
          <w:highlight w:val="none"/>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方正小标宋简体" w:hAnsi="方正小标宋简体" w:eastAsia="方正小标宋简体" w:cs="方正小标宋简体"/>
          <w:b w:val="0"/>
          <w:bCs w:val="0"/>
          <w:snapToGrid w:val="0"/>
          <w:color w:val="000000" w:themeColor="text1"/>
          <w:spacing w:val="0"/>
          <w:kern w:val="0"/>
          <w:sz w:val="44"/>
          <w:szCs w:val="44"/>
          <w:highlight w:val="none"/>
          <w:u w:val="none"/>
          <w:lang w:val="en-US" w:eastAsia="zh-CN"/>
          <w14:textFill>
            <w14:solidFill>
              <w14:schemeClr w14:val="tx1"/>
            </w14:solidFill>
          </w14:textFill>
        </w:rPr>
      </w:pPr>
      <w:r>
        <w:rPr>
          <w:rFonts w:hint="eastAsia" w:ascii="方正小标宋简体" w:hAnsi="方正小标宋简体" w:eastAsia="方正小标宋简体" w:cs="方正小标宋简体"/>
          <w:b w:val="0"/>
          <w:bCs w:val="0"/>
          <w:snapToGrid w:val="0"/>
          <w:color w:val="000000" w:themeColor="text1"/>
          <w:spacing w:val="0"/>
          <w:kern w:val="0"/>
          <w:sz w:val="44"/>
          <w:szCs w:val="44"/>
          <w:highlight w:val="none"/>
          <w:u w:val="none"/>
          <w:lang w:val="en-US" w:eastAsia="zh-CN"/>
          <w14:textFill>
            <w14:solidFill>
              <w14:schemeClr w14:val="tx1"/>
            </w14:solidFill>
          </w14:textFill>
        </w:rPr>
        <w:t>表5-4 健康影响评估结果采纳情况备案表</w:t>
      </w:r>
    </w:p>
    <w:p>
      <w:pPr>
        <w:jc w:val="both"/>
        <w:rPr>
          <w:rFonts w:hint="default" w:ascii="Times New Roman" w:hAnsi="Times New Roman" w:cs="Times New Roman"/>
          <w:color w:val="000000" w:themeColor="text1"/>
          <w:highlight w:val="none"/>
          <w:u w:val="none"/>
          <w:lang w:val="en-US" w:eastAsia="zh-CN"/>
          <w14:textFill>
            <w14:solidFill>
              <w14:schemeClr w14:val="tx1"/>
            </w14:solidFill>
          </w14:textFill>
        </w:rPr>
      </w:pPr>
    </w:p>
    <w:tbl>
      <w:tblPr>
        <w:tblStyle w:val="9"/>
        <w:tblW w:w="869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140"/>
        <w:gridCol w:w="1021"/>
        <w:gridCol w:w="445"/>
        <w:gridCol w:w="425"/>
        <w:gridCol w:w="1260"/>
        <w:gridCol w:w="1320"/>
        <w:gridCol w:w="885"/>
        <w:gridCol w:w="660"/>
        <w:gridCol w:w="54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4" w:hRule="atLeast"/>
          <w:jc w:val="center"/>
        </w:trPr>
        <w:tc>
          <w:tcPr>
            <w:tcW w:w="2140" w:type="dxa"/>
            <w:noWrap w:val="0"/>
            <w:vAlign w:val="center"/>
          </w:tcPr>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规划/政策/项目名称</w:t>
            </w:r>
          </w:p>
        </w:tc>
        <w:tc>
          <w:tcPr>
            <w:tcW w:w="6559" w:type="dxa"/>
            <w:gridSpan w:val="8"/>
            <w:noWrap w:val="0"/>
            <w:vAlign w:val="top"/>
          </w:tcPr>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4" w:hRule="atLeast"/>
          <w:jc w:val="center"/>
        </w:trPr>
        <w:tc>
          <w:tcPr>
            <w:tcW w:w="2140" w:type="dxa"/>
            <w:noWrap w:val="0"/>
            <w:vAlign w:val="center"/>
          </w:tcPr>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规划/政策/项目类别</w:t>
            </w:r>
          </w:p>
        </w:tc>
        <w:tc>
          <w:tcPr>
            <w:tcW w:w="6559" w:type="dxa"/>
            <w:gridSpan w:val="8"/>
            <w:noWrap w:val="0"/>
            <w:vAlign w:val="center"/>
          </w:tcPr>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sym w:font="Wingdings 2" w:char="00A3"/>
            </w:r>
            <w:r>
              <w:rPr>
                <w:rFonts w:hint="eastAsia" w:ascii="仿宋_GB2312" w:hAnsi="仿宋_GB2312" w:eastAsia="仿宋_GB2312" w:cs="仿宋_GB2312"/>
                <w:snapToGrid w:val="0"/>
                <w:color w:val="000000" w:themeColor="text1"/>
                <w:spacing w:val="0"/>
                <w:kern w:val="0"/>
                <w:sz w:val="21"/>
                <w:szCs w:val="21"/>
                <w:highlight w:val="none"/>
                <w:u w:val="none"/>
                <w:lang w:val="zh-TW" w:eastAsia="zh-CN" w:bidi="zh-CN"/>
                <w14:textFill>
                  <w14:solidFill>
                    <w14:schemeClr w14:val="tx1"/>
                  </w14:solidFill>
                </w14:textFill>
              </w:rPr>
              <w:t>政府发布</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 xml:space="preserve">       </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TW"/>
                <w14:textFill>
                  <w14:solidFill>
                    <w14:schemeClr w14:val="tx1"/>
                  </w14:solidFill>
                </w14:textFill>
              </w:rPr>
              <w:t xml:space="preserve">  </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sym w:font="Wingdings 2" w:char="00A3"/>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 xml:space="preserve">部门发布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4" w:hRule="atLeast"/>
          <w:jc w:val="center"/>
        </w:trPr>
        <w:tc>
          <w:tcPr>
            <w:tcW w:w="2140" w:type="dxa"/>
            <w:noWrap w:val="0"/>
            <w:vAlign w:val="center"/>
          </w:tcPr>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起草</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/申请部门</w:t>
            </w:r>
          </w:p>
        </w:tc>
        <w:tc>
          <w:tcPr>
            <w:tcW w:w="6559" w:type="dxa"/>
            <w:gridSpan w:val="8"/>
            <w:noWrap w:val="0"/>
            <w:vAlign w:val="top"/>
          </w:tcPr>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4" w:hRule="atLeast"/>
          <w:jc w:val="center"/>
        </w:trPr>
        <w:tc>
          <w:tcPr>
            <w:tcW w:w="2140" w:type="dxa"/>
            <w:noWrap w:val="0"/>
            <w:vAlign w:val="center"/>
          </w:tcPr>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受理</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备案部门</w:t>
            </w:r>
          </w:p>
        </w:tc>
        <w:tc>
          <w:tcPr>
            <w:tcW w:w="6559" w:type="dxa"/>
            <w:gridSpan w:val="8"/>
            <w:noWrap w:val="0"/>
            <w:vAlign w:val="center"/>
          </w:tcPr>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sym w:font="Wingdings 2" w:char="00A3"/>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本级卫生健康主管部门</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 xml:space="preserve">        </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sym w:font="Wingdings 2" w:char="00A3"/>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本部门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7" w:hRule="atLeast"/>
          <w:jc w:val="center"/>
        </w:trPr>
        <w:tc>
          <w:tcPr>
            <w:tcW w:w="2140" w:type="dxa"/>
            <w:noWrap w:val="0"/>
            <w:vAlign w:val="center"/>
          </w:tcPr>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专家组审核确认结论</w:t>
            </w:r>
          </w:p>
        </w:tc>
        <w:tc>
          <w:tcPr>
            <w:tcW w:w="6559" w:type="dxa"/>
            <w:gridSpan w:val="8"/>
            <w:noWrap w:val="0"/>
            <w:vAlign w:val="top"/>
          </w:tcPr>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sym w:font="Wingdings 2" w:char="00A3"/>
            </w:r>
            <w:r>
              <w:rPr>
                <w:rFonts w:hint="eastAsia" w:ascii="仿宋_GB2312" w:hAnsi="仿宋_GB2312" w:eastAsia="仿宋_GB2312" w:cs="仿宋_GB2312"/>
                <w:snapToGrid w:val="0"/>
                <w:color w:val="000000" w:themeColor="text1"/>
                <w:spacing w:val="0"/>
                <w:kern w:val="0"/>
                <w:sz w:val="21"/>
                <w:szCs w:val="21"/>
                <w:highlight w:val="none"/>
                <w:u w:val="none"/>
                <w:lang w:val="zh-TW" w:eastAsia="zh-CN" w:bidi="zh-CN"/>
                <w14:textFill>
                  <w14:solidFill>
                    <w14:schemeClr w14:val="tx1"/>
                  </w14:solidFill>
                </w14:textFill>
              </w:rPr>
              <w:t>通过审核</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 xml:space="preserve">               </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sym w:font="Wingdings 2" w:char="00A3"/>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未通过审核</w:t>
            </w:r>
          </w:p>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日期：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82" w:hRule="atLeast"/>
          <w:jc w:val="center"/>
        </w:trPr>
        <w:tc>
          <w:tcPr>
            <w:tcW w:w="8699" w:type="dxa"/>
            <w:gridSpan w:val="9"/>
            <w:noWrap w:val="0"/>
            <w:vAlign w:val="center"/>
          </w:tcPr>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健康影响评</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估</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意见采纳情况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9" w:hRule="atLeast"/>
          <w:jc w:val="center"/>
        </w:trPr>
        <w:tc>
          <w:tcPr>
            <w:tcW w:w="3161" w:type="dxa"/>
            <w:gridSpan w:val="2"/>
            <w:vMerge w:val="restart"/>
            <w:tcBorders>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问题</w:t>
            </w:r>
          </w:p>
        </w:tc>
        <w:tc>
          <w:tcPr>
            <w:tcW w:w="870" w:type="dxa"/>
            <w:gridSpan w:val="2"/>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预判</w:t>
            </w:r>
          </w:p>
        </w:tc>
        <w:tc>
          <w:tcPr>
            <w:tcW w:w="1260" w:type="dxa"/>
            <w:vMerge w:val="restart"/>
            <w:tcBorders>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涉及条款</w:t>
            </w:r>
          </w:p>
        </w:tc>
        <w:tc>
          <w:tcPr>
            <w:tcW w:w="1320" w:type="dxa"/>
            <w:vMerge w:val="restart"/>
            <w:tcBorders>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对应表现</w:t>
            </w:r>
          </w:p>
        </w:tc>
        <w:tc>
          <w:tcPr>
            <w:tcW w:w="885" w:type="dxa"/>
            <w:vMerge w:val="restart"/>
            <w:tcBorders>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完善建议</w:t>
            </w:r>
          </w:p>
        </w:tc>
        <w:tc>
          <w:tcPr>
            <w:tcW w:w="1203" w:type="dxa"/>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采纳</w:t>
            </w:r>
          </w:p>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10" w:hRule="atLeast"/>
          <w:jc w:val="center"/>
        </w:trPr>
        <w:tc>
          <w:tcPr>
            <w:tcW w:w="3161" w:type="dxa"/>
            <w:gridSpan w:val="2"/>
            <w:vMerge w:val="continue"/>
            <w:tcBorders>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445"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否</w:t>
            </w:r>
          </w:p>
        </w:tc>
        <w:tc>
          <w:tcPr>
            <w:tcW w:w="425"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是</w:t>
            </w:r>
          </w:p>
        </w:tc>
        <w:tc>
          <w:tcPr>
            <w:tcW w:w="1260" w:type="dxa"/>
            <w:vMerge w:val="continue"/>
            <w:tcBorders>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320" w:type="dxa"/>
            <w:vMerge w:val="continue"/>
            <w:tcBorders>
              <w:top w:val="nil"/>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85" w:type="dxa"/>
            <w:vMerge w:val="continue"/>
            <w:tcBorders>
              <w:top w:val="nil"/>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66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t>是</w:t>
            </w:r>
          </w:p>
        </w:tc>
        <w:tc>
          <w:tcPr>
            <w:tcW w:w="54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t>否（理由）</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0" w:hRule="atLeast"/>
          <w:jc w:val="center"/>
        </w:trPr>
        <w:tc>
          <w:tcPr>
            <w:tcW w:w="3161" w:type="dxa"/>
            <w:gridSpan w:val="2"/>
            <w:tcBorders>
              <w:right w:val="single" w:color="auto" w:sz="4" w:space="0"/>
            </w:tcBorders>
            <w:noWrap w:val="0"/>
            <w:vAlign w:val="top"/>
          </w:tcPr>
          <w:p>
            <w:pPr>
              <w:pStyle w:val="16"/>
              <w:keepNext w:val="0"/>
              <w:keepLines w:val="0"/>
              <w:pageBreakBefore w:val="0"/>
              <w:widowControl w:val="0"/>
              <w:kinsoku/>
              <w:wordWrap/>
              <w:overflowPunct/>
              <w:topLinePunct w:val="0"/>
              <w:autoSpaceDE/>
              <w:autoSpaceDN/>
              <w:bidi w:val="0"/>
              <w:adjustRightInd/>
              <w:snapToGrid/>
              <w:spacing w:before="123" w:line="240" w:lineRule="exact"/>
              <w:ind w:right="150" w:rightChars="0"/>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1.该</w:t>
            </w:r>
            <w:r>
              <w:rPr>
                <w:rFonts w:hint="eastAsia" w:ascii="仿宋_GB2312" w:hAnsi="仿宋_GB2312" w:eastAsia="仿宋_GB2312" w:cs="仿宋_GB2312"/>
                <w:color w:val="000000" w:themeColor="text1"/>
                <w:spacing w:val="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是否可能导致人群传染病</w:t>
            </w:r>
            <w:r>
              <w:rPr>
                <w:rFonts w:hint="eastAsia" w:ascii="仿宋_GB2312" w:hAnsi="仿宋_GB2312" w:eastAsia="仿宋_GB2312" w:cs="仿宋_GB2312"/>
                <w:color w:val="000000" w:themeColor="text1"/>
                <w:sz w:val="21"/>
                <w:szCs w:val="21"/>
                <w:highlight w:val="none"/>
                <w14:textFill>
                  <w14:solidFill>
                    <w14:schemeClr w14:val="tx1"/>
                  </w14:solidFill>
                </w14:textFill>
              </w:rPr>
              <w:t>和感染性疾病的发生发展?</w:t>
            </w:r>
          </w:p>
        </w:tc>
        <w:tc>
          <w:tcPr>
            <w:tcW w:w="87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60" w:type="dxa"/>
            <w:tcBorders>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320" w:type="dxa"/>
            <w:tcBorders>
              <w:top w:val="nil"/>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85" w:type="dxa"/>
            <w:tcBorders>
              <w:top w:val="nil"/>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66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c>
          <w:tcPr>
            <w:tcW w:w="54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0" w:hRule="atLeast"/>
          <w:jc w:val="center"/>
        </w:trPr>
        <w:tc>
          <w:tcPr>
            <w:tcW w:w="3161" w:type="dxa"/>
            <w:gridSpan w:val="2"/>
            <w:tcBorders>
              <w:right w:val="single" w:color="auto" w:sz="4" w:space="0"/>
            </w:tcBorders>
            <w:noWrap w:val="0"/>
            <w:vAlign w:val="top"/>
          </w:tcPr>
          <w:p>
            <w:pPr>
              <w:pStyle w:val="16"/>
              <w:keepNext w:val="0"/>
              <w:keepLines w:val="0"/>
              <w:pageBreakBefore w:val="0"/>
              <w:widowControl w:val="0"/>
              <w:kinsoku/>
              <w:wordWrap/>
              <w:overflowPunct/>
              <w:topLinePunct w:val="0"/>
              <w:autoSpaceDE/>
              <w:autoSpaceDN/>
              <w:bidi w:val="0"/>
              <w:adjustRightInd/>
              <w:snapToGrid/>
              <w:spacing w:before="143"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2.该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是否可能加剧人群心脑血管疾病、癌症、慢性呼吸系统疾病、糖尿病等重</w:t>
            </w:r>
            <w:r>
              <w:rPr>
                <w:rFonts w:hint="eastAsia" w:ascii="仿宋_GB2312" w:hAnsi="仿宋_GB2312" w:eastAsia="仿宋_GB2312" w:cs="仿宋_GB2312"/>
                <w:color w:val="000000" w:themeColor="text1"/>
                <w:spacing w:val="7"/>
                <w:sz w:val="21"/>
                <w:szCs w:val="21"/>
                <w:highlight w:val="none"/>
                <w14:textFill>
                  <w14:solidFill>
                    <w14:schemeClr w14:val="tx1"/>
                  </w14:solidFill>
                </w14:textFill>
              </w:rPr>
              <w:t>点慢性病的发生发展?</w:t>
            </w:r>
          </w:p>
        </w:tc>
        <w:tc>
          <w:tcPr>
            <w:tcW w:w="87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60" w:type="dxa"/>
            <w:tcBorders>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320" w:type="dxa"/>
            <w:tcBorders>
              <w:top w:val="nil"/>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85" w:type="dxa"/>
            <w:tcBorders>
              <w:top w:val="nil"/>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66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c>
          <w:tcPr>
            <w:tcW w:w="54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0" w:hRule="atLeast"/>
          <w:jc w:val="center"/>
        </w:trPr>
        <w:tc>
          <w:tcPr>
            <w:tcW w:w="3161" w:type="dxa"/>
            <w:gridSpan w:val="2"/>
            <w:tcBorders>
              <w:right w:val="single" w:color="auto" w:sz="4" w:space="0"/>
            </w:tcBorders>
            <w:noWrap w:val="0"/>
            <w:vAlign w:val="top"/>
          </w:tcPr>
          <w:p>
            <w:pPr>
              <w:pStyle w:val="16"/>
              <w:keepNext w:val="0"/>
              <w:keepLines w:val="0"/>
              <w:pageBreakBefore w:val="0"/>
              <w:widowControl w:val="0"/>
              <w:kinsoku/>
              <w:wordWrap/>
              <w:overflowPunct/>
              <w:topLinePunct w:val="0"/>
              <w:autoSpaceDE/>
              <w:autoSpaceDN/>
              <w:bidi w:val="0"/>
              <w:adjustRightInd/>
              <w:snapToGrid/>
              <w:spacing w:before="106" w:line="240" w:lineRule="exact"/>
              <w:ind w:left="53" w:leftChars="0" w:hanging="49" w:firstLineChars="0"/>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3.该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是否可能增加职业病危害、</w:t>
            </w:r>
            <w:r>
              <w:rPr>
                <w:rFonts w:hint="eastAsia" w:ascii="仿宋_GB2312" w:hAnsi="仿宋_GB2312" w:eastAsia="仿宋_GB2312" w:cs="仿宋_GB2312"/>
                <w:color w:val="000000" w:themeColor="text1"/>
                <w:spacing w:val="-7"/>
                <w:sz w:val="21"/>
                <w:szCs w:val="21"/>
                <w:highlight w:val="none"/>
                <w14:textFill>
                  <w14:solidFill>
                    <w14:schemeClr w14:val="tx1"/>
                  </w14:solidFill>
                </w14:textFill>
              </w:rPr>
              <w:t>人群中毒、故意和非故意伤害发生的风险?</w:t>
            </w:r>
          </w:p>
        </w:tc>
        <w:tc>
          <w:tcPr>
            <w:tcW w:w="87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60" w:type="dxa"/>
            <w:tcBorders>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320" w:type="dxa"/>
            <w:tcBorders>
              <w:top w:val="nil"/>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85" w:type="dxa"/>
            <w:tcBorders>
              <w:top w:val="nil"/>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66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c>
          <w:tcPr>
            <w:tcW w:w="54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0" w:hRule="atLeast"/>
          <w:jc w:val="center"/>
        </w:trPr>
        <w:tc>
          <w:tcPr>
            <w:tcW w:w="3161" w:type="dxa"/>
            <w:gridSpan w:val="2"/>
            <w:tcBorders>
              <w:right w:val="single" w:color="auto" w:sz="4" w:space="0"/>
            </w:tcBorders>
            <w:noWrap w:val="0"/>
            <w:vAlign w:val="top"/>
          </w:tcPr>
          <w:p>
            <w:pPr>
              <w:pStyle w:val="16"/>
              <w:keepNext w:val="0"/>
              <w:keepLines w:val="0"/>
              <w:pageBreakBefore w:val="0"/>
              <w:widowControl w:val="0"/>
              <w:kinsoku/>
              <w:wordWrap/>
              <w:overflowPunct/>
              <w:topLinePunct w:val="0"/>
              <w:autoSpaceDE/>
              <w:autoSpaceDN/>
              <w:bidi w:val="0"/>
              <w:adjustRightInd/>
              <w:snapToGrid/>
              <w:spacing w:before="127"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4.该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是否可能增加其他突发公共卫生事件发生风险，以及各类突发事件衍生公</w:t>
            </w:r>
            <w:r>
              <w:rPr>
                <w:rFonts w:hint="eastAsia" w:ascii="仿宋_GB2312" w:hAnsi="仿宋_GB2312" w:eastAsia="仿宋_GB2312" w:cs="仿宋_GB2312"/>
                <w:color w:val="000000" w:themeColor="text1"/>
                <w:spacing w:val="7"/>
                <w:sz w:val="21"/>
                <w:szCs w:val="21"/>
                <w:highlight w:val="none"/>
                <w14:textFill>
                  <w14:solidFill>
                    <w14:schemeClr w14:val="tx1"/>
                  </w14:solidFill>
                </w14:textFill>
              </w:rPr>
              <w:t>共卫生事件风险?</w:t>
            </w:r>
          </w:p>
        </w:tc>
        <w:tc>
          <w:tcPr>
            <w:tcW w:w="87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60" w:type="dxa"/>
            <w:tcBorders>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320" w:type="dxa"/>
            <w:tcBorders>
              <w:top w:val="nil"/>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85" w:type="dxa"/>
            <w:tcBorders>
              <w:top w:val="nil"/>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66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c>
          <w:tcPr>
            <w:tcW w:w="54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0" w:hRule="atLeast"/>
          <w:jc w:val="center"/>
        </w:trPr>
        <w:tc>
          <w:tcPr>
            <w:tcW w:w="3161" w:type="dxa"/>
            <w:gridSpan w:val="2"/>
            <w:tcBorders>
              <w:right w:val="single" w:color="auto" w:sz="4" w:space="0"/>
            </w:tcBorders>
            <w:noWrap w:val="0"/>
            <w:vAlign w:val="top"/>
          </w:tcPr>
          <w:p>
            <w:pPr>
              <w:pStyle w:val="16"/>
              <w:keepNext w:val="0"/>
              <w:keepLines w:val="0"/>
              <w:pageBreakBefore w:val="0"/>
              <w:widowControl w:val="0"/>
              <w:kinsoku/>
              <w:wordWrap/>
              <w:overflowPunct/>
              <w:topLinePunct w:val="0"/>
              <w:autoSpaceDE/>
              <w:autoSpaceDN/>
              <w:bidi w:val="0"/>
              <w:adjustRightInd/>
              <w:snapToGrid/>
              <w:spacing w:before="126" w:line="240" w:lineRule="exact"/>
              <w:ind w:right="159" w:rightChars="0"/>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5.该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是否可能对人口高质量发</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展带来不利影响?</w:t>
            </w:r>
          </w:p>
        </w:tc>
        <w:tc>
          <w:tcPr>
            <w:tcW w:w="87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60" w:type="dxa"/>
            <w:tcBorders>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320" w:type="dxa"/>
            <w:tcBorders>
              <w:top w:val="nil"/>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85" w:type="dxa"/>
            <w:tcBorders>
              <w:top w:val="nil"/>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66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c>
          <w:tcPr>
            <w:tcW w:w="54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0" w:hRule="atLeast"/>
          <w:jc w:val="center"/>
        </w:trPr>
        <w:tc>
          <w:tcPr>
            <w:tcW w:w="3161" w:type="dxa"/>
            <w:gridSpan w:val="2"/>
            <w:tcBorders>
              <w:bottom w:val="single" w:color="auto" w:sz="8" w:space="0"/>
              <w:right w:val="single" w:color="auto" w:sz="4" w:space="0"/>
            </w:tcBorders>
            <w:noWrap w:val="0"/>
            <w:vAlign w:val="top"/>
          </w:tcPr>
          <w:p>
            <w:pPr>
              <w:pStyle w:val="16"/>
              <w:keepNext w:val="0"/>
              <w:keepLines w:val="0"/>
              <w:pageBreakBefore w:val="0"/>
              <w:widowControl w:val="0"/>
              <w:kinsoku/>
              <w:wordWrap/>
              <w:overflowPunct/>
              <w:topLinePunct w:val="0"/>
              <w:autoSpaceDE/>
              <w:autoSpaceDN/>
              <w:bidi w:val="0"/>
              <w:adjustRightInd/>
              <w:snapToGrid/>
              <w:spacing w:before="169"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6.该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是否可能对空气质量、饮</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用水、食品和环境卫生等健康环境带来不利</w:t>
            </w:r>
            <w:r>
              <w:rPr>
                <w:rFonts w:hint="eastAsia" w:ascii="仿宋_GB2312" w:hAnsi="仿宋_GB2312" w:eastAsia="仿宋_GB2312" w:cs="仿宋_GB2312"/>
                <w:color w:val="000000" w:themeColor="text1"/>
                <w:spacing w:val="3"/>
                <w:sz w:val="21"/>
                <w:szCs w:val="21"/>
                <w:highlight w:val="none"/>
                <w14:textFill>
                  <w14:solidFill>
                    <w14:schemeClr w14:val="tx1"/>
                  </w14:solidFill>
                </w14:textFill>
              </w:rPr>
              <w:t>影响?</w:t>
            </w:r>
          </w:p>
        </w:tc>
        <w:tc>
          <w:tcPr>
            <w:tcW w:w="870" w:type="dxa"/>
            <w:gridSpan w:val="2"/>
            <w:tcBorders>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60" w:type="dxa"/>
            <w:tcBorders>
              <w:left w:val="single" w:color="auto" w:sz="4" w:space="0"/>
              <w:bottom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320" w:type="dxa"/>
            <w:tcBorders>
              <w:top w:val="nil"/>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85" w:type="dxa"/>
            <w:tcBorders>
              <w:top w:val="nil"/>
              <w:left w:val="single" w:color="auto" w:sz="4" w:space="0"/>
              <w:bottom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660" w:type="dxa"/>
            <w:tcBorders>
              <w:bottom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c>
          <w:tcPr>
            <w:tcW w:w="543" w:type="dxa"/>
            <w:tcBorders>
              <w:bottom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0" w:hRule="atLeast"/>
          <w:jc w:val="center"/>
        </w:trPr>
        <w:tc>
          <w:tcPr>
            <w:tcW w:w="3161" w:type="dxa"/>
            <w:gridSpan w:val="2"/>
            <w:tcBorders>
              <w:top w:val="single" w:color="auto" w:sz="8" w:space="0"/>
              <w:bottom w:val="single" w:color="auto" w:sz="8" w:space="0"/>
              <w:right w:val="single" w:color="auto" w:sz="8" w:space="0"/>
            </w:tcBorders>
            <w:noWrap w:val="0"/>
            <w:vAlign w:val="top"/>
          </w:tcPr>
          <w:p>
            <w:pPr>
              <w:pStyle w:val="16"/>
              <w:keepNext w:val="0"/>
              <w:keepLines w:val="0"/>
              <w:pageBreakBefore w:val="0"/>
              <w:widowControl w:val="0"/>
              <w:kinsoku/>
              <w:wordWrap/>
              <w:overflowPunct/>
              <w:topLinePunct w:val="0"/>
              <w:autoSpaceDE/>
              <w:autoSpaceDN/>
              <w:bidi w:val="0"/>
              <w:adjustRightInd/>
              <w:snapToGrid/>
              <w:spacing w:before="127" w:line="240" w:lineRule="exact"/>
              <w:ind w:right="158" w:rightChars="0"/>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7.该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是否可能对社会心理健康带来不利影响?</w:t>
            </w:r>
          </w:p>
        </w:tc>
        <w:tc>
          <w:tcPr>
            <w:tcW w:w="870" w:type="dxa"/>
            <w:gridSpan w:val="2"/>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60"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320"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85"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660"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c>
          <w:tcPr>
            <w:tcW w:w="543" w:type="dxa"/>
            <w:tcBorders>
              <w:top w:val="single" w:color="auto" w:sz="8" w:space="0"/>
              <w:left w:val="single" w:color="auto" w:sz="8" w:space="0"/>
              <w:bottom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0" w:hRule="atLeast"/>
          <w:jc w:val="center"/>
        </w:trPr>
        <w:tc>
          <w:tcPr>
            <w:tcW w:w="3161" w:type="dxa"/>
            <w:gridSpan w:val="2"/>
            <w:tcBorders>
              <w:top w:val="single" w:color="auto" w:sz="8" w:space="0"/>
              <w:bottom w:val="single" w:color="auto" w:sz="8" w:space="0"/>
              <w:right w:val="single" w:color="auto" w:sz="8" w:space="0"/>
            </w:tcBorders>
            <w:noWrap w:val="0"/>
            <w:vAlign w:val="top"/>
          </w:tcPr>
          <w:p>
            <w:pPr>
              <w:pStyle w:val="16"/>
              <w:keepNext w:val="0"/>
              <w:keepLines w:val="0"/>
              <w:pageBreakBefore w:val="0"/>
              <w:widowControl w:val="0"/>
              <w:kinsoku/>
              <w:wordWrap/>
              <w:overflowPunct/>
              <w:topLinePunct w:val="0"/>
              <w:autoSpaceDE/>
              <w:autoSpaceDN/>
              <w:bidi w:val="0"/>
              <w:adjustRightInd/>
              <w:snapToGrid/>
              <w:spacing w:before="98" w:line="240" w:lineRule="exact"/>
              <w:ind w:right="160" w:rightChars="0"/>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8.该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是否可能对健康生活方式和行为养成带来不利影响?</w:t>
            </w:r>
          </w:p>
        </w:tc>
        <w:tc>
          <w:tcPr>
            <w:tcW w:w="870" w:type="dxa"/>
            <w:gridSpan w:val="2"/>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60"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320"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85"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660"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c>
          <w:tcPr>
            <w:tcW w:w="543" w:type="dxa"/>
            <w:tcBorders>
              <w:top w:val="single" w:color="auto" w:sz="8" w:space="0"/>
              <w:left w:val="single" w:color="auto" w:sz="8" w:space="0"/>
              <w:bottom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0" w:hRule="atLeast"/>
          <w:jc w:val="center"/>
        </w:trPr>
        <w:tc>
          <w:tcPr>
            <w:tcW w:w="3161" w:type="dxa"/>
            <w:gridSpan w:val="2"/>
            <w:tcBorders>
              <w:top w:val="single" w:color="auto" w:sz="8" w:space="0"/>
              <w:bottom w:val="single" w:color="auto" w:sz="8" w:space="0"/>
              <w:right w:val="single" w:color="auto" w:sz="8" w:space="0"/>
            </w:tcBorders>
            <w:noWrap w:val="0"/>
            <w:vAlign w:val="top"/>
          </w:tcPr>
          <w:p>
            <w:pPr>
              <w:pStyle w:val="16"/>
              <w:keepNext w:val="0"/>
              <w:keepLines w:val="0"/>
              <w:pageBreakBefore w:val="0"/>
              <w:widowControl w:val="0"/>
              <w:kinsoku/>
              <w:wordWrap/>
              <w:overflowPunct/>
              <w:topLinePunct w:val="0"/>
              <w:autoSpaceDE/>
              <w:autoSpaceDN/>
              <w:bidi w:val="0"/>
              <w:adjustRightInd/>
              <w:snapToGrid/>
              <w:spacing w:before="119" w:line="240" w:lineRule="exact"/>
              <w:ind w:right="159" w:rightChars="0"/>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color w:val="000000" w:themeColor="text1"/>
                <w:sz w:val="21"/>
                <w:szCs w:val="21"/>
                <w:highlight w:val="none"/>
                <w14:textFill>
                  <w14:solidFill>
                    <w14:schemeClr w14:val="tx1"/>
                  </w14:solidFill>
                </w14:textFill>
              </w:rPr>
              <w:t>9.该</w:t>
            </w:r>
            <w:r>
              <w:rPr>
                <w:rFonts w:hint="eastAsia" w:ascii="仿宋_GB2312" w:hAnsi="仿宋_GB2312" w:eastAsia="仿宋_GB2312" w:cs="仿宋_GB2312"/>
                <w:color w:val="000000" w:themeColor="text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z w:val="21"/>
                <w:szCs w:val="21"/>
                <w:highlight w:val="none"/>
                <w14:textFill>
                  <w14:solidFill>
                    <w14:schemeClr w14:val="tx1"/>
                  </w14:solidFill>
                </w14:textFill>
              </w:rPr>
              <w:t>是否可能对卫生健康投入</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保障和医疗保险水平提升带来不利影响?</w:t>
            </w:r>
          </w:p>
        </w:tc>
        <w:tc>
          <w:tcPr>
            <w:tcW w:w="870" w:type="dxa"/>
            <w:gridSpan w:val="2"/>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60"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320"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85"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660"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c>
          <w:tcPr>
            <w:tcW w:w="543" w:type="dxa"/>
            <w:tcBorders>
              <w:top w:val="single" w:color="auto" w:sz="8" w:space="0"/>
              <w:left w:val="single" w:color="auto" w:sz="8" w:space="0"/>
              <w:bottom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0" w:hRule="atLeast"/>
          <w:jc w:val="center"/>
        </w:trPr>
        <w:tc>
          <w:tcPr>
            <w:tcW w:w="3161" w:type="dxa"/>
            <w:gridSpan w:val="2"/>
            <w:tcBorders>
              <w:top w:val="single" w:color="auto" w:sz="8" w:space="0"/>
              <w:right w:val="single" w:color="auto" w:sz="4" w:space="0"/>
            </w:tcBorders>
            <w:noWrap w:val="0"/>
            <w:vAlign w:val="top"/>
          </w:tcPr>
          <w:p>
            <w:pPr>
              <w:pStyle w:val="16"/>
              <w:keepNext w:val="0"/>
              <w:keepLines w:val="0"/>
              <w:pageBreakBefore w:val="0"/>
              <w:widowControl w:val="0"/>
              <w:kinsoku/>
              <w:wordWrap/>
              <w:overflowPunct/>
              <w:topLinePunct w:val="0"/>
              <w:autoSpaceDE/>
              <w:autoSpaceDN/>
              <w:bidi w:val="0"/>
              <w:adjustRightInd/>
              <w:snapToGrid/>
              <w:spacing w:before="152" w:line="240" w:lineRule="exact"/>
              <w:ind w:right="78" w:rightChars="0"/>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10.该</w:t>
            </w:r>
            <w:r>
              <w:rPr>
                <w:rFonts w:hint="eastAsia" w:ascii="仿宋_GB2312" w:hAnsi="仿宋_GB2312" w:eastAsia="仿宋_GB2312" w:cs="仿宋_GB2312"/>
                <w:color w:val="000000" w:themeColor="text1"/>
                <w:spacing w:val="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是否可能对医疗</w:t>
            </w:r>
            <w:r>
              <w:rPr>
                <w:rFonts w:hint="eastAsia" w:ascii="仿宋_GB2312" w:hAnsi="仿宋_GB2312" w:eastAsia="仿宋_GB2312" w:cs="仿宋_GB2312"/>
                <w:color w:val="000000" w:themeColor="text1"/>
                <w:sz w:val="21"/>
                <w:szCs w:val="21"/>
                <w:highlight w:val="none"/>
                <w14:textFill>
                  <w14:solidFill>
                    <w14:schemeClr w14:val="tx1"/>
                  </w14:solidFill>
                </w14:textFill>
              </w:rPr>
              <w:t>卫生服务资源合理配置带来不利影响?</w:t>
            </w:r>
          </w:p>
        </w:tc>
        <w:tc>
          <w:tcPr>
            <w:tcW w:w="870" w:type="dxa"/>
            <w:gridSpan w:val="2"/>
            <w:tcBorders>
              <w:top w:val="single" w:color="auto" w:sz="8"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60" w:type="dxa"/>
            <w:tcBorders>
              <w:top w:val="single" w:color="auto" w:sz="8" w:space="0"/>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320" w:type="dxa"/>
            <w:tcBorders>
              <w:top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85" w:type="dxa"/>
            <w:tcBorders>
              <w:top w:val="single" w:color="auto" w:sz="8" w:space="0"/>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660" w:type="dxa"/>
            <w:tcBorders>
              <w:top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c>
          <w:tcPr>
            <w:tcW w:w="543" w:type="dxa"/>
            <w:tcBorders>
              <w:top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0" w:hRule="atLeast"/>
          <w:jc w:val="center"/>
        </w:trPr>
        <w:tc>
          <w:tcPr>
            <w:tcW w:w="3161" w:type="dxa"/>
            <w:gridSpan w:val="2"/>
            <w:tcBorders>
              <w:right w:val="single" w:color="auto" w:sz="4" w:space="0"/>
            </w:tcBorders>
            <w:noWrap w:val="0"/>
            <w:vAlign w:val="top"/>
          </w:tcPr>
          <w:p>
            <w:pPr>
              <w:pStyle w:val="16"/>
              <w:keepNext w:val="0"/>
              <w:keepLines w:val="0"/>
              <w:pageBreakBefore w:val="0"/>
              <w:widowControl w:val="0"/>
              <w:kinsoku/>
              <w:wordWrap/>
              <w:overflowPunct/>
              <w:topLinePunct w:val="0"/>
              <w:autoSpaceDE/>
              <w:autoSpaceDN/>
              <w:bidi w:val="0"/>
              <w:adjustRightInd/>
              <w:snapToGrid/>
              <w:spacing w:before="129" w:line="240" w:lineRule="exact"/>
              <w:ind w:right="78" w:rightChars="0"/>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11.该</w:t>
            </w:r>
            <w:r>
              <w:rPr>
                <w:rFonts w:hint="eastAsia" w:ascii="仿宋_GB2312" w:hAnsi="仿宋_GB2312" w:eastAsia="仿宋_GB2312" w:cs="仿宋_GB2312"/>
                <w:color w:val="000000" w:themeColor="text1"/>
                <w:spacing w:val="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是否可能对医疗</w:t>
            </w:r>
            <w:r>
              <w:rPr>
                <w:rFonts w:hint="eastAsia" w:ascii="仿宋_GB2312" w:hAnsi="仿宋_GB2312" w:eastAsia="仿宋_GB2312" w:cs="仿宋_GB2312"/>
                <w:color w:val="000000" w:themeColor="text1"/>
                <w:sz w:val="21"/>
                <w:szCs w:val="21"/>
                <w:highlight w:val="none"/>
                <w14:textFill>
                  <w14:solidFill>
                    <w14:schemeClr w14:val="tx1"/>
                  </w14:solidFill>
                </w14:textFill>
              </w:rPr>
              <w:t>卫生服务质量安全和利用带来不利影响?</w:t>
            </w:r>
          </w:p>
        </w:tc>
        <w:tc>
          <w:tcPr>
            <w:tcW w:w="87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60" w:type="dxa"/>
            <w:tcBorders>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320" w:type="dxa"/>
            <w:tcBorders>
              <w:top w:val="nil"/>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85" w:type="dxa"/>
            <w:tcBorders>
              <w:top w:val="nil"/>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66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c>
          <w:tcPr>
            <w:tcW w:w="54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0" w:hRule="atLeast"/>
          <w:jc w:val="center"/>
        </w:trPr>
        <w:tc>
          <w:tcPr>
            <w:tcW w:w="3161" w:type="dxa"/>
            <w:gridSpan w:val="2"/>
            <w:tcBorders>
              <w:right w:val="single" w:color="auto" w:sz="4" w:space="0"/>
            </w:tcBorders>
            <w:noWrap w:val="0"/>
            <w:vAlign w:val="top"/>
          </w:tcPr>
          <w:p>
            <w:pPr>
              <w:pStyle w:val="16"/>
              <w:keepNext w:val="0"/>
              <w:keepLines w:val="0"/>
              <w:pageBreakBefore w:val="0"/>
              <w:widowControl w:val="0"/>
              <w:kinsoku/>
              <w:wordWrap/>
              <w:overflowPunct/>
              <w:topLinePunct w:val="0"/>
              <w:autoSpaceDE/>
              <w:autoSpaceDN/>
              <w:bidi w:val="0"/>
              <w:adjustRightInd/>
              <w:snapToGrid/>
              <w:spacing w:before="153" w:line="240" w:lineRule="exact"/>
              <w:ind w:right="78" w:rightChars="0"/>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12.该</w:t>
            </w:r>
            <w:r>
              <w:rPr>
                <w:rFonts w:hint="eastAsia" w:ascii="仿宋_GB2312" w:hAnsi="仿宋_GB2312" w:eastAsia="仿宋_GB2312" w:cs="仿宋_GB2312"/>
                <w:color w:val="000000" w:themeColor="text1"/>
                <w:spacing w:val="1"/>
                <w:sz w:val="21"/>
                <w:szCs w:val="21"/>
                <w:highlight w:val="none"/>
                <w:lang w:eastAsia="zh-CN"/>
                <w14:textFill>
                  <w14:solidFill>
                    <w14:schemeClr w14:val="tx1"/>
                  </w14:solidFill>
                </w14:textFill>
              </w:rPr>
              <w:t>规划/政策/项目</w:t>
            </w: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是否可能对医疗</w:t>
            </w:r>
            <w:r>
              <w:rPr>
                <w:rFonts w:hint="eastAsia" w:ascii="仿宋_GB2312" w:hAnsi="仿宋_GB2312" w:eastAsia="仿宋_GB2312" w:cs="仿宋_GB2312"/>
                <w:color w:val="000000" w:themeColor="text1"/>
                <w:sz w:val="21"/>
                <w:szCs w:val="21"/>
                <w:highlight w:val="none"/>
                <w14:textFill>
                  <w14:solidFill>
                    <w14:schemeClr w14:val="tx1"/>
                  </w14:solidFill>
                </w14:textFill>
              </w:rPr>
              <w:t>卫生服务公平性可及性带来不利影响?</w:t>
            </w:r>
          </w:p>
        </w:tc>
        <w:tc>
          <w:tcPr>
            <w:tcW w:w="87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60" w:type="dxa"/>
            <w:tcBorders>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320" w:type="dxa"/>
            <w:tcBorders>
              <w:top w:val="nil"/>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85" w:type="dxa"/>
            <w:tcBorders>
              <w:top w:val="nil"/>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66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c>
          <w:tcPr>
            <w:tcW w:w="54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0" w:hRule="atLeast"/>
          <w:jc w:val="center"/>
        </w:trPr>
        <w:tc>
          <w:tcPr>
            <w:tcW w:w="3161" w:type="dxa"/>
            <w:gridSpan w:val="2"/>
            <w:tcBorders>
              <w:right w:val="single" w:color="auto" w:sz="4" w:space="0"/>
            </w:tcBorders>
            <w:noWrap w:val="0"/>
            <w:vAlign w:val="top"/>
          </w:tcPr>
          <w:p>
            <w:pPr>
              <w:pStyle w:val="16"/>
              <w:keepNext w:val="0"/>
              <w:keepLines w:val="0"/>
              <w:pageBreakBefore w:val="0"/>
              <w:widowControl w:val="0"/>
              <w:kinsoku/>
              <w:wordWrap/>
              <w:overflowPunct/>
              <w:topLinePunct w:val="0"/>
              <w:autoSpaceDE/>
              <w:autoSpaceDN/>
              <w:bidi w:val="0"/>
              <w:adjustRightInd/>
              <w:snapToGrid/>
              <w:spacing w:before="114"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color w:val="000000" w:themeColor="text1"/>
                <w:spacing w:val="-1"/>
                <w:sz w:val="21"/>
                <w:szCs w:val="21"/>
                <w:highlight w:val="none"/>
                <w14:textFill>
                  <w14:solidFill>
                    <w14:schemeClr w14:val="tx1"/>
                  </w14:solidFill>
                </w14:textFill>
              </w:rPr>
              <w:t>13.地方重点关注的其它问题：</w:t>
            </w:r>
          </w:p>
        </w:tc>
        <w:tc>
          <w:tcPr>
            <w:tcW w:w="87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60" w:type="dxa"/>
            <w:tcBorders>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320" w:type="dxa"/>
            <w:tcBorders>
              <w:top w:val="nil"/>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85" w:type="dxa"/>
            <w:tcBorders>
              <w:top w:val="nil"/>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66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c>
          <w:tcPr>
            <w:tcW w:w="54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0" w:hRule="atLeast"/>
          <w:jc w:val="center"/>
        </w:trPr>
        <w:tc>
          <w:tcPr>
            <w:tcW w:w="3161"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7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60" w:type="dxa"/>
            <w:tcBorders>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320" w:type="dxa"/>
            <w:tcBorders>
              <w:top w:val="nil"/>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85" w:type="dxa"/>
            <w:tcBorders>
              <w:top w:val="nil"/>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66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c>
          <w:tcPr>
            <w:tcW w:w="54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30" w:hRule="atLeast"/>
          <w:jc w:val="center"/>
        </w:trPr>
        <w:tc>
          <w:tcPr>
            <w:tcW w:w="3161"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70" w:type="dxa"/>
            <w:gridSpan w:val="2"/>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260" w:type="dxa"/>
            <w:tcBorders>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1320" w:type="dxa"/>
            <w:tcBorders>
              <w:top w:val="nil"/>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885" w:type="dxa"/>
            <w:tcBorders>
              <w:top w:val="nil"/>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tc>
        <w:tc>
          <w:tcPr>
            <w:tcW w:w="66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c>
          <w:tcPr>
            <w:tcW w:w="54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both"/>
              <w:textAlignment w:val="auto"/>
              <w:rPr>
                <w:rFonts w:hint="eastAsia" w:ascii="仿宋_GB2312" w:hAnsi="仿宋_GB2312" w:eastAsia="仿宋_GB2312" w:cs="仿宋_GB2312"/>
                <w:snapToGrid w:val="0"/>
                <w:color w:val="000000" w:themeColor="text1"/>
                <w:spacing w:val="0"/>
                <w:kern w:val="0"/>
                <w:sz w:val="18"/>
                <w:szCs w:val="18"/>
                <w:highlight w:val="none"/>
                <w:u w:val="none"/>
                <w:lang w:val="zh-CN" w:eastAsia="zh-CN" w:bidi="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3" w:hRule="atLeast"/>
          <w:jc w:val="center"/>
        </w:trPr>
        <w:tc>
          <w:tcPr>
            <w:tcW w:w="8699" w:type="dxa"/>
            <w:gridSpan w:val="9"/>
            <w:noWrap w:val="0"/>
            <w:vAlign w:val="center"/>
          </w:tcPr>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共</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 xml:space="preserve">  页 第  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40" w:hRule="atLeast"/>
          <w:jc w:val="center"/>
        </w:trPr>
        <w:tc>
          <w:tcPr>
            <w:tcW w:w="8699" w:type="dxa"/>
            <w:gridSpan w:val="9"/>
            <w:noWrap w:val="0"/>
            <w:vAlign w:val="center"/>
          </w:tcPr>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规划政策起草</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/项目提交</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部门联系人：</w:t>
            </w:r>
          </w:p>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电话：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845" w:hRule="atLeast"/>
          <w:jc w:val="center"/>
        </w:trPr>
        <w:tc>
          <w:tcPr>
            <w:tcW w:w="8699" w:type="dxa"/>
            <w:gridSpan w:val="9"/>
            <w:noWrap w:val="0"/>
            <w:vAlign w:val="center"/>
          </w:tcPr>
          <w:p>
            <w:pPr>
              <w:keepNext w:val="0"/>
              <w:keepLines w:val="0"/>
              <w:pageBreakBefore w:val="0"/>
              <w:widowControl w:val="0"/>
              <w:kinsoku/>
              <w:wordWrap/>
              <w:overflowPunct/>
              <w:topLinePunct w:val="0"/>
              <w:autoSpaceDE w:val="0"/>
              <w:autoSpaceDN w:val="0"/>
              <w:bidi w:val="0"/>
              <w:adjustRightInd/>
              <w:snapToGrid/>
              <w:spacing w:before="45"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规划政策起草</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/项目提交</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部门签章：</w:t>
            </w:r>
          </w:p>
          <w:p>
            <w:pPr>
              <w:keepNext w:val="0"/>
              <w:keepLines w:val="0"/>
              <w:pageBreakBefore w:val="0"/>
              <w:widowControl w:val="0"/>
              <w:kinsoku/>
              <w:wordWrap/>
              <w:overflowPunct/>
              <w:topLinePunct w:val="0"/>
              <w:autoSpaceDE w:val="0"/>
              <w:autoSpaceDN w:val="0"/>
              <w:bidi w:val="0"/>
              <w:adjustRightInd/>
              <w:snapToGrid/>
              <w:spacing w:before="45" w:line="240" w:lineRule="exact"/>
              <w:jc w:val="both"/>
              <w:textAlignment w:val="auto"/>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提交日期：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47" w:hRule="atLeast"/>
          <w:jc w:val="center"/>
        </w:trPr>
        <w:tc>
          <w:tcPr>
            <w:tcW w:w="8699" w:type="dxa"/>
            <w:gridSpan w:val="9"/>
            <w:noWrap w:val="0"/>
            <w:vAlign w:val="center"/>
          </w:tcPr>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备案人（签字）：</w:t>
            </w:r>
          </w:p>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p>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备案日期：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42" w:hRule="atLeast"/>
          <w:jc w:val="center"/>
        </w:trPr>
        <w:tc>
          <w:tcPr>
            <w:tcW w:w="8699" w:type="dxa"/>
            <w:gridSpan w:val="9"/>
            <w:noWrap w:val="0"/>
            <w:vAlign w:val="center"/>
          </w:tcPr>
          <w:p>
            <w:pPr>
              <w:widowControl w:val="0"/>
              <w:autoSpaceDE w:val="0"/>
              <w:autoSpaceDN w:val="0"/>
              <w:spacing w:before="45" w:line="240" w:lineRule="exact"/>
              <w:jc w:val="both"/>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pP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填表说明：规划</w:t>
            </w:r>
            <w:r>
              <w:rPr>
                <w:rFonts w:hint="eastAsia" w:ascii="仿宋_GB2312" w:hAnsi="仿宋_GB2312" w:eastAsia="仿宋_GB2312" w:cs="仿宋_GB2312"/>
                <w:snapToGrid w:val="0"/>
                <w:color w:val="000000" w:themeColor="text1"/>
                <w:spacing w:val="0"/>
                <w:kern w:val="0"/>
                <w:sz w:val="21"/>
                <w:szCs w:val="21"/>
                <w:highlight w:val="none"/>
                <w:u w:val="none"/>
                <w:lang w:val="en-US" w:eastAsia="zh-CN" w:bidi="zh-CN"/>
                <w14:textFill>
                  <w14:solidFill>
                    <w14:schemeClr w14:val="tx1"/>
                  </w14:solidFill>
                </w14:textFill>
              </w:rPr>
              <w:t>/</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政策/项目申请部门对健评意见不采纳者，需说明理由；本部门指本部门健康影响评估工作牵头科室；本级卫生健康主管部门或</w:t>
            </w:r>
            <w:r>
              <w:rPr>
                <w:rFonts w:hint="eastAsia" w:ascii="仿宋_GB2312" w:hAnsi="仿宋_GB2312" w:eastAsia="仿宋_GB2312" w:cs="仿宋_GB2312"/>
                <w:snapToGrid w:val="0"/>
                <w:color w:val="000000" w:themeColor="text1"/>
                <w:kern w:val="0"/>
                <w:sz w:val="21"/>
                <w:szCs w:val="21"/>
                <w:highlight w:val="none"/>
                <w:lang w:val="zh-CN" w:bidi="zh-CN"/>
                <w14:textFill>
                  <w14:solidFill>
                    <w14:schemeClr w14:val="tx1"/>
                  </w14:solidFill>
                </w14:textFill>
              </w:rPr>
              <w:t>本部门健康影响评估工作牵头科室</w:t>
            </w:r>
            <w:r>
              <w:rPr>
                <w:rFonts w:hint="eastAsia" w:ascii="仿宋_GB2312" w:hAnsi="仿宋_GB2312" w:eastAsia="仿宋_GB2312" w:cs="仿宋_GB2312"/>
                <w:snapToGrid w:val="0"/>
                <w:color w:val="000000" w:themeColor="text1"/>
                <w:spacing w:val="0"/>
                <w:kern w:val="0"/>
                <w:sz w:val="21"/>
                <w:szCs w:val="21"/>
                <w:highlight w:val="none"/>
                <w:u w:val="none"/>
                <w:lang w:val="zh-CN" w:eastAsia="zh-CN" w:bidi="zh-CN"/>
                <w14:textFill>
                  <w14:solidFill>
                    <w14:schemeClr w14:val="tx1"/>
                  </w14:solidFill>
                </w14:textFill>
              </w:rPr>
              <w:t>负责受理，并提交评估专家组进行审核，最后完成备案。</w:t>
            </w:r>
          </w:p>
        </w:tc>
      </w:tr>
    </w:tbl>
    <w:p>
      <w:pPr>
        <w:keepNext w:val="0"/>
        <w:keepLines w:val="0"/>
        <w:pageBreakBefore w:val="0"/>
        <w:widowControl w:val="0"/>
        <w:kinsoku/>
        <w:overflowPunct/>
        <w:topLinePunct w:val="0"/>
        <w:autoSpaceDE/>
        <w:autoSpaceDN/>
        <w:bidi w:val="0"/>
        <w:spacing w:line="560" w:lineRule="exact"/>
        <w:ind w:firstLine="280" w:firstLineChars="100"/>
        <w:jc w:val="both"/>
        <w:textAlignment w:val="auto"/>
        <w:rPr>
          <w:color w:val="000000" w:themeColor="text1"/>
          <w:highlight w:val="none"/>
          <w14:textFill>
            <w14:solidFill>
              <w14:schemeClr w14:val="tx1"/>
            </w14:solidFill>
          </w14:textFill>
        </w:rPr>
      </w:pPr>
      <w:r>
        <w:rPr>
          <w:rFonts w:hint="eastAsia" w:ascii="仿宋_GB2312" w:hAnsi="仿宋_GB2312" w:eastAsia="仿宋_GB2312" w:cs="仿宋_GB2312"/>
          <w:b w:val="0"/>
          <w:bCs/>
          <w:color w:val="000000" w:themeColor="text1"/>
          <w:sz w:val="28"/>
          <w:szCs w:val="28"/>
          <w:highlight w:val="none"/>
          <w14:textFill>
            <w14:solidFill>
              <w14:schemeClr w14:val="tx1"/>
            </w14:solidFill>
          </w14:textFill>
        </w:rPr>
        <w:t>（</w:t>
      </w:r>
      <w:r>
        <w:rPr>
          <w:rFonts w:hint="eastAsia" w:ascii="仿宋_GB2312" w:hAnsi="仿宋_GB2312" w:eastAsia="仿宋_GB2312" w:cs="仿宋_GB2312"/>
          <w:b w:val="0"/>
          <w:bCs/>
          <w:color w:val="000000" w:themeColor="text1"/>
          <w:sz w:val="28"/>
          <w:szCs w:val="28"/>
          <w:highlight w:val="none"/>
          <w:lang w:val="zh-CN" w:eastAsia="zh-CN"/>
          <w14:textFill>
            <w14:solidFill>
              <w14:schemeClr w14:val="tx1"/>
            </w14:solidFill>
          </w14:textFill>
        </w:rPr>
        <w:t>规划</w:t>
      </w:r>
      <w:r>
        <w:rPr>
          <w:rFonts w:hint="eastAsia" w:ascii="仿宋_GB2312" w:hAnsi="仿宋_GB2312" w:eastAsia="仿宋_GB2312" w:cs="仿宋_GB2312"/>
          <w:b w:val="0"/>
          <w:bCs/>
          <w:color w:val="000000" w:themeColor="text1"/>
          <w:sz w:val="28"/>
          <w:szCs w:val="28"/>
          <w:highlight w:val="none"/>
          <w:lang w:val="en-US" w:eastAsia="zh-CN"/>
          <w14:textFill>
            <w14:solidFill>
              <w14:schemeClr w14:val="tx1"/>
            </w14:solidFill>
          </w14:textFill>
        </w:rPr>
        <w:t>/</w:t>
      </w:r>
      <w:r>
        <w:rPr>
          <w:rFonts w:hint="eastAsia" w:ascii="仿宋_GB2312" w:hAnsi="仿宋_GB2312" w:eastAsia="仿宋_GB2312" w:cs="仿宋_GB2312"/>
          <w:b w:val="0"/>
          <w:bCs/>
          <w:color w:val="000000" w:themeColor="text1"/>
          <w:sz w:val="28"/>
          <w:szCs w:val="28"/>
          <w:highlight w:val="none"/>
          <w:lang w:val="zh-CN" w:eastAsia="zh-CN"/>
          <w14:textFill>
            <w14:solidFill>
              <w14:schemeClr w14:val="tx1"/>
            </w14:solidFill>
          </w14:textFill>
        </w:rPr>
        <w:t>政策</w:t>
      </w:r>
      <w:r>
        <w:rPr>
          <w:rFonts w:hint="eastAsia" w:ascii="仿宋_GB2312" w:hAnsi="仿宋_GB2312" w:eastAsia="仿宋_GB2312" w:cs="仿宋_GB2312"/>
          <w:b w:val="0"/>
          <w:bCs/>
          <w:color w:val="000000" w:themeColor="text1"/>
          <w:sz w:val="28"/>
          <w:szCs w:val="28"/>
          <w:highlight w:val="none"/>
          <w:lang w:val="en-US" w:eastAsia="zh-CN"/>
          <w14:textFill>
            <w14:solidFill>
              <w14:schemeClr w14:val="tx1"/>
            </w14:solidFill>
          </w14:textFill>
        </w:rPr>
        <w:t>/项目申请部门</w:t>
      </w:r>
      <w:r>
        <w:rPr>
          <w:rFonts w:hint="eastAsia" w:ascii="仿宋_GB2312" w:hAnsi="仿宋_GB2312" w:eastAsia="仿宋_GB2312" w:cs="仿宋_GB2312"/>
          <w:b w:val="0"/>
          <w:bCs/>
          <w:color w:val="000000" w:themeColor="text1"/>
          <w:sz w:val="28"/>
          <w:szCs w:val="28"/>
          <w:highlight w:val="none"/>
          <w14:textFill>
            <w14:solidFill>
              <w14:schemeClr w14:val="tx1"/>
            </w14:solidFill>
          </w14:textFill>
        </w:rPr>
        <w:t>填写</w:t>
      </w:r>
      <w:r>
        <w:rPr>
          <w:rFonts w:hint="eastAsia" w:ascii="仿宋_GB2312" w:hAnsi="仿宋_GB2312" w:eastAsia="仿宋_GB2312" w:cs="仿宋_GB2312"/>
          <w:b w:val="0"/>
          <w:bCs/>
          <w:color w:val="000000" w:themeColor="text1"/>
          <w:sz w:val="28"/>
          <w:szCs w:val="28"/>
          <w:highlight w:val="none"/>
          <w:lang w:eastAsia="zh-CN"/>
          <w14:textFill>
            <w14:solidFill>
              <w14:schemeClr w14:val="tx1"/>
            </w14:solidFill>
          </w14:textFill>
        </w:rPr>
        <w:t>并提交正式印发的文件</w:t>
      </w:r>
      <w:r>
        <w:rPr>
          <w:rFonts w:hint="eastAsia" w:ascii="仿宋_GB2312" w:hAnsi="仿宋_GB2312" w:eastAsia="仿宋_GB2312" w:cs="仿宋_GB2312"/>
          <w:b w:val="0"/>
          <w:bCs/>
          <w:color w:val="000000" w:themeColor="text1"/>
          <w:sz w:val="28"/>
          <w:szCs w:val="28"/>
          <w:highlight w:val="none"/>
          <w14:textFill>
            <w14:solidFill>
              <w14:schemeClr w14:val="tx1"/>
            </w14:solidFill>
          </w14:textFill>
        </w:rPr>
        <w:t>）</w:t>
      </w:r>
    </w:p>
    <w:p>
      <w:pPr>
        <w:jc w:val="both"/>
        <w:rPr>
          <w:color w:val="000000" w:themeColor="text1"/>
          <w:highlight w:val="none"/>
          <w14:textFill>
            <w14:solidFill>
              <w14:schemeClr w14:val="tx1"/>
            </w14:solidFill>
          </w14:textFill>
        </w:rPr>
      </w:pPr>
    </w:p>
    <w:sectPr>
      <w:footerReference r:id="rId4" w:type="default"/>
      <w:pgSz w:w="11906" w:h="16838"/>
      <w:pgMar w:top="2098" w:right="1474" w:bottom="1984" w:left="1587" w:header="851" w:footer="1361"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CESI仿宋-GB2312">
    <w:panose1 w:val="02000500000000000000"/>
    <w:charset w:val="86"/>
    <w:family w:val="auto"/>
    <w:pitch w:val="default"/>
    <w:sig w:usb0="800002AF" w:usb1="084F6CF8" w:usb2="00000010" w:usb3="00000000" w:csb0="0004000F" w:csb1="00000000"/>
  </w:font>
  <w:font w:name="楷体_GB2312">
    <w:altName w:val="方正楷体_GBK"/>
    <w:panose1 w:val="02010609030101010101"/>
    <w:charset w:val="00"/>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仿宋">
    <w:panose1 w:val="02000500000000000000"/>
    <w:charset w:val="86"/>
    <w:family w:val="auto"/>
    <w:pitch w:val="default"/>
    <w:sig w:usb0="A00002BF" w:usb1="38C77CFA" w:usb2="00000016" w:usb3="00000000" w:csb0="00060007" w:csb1="00000000"/>
  </w:font>
  <w:font w:name="Wingdings 2">
    <w:panose1 w:val="05020102010507070707"/>
    <w:charset w:val="00"/>
    <w:family w:val="auto"/>
    <w:pitch w:val="default"/>
    <w:sig w:usb0="00000000" w:usb1="00000000" w:usb2="00000000" w:usb3="00000000" w:csb0="80000000" w:csb1="00000000"/>
  </w:font>
  <w:font w:name="CESI楷体-GB2312">
    <w:panose1 w:val="02000500000000000000"/>
    <w:charset w:val="86"/>
    <w:family w:val="auto"/>
    <w:pitch w:val="default"/>
    <w:sig w:usb0="800002BF" w:usb1="184F6CF8" w:usb2="00000012" w:usb3="00000000" w:csb0="0004000F" w:csb1="00000000"/>
  </w:font>
  <w:font w:name="方正仿宋_GBK">
    <w:panose1 w:val="020000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8845"/>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-85725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left:0pt;margin-top:-6.75pt;height:144pt;width:144pt;mso-position-horizontal-relative:margin;mso-wrap-style:none;z-index:251659264;mso-width-relative:page;mso-height-relative:page;" filled="f" stroked="f" coordsize="21600,21600" o:gfxdata="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CWcMzdUAAAAIAQAADwAAAAAA&#10;AAABACAAAAA4AAAAZHJzL2Rvd25yZXYueG1sUEsBAhQAFAAAAAgAh07iQPQJJ5fHAQAAmQMAAA4A&#10;AAAAAAAAAQAgAAAAOgEAAGRycy9lMm9Eb2MueG1sUEsFBgAAAAAGAAYAWQEAAHMFAAAAAA==&#10;">
              <v:fill on="f" focussize="0,0"/>
              <v:stroke on="f"/>
              <v:imagedata o:title=""/>
              <o:lock v:ext="edit" aspectratio="f"/>
              <v:textbox inset="0mm,0mm,0mm,0mm" style="mso-fit-shape-to-text:t;">
                <w:txbxContent>
                  <w:p>
                    <w:pPr>
                      <w:pStyle w:val="5"/>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-104775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eastAsia="仿宋_GB2312" w:cs="仿宋_GB2312"/>
                              <w:color w:val="000000" w:themeColor="text1"/>
                              <w:sz w:val="28"/>
                              <w:szCs w:val="44"/>
                              <w14:textFill>
                                <w14:solidFill>
                                  <w14:schemeClr w14:val="tx1"/>
                                </w14:solidFill>
                              </w14:textFill>
                            </w:rPr>
                          </w:pPr>
                          <w:r>
                            <w:rPr>
                              <w:rFonts w:hint="eastAsia" w:ascii="仿宋_GB2312" w:hAnsi="仿宋_GB2312" w:eastAsia="仿宋_GB2312" w:cs="仿宋_GB2312"/>
                              <w:color w:val="000000" w:themeColor="text1"/>
                              <w:sz w:val="28"/>
                              <w:szCs w:val="44"/>
                              <w14:textFill>
                                <w14:solidFill>
                                  <w14:schemeClr w14:val="tx1"/>
                                </w14:solidFill>
                              </w14:textFill>
                            </w:rPr>
                            <w:t xml:space="preserve">— </w:t>
                          </w:r>
                          <w:r>
                            <w:rPr>
                              <w:rFonts w:hint="eastAsia" w:ascii="仿宋_GB2312" w:hAnsi="仿宋_GB2312" w:eastAsia="仿宋_GB2312" w:cs="仿宋_GB2312"/>
                              <w:color w:val="000000" w:themeColor="text1"/>
                              <w:sz w:val="28"/>
                              <w:szCs w:val="44"/>
                              <w14:textFill>
                                <w14:solidFill>
                                  <w14:schemeClr w14:val="tx1"/>
                                </w14:solidFill>
                              </w14:textFill>
                            </w:rPr>
                            <w:fldChar w:fldCharType="begin"/>
                          </w:r>
                          <w:r>
                            <w:rPr>
                              <w:rFonts w:hint="eastAsia" w:ascii="仿宋_GB2312" w:hAnsi="仿宋_GB2312" w:eastAsia="仿宋_GB2312" w:cs="仿宋_GB2312"/>
                              <w:color w:val="000000" w:themeColor="text1"/>
                              <w:sz w:val="28"/>
                              <w:szCs w:val="44"/>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sz w:val="28"/>
                              <w:szCs w:val="44"/>
                              <w14:textFill>
                                <w14:solidFill>
                                  <w14:schemeClr w14:val="tx1"/>
                                </w14:solidFill>
                              </w14:textFill>
                            </w:rPr>
                            <w:fldChar w:fldCharType="separate"/>
                          </w:r>
                          <w:r>
                            <w:rPr>
                              <w:rFonts w:hint="eastAsia" w:ascii="仿宋_GB2312" w:hAnsi="仿宋_GB2312" w:eastAsia="仿宋_GB2312" w:cs="仿宋_GB2312"/>
                              <w:color w:val="000000" w:themeColor="text1"/>
                              <w:sz w:val="28"/>
                              <w:szCs w:val="44"/>
                              <w14:textFill>
                                <w14:solidFill>
                                  <w14:schemeClr w14:val="tx1"/>
                                </w14:solidFill>
                              </w14:textFill>
                            </w:rPr>
                            <w:t>1</w:t>
                          </w:r>
                          <w:r>
                            <w:rPr>
                              <w:rFonts w:hint="eastAsia" w:ascii="仿宋_GB2312" w:hAnsi="仿宋_GB2312" w:eastAsia="仿宋_GB2312" w:cs="仿宋_GB2312"/>
                              <w:color w:val="000000" w:themeColor="text1"/>
                              <w:sz w:val="28"/>
                              <w:szCs w:val="44"/>
                              <w14:textFill>
                                <w14:solidFill>
                                  <w14:schemeClr w14:val="tx1"/>
                                </w14:solidFill>
                              </w14:textFill>
                            </w:rPr>
                            <w:fldChar w:fldCharType="end"/>
                          </w:r>
                          <w:r>
                            <w:rPr>
                              <w:rFonts w:hint="eastAsia" w:ascii="仿宋_GB2312" w:hAnsi="仿宋_GB2312" w:eastAsia="仿宋_GB2312" w:cs="仿宋_GB2312"/>
                              <w:color w:val="000000" w:themeColor="text1"/>
                              <w:sz w:val="28"/>
                              <w:szCs w:val="44"/>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8.25pt;height:144pt;width:144pt;mso-position-horizontal:inside;mso-position-horizontal-relative:margin;mso-wrap-style:none;z-index:251660288;mso-width-relative:page;mso-height-relative:page;" filled="f" stroked="f" coordsize="21600,21600" o:gfxdata="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BZr4B+1gAAAAgBAAAPAAAAAAAAAAEAIAAA&#10;ADgAAABkcnMvZG93bnJldi54bWxQSwECFAAUAAAACACHTuJAa4X5+zECAABhBAAADgAAAAAAAAAB&#10;ACAAAAA7AQAAZHJzL2Uyb0RvYy54bWxQSwUGAAAAAAYABgBZAQAA3gUAAAAA&#10;">
              <v:fill on="f" focussize="0,0"/>
              <v:stroke on="f" weight="0.5pt"/>
              <v:imagedata o:title=""/>
              <o:lock v:ext="edit" aspectratio="f"/>
              <v:textbox inset="0mm,0mm,0mm,0mm" style="mso-fit-shape-to-text:t;">
                <w:txbxContent>
                  <w:p>
                    <w:pPr>
                      <w:pStyle w:val="5"/>
                      <w:rPr>
                        <w:rFonts w:hint="eastAsia" w:ascii="仿宋_GB2312" w:hAnsi="仿宋_GB2312" w:eastAsia="仿宋_GB2312" w:cs="仿宋_GB2312"/>
                        <w:color w:val="000000" w:themeColor="text1"/>
                        <w:sz w:val="28"/>
                        <w:szCs w:val="44"/>
                        <w14:textFill>
                          <w14:solidFill>
                            <w14:schemeClr w14:val="tx1"/>
                          </w14:solidFill>
                        </w14:textFill>
                      </w:rPr>
                    </w:pPr>
                    <w:r>
                      <w:rPr>
                        <w:rFonts w:hint="eastAsia" w:ascii="仿宋_GB2312" w:hAnsi="仿宋_GB2312" w:eastAsia="仿宋_GB2312" w:cs="仿宋_GB2312"/>
                        <w:color w:val="000000" w:themeColor="text1"/>
                        <w:sz w:val="28"/>
                        <w:szCs w:val="44"/>
                        <w14:textFill>
                          <w14:solidFill>
                            <w14:schemeClr w14:val="tx1"/>
                          </w14:solidFill>
                        </w14:textFill>
                      </w:rPr>
                      <w:t xml:space="preserve">— </w:t>
                    </w:r>
                    <w:r>
                      <w:rPr>
                        <w:rFonts w:hint="eastAsia" w:ascii="仿宋_GB2312" w:hAnsi="仿宋_GB2312" w:eastAsia="仿宋_GB2312" w:cs="仿宋_GB2312"/>
                        <w:color w:val="000000" w:themeColor="text1"/>
                        <w:sz w:val="28"/>
                        <w:szCs w:val="44"/>
                        <w14:textFill>
                          <w14:solidFill>
                            <w14:schemeClr w14:val="tx1"/>
                          </w14:solidFill>
                        </w14:textFill>
                      </w:rPr>
                      <w:fldChar w:fldCharType="begin"/>
                    </w:r>
                    <w:r>
                      <w:rPr>
                        <w:rFonts w:hint="eastAsia" w:ascii="仿宋_GB2312" w:hAnsi="仿宋_GB2312" w:eastAsia="仿宋_GB2312" w:cs="仿宋_GB2312"/>
                        <w:color w:val="000000" w:themeColor="text1"/>
                        <w:sz w:val="28"/>
                        <w:szCs w:val="44"/>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sz w:val="28"/>
                        <w:szCs w:val="44"/>
                        <w14:textFill>
                          <w14:solidFill>
                            <w14:schemeClr w14:val="tx1"/>
                          </w14:solidFill>
                        </w14:textFill>
                      </w:rPr>
                      <w:fldChar w:fldCharType="separate"/>
                    </w:r>
                    <w:r>
                      <w:rPr>
                        <w:rFonts w:hint="eastAsia" w:ascii="仿宋_GB2312" w:hAnsi="仿宋_GB2312" w:eastAsia="仿宋_GB2312" w:cs="仿宋_GB2312"/>
                        <w:color w:val="000000" w:themeColor="text1"/>
                        <w:sz w:val="28"/>
                        <w:szCs w:val="44"/>
                        <w14:textFill>
                          <w14:solidFill>
                            <w14:schemeClr w14:val="tx1"/>
                          </w14:solidFill>
                        </w14:textFill>
                      </w:rPr>
                      <w:t>1</w:t>
                    </w:r>
                    <w:r>
                      <w:rPr>
                        <w:rFonts w:hint="eastAsia" w:ascii="仿宋_GB2312" w:hAnsi="仿宋_GB2312" w:eastAsia="仿宋_GB2312" w:cs="仿宋_GB2312"/>
                        <w:color w:val="000000" w:themeColor="text1"/>
                        <w:sz w:val="28"/>
                        <w:szCs w:val="44"/>
                        <w14:textFill>
                          <w14:solidFill>
                            <w14:schemeClr w14:val="tx1"/>
                          </w14:solidFill>
                        </w14:textFill>
                      </w:rPr>
                      <w:fldChar w:fldCharType="end"/>
                    </w:r>
                    <w:r>
                      <w:rPr>
                        <w:rFonts w:hint="eastAsia" w:ascii="仿宋_GB2312" w:hAnsi="仿宋_GB2312" w:eastAsia="仿宋_GB2312" w:cs="仿宋_GB2312"/>
                        <w:color w:val="000000" w:themeColor="text1"/>
                        <w:sz w:val="28"/>
                        <w:szCs w:val="44"/>
                        <w14:textFill>
                          <w14:solidFill>
                            <w14:schemeClr w14:val="tx1"/>
                          </w14:solidFill>
                        </w14:textFill>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FC7DF2"/>
    <w:multiLevelType w:val="singleLevel"/>
    <w:tmpl w:val="DBFC7DF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C7E53F8"/>
    <w:rsid w:val="0DF4D2D1"/>
    <w:rsid w:val="0F4F0D1A"/>
    <w:rsid w:val="1337147F"/>
    <w:rsid w:val="13DB0B42"/>
    <w:rsid w:val="15C70053"/>
    <w:rsid w:val="15CBF80B"/>
    <w:rsid w:val="1E7FAF69"/>
    <w:rsid w:val="1F9FFBDA"/>
    <w:rsid w:val="1FAB6B63"/>
    <w:rsid w:val="1FF1120A"/>
    <w:rsid w:val="25F7A33D"/>
    <w:rsid w:val="26DB62ED"/>
    <w:rsid w:val="2BBAA405"/>
    <w:rsid w:val="2BEE4C9A"/>
    <w:rsid w:val="2E77E7AD"/>
    <w:rsid w:val="2FEF2B24"/>
    <w:rsid w:val="2FFDD952"/>
    <w:rsid w:val="315D98A9"/>
    <w:rsid w:val="31BFB474"/>
    <w:rsid w:val="37F66B7C"/>
    <w:rsid w:val="39FDEE94"/>
    <w:rsid w:val="3BF7C958"/>
    <w:rsid w:val="3BFF08A6"/>
    <w:rsid w:val="3C573B4A"/>
    <w:rsid w:val="3DB7DB96"/>
    <w:rsid w:val="3DF95ADB"/>
    <w:rsid w:val="3DFD0D34"/>
    <w:rsid w:val="3E78996C"/>
    <w:rsid w:val="3FBD98A1"/>
    <w:rsid w:val="3FDE76C9"/>
    <w:rsid w:val="3FDF258D"/>
    <w:rsid w:val="3FDF7634"/>
    <w:rsid w:val="3FE80454"/>
    <w:rsid w:val="3FEB1FD2"/>
    <w:rsid w:val="3FF338AE"/>
    <w:rsid w:val="3FFCD032"/>
    <w:rsid w:val="45BF9733"/>
    <w:rsid w:val="47DD1858"/>
    <w:rsid w:val="4B6FA27C"/>
    <w:rsid w:val="4BFBCDA2"/>
    <w:rsid w:val="4EB40997"/>
    <w:rsid w:val="4F5F09DF"/>
    <w:rsid w:val="51D6900A"/>
    <w:rsid w:val="52FE9F32"/>
    <w:rsid w:val="537F4881"/>
    <w:rsid w:val="57DFB1D1"/>
    <w:rsid w:val="5AB27AC3"/>
    <w:rsid w:val="5AE30CF6"/>
    <w:rsid w:val="5B63CBF0"/>
    <w:rsid w:val="5B7E071D"/>
    <w:rsid w:val="5B7EBEDB"/>
    <w:rsid w:val="5BFDA68C"/>
    <w:rsid w:val="5DBF1999"/>
    <w:rsid w:val="5DBF4387"/>
    <w:rsid w:val="5DFD90AB"/>
    <w:rsid w:val="5DFF630B"/>
    <w:rsid w:val="5E977356"/>
    <w:rsid w:val="5ECA421B"/>
    <w:rsid w:val="5EFD3449"/>
    <w:rsid w:val="5FD9D534"/>
    <w:rsid w:val="5FEA26C9"/>
    <w:rsid w:val="5FF0AFBD"/>
    <w:rsid w:val="61FB75BD"/>
    <w:rsid w:val="65FB695B"/>
    <w:rsid w:val="66BD71B9"/>
    <w:rsid w:val="67C7E8C4"/>
    <w:rsid w:val="67F5BF74"/>
    <w:rsid w:val="68BA3EE8"/>
    <w:rsid w:val="6B766575"/>
    <w:rsid w:val="6CAE728B"/>
    <w:rsid w:val="6D5FF845"/>
    <w:rsid w:val="6EAD99B2"/>
    <w:rsid w:val="6EBB56E4"/>
    <w:rsid w:val="6ECF8348"/>
    <w:rsid w:val="6EFF7E99"/>
    <w:rsid w:val="6FBE261B"/>
    <w:rsid w:val="6FE74894"/>
    <w:rsid w:val="6FEF30E3"/>
    <w:rsid w:val="6FF73576"/>
    <w:rsid w:val="6FF79E20"/>
    <w:rsid w:val="6FF95261"/>
    <w:rsid w:val="6FFE4EBB"/>
    <w:rsid w:val="6FFF7D9F"/>
    <w:rsid w:val="72FF4BB6"/>
    <w:rsid w:val="73EB3070"/>
    <w:rsid w:val="74FF39B0"/>
    <w:rsid w:val="7567006E"/>
    <w:rsid w:val="77159A55"/>
    <w:rsid w:val="77A7B3BC"/>
    <w:rsid w:val="77DF4A32"/>
    <w:rsid w:val="77DF4D41"/>
    <w:rsid w:val="77DF6711"/>
    <w:rsid w:val="77E77F21"/>
    <w:rsid w:val="77EE6396"/>
    <w:rsid w:val="78DEB70C"/>
    <w:rsid w:val="78F7D79B"/>
    <w:rsid w:val="797B50E3"/>
    <w:rsid w:val="799E1E23"/>
    <w:rsid w:val="79BEEDB1"/>
    <w:rsid w:val="79CDF2F5"/>
    <w:rsid w:val="79F9D03D"/>
    <w:rsid w:val="7BCB0C23"/>
    <w:rsid w:val="7BCF806F"/>
    <w:rsid w:val="7BED9C47"/>
    <w:rsid w:val="7D6D7AFC"/>
    <w:rsid w:val="7D73BC89"/>
    <w:rsid w:val="7DB3E040"/>
    <w:rsid w:val="7DB60DCD"/>
    <w:rsid w:val="7DBD3FC2"/>
    <w:rsid w:val="7DEF46C6"/>
    <w:rsid w:val="7DF245E5"/>
    <w:rsid w:val="7DF67C13"/>
    <w:rsid w:val="7DFD0506"/>
    <w:rsid w:val="7EE916C1"/>
    <w:rsid w:val="7F2F639C"/>
    <w:rsid w:val="7F3F4C94"/>
    <w:rsid w:val="7F5EE46B"/>
    <w:rsid w:val="7F77D277"/>
    <w:rsid w:val="7F9DBB65"/>
    <w:rsid w:val="7FBBF8DF"/>
    <w:rsid w:val="7FDB9CD3"/>
    <w:rsid w:val="7FEBC60B"/>
    <w:rsid w:val="7FEEB649"/>
    <w:rsid w:val="7FEFF6B7"/>
    <w:rsid w:val="7FF759E1"/>
    <w:rsid w:val="7FFF41F4"/>
    <w:rsid w:val="8B355B77"/>
    <w:rsid w:val="977FC02D"/>
    <w:rsid w:val="9BFC76FC"/>
    <w:rsid w:val="9CDF81B4"/>
    <w:rsid w:val="9DFD50D4"/>
    <w:rsid w:val="9EFB726E"/>
    <w:rsid w:val="9F73B9EA"/>
    <w:rsid w:val="9FFD9840"/>
    <w:rsid w:val="9FFF968D"/>
    <w:rsid w:val="A1DD71FC"/>
    <w:rsid w:val="AB795E09"/>
    <w:rsid w:val="ABBF5F26"/>
    <w:rsid w:val="ACF7A5D8"/>
    <w:rsid w:val="AEAB8784"/>
    <w:rsid w:val="AF7DA322"/>
    <w:rsid w:val="B37E88F0"/>
    <w:rsid w:val="B52F1599"/>
    <w:rsid w:val="B6DF0EBC"/>
    <w:rsid w:val="B777BA5F"/>
    <w:rsid w:val="B77F4253"/>
    <w:rsid w:val="B787447C"/>
    <w:rsid w:val="B9C94E27"/>
    <w:rsid w:val="BA76FD80"/>
    <w:rsid w:val="BAFD0F5E"/>
    <w:rsid w:val="BCFFA6A5"/>
    <w:rsid w:val="BD1973E0"/>
    <w:rsid w:val="BD9F1C6F"/>
    <w:rsid w:val="BDFFB65B"/>
    <w:rsid w:val="BEB7B80E"/>
    <w:rsid w:val="BF6B8BAE"/>
    <w:rsid w:val="BFF60593"/>
    <w:rsid w:val="BFFB838C"/>
    <w:rsid w:val="BFFBC647"/>
    <w:rsid w:val="BFFE2F14"/>
    <w:rsid w:val="C6FF80DB"/>
    <w:rsid w:val="C7FF1C2C"/>
    <w:rsid w:val="C7FFE20A"/>
    <w:rsid w:val="CB22FA53"/>
    <w:rsid w:val="CF3D6E36"/>
    <w:rsid w:val="D3BD7EE9"/>
    <w:rsid w:val="D5D37B32"/>
    <w:rsid w:val="D6DCAAA6"/>
    <w:rsid w:val="D6FDA560"/>
    <w:rsid w:val="DABE828C"/>
    <w:rsid w:val="DDF632A9"/>
    <w:rsid w:val="DDFB5F1E"/>
    <w:rsid w:val="DEFF044D"/>
    <w:rsid w:val="DF5DDD45"/>
    <w:rsid w:val="DFB72E23"/>
    <w:rsid w:val="DFDF3FAD"/>
    <w:rsid w:val="DFDF8840"/>
    <w:rsid w:val="DFEF9292"/>
    <w:rsid w:val="DFF62399"/>
    <w:rsid w:val="DFFE681D"/>
    <w:rsid w:val="DFFF9772"/>
    <w:rsid w:val="E1F5614E"/>
    <w:rsid w:val="E3EFF26C"/>
    <w:rsid w:val="E5BF9A17"/>
    <w:rsid w:val="E7AF2A77"/>
    <w:rsid w:val="ECF9D698"/>
    <w:rsid w:val="EDBFA2B4"/>
    <w:rsid w:val="EDDEA013"/>
    <w:rsid w:val="EDEDD917"/>
    <w:rsid w:val="EDF612E2"/>
    <w:rsid w:val="EDFFA67B"/>
    <w:rsid w:val="EEBE2160"/>
    <w:rsid w:val="EF8B2E38"/>
    <w:rsid w:val="EFFF00F1"/>
    <w:rsid w:val="F1FDC624"/>
    <w:rsid w:val="F3C712A7"/>
    <w:rsid w:val="F3F7726D"/>
    <w:rsid w:val="F3FEF802"/>
    <w:rsid w:val="F45A3850"/>
    <w:rsid w:val="F4E70DE6"/>
    <w:rsid w:val="F562D720"/>
    <w:rsid w:val="F5B353E8"/>
    <w:rsid w:val="F5CCC627"/>
    <w:rsid w:val="F5CF79A7"/>
    <w:rsid w:val="F5DE204F"/>
    <w:rsid w:val="F67E19C0"/>
    <w:rsid w:val="F6EFF189"/>
    <w:rsid w:val="F6FA0E6F"/>
    <w:rsid w:val="F6FB8982"/>
    <w:rsid w:val="F76ADF92"/>
    <w:rsid w:val="F7747C3D"/>
    <w:rsid w:val="F77F4DCC"/>
    <w:rsid w:val="F7DB0F46"/>
    <w:rsid w:val="F7FD36B8"/>
    <w:rsid w:val="F9B718EB"/>
    <w:rsid w:val="F9FD5B44"/>
    <w:rsid w:val="FABDB245"/>
    <w:rsid w:val="FAC95ED1"/>
    <w:rsid w:val="FB26C628"/>
    <w:rsid w:val="FB37045F"/>
    <w:rsid w:val="FB9C05F8"/>
    <w:rsid w:val="FB9E5BD6"/>
    <w:rsid w:val="FBBF1983"/>
    <w:rsid w:val="FBBFD1B7"/>
    <w:rsid w:val="FBEE7346"/>
    <w:rsid w:val="FBFF1080"/>
    <w:rsid w:val="FC7E53F8"/>
    <w:rsid w:val="FD3F9436"/>
    <w:rsid w:val="FD57C876"/>
    <w:rsid w:val="FDB3140C"/>
    <w:rsid w:val="FDBB7D4F"/>
    <w:rsid w:val="FDFB4C65"/>
    <w:rsid w:val="FDFF2421"/>
    <w:rsid w:val="FDFFDC5B"/>
    <w:rsid w:val="FE3B1F60"/>
    <w:rsid w:val="FE633A78"/>
    <w:rsid w:val="FEA4B305"/>
    <w:rsid w:val="FEBF3133"/>
    <w:rsid w:val="FEC8A5F2"/>
    <w:rsid w:val="FEFEBC18"/>
    <w:rsid w:val="FF2F3AD1"/>
    <w:rsid w:val="FF575C57"/>
    <w:rsid w:val="FF7E39AC"/>
    <w:rsid w:val="FF8FB165"/>
    <w:rsid w:val="FF9AF2DA"/>
    <w:rsid w:val="FFB7431D"/>
    <w:rsid w:val="FFBF7355"/>
    <w:rsid w:val="FFD9E49A"/>
    <w:rsid w:val="FFDB0E47"/>
    <w:rsid w:val="FFEB976C"/>
    <w:rsid w:val="FFEE838F"/>
    <w:rsid w:val="FFEEFCEA"/>
    <w:rsid w:val="FFEF145A"/>
    <w:rsid w:val="FFF77CC2"/>
    <w:rsid w:val="FFFB774C"/>
    <w:rsid w:val="FFFD2A4E"/>
    <w:rsid w:val="FFFF4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eastAsia="黑体"/>
      <w:b/>
      <w:bCs/>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Indent"/>
    <w:basedOn w:val="1"/>
    <w:unhideWhenUsed/>
    <w:qFormat/>
    <w:uiPriority w:val="99"/>
    <w:pPr>
      <w:spacing w:after="120"/>
      <w:ind w:left="420" w:leftChars="200"/>
    </w:pPr>
  </w:style>
  <w:style w:type="paragraph" w:styleId="4">
    <w:name w:val="Balloon Text"/>
    <w:basedOn w:val="1"/>
    <w:next w:val="1"/>
    <w:qFormat/>
    <w:uiPriority w:val="0"/>
    <w:pPr>
      <w:widowControl w:val="0"/>
      <w:spacing w:after="0"/>
      <w:jc w:val="both"/>
    </w:pPr>
    <w:rPr>
      <w:rFonts w:ascii="Calibri" w:hAnsi="Calibri" w:eastAsia="宋体" w:cs="Times New Roman"/>
      <w:kern w:val="2"/>
      <w:sz w:val="18"/>
      <w:szCs w:val="18"/>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next w:val="1"/>
    <w:unhideWhenUsed/>
    <w:qFormat/>
    <w:uiPriority w:val="99"/>
    <w:pPr>
      <w:ind w:firstLine="420" w:firstLineChars="200"/>
    </w:pPr>
    <w:rPr>
      <w:rFonts w:eastAsia="仿宋_GB2312"/>
      <w:sz w:val="32"/>
    </w:rPr>
  </w:style>
  <w:style w:type="paragraph" w:customStyle="1" w:styleId="11">
    <w:name w:val="Body Text First Indent 21"/>
    <w:basedOn w:val="12"/>
    <w:qFormat/>
    <w:uiPriority w:val="0"/>
    <w:pPr>
      <w:ind w:firstLine="420" w:firstLineChars="200"/>
    </w:pPr>
  </w:style>
  <w:style w:type="paragraph" w:customStyle="1" w:styleId="12">
    <w:name w:val="Body Text Indent1"/>
    <w:basedOn w:val="1"/>
    <w:qFormat/>
    <w:uiPriority w:val="0"/>
    <w:pPr>
      <w:ind w:left="420" w:leftChars="200"/>
    </w:pPr>
  </w:style>
  <w:style w:type="character" w:customStyle="1" w:styleId="13">
    <w:name w:val="font21"/>
    <w:qFormat/>
    <w:uiPriority w:val="0"/>
    <w:rPr>
      <w:rFonts w:hint="default" w:ascii="仿宋_GB2312" w:hAnsi="Times New Roman" w:eastAsia="仿宋_GB2312" w:cs="仿宋_GB2312"/>
      <w:color w:val="000000"/>
      <w:sz w:val="24"/>
      <w:szCs w:val="24"/>
      <w:u w:val="none"/>
    </w:rPr>
  </w:style>
  <w:style w:type="character" w:customStyle="1" w:styleId="14">
    <w:name w:val="font31"/>
    <w:qFormat/>
    <w:uiPriority w:val="0"/>
    <w:rPr>
      <w:rFonts w:hint="default" w:ascii="仿宋_GB2312" w:hAnsi="Times New Roman" w:eastAsia="仿宋_GB2312" w:cs="仿宋_GB2312"/>
      <w:color w:val="0070C0"/>
      <w:sz w:val="24"/>
      <w:szCs w:val="24"/>
      <w:u w:val="none"/>
    </w:rPr>
  </w:style>
  <w:style w:type="paragraph" w:customStyle="1" w:styleId="15">
    <w:name w:val="索引 51"/>
    <w:basedOn w:val="1"/>
    <w:next w:val="1"/>
    <w:qFormat/>
    <w:uiPriority w:val="0"/>
    <w:pPr>
      <w:ind w:left="1680"/>
    </w:pPr>
    <w:rPr>
      <w:rFonts w:ascii="Calibri" w:hAnsi="Calibri" w:eastAsia="宋体" w:cs="Times New Roman"/>
    </w:rPr>
  </w:style>
  <w:style w:type="paragraph" w:customStyle="1" w:styleId="16">
    <w:name w:val="Table Text"/>
    <w:basedOn w:val="1"/>
    <w:semiHidden/>
    <w:qFormat/>
    <w:uiPriority w:val="0"/>
    <w:rPr>
      <w:rFonts w:ascii="宋体" w:hAnsi="宋体" w:eastAsia="宋体" w:cs="宋体"/>
      <w:sz w:val="33"/>
      <w:szCs w:val="33"/>
      <w:lang w:val="en-US" w:eastAsia="en-US" w:bidi="ar-SA"/>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31</TotalTime>
  <ScaleCrop>false</ScaleCrop>
  <LinksUpToDate>false</LinksUpToDate>
  <CharactersWithSpaces>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2025-10-29T12:33:00Z</dcterms:created>
  <dc:creator>baixin</dc:creator>
  <cp:lastModifiedBy>UOS</cp:lastModifiedBy>
  <cp:lastPrinted>2026-05-28T11:04:00Z</cp:lastPrinted>
  <dcterms:modified xsi:type="dcterms:W3CDTF">2026-07-28T11:14:00Z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DA2F4A9359684B15C61F676A9313048A</vt:lpwstr>
  </property>
</Properties>
</file>