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BBAC3">
      <w:pPr>
        <w:keepNext w:val="0"/>
        <w:keepLines w:val="0"/>
        <w:pageBreakBefore w:val="0"/>
        <w:widowControl w:val="0"/>
        <w:kinsoku/>
        <w:wordWrap/>
        <w:overflowPunct/>
        <w:topLinePunct w:val="0"/>
        <w:autoSpaceDE/>
        <w:autoSpaceDN/>
        <w:bidi w:val="0"/>
        <w:adjustRightInd/>
        <w:snapToGrid/>
        <w:spacing w:line="587" w:lineRule="exact"/>
        <w:ind w:firstLine="880" w:firstLineChars="200"/>
        <w:jc w:val="both"/>
        <w:textAlignment w:val="auto"/>
        <w:rPr>
          <w:rFonts w:hint="eastAsia" w:ascii="方正小标宋简体" w:hAnsi="方正小标宋简体" w:eastAsia="方正小标宋简体" w:cs="方正小标宋简体"/>
          <w:color w:val="auto"/>
          <w:sz w:val="44"/>
          <w:szCs w:val="44"/>
          <w:lang w:val="en-US" w:eastAsia="zh-CN"/>
        </w:rPr>
      </w:pPr>
    </w:p>
    <w:p w14:paraId="00E59795">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张掖市精神障碍社区康复服务融合行动</w:t>
      </w:r>
    </w:p>
    <w:p w14:paraId="689BD3A1">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项目实施方案</w:t>
      </w:r>
    </w:p>
    <w:p w14:paraId="7E5C32EF">
      <w:pPr>
        <w:keepNext w:val="0"/>
        <w:keepLines w:val="0"/>
        <w:pageBreakBefore w:val="0"/>
        <w:widowControl w:val="0"/>
        <w:kinsoku/>
        <w:wordWrap/>
        <w:overflowPunct/>
        <w:topLinePunct w:val="0"/>
        <w:autoSpaceDE/>
        <w:autoSpaceDN/>
        <w:bidi w:val="0"/>
        <w:adjustRightInd/>
        <w:snapToGrid/>
        <w:spacing w:line="587" w:lineRule="exact"/>
        <w:ind w:firstLine="640" w:firstLineChars="200"/>
        <w:jc w:val="left"/>
        <w:textAlignment w:val="auto"/>
        <w:rPr>
          <w:rFonts w:hint="eastAsia" w:ascii="仿宋_GB2312" w:hAnsi="仿宋_GB2312" w:eastAsia="仿宋_GB2312" w:cs="仿宋_GB2312"/>
          <w:color w:val="auto"/>
          <w:sz w:val="32"/>
          <w:szCs w:val="32"/>
          <w:lang w:val="en-US" w:eastAsia="zh-CN"/>
        </w:rPr>
      </w:pPr>
    </w:p>
    <w:p w14:paraId="674B1E2D">
      <w:pPr>
        <w:keepNext w:val="0"/>
        <w:keepLines w:val="0"/>
        <w:pageBreakBefore w:val="0"/>
        <w:widowControl w:val="0"/>
        <w:kinsoku/>
        <w:wordWrap/>
        <w:overflowPunct/>
        <w:topLinePunct w:val="0"/>
        <w:autoSpaceDE/>
        <w:autoSpaceDN/>
        <w:bidi w:val="0"/>
        <w:adjustRightInd w:val="0"/>
        <w:snapToGrid w:val="0"/>
        <w:spacing w:line="587"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为</w:t>
      </w:r>
      <w:r>
        <w:rPr>
          <w:rFonts w:hint="default" w:ascii="仿宋_GB2312" w:hAnsi="仿宋_GB2312" w:eastAsia="仿宋_GB2312" w:cs="仿宋_GB2312"/>
          <w:spacing w:val="0"/>
          <w:sz w:val="32"/>
          <w:szCs w:val="32"/>
          <w:lang w:eastAsia="zh-CN"/>
        </w:rPr>
        <w:t>深入贯彻落实习近平总书记“关心关爱精神障碍人员”的重要指示精神，</w:t>
      </w:r>
      <w:r>
        <w:rPr>
          <w:rFonts w:hint="eastAsia" w:ascii="仿宋_GB2312" w:hAnsi="仿宋_GB2312" w:eastAsia="仿宋_GB2312" w:cs="仿宋_GB2312"/>
          <w:spacing w:val="0"/>
          <w:sz w:val="32"/>
          <w:szCs w:val="32"/>
          <w:lang w:eastAsia="zh-CN"/>
        </w:rPr>
        <w:t>扎实</w:t>
      </w:r>
      <w:r>
        <w:rPr>
          <w:rFonts w:hint="eastAsia" w:ascii="仿宋_GB2312" w:hAnsi="仿宋_GB2312" w:eastAsia="仿宋_GB2312" w:cs="仿宋_GB2312"/>
          <w:spacing w:val="0"/>
          <w:sz w:val="32"/>
          <w:szCs w:val="32"/>
          <w:lang w:val="en-US" w:eastAsia="zh-CN"/>
        </w:rPr>
        <w:t>实施好2026年中央专项彩票公益金支持精神障碍社区康复服务融合行动项目，</w:t>
      </w:r>
      <w:r>
        <w:rPr>
          <w:rFonts w:hint="default" w:ascii="仿宋_GB2312" w:hAnsi="仿宋_GB2312" w:eastAsia="仿宋_GB2312" w:cs="仿宋_GB2312"/>
          <w:spacing w:val="0"/>
          <w:sz w:val="32"/>
          <w:szCs w:val="32"/>
          <w:lang w:eastAsia="zh-CN"/>
        </w:rPr>
        <w:t>为精神障碍患者提供更加公平可及、系统连续的基本康复服务，有效提升我市精神障碍社区康复服务质量和水平，</w:t>
      </w:r>
      <w:r>
        <w:rPr>
          <w:rFonts w:hint="eastAsia" w:ascii="仿宋_GB2312" w:hAnsi="仿宋_GB2312" w:eastAsia="仿宋_GB2312" w:cs="仿宋_GB2312"/>
          <w:spacing w:val="0"/>
          <w:sz w:val="32"/>
          <w:szCs w:val="32"/>
          <w:lang w:val="en-US" w:eastAsia="zh-CN"/>
        </w:rPr>
        <w:t>根据《财政部民政部关于下达2026中央专项彩票公益金支持精神障碍社区康复服务融合行动项目资金的通知</w:t>
      </w:r>
      <w:r>
        <w:rPr>
          <w:rFonts w:hint="eastAsia" w:ascii="仿宋_GB2312" w:hAnsi="仿宋_GB2312" w:eastAsia="仿宋_GB2312" w:cs="仿宋_GB2312"/>
          <w:spacing w:val="-6"/>
          <w:sz w:val="32"/>
          <w:szCs w:val="32"/>
          <w:lang w:val="en-US" w:eastAsia="zh-CN"/>
        </w:rPr>
        <w:t>》（财社</w:t>
      </w:r>
      <w:r>
        <w:rPr>
          <w:rFonts w:hint="eastAsia" w:ascii="仿宋_GB2312" w:hAnsi="仿宋_GB2312" w:eastAsia="仿宋_GB2312" w:cs="仿宋_GB2312"/>
          <w:spacing w:val="-6"/>
          <w:sz w:val="32"/>
          <w:szCs w:val="32"/>
        </w:rPr>
        <w:t>〔202</w:t>
      </w:r>
      <w:r>
        <w:rPr>
          <w:rFonts w:hint="eastAsia" w:ascii="仿宋_GB2312" w:hAnsi="仿宋_GB2312" w:eastAsia="仿宋_GB2312" w:cs="仿宋_GB2312"/>
          <w:spacing w:val="-6"/>
          <w:sz w:val="32"/>
          <w:szCs w:val="32"/>
          <w:lang w:val="en-US" w:eastAsia="zh-CN"/>
        </w:rPr>
        <w:t>6</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67</w:t>
      </w:r>
      <w:r>
        <w:rPr>
          <w:rFonts w:hint="eastAsia" w:ascii="仿宋_GB2312" w:hAnsi="仿宋_GB2312" w:eastAsia="仿宋_GB2312" w:cs="仿宋_GB2312"/>
          <w:spacing w:val="-6"/>
          <w:sz w:val="32"/>
          <w:szCs w:val="32"/>
        </w:rPr>
        <w:t>号</w:t>
      </w:r>
      <w:r>
        <w:rPr>
          <w:rFonts w:hint="eastAsia" w:ascii="仿宋_GB2312" w:hAnsi="仿宋_GB2312" w:eastAsia="仿宋_GB2312" w:cs="仿宋_GB2312"/>
          <w:spacing w:val="-6"/>
          <w:sz w:val="32"/>
          <w:szCs w:val="32"/>
          <w:lang w:val="en-US" w:eastAsia="zh-CN"/>
        </w:rPr>
        <w:t>）要求，结合我市实际，制定本</w:t>
      </w:r>
      <w:r>
        <w:rPr>
          <w:rFonts w:hint="default" w:ascii="仿宋_GB2312" w:hAnsi="仿宋_GB2312" w:eastAsia="仿宋_GB2312" w:cs="仿宋_GB2312"/>
          <w:spacing w:val="-6"/>
          <w:sz w:val="32"/>
          <w:szCs w:val="32"/>
          <w:lang w:eastAsia="zh-CN"/>
        </w:rPr>
        <w:t>实施</w:t>
      </w:r>
      <w:r>
        <w:rPr>
          <w:rFonts w:hint="eastAsia" w:ascii="仿宋_GB2312" w:hAnsi="仿宋_GB2312" w:eastAsia="仿宋_GB2312" w:cs="仿宋_GB2312"/>
          <w:spacing w:val="-6"/>
          <w:sz w:val="32"/>
          <w:szCs w:val="32"/>
          <w:lang w:val="en-US" w:eastAsia="zh-CN"/>
        </w:rPr>
        <w:t>方案</w:t>
      </w:r>
      <w:r>
        <w:rPr>
          <w:rFonts w:hint="eastAsia" w:ascii="仿宋_GB2312" w:hAnsi="仿宋_GB2312" w:eastAsia="仿宋_GB2312" w:cs="仿宋_GB2312"/>
          <w:spacing w:val="0"/>
          <w:sz w:val="32"/>
          <w:szCs w:val="32"/>
          <w:lang w:val="en-US" w:eastAsia="zh-CN"/>
        </w:rPr>
        <w:t>。</w:t>
      </w:r>
    </w:p>
    <w:p w14:paraId="46AC68A1">
      <w:pPr>
        <w:keepNext w:val="0"/>
        <w:keepLines w:val="0"/>
        <w:pageBreakBefore w:val="0"/>
        <w:widowControl w:val="0"/>
        <w:numPr>
          <w:ilvl w:val="0"/>
          <w:numId w:val="0"/>
        </w:numPr>
        <w:kinsoku/>
        <w:wordWrap/>
        <w:overflowPunct/>
        <w:topLinePunct w:val="0"/>
        <w:autoSpaceDE/>
        <w:autoSpaceDN/>
        <w:bidi w:val="0"/>
        <w:adjustRightInd/>
        <w:snapToGrid/>
        <w:spacing w:line="587" w:lineRule="exact"/>
        <w:ind w:firstLine="640" w:firstLineChars="200"/>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一、总体目标</w:t>
      </w:r>
    </w:p>
    <w:p w14:paraId="09DBCA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以习近平新时代中国特色社会主义思想为指导，坚持以人民为中心的发展理念，聚焦精神障碍患者康复回归、融入社会核心需求，立足减轻患者、家庭及社会总体负担，着力构建覆盖全面、专业高效、融合协同的精神障碍社区康复服务体系，持续提升精神障碍</w:t>
      </w:r>
      <w:r>
        <w:rPr>
          <w:rFonts w:hint="default" w:ascii="仿宋_GB2312" w:hAnsi="仿宋_GB2312" w:eastAsia="仿宋_GB2312" w:cs="仿宋_GB2312"/>
          <w:b w:val="0"/>
          <w:bCs w:val="0"/>
          <w:color w:val="auto"/>
          <w:kern w:val="0"/>
          <w:sz w:val="32"/>
          <w:szCs w:val="32"/>
          <w:lang w:eastAsia="zh-CN" w:bidi="ar"/>
        </w:rPr>
        <w:t>患者</w:t>
      </w:r>
      <w:r>
        <w:rPr>
          <w:rFonts w:hint="eastAsia" w:ascii="仿宋_GB2312" w:hAnsi="仿宋_GB2312" w:eastAsia="仿宋_GB2312" w:cs="仿宋_GB2312"/>
          <w:b w:val="0"/>
          <w:bCs w:val="0"/>
          <w:color w:val="auto"/>
          <w:kern w:val="0"/>
          <w:sz w:val="32"/>
          <w:szCs w:val="32"/>
          <w:lang w:val="en-US" w:eastAsia="zh-CN" w:bidi="ar"/>
        </w:rPr>
        <w:t>康复水平、生活质量与社会适应能力，总结提炼特色化、可复制、易推广的精康融合服务模式，全力打造具有示范引领作用的张掖“精康融合”服务样板。</w:t>
      </w:r>
    </w:p>
    <w:p w14:paraId="2740C3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重点任务</w:t>
      </w:r>
    </w:p>
    <w:p w14:paraId="520D2C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640" w:firstLineChars="200"/>
        <w:jc w:val="both"/>
        <w:textAlignment w:val="auto"/>
        <w:rPr>
          <w:rFonts w:hint="eastAsia" w:ascii="仿宋_GB2312" w:hAnsi="仿宋_GB2312" w:eastAsia="仿宋_GB2312" w:cs="仿宋_GB2312"/>
          <w:b w:val="0"/>
          <w:bCs w:val="0"/>
          <w:color w:val="FF0000"/>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（一）强化市级统筹，</w:t>
      </w:r>
      <w:r>
        <w:rPr>
          <w:rFonts w:hint="default" w:ascii="楷体_GB2312" w:hAnsi="楷体_GB2312" w:eastAsia="楷体_GB2312" w:cs="楷体_GB2312"/>
          <w:b w:val="0"/>
          <w:bCs w:val="0"/>
          <w:color w:val="auto"/>
          <w:kern w:val="0"/>
          <w:sz w:val="32"/>
          <w:szCs w:val="32"/>
          <w:lang w:eastAsia="zh-CN" w:bidi="ar"/>
        </w:rPr>
        <w:t>构建</w:t>
      </w:r>
      <w:r>
        <w:rPr>
          <w:rFonts w:hint="eastAsia" w:ascii="楷体_GB2312" w:hAnsi="楷体_GB2312" w:eastAsia="楷体_GB2312" w:cs="楷体_GB2312"/>
          <w:b w:val="0"/>
          <w:bCs w:val="0"/>
          <w:color w:val="auto"/>
          <w:kern w:val="0"/>
          <w:sz w:val="32"/>
          <w:szCs w:val="32"/>
          <w:lang w:val="en-US" w:eastAsia="zh-CN" w:bidi="ar"/>
        </w:rPr>
        <w:t>精康服务</w:t>
      </w:r>
      <w:r>
        <w:rPr>
          <w:rFonts w:hint="default" w:ascii="楷体_GB2312" w:hAnsi="楷体_GB2312" w:eastAsia="楷体_GB2312" w:cs="楷体_GB2312"/>
          <w:b w:val="0"/>
          <w:bCs w:val="0"/>
          <w:color w:val="auto"/>
          <w:kern w:val="0"/>
          <w:sz w:val="32"/>
          <w:szCs w:val="32"/>
          <w:lang w:eastAsia="zh-CN" w:bidi="ar"/>
        </w:rPr>
        <w:t>协同机制</w:t>
      </w:r>
      <w:r>
        <w:rPr>
          <w:rFonts w:hint="eastAsia" w:ascii="楷体_GB2312" w:hAnsi="楷体_GB2312" w:eastAsia="楷体_GB2312" w:cs="楷体_GB2312"/>
          <w:b w:val="0"/>
          <w:bCs w:val="0"/>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坚持系统谋划、科学布局，整合现有政策要求、阵地资源、服务力量，压实各部门工作职责，进一步夯实全市精神障碍社区康复工作根基。</w:t>
      </w:r>
      <w:r>
        <w:rPr>
          <w:rFonts w:hint="default" w:ascii="仿宋_GB2312" w:hAnsi="仿宋_GB2312" w:eastAsia="仿宋_GB2312" w:cs="仿宋_GB2312"/>
          <w:b/>
          <w:bCs/>
          <w:color w:val="auto"/>
          <w:kern w:val="0"/>
          <w:sz w:val="32"/>
          <w:szCs w:val="32"/>
          <w:lang w:val="en-US" w:eastAsia="zh-CN" w:bidi="ar"/>
        </w:rPr>
        <w:t>一是成立工作</w:t>
      </w:r>
      <w:r>
        <w:rPr>
          <w:rFonts w:hint="eastAsia" w:ascii="仿宋_GB2312" w:hAnsi="仿宋_GB2312" w:eastAsia="仿宋_GB2312" w:cs="仿宋_GB2312"/>
          <w:b/>
          <w:bCs/>
          <w:color w:val="auto"/>
          <w:kern w:val="0"/>
          <w:sz w:val="32"/>
          <w:szCs w:val="32"/>
          <w:lang w:val="en-US" w:eastAsia="zh-CN" w:bidi="ar"/>
        </w:rPr>
        <w:t>专班</w:t>
      </w:r>
      <w:r>
        <w:rPr>
          <w:rFonts w:hint="default" w:ascii="仿宋_GB2312" w:hAnsi="仿宋_GB2312" w:eastAsia="仿宋_GB2312" w:cs="仿宋_GB2312"/>
          <w:b/>
          <w:bCs/>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成立由市政府分管领导任组长，</w:t>
      </w:r>
      <w:r>
        <w:rPr>
          <w:rFonts w:hint="eastAsia" w:ascii="仿宋_GB2312" w:hAnsi="仿宋_GB2312" w:eastAsia="仿宋_GB2312" w:cs="仿宋_GB2312"/>
          <w:b w:val="0"/>
          <w:bCs w:val="0"/>
          <w:color w:val="auto"/>
          <w:kern w:val="0"/>
          <w:sz w:val="32"/>
          <w:szCs w:val="32"/>
          <w:lang w:val="en-US" w:eastAsia="zh-CN" w:bidi="ar"/>
        </w:rPr>
        <w:t>市委政法委、</w:t>
      </w:r>
      <w:r>
        <w:rPr>
          <w:rFonts w:hint="default" w:ascii="仿宋_GB2312" w:hAnsi="仿宋_GB2312" w:eastAsia="仿宋_GB2312" w:cs="仿宋_GB2312"/>
          <w:b w:val="0"/>
          <w:bCs w:val="0"/>
          <w:color w:val="auto"/>
          <w:kern w:val="0"/>
          <w:sz w:val="32"/>
          <w:szCs w:val="32"/>
          <w:lang w:val="en-US" w:eastAsia="zh-CN" w:bidi="ar"/>
        </w:rPr>
        <w:t>市公安局、市民政局</w:t>
      </w:r>
      <w:r>
        <w:rPr>
          <w:rFonts w:hint="eastAsia" w:ascii="仿宋_GB2312" w:hAnsi="仿宋_GB2312" w:eastAsia="仿宋_GB2312" w:cs="仿宋_GB2312"/>
          <w:b w:val="0"/>
          <w:bCs w:val="0"/>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市财政局、市人社局、市卫生健康委、市残联等部门负责人为成员的精神障碍社区康复服务融合行动</w:t>
      </w:r>
      <w:r>
        <w:rPr>
          <w:rFonts w:hint="eastAsia" w:ascii="仿宋_GB2312" w:hAnsi="仿宋_GB2312" w:eastAsia="仿宋_GB2312" w:cs="仿宋_GB2312"/>
          <w:b w:val="0"/>
          <w:bCs w:val="0"/>
          <w:color w:val="auto"/>
          <w:kern w:val="0"/>
          <w:sz w:val="32"/>
          <w:szCs w:val="32"/>
          <w:lang w:val="en-US" w:eastAsia="zh-CN" w:bidi="ar"/>
        </w:rPr>
        <w:t>项目</w:t>
      </w:r>
      <w:r>
        <w:rPr>
          <w:rFonts w:hint="default" w:ascii="仿宋_GB2312" w:hAnsi="仿宋_GB2312" w:eastAsia="仿宋_GB2312" w:cs="仿宋_GB2312"/>
          <w:b w:val="0"/>
          <w:bCs w:val="0"/>
          <w:color w:val="auto"/>
          <w:kern w:val="0"/>
          <w:sz w:val="32"/>
          <w:szCs w:val="32"/>
          <w:lang w:val="en-US" w:eastAsia="zh-CN" w:bidi="ar"/>
        </w:rPr>
        <w:t>工作</w:t>
      </w:r>
      <w:r>
        <w:rPr>
          <w:rFonts w:hint="eastAsia" w:ascii="仿宋_GB2312" w:hAnsi="仿宋_GB2312" w:eastAsia="仿宋_GB2312" w:cs="仿宋_GB2312"/>
          <w:b w:val="0"/>
          <w:bCs w:val="0"/>
          <w:color w:val="auto"/>
          <w:kern w:val="0"/>
          <w:sz w:val="32"/>
          <w:szCs w:val="32"/>
          <w:lang w:val="en-US" w:eastAsia="zh-CN" w:bidi="ar"/>
        </w:rPr>
        <w:t>专班，统筹推进全市精康融合行动</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项目</w:t>
      </w:r>
      <w:r>
        <w:rPr>
          <w:rFonts w:hint="eastAsia" w:ascii="仿宋_GB2312" w:hAnsi="仿宋_GB2312" w:eastAsia="仿宋_GB2312" w:cs="仿宋_GB2312"/>
          <w:b w:val="0"/>
          <w:bCs w:val="0"/>
          <w:color w:val="auto"/>
          <w:kern w:val="0"/>
          <w:sz w:val="32"/>
          <w:szCs w:val="32"/>
          <w:lang w:val="en-US" w:eastAsia="zh-CN" w:bidi="ar"/>
        </w:rPr>
        <w:t>工作</w:t>
      </w:r>
      <w:r>
        <w:rPr>
          <w:rFonts w:hint="default" w:ascii="仿宋_GB2312" w:hAnsi="仿宋_GB2312" w:eastAsia="仿宋_GB2312" w:cs="仿宋_GB2312"/>
          <w:b w:val="0"/>
          <w:bCs w:val="0"/>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工作专班</w:t>
      </w:r>
      <w:r>
        <w:rPr>
          <w:rFonts w:hint="default" w:ascii="仿宋_GB2312" w:hAnsi="仿宋_GB2312" w:eastAsia="仿宋_GB2312" w:cs="仿宋_GB2312"/>
          <w:b w:val="0"/>
          <w:bCs w:val="0"/>
          <w:color w:val="auto"/>
          <w:kern w:val="0"/>
          <w:sz w:val="32"/>
          <w:szCs w:val="32"/>
          <w:lang w:val="en-US" w:eastAsia="zh-CN" w:bidi="ar"/>
        </w:rPr>
        <w:t>下设办公室，设在市民政局，负责日常统筹协调工作</w:t>
      </w:r>
      <w:r>
        <w:rPr>
          <w:rFonts w:hint="eastAsia" w:ascii="仿宋_GB2312" w:hAnsi="仿宋_GB2312" w:eastAsia="仿宋_GB2312" w:cs="仿宋_GB2312"/>
          <w:b w:val="0"/>
          <w:bCs w:val="0"/>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明确各部门职责任务，</w:t>
      </w:r>
      <w:r>
        <w:rPr>
          <w:rFonts w:hint="eastAsia" w:ascii="仿宋_GB2312" w:hAnsi="仿宋_GB2312" w:eastAsia="仿宋_GB2312" w:cs="仿宋_GB2312"/>
          <w:b w:val="0"/>
          <w:bCs w:val="0"/>
          <w:color w:val="auto"/>
          <w:kern w:val="0"/>
          <w:sz w:val="32"/>
          <w:szCs w:val="32"/>
          <w:lang w:val="en-US" w:eastAsia="zh-CN" w:bidi="ar"/>
        </w:rPr>
        <w:t>建立民政</w:t>
      </w:r>
      <w:r>
        <w:rPr>
          <w:rFonts w:hint="default" w:ascii="仿宋_GB2312" w:hAnsi="仿宋_GB2312" w:eastAsia="仿宋_GB2312" w:cs="仿宋_GB2312"/>
          <w:b w:val="0"/>
          <w:bCs w:val="0"/>
          <w:color w:val="auto"/>
          <w:kern w:val="0"/>
          <w:sz w:val="32"/>
          <w:szCs w:val="32"/>
          <w:lang w:val="en-US" w:eastAsia="zh-CN" w:bidi="ar"/>
        </w:rPr>
        <w:t>牵头</w:t>
      </w:r>
      <w:r>
        <w:rPr>
          <w:rFonts w:hint="eastAsia" w:ascii="仿宋_GB2312" w:hAnsi="仿宋_GB2312" w:eastAsia="仿宋_GB2312" w:cs="仿宋_GB2312"/>
          <w:b w:val="0"/>
          <w:bCs w:val="0"/>
          <w:color w:val="auto"/>
          <w:kern w:val="0"/>
          <w:sz w:val="32"/>
          <w:szCs w:val="32"/>
          <w:lang w:val="en-US" w:eastAsia="zh-CN" w:bidi="ar"/>
        </w:rPr>
        <w:t>，卫健、残联等部门协同</w:t>
      </w:r>
      <w:r>
        <w:rPr>
          <w:rFonts w:hint="default" w:ascii="仿宋_GB2312" w:hAnsi="仿宋_GB2312" w:eastAsia="仿宋_GB2312" w:cs="仿宋_GB2312"/>
          <w:b w:val="0"/>
          <w:bCs w:val="0"/>
          <w:color w:val="auto"/>
          <w:kern w:val="0"/>
          <w:sz w:val="32"/>
          <w:szCs w:val="32"/>
          <w:lang w:val="en-US" w:eastAsia="zh-CN" w:bidi="ar"/>
        </w:rPr>
        <w:t>联席</w:t>
      </w:r>
      <w:r>
        <w:rPr>
          <w:rFonts w:hint="eastAsia" w:ascii="仿宋_GB2312" w:hAnsi="仿宋_GB2312" w:eastAsia="仿宋_GB2312" w:cs="仿宋_GB2312"/>
          <w:b w:val="0"/>
          <w:bCs w:val="0"/>
          <w:color w:val="auto"/>
          <w:kern w:val="0"/>
          <w:sz w:val="32"/>
          <w:szCs w:val="32"/>
          <w:lang w:val="en-US" w:eastAsia="zh-CN" w:bidi="ar"/>
        </w:rPr>
        <w:t>会议制度，研究解决跨部门协作中的突出问题，协调推进信息共享、资源整合、转介衔接等重点工作。</w:t>
      </w:r>
      <w:r>
        <w:rPr>
          <w:rFonts w:hint="default" w:ascii="仿宋_GB2312" w:hAnsi="仿宋_GB2312" w:eastAsia="仿宋_GB2312" w:cs="仿宋_GB2312"/>
          <w:b/>
          <w:bCs/>
          <w:color w:val="auto"/>
          <w:kern w:val="0"/>
          <w:sz w:val="32"/>
          <w:szCs w:val="32"/>
          <w:lang w:val="en-US" w:eastAsia="zh-CN" w:bidi="ar"/>
        </w:rPr>
        <w:t>二是打造市级枢纽</w:t>
      </w:r>
      <w:r>
        <w:rPr>
          <w:rFonts w:hint="eastAsia" w:ascii="仿宋_GB2312" w:hAnsi="仿宋_GB2312" w:eastAsia="仿宋_GB2312" w:cs="仿宋_GB2312"/>
          <w:b/>
          <w:bCs/>
          <w:color w:val="auto"/>
          <w:kern w:val="0"/>
          <w:sz w:val="32"/>
          <w:szCs w:val="32"/>
          <w:lang w:val="en-US" w:eastAsia="zh-CN" w:bidi="ar"/>
        </w:rPr>
        <w:t>平台</w:t>
      </w:r>
      <w:r>
        <w:rPr>
          <w:rFonts w:hint="default" w:ascii="仿宋_GB2312" w:hAnsi="仿宋_GB2312" w:eastAsia="仿宋_GB2312" w:cs="仿宋_GB2312"/>
          <w:b/>
          <w:bCs/>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依托市救助管理站现有阵地、场地及硬件资源，</w:t>
      </w:r>
      <w:r>
        <w:rPr>
          <w:rFonts w:hint="eastAsia" w:ascii="仿宋_GB2312" w:hAnsi="仿宋_GB2312" w:eastAsia="仿宋_GB2312" w:cs="仿宋_GB2312"/>
          <w:b w:val="0"/>
          <w:bCs w:val="0"/>
          <w:color w:val="auto"/>
          <w:kern w:val="0"/>
          <w:sz w:val="32"/>
          <w:szCs w:val="32"/>
          <w:lang w:val="en-US" w:eastAsia="zh-CN" w:bidi="ar"/>
        </w:rPr>
        <w:t>设立</w:t>
      </w:r>
      <w:r>
        <w:rPr>
          <w:rFonts w:hint="default" w:ascii="仿宋_GB2312" w:hAnsi="仿宋_GB2312" w:eastAsia="仿宋_GB2312" w:cs="仿宋_GB2312"/>
          <w:b w:val="0"/>
          <w:bCs w:val="0"/>
          <w:color w:val="auto"/>
          <w:kern w:val="0"/>
          <w:sz w:val="32"/>
          <w:szCs w:val="32"/>
          <w:lang w:val="en-US" w:eastAsia="zh-CN" w:bidi="ar"/>
        </w:rPr>
        <w:t>市级精神障碍社区康复服务指导中心（培训基地），建成高效集成、全域覆盖的</w:t>
      </w:r>
      <w:r>
        <w:rPr>
          <w:rFonts w:hint="eastAsia" w:ascii="仿宋_GB2312" w:hAnsi="仿宋_GB2312" w:eastAsia="仿宋_GB2312" w:cs="仿宋_GB2312"/>
          <w:b w:val="0"/>
          <w:bCs w:val="0"/>
          <w:color w:val="auto"/>
          <w:kern w:val="0"/>
          <w:sz w:val="32"/>
          <w:szCs w:val="32"/>
          <w:lang w:val="en-US" w:eastAsia="zh-CN" w:bidi="ar"/>
        </w:rPr>
        <w:t>枢纽型</w:t>
      </w:r>
      <w:r>
        <w:rPr>
          <w:rFonts w:hint="default" w:ascii="仿宋_GB2312" w:hAnsi="仿宋_GB2312" w:eastAsia="仿宋_GB2312" w:cs="仿宋_GB2312"/>
          <w:b w:val="0"/>
          <w:bCs w:val="0"/>
          <w:color w:val="auto"/>
          <w:kern w:val="0"/>
          <w:sz w:val="32"/>
          <w:szCs w:val="32"/>
          <w:lang w:val="en-US" w:eastAsia="zh-CN" w:bidi="ar"/>
        </w:rPr>
        <w:t>服务平台。承担全市业务督导培训、专家智库支撑、区域站点打造、服务资源整合等职责任务，统筹指导县区开展规范化康复服务，打通</w:t>
      </w:r>
      <w:r>
        <w:rPr>
          <w:rFonts w:hint="eastAsia" w:ascii="仿宋_GB2312" w:hAnsi="仿宋_GB2312" w:eastAsia="仿宋_GB2312" w:cs="仿宋_GB2312"/>
          <w:b w:val="0"/>
          <w:bCs w:val="0"/>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救助-医疗一康复”转介渠道，将评估与康复纳入救助标准流程，形成“精准服务+统筹指导”的一体化格局，全力为精神障碍患者铺就回归家庭、融入社会的“归途”。</w:t>
      </w:r>
      <w:r>
        <w:rPr>
          <w:rFonts w:hint="default" w:ascii="仿宋_GB2312" w:hAnsi="仿宋_GB2312" w:eastAsia="仿宋_GB2312" w:cs="仿宋_GB2312"/>
          <w:b/>
          <w:bCs/>
          <w:color w:val="auto"/>
          <w:kern w:val="0"/>
          <w:sz w:val="32"/>
          <w:szCs w:val="32"/>
          <w:lang w:val="en-US" w:eastAsia="zh-CN" w:bidi="ar"/>
        </w:rPr>
        <w:t>三</w:t>
      </w:r>
      <w:r>
        <w:rPr>
          <w:rFonts w:hint="eastAsia" w:ascii="仿宋_GB2312" w:hAnsi="仿宋_GB2312" w:eastAsia="仿宋_GB2312" w:cs="仿宋_GB2312"/>
          <w:b/>
          <w:bCs/>
          <w:color w:val="auto"/>
          <w:kern w:val="0"/>
          <w:sz w:val="32"/>
          <w:szCs w:val="32"/>
          <w:lang w:val="en-US" w:eastAsia="zh-CN" w:bidi="ar"/>
        </w:rPr>
        <w:t>是建立协同联动机制。</w:t>
      </w:r>
      <w:r>
        <w:rPr>
          <w:rFonts w:hint="eastAsia" w:ascii="仿宋_GB2312" w:hAnsi="仿宋_GB2312" w:eastAsia="仿宋_GB2312" w:cs="仿宋_GB2312"/>
          <w:b w:val="0"/>
          <w:bCs w:val="0"/>
          <w:color w:val="auto"/>
          <w:kern w:val="0"/>
          <w:sz w:val="32"/>
          <w:szCs w:val="32"/>
          <w:lang w:val="en-US" w:eastAsia="zh-CN" w:bidi="ar"/>
        </w:rPr>
        <w:t>坚持系统观念，发挥市级有关部门在规划布局、政策扶持、资源投入等方面的统筹引导作用，构建“政府主导、民政牵头、部门协同、专业支撑、社会参与”的协同服务格局，形成政策合力。甘州区、民乐县</w:t>
      </w:r>
      <w:r>
        <w:rPr>
          <w:rFonts w:hint="default" w:ascii="仿宋_GB2312" w:hAnsi="仿宋_GB2312" w:eastAsia="仿宋_GB2312" w:cs="仿宋_GB2312"/>
          <w:b w:val="0"/>
          <w:bCs w:val="0"/>
          <w:color w:val="auto"/>
          <w:kern w:val="0"/>
          <w:sz w:val="32"/>
          <w:szCs w:val="32"/>
          <w:lang w:val="en-US" w:eastAsia="zh-CN" w:bidi="ar"/>
        </w:rPr>
        <w:t>成立工作</w:t>
      </w:r>
      <w:r>
        <w:rPr>
          <w:rFonts w:hint="eastAsia" w:ascii="仿宋_GB2312" w:hAnsi="仿宋_GB2312" w:eastAsia="仿宋_GB2312" w:cs="仿宋_GB2312"/>
          <w:b w:val="0"/>
          <w:bCs w:val="0"/>
          <w:color w:val="auto"/>
          <w:kern w:val="0"/>
          <w:sz w:val="32"/>
          <w:szCs w:val="32"/>
          <w:lang w:val="en-US" w:eastAsia="zh-CN" w:bidi="ar"/>
        </w:rPr>
        <w:t>专班</w:t>
      </w:r>
      <w:r>
        <w:rPr>
          <w:rFonts w:hint="default" w:ascii="仿宋_GB2312" w:hAnsi="仿宋_GB2312" w:eastAsia="仿宋_GB2312" w:cs="仿宋_GB2312"/>
          <w:b w:val="0"/>
          <w:bCs w:val="0"/>
          <w:color w:val="auto"/>
          <w:kern w:val="0"/>
          <w:sz w:val="32"/>
          <w:szCs w:val="32"/>
          <w:lang w:val="en-US" w:eastAsia="zh-CN" w:bidi="ar"/>
        </w:rPr>
        <w:t>，整合</w:t>
      </w:r>
      <w:r>
        <w:rPr>
          <w:rFonts w:hint="eastAsia" w:ascii="仿宋_GB2312" w:hAnsi="仿宋_GB2312" w:eastAsia="仿宋_GB2312" w:cs="仿宋_GB2312"/>
          <w:b w:val="0"/>
          <w:bCs w:val="0"/>
          <w:color w:val="auto"/>
          <w:kern w:val="0"/>
          <w:sz w:val="32"/>
          <w:szCs w:val="32"/>
          <w:lang w:val="en-US" w:eastAsia="zh-CN" w:bidi="ar"/>
        </w:rPr>
        <w:t>辖区</w:t>
      </w:r>
      <w:r>
        <w:rPr>
          <w:rFonts w:hint="default" w:ascii="仿宋_GB2312" w:hAnsi="仿宋_GB2312" w:eastAsia="仿宋_GB2312" w:cs="仿宋_GB2312"/>
          <w:b w:val="0"/>
          <w:bCs w:val="0"/>
          <w:color w:val="auto"/>
          <w:kern w:val="0"/>
          <w:sz w:val="32"/>
          <w:szCs w:val="32"/>
          <w:lang w:val="en-US" w:eastAsia="zh-CN" w:bidi="ar"/>
        </w:rPr>
        <w:t>医疗卫生机构、残疾人托养中心等阵地资源，统筹乡镇（街道）、村（社）民政专干、精防工作人员、爱心助残员、网格员等基层力量，</w:t>
      </w:r>
      <w:r>
        <w:rPr>
          <w:rFonts w:hint="eastAsia" w:ascii="仿宋_GB2312" w:hAnsi="仿宋_GB2312" w:eastAsia="仿宋_GB2312" w:cs="仿宋_GB2312"/>
          <w:b w:val="0"/>
          <w:bCs w:val="0"/>
          <w:color w:val="auto"/>
          <w:kern w:val="0"/>
          <w:sz w:val="32"/>
          <w:szCs w:val="32"/>
          <w:lang w:val="en-US" w:eastAsia="zh-CN" w:bidi="ar"/>
        </w:rPr>
        <w:t>凝聚基层工作合力，</w:t>
      </w:r>
      <w:r>
        <w:rPr>
          <w:rFonts w:hint="default" w:ascii="仿宋_GB2312" w:hAnsi="仿宋_GB2312" w:eastAsia="仿宋_GB2312" w:cs="仿宋_GB2312"/>
          <w:b w:val="0"/>
          <w:bCs w:val="0"/>
          <w:color w:val="auto"/>
          <w:kern w:val="0"/>
          <w:sz w:val="32"/>
          <w:szCs w:val="32"/>
          <w:lang w:val="en-US" w:eastAsia="zh-CN" w:bidi="ar"/>
        </w:rPr>
        <w:t>确保各项任务落地落实</w:t>
      </w:r>
      <w:r>
        <w:rPr>
          <w:rFonts w:hint="eastAsia" w:ascii="仿宋_GB2312" w:hAnsi="仿宋_GB2312" w:eastAsia="仿宋_GB2312" w:cs="仿宋_GB2312"/>
          <w:b w:val="0"/>
          <w:bCs w:val="0"/>
          <w:color w:val="auto"/>
          <w:kern w:val="0"/>
          <w:sz w:val="32"/>
          <w:szCs w:val="32"/>
          <w:lang w:val="en-US" w:eastAsia="zh-CN" w:bidi="ar"/>
        </w:rPr>
        <w:t>。</w:t>
      </w:r>
      <w:r>
        <w:rPr>
          <w:rFonts w:hint="eastAsia" w:ascii="仿宋_GB2312" w:hAnsi="仿宋_GB2312" w:eastAsia="仿宋_GB2312" w:cs="仿宋_GB2312"/>
          <w:b/>
          <w:bCs/>
          <w:color w:val="auto"/>
          <w:kern w:val="0"/>
          <w:sz w:val="32"/>
          <w:szCs w:val="32"/>
          <w:lang w:val="en-US" w:eastAsia="zh-CN" w:bidi="ar"/>
        </w:rPr>
        <w:t>四是强化分类</w:t>
      </w:r>
      <w:r>
        <w:rPr>
          <w:rFonts w:hint="default" w:ascii="仿宋_GB2312" w:hAnsi="仿宋_GB2312" w:eastAsia="仿宋_GB2312" w:cs="仿宋_GB2312"/>
          <w:b/>
          <w:bCs/>
          <w:color w:val="auto"/>
          <w:kern w:val="0"/>
          <w:sz w:val="32"/>
          <w:szCs w:val="32"/>
          <w:lang w:val="en-US" w:eastAsia="zh-CN" w:bidi="ar"/>
        </w:rPr>
        <w:t>督导培训。</w:t>
      </w:r>
      <w:r>
        <w:rPr>
          <w:rFonts w:hint="eastAsia" w:ascii="仿宋_GB2312" w:hAnsi="仿宋_GB2312" w:eastAsia="仿宋_GB2312" w:cs="仿宋_GB2312"/>
          <w:b w:val="0"/>
          <w:bCs w:val="0"/>
          <w:color w:val="auto"/>
          <w:kern w:val="0"/>
          <w:sz w:val="32"/>
          <w:szCs w:val="32"/>
          <w:lang w:val="en-US" w:eastAsia="zh-CN" w:bidi="ar"/>
        </w:rPr>
        <w:t>健全分层督导机制，实行市级季度全覆盖督导、县区月度常态化督导、乡镇（街道）每周常态化巡查制度，筑牢全市精康服务规范化标准化根基。充分整合张掖市民政精神病福利院专业力量，搭建系统化、专业化的精康人才培育体系，聚焦康复评估、危机干预、个案服务等重点内容，组织基层</w:t>
      </w:r>
      <w:r>
        <w:rPr>
          <w:rFonts w:hint="default" w:ascii="仿宋_GB2312" w:hAnsi="仿宋_GB2312" w:eastAsia="仿宋_GB2312" w:cs="仿宋_GB2312"/>
          <w:b w:val="0"/>
          <w:bCs w:val="0"/>
          <w:color w:val="auto"/>
          <w:kern w:val="0"/>
          <w:sz w:val="32"/>
          <w:szCs w:val="32"/>
          <w:lang w:val="en-US" w:eastAsia="zh-CN" w:bidi="ar"/>
        </w:rPr>
        <w:t>精康服务</w:t>
      </w:r>
      <w:r>
        <w:rPr>
          <w:rFonts w:hint="eastAsia" w:ascii="仿宋_GB2312" w:hAnsi="仿宋_GB2312" w:eastAsia="仿宋_GB2312" w:cs="仿宋_GB2312"/>
          <w:b w:val="0"/>
          <w:bCs w:val="0"/>
          <w:color w:val="auto"/>
          <w:kern w:val="0"/>
          <w:sz w:val="32"/>
          <w:szCs w:val="32"/>
          <w:lang w:val="en-US" w:eastAsia="zh-CN" w:bidi="ar"/>
        </w:rPr>
        <w:t>工作人员，双月开展业务知识和实操轮训，全面提升基层服务队伍专业能力。</w:t>
      </w:r>
    </w:p>
    <w:p w14:paraId="4047D671">
      <w:pPr>
        <w:pStyle w:val="7"/>
        <w:keepNext w:val="0"/>
        <w:keepLines w:val="0"/>
        <w:pageBreakBefore w:val="0"/>
        <w:kinsoku/>
        <w:wordWrap/>
        <w:overflowPunct/>
        <w:topLinePunct w:val="0"/>
        <w:autoSpaceDE/>
        <w:autoSpaceDN/>
        <w:bidi w:val="0"/>
        <w:spacing w:line="587" w:lineRule="exact"/>
        <w:ind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（二）科学布局站点，拓展培育特色服务品牌。</w:t>
      </w:r>
      <w:r>
        <w:rPr>
          <w:rFonts w:hint="eastAsia" w:ascii="仿宋_GB2312" w:hAnsi="仿宋_GB2312" w:eastAsia="仿宋_GB2312" w:cs="仿宋_GB2312"/>
          <w:b w:val="0"/>
          <w:bCs w:val="0"/>
          <w:color w:val="auto"/>
          <w:kern w:val="0"/>
          <w:sz w:val="32"/>
          <w:szCs w:val="32"/>
          <w:shd w:val="clear" w:color="auto" w:fill="auto"/>
          <w:lang w:val="en-US" w:eastAsia="zh-CN" w:bidi="ar"/>
        </w:rPr>
        <w:t>聚焦精神障碍社区康复服务提质增效，立足辖区实际科学统筹站点布局，按照站点建设标准打造提升，创设差异化特色服务品牌，持续完善全域覆盖、精准高效的社区精康服务体系。</w:t>
      </w:r>
      <w:r>
        <w:rPr>
          <w:rFonts w:hint="eastAsia" w:ascii="仿宋_GB2312" w:hAnsi="仿宋_GB2312" w:eastAsia="仿宋_GB2312" w:cs="仿宋_GB2312"/>
          <w:b/>
          <w:bCs/>
          <w:color w:val="auto"/>
          <w:kern w:val="0"/>
          <w:sz w:val="32"/>
          <w:szCs w:val="32"/>
          <w:lang w:val="en-US" w:eastAsia="zh-CN" w:bidi="ar"/>
        </w:rPr>
        <w:t>一是因地制宜设置服务站点。</w:t>
      </w:r>
      <w:r>
        <w:rPr>
          <w:rFonts w:hint="eastAsia" w:ascii="仿宋_GB2312" w:hAnsi="仿宋_GB2312" w:eastAsia="仿宋_GB2312" w:cs="仿宋_GB2312"/>
          <w:b w:val="0"/>
          <w:bCs w:val="0"/>
          <w:color w:val="auto"/>
          <w:kern w:val="0"/>
          <w:sz w:val="32"/>
          <w:szCs w:val="32"/>
          <w:lang w:val="en-US" w:eastAsia="zh-CN" w:bidi="ar"/>
        </w:rPr>
        <w:t>甘州区、</w:t>
      </w:r>
      <w:r>
        <w:rPr>
          <w:rFonts w:hint="eastAsia" w:ascii="仿宋_GB2312" w:hAnsi="仿宋_GB2312" w:eastAsia="仿宋_GB2312" w:cs="仿宋_GB2312"/>
          <w:b w:val="0"/>
          <w:bCs w:val="0"/>
          <w:color w:val="auto"/>
          <w:kern w:val="0"/>
          <w:sz w:val="32"/>
          <w:szCs w:val="32"/>
          <w:shd w:val="clear" w:color="auto" w:fill="auto"/>
          <w:lang w:val="en-US" w:eastAsia="zh-CN" w:bidi="ar"/>
        </w:rPr>
        <w:t>民乐县结合辖区人口分布、交通条件、服务辐射范围等实际情况，依托民政、卫健、残联服务机构以及乡镇（街道）党群服务阵地资源，按照区域服务站点建设标准，升</w:t>
      </w:r>
      <w:r>
        <w:rPr>
          <w:rFonts w:hint="eastAsia" w:ascii="仿宋_GB2312" w:hAnsi="仿宋_GB2312" w:eastAsia="仿宋_GB2312" w:cs="仿宋_GB2312"/>
          <w:b w:val="0"/>
          <w:bCs w:val="0"/>
          <w:color w:val="auto"/>
          <w:kern w:val="0"/>
          <w:sz w:val="32"/>
          <w:szCs w:val="32"/>
          <w:lang w:val="en-US" w:eastAsia="zh-CN" w:bidi="ar"/>
        </w:rPr>
        <w:t>级打造7</w:t>
      </w:r>
      <w:r>
        <w:rPr>
          <w:rFonts w:hint="eastAsia" w:ascii="仿宋_GB2312" w:hAnsi="仿宋_GB2312" w:eastAsia="仿宋_GB2312" w:cs="仿宋_GB2312"/>
          <w:b w:val="0"/>
          <w:bCs w:val="0"/>
          <w:color w:val="auto"/>
          <w:kern w:val="0"/>
          <w:sz w:val="32"/>
          <w:szCs w:val="32"/>
          <w:shd w:val="clear" w:color="auto" w:fill="auto"/>
          <w:lang w:val="en-US" w:eastAsia="zh-CN" w:bidi="ar"/>
        </w:rPr>
        <w:t>个“祁康家园”精神</w:t>
      </w:r>
      <w:r>
        <w:rPr>
          <w:rFonts w:hint="eastAsia" w:ascii="仿宋_GB2312" w:hAnsi="仿宋_GB2312" w:eastAsia="仿宋_GB2312" w:cs="仿宋_GB2312"/>
          <w:b w:val="0"/>
          <w:bCs w:val="0"/>
          <w:color w:val="auto"/>
          <w:kern w:val="0"/>
          <w:sz w:val="32"/>
          <w:szCs w:val="32"/>
          <w:lang w:val="en-US" w:eastAsia="zh-CN" w:bidi="ar"/>
        </w:rPr>
        <w:t>障碍康复服务站点（甘州区4个、民乐</w:t>
      </w:r>
      <w:r>
        <w:rPr>
          <w:rFonts w:hint="eastAsia" w:ascii="仿宋_GB2312" w:hAnsi="仿宋_GB2312" w:eastAsia="仿宋_GB2312" w:cs="仿宋_GB2312"/>
          <w:b w:val="0"/>
          <w:bCs w:val="0"/>
          <w:color w:val="auto"/>
          <w:kern w:val="0"/>
          <w:sz w:val="32"/>
          <w:szCs w:val="32"/>
          <w:shd w:val="clear" w:color="auto" w:fill="auto"/>
          <w:lang w:val="en-US" w:eastAsia="zh-CN" w:bidi="ar"/>
        </w:rPr>
        <w:t>县3个）。</w:t>
      </w:r>
      <w:r>
        <w:rPr>
          <w:rFonts w:hint="eastAsia" w:ascii="仿宋_GB2312" w:hAnsi="仿宋_GB2312" w:eastAsia="仿宋_GB2312" w:cs="仿宋_GB2312"/>
          <w:b/>
          <w:bCs/>
          <w:color w:val="auto"/>
          <w:kern w:val="0"/>
          <w:sz w:val="32"/>
          <w:szCs w:val="32"/>
          <w:lang w:val="en-US" w:eastAsia="zh-CN" w:bidi="ar"/>
        </w:rPr>
        <w:t>二是统一规范站点功能布局。</w:t>
      </w:r>
      <w:r>
        <w:rPr>
          <w:rFonts w:hint="eastAsia" w:ascii="仿宋_GB2312" w:hAnsi="仿宋_GB2312" w:eastAsia="仿宋_GB2312" w:cs="仿宋_GB2312"/>
          <w:b w:val="0"/>
          <w:bCs w:val="0"/>
          <w:color w:val="auto"/>
          <w:kern w:val="0"/>
          <w:sz w:val="32"/>
          <w:szCs w:val="32"/>
          <w:lang w:val="en-US" w:eastAsia="zh-CN" w:bidi="ar"/>
        </w:rPr>
        <w:t>各站点因地制宜布置门头，统一悬挂标识标牌，区域站点至少配备2名以上专职工作人员，规范场地环境、宣传指引与日常管理制度等，科学设置接待咨询、心理疏导宣泄、康复训练、日间照料休憩、档案管理五大功能区域，购置有助于精神障碍康复的辅助器具。</w:t>
      </w:r>
      <w:r>
        <w:rPr>
          <w:rFonts w:hint="eastAsia" w:ascii="仿宋_GB2312" w:hAnsi="仿宋_GB2312" w:eastAsia="仿宋_GB2312" w:cs="仿宋_GB2312"/>
          <w:b/>
          <w:bCs/>
          <w:color w:val="auto"/>
          <w:kern w:val="0"/>
          <w:sz w:val="32"/>
          <w:szCs w:val="32"/>
          <w:lang w:val="en-US" w:eastAsia="zh-CN" w:bidi="ar"/>
        </w:rPr>
        <w:t>三是打造特色服务品牌。</w:t>
      </w:r>
      <w:r>
        <w:rPr>
          <w:rFonts w:hint="eastAsia" w:ascii="仿宋_GB2312" w:hAnsi="仿宋_GB2312" w:eastAsia="仿宋_GB2312" w:cs="仿宋_GB2312"/>
          <w:b w:val="0"/>
          <w:bCs w:val="0"/>
          <w:color w:val="auto"/>
          <w:kern w:val="0"/>
          <w:sz w:val="32"/>
          <w:szCs w:val="32"/>
          <w:lang w:val="en-US" w:eastAsia="zh-CN" w:bidi="ar"/>
        </w:rPr>
        <w:t>甘州区立足城市社区网格化治理优势，依托4个区域站点，将精神障碍患者评估走访、信息更新、风险排查纳入网格员日常工作职责，打通城市社区精康服务精细化治理通道，推动精神障碍社区康复服务与城市基层网格治理深度融合，构建“网格+”</w:t>
      </w:r>
      <w:r>
        <w:rPr>
          <w:rFonts w:hint="eastAsia" w:ascii="楷体_GB2312" w:hAnsi="楷体_GB2312" w:eastAsia="楷体_GB2312" w:cs="楷体_GB2312"/>
          <w:b w:val="0"/>
          <w:bCs w:val="0"/>
          <w:color w:val="auto"/>
          <w:kern w:val="0"/>
          <w:sz w:val="28"/>
          <w:szCs w:val="28"/>
          <w:lang w:val="en-US" w:eastAsia="zh-CN" w:bidi="ar"/>
        </w:rPr>
        <w:t>（网格摸排、网格管控、网格服务、网格赋能）</w:t>
      </w:r>
      <w:r>
        <w:rPr>
          <w:rFonts w:hint="eastAsia" w:ascii="仿宋_GB2312" w:hAnsi="仿宋_GB2312" w:eastAsia="仿宋_GB2312" w:cs="仿宋_GB2312"/>
          <w:b w:val="0"/>
          <w:bCs w:val="0"/>
          <w:color w:val="auto"/>
          <w:kern w:val="0"/>
          <w:sz w:val="32"/>
          <w:szCs w:val="32"/>
          <w:lang w:val="en-US" w:eastAsia="zh-CN" w:bidi="ar"/>
        </w:rPr>
        <w:t>的城市精康服务新模式。民乐县立足县域乡村地域特点、农耕文化禀赋，创新打造“农耕疗愈、乡土赋能、自然复元”的乡村特色精康服务模式，适配乡村康复群体的特色康复体系，打造具有本土特色的“农康融合”张掖乡村精康服务样板。</w:t>
      </w:r>
    </w:p>
    <w:p w14:paraId="642A6C1E">
      <w:pPr>
        <w:pStyle w:val="1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（三）精准摸排评估，提供多元精准康复服务。</w:t>
      </w:r>
      <w:r>
        <w:rPr>
          <w:rFonts w:hint="eastAsia" w:ascii="仿宋_GB2312" w:hAnsi="仿宋_GB2312" w:eastAsia="仿宋_GB2312" w:cs="仿宋_GB2312"/>
          <w:b w:val="0"/>
          <w:bCs w:val="0"/>
          <w:color w:val="auto"/>
          <w:kern w:val="0"/>
          <w:sz w:val="32"/>
          <w:szCs w:val="32"/>
          <w:lang w:val="en-US" w:eastAsia="zh-CN" w:bidi="ar"/>
        </w:rPr>
        <w:t>坚持需求导向、分类施策、规范服务，聚焦六类精神障碍患者，整合各类康复资源，打通多元转介通道，构建全周期精细化康复服务链条。</w:t>
      </w:r>
      <w:r>
        <w:rPr>
          <w:rFonts w:hint="eastAsia" w:ascii="仿宋_GB2312" w:hAnsi="仿宋_GB2312" w:eastAsia="仿宋_GB2312" w:cs="仿宋_GB2312"/>
          <w:b/>
          <w:bCs/>
          <w:color w:val="auto"/>
          <w:kern w:val="0"/>
          <w:sz w:val="32"/>
          <w:szCs w:val="32"/>
          <w:lang w:val="en-US" w:eastAsia="zh-CN" w:bidi="ar"/>
        </w:rPr>
        <w:t>一是精准筛选服务对象。</w:t>
      </w:r>
      <w:r>
        <w:rPr>
          <w:rFonts w:hint="eastAsia" w:ascii="仿宋_GB2312" w:hAnsi="仿宋_GB2312" w:eastAsia="仿宋_GB2312" w:cs="仿宋_GB2312"/>
          <w:b w:val="0"/>
          <w:bCs w:val="0"/>
          <w:color w:val="auto"/>
          <w:kern w:val="0"/>
          <w:sz w:val="32"/>
          <w:szCs w:val="32"/>
          <w:lang w:val="en-US" w:eastAsia="zh-CN" w:bidi="ar"/>
        </w:rPr>
        <w:t>依托全国严重精神障碍信息管理系统、全国残联信息化平台，梳理精神障碍患者基础信息、病情等级、救助保障类别、居住分布及个性化康复需求，制定精神障碍社区康复基线评估量表。县区组织专职工作人员、爱心助残员</w:t>
      </w:r>
      <w:r>
        <w:rPr>
          <w:rFonts w:hint="default" w:ascii="仿宋_GB2312" w:hAnsi="仿宋_GB2312" w:eastAsia="仿宋_GB2312" w:cs="仿宋_GB2312"/>
          <w:b w:val="0"/>
          <w:bCs w:val="0"/>
          <w:color w:val="auto"/>
          <w:kern w:val="0"/>
          <w:sz w:val="32"/>
          <w:szCs w:val="32"/>
          <w:lang w:val="en-US" w:eastAsia="zh-CN" w:bidi="ar"/>
        </w:rPr>
        <w:t>、精防人员</w:t>
      </w:r>
      <w:r>
        <w:rPr>
          <w:rFonts w:hint="eastAsia" w:ascii="仿宋_GB2312" w:hAnsi="仿宋_GB2312" w:eastAsia="仿宋_GB2312" w:cs="仿宋_GB2312"/>
          <w:b w:val="0"/>
          <w:bCs w:val="0"/>
          <w:color w:val="auto"/>
          <w:kern w:val="0"/>
          <w:sz w:val="32"/>
          <w:szCs w:val="32"/>
          <w:lang w:val="en-US" w:eastAsia="zh-CN" w:bidi="ar"/>
        </w:rPr>
        <w:t>联合开展现场基线评估，精准筛选经专业评估符合社区康复准入条件且有意愿的对象纳入项目服务范围，确保评估数据客观、真实、精准。</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项目实施过程中为不少于26%的精神障碍患者提供精准康复服务（甘州区不少于750人，民乐县不少于290人）。</w:t>
      </w:r>
      <w:r>
        <w:rPr>
          <w:rFonts w:hint="eastAsia" w:ascii="仿宋_GB2312" w:hAnsi="仿宋_GB2312" w:eastAsia="仿宋_GB2312" w:cs="仿宋_GB2312"/>
          <w:b/>
          <w:bCs/>
          <w:color w:val="auto"/>
          <w:kern w:val="0"/>
          <w:sz w:val="32"/>
          <w:szCs w:val="32"/>
          <w:lang w:val="en-US" w:eastAsia="zh-CN" w:bidi="ar"/>
        </w:rPr>
        <w:t>二是提供康复训练服务。</w:t>
      </w:r>
      <w:r>
        <w:rPr>
          <w:rFonts w:hint="eastAsia" w:ascii="仿宋_GB2312" w:hAnsi="仿宋_GB2312" w:eastAsia="仿宋_GB2312" w:cs="仿宋_GB2312"/>
          <w:b w:val="0"/>
          <w:bCs w:val="0"/>
          <w:color w:val="auto"/>
          <w:kern w:val="0"/>
          <w:sz w:val="32"/>
          <w:szCs w:val="32"/>
          <w:lang w:val="en-US" w:eastAsia="zh-CN" w:bidi="ar"/>
        </w:rPr>
        <w:t>聚焦患者核心康复需求，严格按照《精神障碍社区康复服务规范》，定期为患者提供一对一专业指导、站点集中康复服务，涵盖规律服药训练、病情预防复发训练、躯体健康管理训练、生活自理技能训练、社交融入能力训练等9项内容，确保接受康复服务的精神障碍患者人均服务次数不少于10次，持续筑牢康复基础，有效降低病情复发风险，助力患者稳步回归家庭和社会。</w:t>
      </w:r>
      <w:r>
        <w:rPr>
          <w:rFonts w:hint="eastAsia" w:ascii="仿宋_GB2312" w:hAnsi="仿宋_GB2312" w:eastAsia="仿宋_GB2312" w:cs="仿宋_GB2312"/>
          <w:b/>
          <w:bCs/>
          <w:color w:val="auto"/>
          <w:kern w:val="0"/>
          <w:sz w:val="32"/>
          <w:szCs w:val="32"/>
          <w:lang w:val="en-US" w:eastAsia="zh-CN" w:bidi="ar"/>
        </w:rPr>
        <w:t>三是开展辅助性支持服务。</w:t>
      </w:r>
      <w:r>
        <w:rPr>
          <w:rFonts w:hint="eastAsia" w:ascii="仿宋_GB2312" w:hAnsi="仿宋_GB2312" w:eastAsia="仿宋_GB2312" w:cs="仿宋_GB2312"/>
          <w:b w:val="0"/>
          <w:bCs w:val="0"/>
          <w:color w:val="auto"/>
          <w:kern w:val="0"/>
          <w:sz w:val="32"/>
          <w:szCs w:val="32"/>
          <w:lang w:val="en-US" w:eastAsia="zh-CN" w:bidi="ar"/>
        </w:rPr>
        <w:t>精准链接辅助性就业、公益性岗位、职业技能培训资源，常态化开展就业指导和岗位适应性训练，定期组织开展家属照护能力培训、心理慰藉疏导、各类救助政策精准链接；依托社区宣传阵地常态化开展精神卫生普法宣传、康复知识科普宣讲，培育社区包容接纳氛围，减少社会偏见与歧视。全年组织开展患者及家属照护技能培训、政策宣传等综合服务活动26场以上，覆盖群众520人以上。</w:t>
      </w:r>
      <w:r>
        <w:rPr>
          <w:rFonts w:hint="eastAsia" w:ascii="仿宋_GB2312" w:hAnsi="仿宋_GB2312" w:eastAsia="仿宋_GB2312" w:cs="仿宋_GB2312"/>
          <w:b/>
          <w:bCs/>
          <w:color w:val="auto"/>
          <w:kern w:val="0"/>
          <w:sz w:val="32"/>
          <w:szCs w:val="32"/>
          <w:lang w:val="en-US" w:eastAsia="zh-CN" w:bidi="ar"/>
        </w:rPr>
        <w:t>四是畅通精康双向转介服务。</w:t>
      </w:r>
      <w:r>
        <w:rPr>
          <w:rFonts w:hint="eastAsia" w:ascii="仿宋_GB2312" w:hAnsi="仿宋_GB2312" w:eastAsia="仿宋_GB2312" w:cs="仿宋_GB2312"/>
          <w:b w:val="0"/>
          <w:bCs w:val="0"/>
          <w:color w:val="auto"/>
          <w:kern w:val="0"/>
          <w:sz w:val="32"/>
          <w:szCs w:val="32"/>
          <w:lang w:val="en-US" w:eastAsia="zh-CN" w:bidi="ar"/>
        </w:rPr>
        <w:t>健全“医院—社区—就业”闭环双向转介机制，重点做好医疗机构出院精神障碍患者精准转介至社区康复服务站点，及时接续开展居家康复、技能训练、心理疏导等后续服务；对经过系统社区康复、具备劳动意愿和基本就业能力的康复对象，及时向就业服务机构、工疗实训工坊转介，落实岗位对接、陪伴支持、跟踪帮扶等措施。同时建立转介台账、定期回访评估，打通医疗康复、社区照护、辅助就业之间的服务断点，实现收治、康复、就业全链条无缝衔接。</w:t>
      </w:r>
      <w:r>
        <w:rPr>
          <w:rFonts w:hint="eastAsia" w:ascii="仿宋_GB2312" w:hAnsi="仿宋_GB2312" w:eastAsia="仿宋_GB2312" w:cs="仿宋_GB2312"/>
          <w:b/>
          <w:bCs/>
          <w:color w:val="auto"/>
          <w:kern w:val="0"/>
          <w:sz w:val="32"/>
          <w:szCs w:val="32"/>
          <w:lang w:val="en-US" w:eastAsia="zh-CN" w:bidi="ar"/>
        </w:rPr>
        <w:t>五是推行精细化管理服务模式。</w:t>
      </w:r>
      <w:r>
        <w:rPr>
          <w:rFonts w:hint="default" w:ascii="仿宋_GB2312" w:hAnsi="仿宋_GB2312" w:eastAsia="仿宋_GB2312" w:cs="仿宋_GB2312"/>
          <w:b w:val="0"/>
          <w:bCs w:val="0"/>
          <w:color w:val="auto"/>
          <w:kern w:val="0"/>
          <w:sz w:val="32"/>
          <w:szCs w:val="32"/>
          <w:lang w:val="en-US" w:eastAsia="zh-CN" w:bidi="ar"/>
        </w:rPr>
        <w:t>落实“一人一档”“</w:t>
      </w:r>
      <w:r>
        <w:rPr>
          <w:rFonts w:hint="eastAsia" w:ascii="仿宋_GB2312" w:hAnsi="仿宋_GB2312" w:eastAsia="仿宋_GB2312" w:cs="仿宋_GB2312"/>
          <w:b w:val="0"/>
          <w:bCs w:val="0"/>
          <w:color w:val="auto"/>
          <w:kern w:val="0"/>
          <w:sz w:val="32"/>
          <w:szCs w:val="32"/>
          <w:lang w:val="en-US" w:eastAsia="zh-CN" w:bidi="ar"/>
        </w:rPr>
        <w:t>一人一策</w:t>
      </w:r>
      <w:r>
        <w:rPr>
          <w:rFonts w:hint="default" w:ascii="仿宋_GB2312" w:hAnsi="仿宋_GB2312" w:eastAsia="仿宋_GB2312" w:cs="仿宋_GB2312"/>
          <w:b w:val="0"/>
          <w:bCs w:val="0"/>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个性化康复方案和</w:t>
      </w:r>
      <w:r>
        <w:rPr>
          <w:rFonts w:hint="default" w:ascii="仿宋_GB2312" w:hAnsi="仿宋_GB2312" w:eastAsia="仿宋_GB2312" w:cs="仿宋_GB2312"/>
          <w:b w:val="0"/>
          <w:bCs w:val="0"/>
          <w:color w:val="auto"/>
          <w:kern w:val="0"/>
          <w:sz w:val="32"/>
          <w:szCs w:val="32"/>
          <w:lang w:val="en-US" w:eastAsia="zh-CN" w:bidi="ar"/>
        </w:rPr>
        <w:t>“一人一关爱帮扶团队”工作措施，</w:t>
      </w:r>
      <w:r>
        <w:rPr>
          <w:rFonts w:hint="eastAsia" w:ascii="仿宋_GB2312" w:hAnsi="仿宋_GB2312" w:eastAsia="仿宋_GB2312" w:cs="仿宋_GB2312"/>
          <w:b w:val="0"/>
          <w:bCs w:val="0"/>
          <w:color w:val="auto"/>
          <w:kern w:val="0"/>
          <w:sz w:val="32"/>
          <w:szCs w:val="32"/>
          <w:lang w:val="en-US" w:eastAsia="zh-CN" w:bidi="ar"/>
        </w:rPr>
        <w:t>完整收录患者评估记录、康复训练台账、上门服务日志、家庭帮扶跟踪记录、阶段性康复成效等全套资料，实行动态更新、分级归档。充分运用全国精神障碍社区康复服务信息系统，精准记录全周期康复服务过程，全过程监管项目推进情况。指导县区及时调整优化服务内容和帮扶举措，以标准化管理支撑精准施策、动态管控，切实提升社区康复服务规范化、精细化水平。</w:t>
      </w:r>
    </w:p>
    <w:p w14:paraId="489264F8">
      <w:pPr>
        <w:pStyle w:val="1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（四）培育人才队伍，提升专业精康服务能力。</w:t>
      </w:r>
      <w:r>
        <w:rPr>
          <w:rFonts w:hint="eastAsia" w:ascii="仿宋_GB2312" w:hAnsi="仿宋_GB2312" w:eastAsia="仿宋_GB2312" w:cs="仿宋_GB2312"/>
          <w:b w:val="0"/>
          <w:bCs w:val="0"/>
          <w:color w:val="auto"/>
          <w:kern w:val="0"/>
          <w:sz w:val="32"/>
          <w:szCs w:val="32"/>
          <w:lang w:val="en-US" w:eastAsia="zh-CN" w:bidi="ar"/>
        </w:rPr>
        <w:t>针对基层精康专业力量薄弱、技术水平不均衡等问题，坚持专家赋能、培育骨干、激励保障多措并举，搭建社区精康融合服务人才梯队。</w:t>
      </w:r>
      <w:r>
        <w:rPr>
          <w:rFonts w:hint="eastAsia" w:ascii="仿宋_GB2312" w:hAnsi="仿宋_GB2312" w:eastAsia="仿宋_GB2312" w:cs="仿宋_GB2312"/>
          <w:b/>
          <w:bCs/>
          <w:color w:val="auto"/>
          <w:kern w:val="0"/>
          <w:sz w:val="32"/>
          <w:szCs w:val="32"/>
          <w:lang w:val="en-US" w:eastAsia="zh-CN" w:bidi="ar"/>
        </w:rPr>
        <w:t>一是组建市级专家团队。</w:t>
      </w:r>
      <w:r>
        <w:rPr>
          <w:rFonts w:hint="eastAsia" w:ascii="仿宋_GB2312" w:hAnsi="仿宋_GB2312" w:eastAsia="仿宋_GB2312" w:cs="仿宋_GB2312"/>
          <w:b w:val="0"/>
          <w:bCs w:val="0"/>
          <w:color w:val="auto"/>
          <w:kern w:val="0"/>
          <w:sz w:val="32"/>
          <w:szCs w:val="32"/>
          <w:lang w:val="en-US" w:eastAsia="zh-CN" w:bidi="ar"/>
        </w:rPr>
        <w:t>由民政牵头，整合卫健、残联等部门专业人才力量，组建15—20人的市级</w:t>
      </w:r>
      <w:r>
        <w:rPr>
          <w:rFonts w:hint="eastAsia" w:ascii="仿宋_GB2312" w:hAnsi="仿宋_GB2312" w:eastAsia="仿宋_GB2312" w:cs="仿宋_GB2312"/>
          <w:b w:val="0"/>
          <w:bCs w:val="0"/>
          <w:color w:val="auto"/>
          <w:kern w:val="0"/>
          <w:sz w:val="32"/>
          <w:szCs w:val="32"/>
          <w:shd w:val="clear" w:color="auto" w:fill="auto"/>
          <w:lang w:val="en-US" w:eastAsia="zh-CN" w:bidi="ar"/>
        </w:rPr>
        <w:t>“专家智库”</w:t>
      </w:r>
      <w:r>
        <w:rPr>
          <w:rFonts w:hint="eastAsia" w:ascii="仿宋_GB2312" w:hAnsi="仿宋_GB2312" w:eastAsia="仿宋_GB2312" w:cs="仿宋_GB2312"/>
          <w:b w:val="0"/>
          <w:bCs w:val="0"/>
          <w:color w:val="auto"/>
          <w:kern w:val="0"/>
          <w:sz w:val="32"/>
          <w:szCs w:val="32"/>
          <w:lang w:val="en-US" w:eastAsia="zh-CN" w:bidi="ar"/>
        </w:rPr>
        <w:t>，含精神</w:t>
      </w:r>
      <w:r>
        <w:rPr>
          <w:rFonts w:hint="default" w:ascii="仿宋_GB2312" w:hAnsi="仿宋_GB2312" w:eastAsia="仿宋_GB2312" w:cs="仿宋_GB2312"/>
          <w:b w:val="0"/>
          <w:bCs w:val="0"/>
          <w:color w:val="auto"/>
          <w:kern w:val="0"/>
          <w:sz w:val="32"/>
          <w:szCs w:val="32"/>
          <w:lang w:eastAsia="zh-CN" w:bidi="ar"/>
        </w:rPr>
        <w:t>卫生</w:t>
      </w:r>
      <w:r>
        <w:rPr>
          <w:rFonts w:hint="eastAsia" w:ascii="仿宋_GB2312" w:hAnsi="仿宋_GB2312" w:eastAsia="仿宋_GB2312" w:cs="仿宋_GB2312"/>
          <w:b w:val="0"/>
          <w:bCs w:val="0"/>
          <w:color w:val="auto"/>
          <w:kern w:val="0"/>
          <w:sz w:val="32"/>
          <w:szCs w:val="32"/>
          <w:lang w:val="en-US" w:eastAsia="zh-CN" w:bidi="ar"/>
        </w:rPr>
        <w:t>、康复、心理、社工等专业技术人员，建立专家入库、调度督导、绩效考核、动态退出闭环管理制度，实行季度例会研判、月度下沉县区指导、24小时线上会诊常态化服务体系，提升全市精神障碍社区服务专业能力。</w:t>
      </w:r>
      <w:r>
        <w:rPr>
          <w:rFonts w:hint="eastAsia" w:ascii="仿宋_GB2312" w:hAnsi="仿宋_GB2312" w:eastAsia="仿宋_GB2312" w:cs="仿宋_GB2312"/>
          <w:b/>
          <w:bCs/>
          <w:color w:val="auto"/>
          <w:kern w:val="0"/>
          <w:sz w:val="32"/>
          <w:szCs w:val="32"/>
          <w:lang w:val="en-US" w:eastAsia="zh-CN" w:bidi="ar"/>
        </w:rPr>
        <w:t>二是培育本土人才队伍。</w:t>
      </w:r>
      <w:r>
        <w:rPr>
          <w:rFonts w:hint="eastAsia" w:ascii="仿宋_GB2312" w:hAnsi="仿宋_GB2312" w:eastAsia="仿宋_GB2312" w:cs="仿宋_GB2312"/>
          <w:b w:val="0"/>
          <w:bCs w:val="0"/>
          <w:color w:val="auto"/>
          <w:kern w:val="0"/>
          <w:sz w:val="32"/>
          <w:szCs w:val="32"/>
          <w:lang w:val="en-US" w:eastAsia="zh-CN" w:bidi="ar"/>
        </w:rPr>
        <w:t>高度重视精神障碍社区康复服务人才培育，将基层卫生医疗机构临床医生纳入精神科医生转岗培训范围，增加转岗培训名额，培养基层医疗机构护理人员，充实精神障碍社区康复机构技术力量。鼓励从业人员考取康复治疗师、社会工作师等职业资格证书，持续优化人才队伍结构，全面提升精康服务专业化水平。</w:t>
      </w:r>
      <w:r>
        <w:rPr>
          <w:rFonts w:hint="eastAsia" w:ascii="仿宋_GB2312" w:hAnsi="仿宋_GB2312" w:eastAsia="仿宋_GB2312" w:cs="仿宋_GB2312"/>
          <w:b/>
          <w:bCs/>
          <w:color w:val="auto"/>
          <w:kern w:val="0"/>
          <w:sz w:val="32"/>
          <w:szCs w:val="32"/>
          <w:lang w:val="en-US" w:eastAsia="zh-CN" w:bidi="ar"/>
        </w:rPr>
        <w:t>三是健全人才激励机制。</w:t>
      </w:r>
      <w:r>
        <w:rPr>
          <w:rFonts w:hint="eastAsia" w:ascii="仿宋_GB2312" w:hAnsi="仿宋_GB2312" w:eastAsia="仿宋_GB2312" w:cs="仿宋_GB2312"/>
          <w:b w:val="0"/>
          <w:bCs w:val="0"/>
          <w:color w:val="auto"/>
          <w:kern w:val="0"/>
          <w:sz w:val="32"/>
          <w:szCs w:val="32"/>
          <w:lang w:val="en-US" w:eastAsia="zh-CN" w:bidi="ar"/>
        </w:rPr>
        <w:t>根据精神障碍社区康复机构运行实际，建立日常岗位服务评价和激励保障制度，在职称评定方面对精神障碍社区康复服务优秀人才给予倾斜。鼓励精神障碍社区康复服务机构投保雇主责任险，为员工投保意外伤害保险、职业责任保险等。</w:t>
      </w:r>
    </w:p>
    <w:p w14:paraId="26149462">
      <w:pPr>
        <w:pStyle w:val="7"/>
        <w:keepNext w:val="0"/>
        <w:keepLines w:val="0"/>
        <w:pageBreakBefore w:val="0"/>
        <w:kinsoku/>
        <w:wordWrap/>
        <w:overflowPunct/>
        <w:topLinePunct w:val="0"/>
        <w:autoSpaceDE/>
        <w:autoSpaceDN/>
        <w:bidi w:val="0"/>
        <w:spacing w:line="587" w:lineRule="exact"/>
        <w:ind w:firstLine="640" w:firstLineChars="200"/>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楷体_GB2312" w:hAnsi="楷体_GB2312" w:eastAsia="楷体_GB2312" w:cs="楷体_GB2312"/>
          <w:b w:val="0"/>
          <w:bCs w:val="0"/>
          <w:color w:val="auto"/>
          <w:kern w:val="0"/>
          <w:sz w:val="32"/>
          <w:szCs w:val="32"/>
          <w:lang w:val="en-US" w:eastAsia="zh-CN" w:bidi="ar"/>
        </w:rPr>
        <w:t>（五）健全制度体系，推动精康服务常态长效。</w:t>
      </w:r>
      <w:r>
        <w:rPr>
          <w:rFonts w:hint="eastAsia" w:ascii="仿宋_GB2312" w:hAnsi="仿宋_GB2312" w:eastAsia="仿宋_GB2312" w:cs="仿宋_GB2312"/>
          <w:b w:val="0"/>
          <w:bCs w:val="0"/>
          <w:color w:val="auto"/>
          <w:kern w:val="0"/>
          <w:sz w:val="32"/>
          <w:szCs w:val="32"/>
          <w:lang w:val="en-US" w:eastAsia="zh-CN" w:bidi="ar"/>
        </w:rPr>
        <w:t>坚持以制度建设为抓手，健全经费保障、队伍建设、服务规范、人文关怀全方位工作体系，推动精神障碍社区康复服务常态化、标准化、长效化开展。</w:t>
      </w:r>
      <w:r>
        <w:rPr>
          <w:rFonts w:hint="eastAsia" w:ascii="仿宋_GB2312" w:hAnsi="仿宋_GB2312" w:eastAsia="仿宋_GB2312" w:cs="仿宋_GB2312"/>
          <w:b/>
          <w:bCs/>
          <w:color w:val="auto"/>
          <w:kern w:val="0"/>
          <w:sz w:val="32"/>
          <w:szCs w:val="32"/>
          <w:lang w:val="en-US" w:eastAsia="zh-CN" w:bidi="ar"/>
        </w:rPr>
        <w:t>一是</w:t>
      </w:r>
      <w:r>
        <w:rPr>
          <w:rFonts w:hint="default" w:ascii="仿宋_GB2312" w:hAnsi="仿宋_GB2312" w:eastAsia="仿宋_GB2312" w:cs="仿宋_GB2312"/>
          <w:b/>
          <w:bCs/>
          <w:color w:val="auto"/>
          <w:kern w:val="0"/>
          <w:sz w:val="32"/>
          <w:szCs w:val="32"/>
          <w:lang w:val="en-US" w:eastAsia="zh-CN" w:bidi="ar"/>
        </w:rPr>
        <w:t>完善“多元化”支撑模式</w:t>
      </w:r>
      <w:r>
        <w:rPr>
          <w:rFonts w:hint="eastAsia" w:ascii="仿宋_GB2312" w:hAnsi="仿宋_GB2312" w:eastAsia="仿宋_GB2312" w:cs="仿宋_GB2312"/>
          <w:b/>
          <w:bCs/>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统筹用好福彩公益金、公益慈善资金，将服务网络优化、站点运营补助等经费纳入财政预算，为长效开展工作夯实保障基础。依托张掖市集善乐业残疾人辅助性就业中心、</w:t>
      </w:r>
      <w:r>
        <w:rPr>
          <w:rFonts w:hint="eastAsia" w:ascii="仿宋_GB2312" w:hAnsi="仿宋_GB2312" w:eastAsia="仿宋_GB2312" w:cs="仿宋_GB2312"/>
          <w:b w:val="0"/>
          <w:bCs w:val="0"/>
          <w:color w:val="auto"/>
          <w:kern w:val="0"/>
          <w:sz w:val="32"/>
          <w:szCs w:val="32"/>
          <w:lang w:val="en-US" w:eastAsia="zh-CN" w:bidi="ar"/>
        </w:rPr>
        <w:t>县区</w:t>
      </w:r>
      <w:r>
        <w:rPr>
          <w:rFonts w:hint="default" w:ascii="仿宋_GB2312" w:hAnsi="仿宋_GB2312" w:eastAsia="仿宋_GB2312" w:cs="仿宋_GB2312"/>
          <w:b w:val="0"/>
          <w:bCs w:val="0"/>
          <w:color w:val="auto"/>
          <w:kern w:val="0"/>
          <w:sz w:val="32"/>
          <w:szCs w:val="32"/>
          <w:lang w:val="en-US" w:eastAsia="zh-CN" w:bidi="ar"/>
        </w:rPr>
        <w:t>残疾人托养中心</w:t>
      </w:r>
      <w:r>
        <w:rPr>
          <w:rFonts w:hint="eastAsia" w:ascii="仿宋_GB2312" w:hAnsi="仿宋_GB2312" w:eastAsia="仿宋_GB2312" w:cs="仿宋_GB2312"/>
          <w:b w:val="0"/>
          <w:bCs w:val="0"/>
          <w:color w:val="auto"/>
          <w:kern w:val="0"/>
          <w:sz w:val="32"/>
          <w:szCs w:val="32"/>
          <w:lang w:val="en-US" w:eastAsia="zh-CN" w:bidi="ar"/>
        </w:rPr>
        <w:t>等</w:t>
      </w:r>
      <w:r>
        <w:rPr>
          <w:rFonts w:hint="default" w:ascii="仿宋_GB2312" w:hAnsi="仿宋_GB2312" w:eastAsia="仿宋_GB2312" w:cs="仿宋_GB2312"/>
          <w:b w:val="0"/>
          <w:bCs w:val="0"/>
          <w:color w:val="auto"/>
          <w:kern w:val="0"/>
          <w:sz w:val="32"/>
          <w:szCs w:val="32"/>
          <w:lang w:val="en-US" w:eastAsia="zh-CN" w:bidi="ar"/>
        </w:rPr>
        <w:t>，联动村（社区）开发公益性岗位，开展实景化康复训练，推动康复对象实现从“被照顾者”向“社会贡献者”转变。</w:t>
      </w:r>
      <w:r>
        <w:rPr>
          <w:rFonts w:hint="eastAsia" w:ascii="仿宋_GB2312" w:hAnsi="仿宋_GB2312" w:eastAsia="仿宋_GB2312" w:cs="仿宋_GB2312"/>
          <w:b/>
          <w:bCs/>
          <w:color w:val="auto"/>
          <w:kern w:val="0"/>
          <w:sz w:val="32"/>
          <w:szCs w:val="32"/>
          <w:lang w:val="en-US" w:eastAsia="zh-CN" w:bidi="ar"/>
        </w:rPr>
        <w:t>二是</w:t>
      </w:r>
      <w:r>
        <w:rPr>
          <w:rFonts w:hint="default" w:ascii="仿宋_GB2312" w:hAnsi="仿宋_GB2312" w:eastAsia="仿宋_GB2312" w:cs="仿宋_GB2312"/>
          <w:b/>
          <w:bCs/>
          <w:color w:val="auto"/>
          <w:kern w:val="0"/>
          <w:sz w:val="32"/>
          <w:szCs w:val="32"/>
          <w:lang w:val="en-US" w:eastAsia="zh-CN" w:bidi="ar"/>
        </w:rPr>
        <w:t>建强“专业化”人才梯队</w:t>
      </w:r>
      <w:r>
        <w:rPr>
          <w:rFonts w:hint="eastAsia" w:ascii="仿宋_GB2312" w:hAnsi="仿宋_GB2312" w:eastAsia="仿宋_GB2312" w:cs="仿宋_GB2312"/>
          <w:b/>
          <w:bCs/>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向内挖掘潜力，依托专家库开展“传帮带”实训，加速本土骨干成长；向外汇聚合力，动员志愿者、退休人员等社会力量参与结对帮扶，通过“专业赋能+实景练兵”，推动全员践行“人人都是康复师”理念，让每一位参与者都成为康复服务的推动者。</w:t>
      </w:r>
      <w:r>
        <w:rPr>
          <w:rFonts w:hint="eastAsia" w:ascii="仿宋_GB2312" w:hAnsi="仿宋_GB2312" w:eastAsia="仿宋_GB2312" w:cs="仿宋_GB2312"/>
          <w:b/>
          <w:bCs/>
          <w:color w:val="auto"/>
          <w:kern w:val="0"/>
          <w:sz w:val="32"/>
          <w:szCs w:val="32"/>
          <w:lang w:val="en-US" w:eastAsia="zh-CN" w:bidi="ar"/>
        </w:rPr>
        <w:t>三是</w:t>
      </w:r>
      <w:r>
        <w:rPr>
          <w:rFonts w:hint="default" w:ascii="仿宋_GB2312" w:hAnsi="仿宋_GB2312" w:eastAsia="仿宋_GB2312" w:cs="仿宋_GB2312"/>
          <w:b/>
          <w:bCs/>
          <w:color w:val="auto"/>
          <w:kern w:val="0"/>
          <w:sz w:val="32"/>
          <w:szCs w:val="32"/>
          <w:lang w:val="en-US" w:eastAsia="zh-CN" w:bidi="ar"/>
        </w:rPr>
        <w:t>推进“标准化”服务模式</w:t>
      </w:r>
      <w:r>
        <w:rPr>
          <w:rFonts w:hint="eastAsia" w:ascii="仿宋_GB2312" w:hAnsi="仿宋_GB2312" w:eastAsia="仿宋_GB2312" w:cs="仿宋_GB2312"/>
          <w:b/>
          <w:bCs/>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破解基层服务零散化、同质化难题，打造全市统一服务品牌体系，</w:t>
      </w:r>
      <w:r>
        <w:rPr>
          <w:rFonts w:hint="eastAsia" w:ascii="仿宋_GB2312" w:hAnsi="仿宋_GB2312" w:eastAsia="仿宋_GB2312" w:cs="仿宋_GB2312"/>
          <w:b w:val="0"/>
          <w:bCs w:val="0"/>
          <w:color w:val="auto"/>
          <w:kern w:val="0"/>
          <w:sz w:val="32"/>
          <w:szCs w:val="32"/>
          <w:lang w:val="en-US" w:eastAsia="zh-CN" w:bidi="ar"/>
        </w:rPr>
        <w:t>出台</w:t>
      </w:r>
      <w:r>
        <w:rPr>
          <w:rFonts w:hint="default" w:ascii="仿宋_GB2312" w:hAnsi="仿宋_GB2312" w:eastAsia="仿宋_GB2312" w:cs="仿宋_GB2312"/>
          <w:b w:val="0"/>
          <w:bCs w:val="0"/>
          <w:color w:val="auto"/>
          <w:kern w:val="0"/>
          <w:sz w:val="32"/>
          <w:szCs w:val="32"/>
          <w:lang w:val="en-US" w:eastAsia="zh-CN" w:bidi="ar"/>
        </w:rPr>
        <w:t>《精神障碍社区康复服务机构建设标准（试行）》《张掖市精神障碍社区康复服务标准（试行）》《张掖市精神障碍社区康复服务指导标准（试行）》等规范文件，实现站点标识、服务流程、档案管理、培训考核、督导机制“五统一”。</w:t>
      </w:r>
      <w:r>
        <w:rPr>
          <w:rFonts w:hint="eastAsia" w:ascii="仿宋_GB2312" w:hAnsi="仿宋_GB2312" w:eastAsia="仿宋_GB2312" w:cs="仿宋_GB2312"/>
          <w:b/>
          <w:bCs/>
          <w:color w:val="auto"/>
          <w:kern w:val="0"/>
          <w:sz w:val="32"/>
          <w:szCs w:val="32"/>
          <w:lang w:val="en-US" w:eastAsia="zh-CN" w:bidi="ar"/>
        </w:rPr>
        <w:t>四是</w:t>
      </w:r>
      <w:r>
        <w:rPr>
          <w:rFonts w:hint="default" w:ascii="仿宋_GB2312" w:hAnsi="仿宋_GB2312" w:eastAsia="仿宋_GB2312" w:cs="仿宋_GB2312"/>
          <w:b/>
          <w:bCs/>
          <w:color w:val="auto"/>
          <w:kern w:val="0"/>
          <w:sz w:val="32"/>
          <w:szCs w:val="32"/>
          <w:lang w:val="en-US" w:eastAsia="zh-CN" w:bidi="ar"/>
        </w:rPr>
        <w:t>坚持“暖心化”人文服务</w:t>
      </w:r>
      <w:r>
        <w:rPr>
          <w:rFonts w:hint="eastAsia" w:ascii="仿宋_GB2312" w:hAnsi="仿宋_GB2312" w:eastAsia="仿宋_GB2312" w:cs="仿宋_GB2312"/>
          <w:b/>
          <w:bCs/>
          <w:color w:val="auto"/>
          <w:kern w:val="0"/>
          <w:sz w:val="32"/>
          <w:szCs w:val="32"/>
          <w:lang w:val="en-US" w:eastAsia="zh-CN" w:bidi="ar"/>
        </w:rPr>
        <w:t>。</w:t>
      </w:r>
      <w:r>
        <w:rPr>
          <w:rFonts w:hint="default" w:ascii="仿宋_GB2312" w:hAnsi="仿宋_GB2312" w:eastAsia="仿宋_GB2312" w:cs="仿宋_GB2312"/>
          <w:b w:val="0"/>
          <w:bCs w:val="0"/>
          <w:color w:val="auto"/>
          <w:kern w:val="0"/>
          <w:sz w:val="32"/>
          <w:szCs w:val="32"/>
          <w:lang w:val="en-US" w:eastAsia="zh-CN" w:bidi="ar"/>
        </w:rPr>
        <w:t>立足精神障碍患者康复需求和家庭急难愁盼，常态化入户探访、心理干预、个性化帮扶等措施，倡导消除社会歧视，营造接纳包容的康复氛围，推动精康服务既有力度更有温度。</w:t>
      </w:r>
    </w:p>
    <w:p w14:paraId="563B9017">
      <w:pPr>
        <w:pStyle w:val="7"/>
        <w:keepNext w:val="0"/>
        <w:keepLines w:val="0"/>
        <w:pageBreakBefore w:val="0"/>
        <w:kinsoku/>
        <w:wordWrap/>
        <w:overflowPunct/>
        <w:topLinePunct w:val="0"/>
        <w:autoSpaceDE/>
        <w:autoSpaceDN/>
        <w:bidi w:val="0"/>
        <w:spacing w:line="587" w:lineRule="exact"/>
        <w:ind w:firstLine="640" w:firstLineChars="200"/>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三、实施步骤</w:t>
      </w:r>
    </w:p>
    <w:p w14:paraId="545EABBF">
      <w:pPr>
        <w:keepNext w:val="0"/>
        <w:keepLines w:val="0"/>
        <w:pageBreakBefore w:val="0"/>
        <w:widowControl w:val="0"/>
        <w:suppressLineNumbers w:val="0"/>
        <w:kinsoku/>
        <w:wordWrap/>
        <w:overflowPunct/>
        <w:topLinePunct w:val="0"/>
        <w:autoSpaceDE/>
        <w:autoSpaceDN/>
        <w:bidi w:val="0"/>
        <w:adjustRightInd/>
        <w:snapToGrid/>
        <w:spacing w:line="587"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项目分三个阶段梯次推进实施。</w:t>
      </w:r>
      <w:r>
        <w:rPr>
          <w:rFonts w:hint="eastAsia" w:ascii="仿宋_GB2312" w:hAnsi="仿宋_GB2312" w:eastAsia="仿宋_GB2312" w:cs="仿宋_GB2312"/>
          <w:b/>
          <w:bCs/>
          <w:color w:val="auto"/>
          <w:kern w:val="0"/>
          <w:sz w:val="32"/>
          <w:szCs w:val="32"/>
          <w:lang w:val="en-US" w:eastAsia="zh-CN" w:bidi="ar"/>
        </w:rPr>
        <w:t>第一阶段为筹备启动阶段（2026年7月-9月）。</w:t>
      </w:r>
      <w:r>
        <w:rPr>
          <w:rFonts w:hint="eastAsia" w:ascii="仿宋_GB2312" w:hAnsi="仿宋_GB2312" w:eastAsia="仿宋_GB2312" w:cs="仿宋_GB2312"/>
          <w:b w:val="0"/>
          <w:bCs w:val="0"/>
          <w:color w:val="auto"/>
          <w:kern w:val="0"/>
          <w:sz w:val="32"/>
          <w:szCs w:val="32"/>
          <w:lang w:val="en-US" w:eastAsia="zh-CN" w:bidi="ar"/>
        </w:rPr>
        <w:t>制定项目实施方案，成立项目工作专班，遴选第三方机构，完善制度体系，提升改造站点，摸排初筛服务对象，全面夯实项目运行基础。</w:t>
      </w:r>
      <w:r>
        <w:rPr>
          <w:rFonts w:hint="eastAsia" w:ascii="仿宋_GB2312" w:hAnsi="仿宋_GB2312" w:eastAsia="仿宋_GB2312" w:cs="仿宋_GB2312"/>
          <w:b/>
          <w:bCs/>
          <w:color w:val="auto"/>
          <w:kern w:val="0"/>
          <w:sz w:val="32"/>
          <w:szCs w:val="32"/>
          <w:lang w:val="en-US" w:eastAsia="zh-CN" w:bidi="ar"/>
        </w:rPr>
        <w:t>第二阶段为全面实施阶段（2026年9月-2027年5月）。</w:t>
      </w:r>
      <w:r>
        <w:rPr>
          <w:rFonts w:hint="eastAsia" w:ascii="仿宋_GB2312" w:hAnsi="仿宋_GB2312" w:eastAsia="仿宋_GB2312" w:cs="仿宋_GB2312"/>
          <w:b w:val="0"/>
          <w:bCs w:val="0"/>
          <w:color w:val="auto"/>
          <w:kern w:val="0"/>
          <w:sz w:val="32"/>
          <w:szCs w:val="32"/>
          <w:lang w:val="en-US" w:eastAsia="zh-CN" w:bidi="ar"/>
        </w:rPr>
        <w:t>开展人员岗前培训，落实日常康复训练、入户随访、家庭支持、危机干预、社区融入、就业转介等全链条服务，同步开展督导调度、业务培训、质量管控、绩效监测。</w:t>
      </w:r>
      <w:r>
        <w:rPr>
          <w:rFonts w:hint="eastAsia" w:ascii="仿宋_GB2312" w:hAnsi="仿宋_GB2312" w:eastAsia="仿宋_GB2312" w:cs="仿宋_GB2312"/>
          <w:b/>
          <w:bCs/>
          <w:color w:val="auto"/>
          <w:kern w:val="0"/>
          <w:sz w:val="32"/>
          <w:szCs w:val="32"/>
          <w:lang w:val="en-US" w:eastAsia="zh-CN" w:bidi="ar"/>
        </w:rPr>
        <w:t>第三阶段为巩固提升阶段（2027年5月-6月）。</w:t>
      </w:r>
      <w:r>
        <w:rPr>
          <w:rFonts w:hint="eastAsia" w:ascii="仿宋_GB2312" w:hAnsi="仿宋_GB2312" w:eastAsia="仿宋_GB2312" w:cs="仿宋_GB2312"/>
          <w:b w:val="0"/>
          <w:bCs w:val="0"/>
          <w:color w:val="auto"/>
          <w:kern w:val="0"/>
          <w:sz w:val="32"/>
          <w:szCs w:val="32"/>
          <w:lang w:val="en-US" w:eastAsia="zh-CN" w:bidi="ar"/>
        </w:rPr>
        <w:t>开展绩效自评、资料归档、案例汇编、模式提炼，固化长效机制，形成张掖特色精康融合服务样板。</w:t>
      </w:r>
    </w:p>
    <w:p w14:paraId="2376E46C">
      <w:pPr>
        <w:pStyle w:val="7"/>
        <w:keepNext w:val="0"/>
        <w:keepLines w:val="0"/>
        <w:pageBreakBefore w:val="0"/>
        <w:kinsoku/>
        <w:wordWrap/>
        <w:overflowPunct/>
        <w:topLinePunct w:val="0"/>
        <w:autoSpaceDE/>
        <w:autoSpaceDN/>
        <w:bidi w:val="0"/>
        <w:spacing w:line="587" w:lineRule="exact"/>
        <w:ind w:firstLine="640" w:firstLineChars="200"/>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四、工作要求</w:t>
      </w:r>
    </w:p>
    <w:p w14:paraId="0CEAB55F">
      <w:pPr>
        <w:keepNext w:val="0"/>
        <w:keepLines w:val="0"/>
        <w:pageBreakBefore w:val="0"/>
        <w:widowControl w:val="0"/>
        <w:kinsoku/>
        <w:wordWrap/>
        <w:overflowPunct/>
        <w:topLinePunct w:val="0"/>
        <w:autoSpaceDE/>
        <w:autoSpaceDN/>
        <w:bidi w:val="0"/>
        <w:adjustRightInd/>
        <w:snapToGrid/>
        <w:spacing w:beforeAutospacing="0" w:afterAutospacing="0" w:line="587" w:lineRule="exact"/>
        <w:ind w:firstLine="640" w:firstLineChars="200"/>
        <w:jc w:val="left"/>
        <w:textAlignment w:val="auto"/>
        <w:rPr>
          <w:rFonts w:hint="default" w:ascii="仿宋_GB2312" w:hAnsi="仿宋_GB2312" w:eastAsia="仿宋_GB2312" w:cs="仿宋_GB2312"/>
          <w:color w:val="auto"/>
          <w:kern w:val="0"/>
          <w:sz w:val="32"/>
          <w:szCs w:val="32"/>
          <w:lang w:eastAsia="zh-CN" w:bidi="ar"/>
        </w:rPr>
      </w:pPr>
      <w:r>
        <w:rPr>
          <w:rFonts w:hint="eastAsia" w:ascii="仿宋_GB2312" w:hAnsi="仿宋_GB2312" w:eastAsia="仿宋_GB2312" w:cs="仿宋_GB2312"/>
          <w:color w:val="auto"/>
          <w:kern w:val="0"/>
          <w:sz w:val="32"/>
          <w:szCs w:val="32"/>
          <w:lang w:val="en-US" w:eastAsia="zh-CN" w:bidi="ar"/>
        </w:rPr>
        <w:t>民政部门发挥好牵头作用，进一步完善精神障碍社区康复服务</w:t>
      </w:r>
      <w:r>
        <w:rPr>
          <w:rFonts w:hint="default" w:ascii="仿宋_GB2312" w:hAnsi="仿宋_GB2312" w:eastAsia="仿宋_GB2312" w:cs="仿宋_GB2312"/>
          <w:color w:val="auto"/>
          <w:kern w:val="0"/>
          <w:sz w:val="32"/>
          <w:szCs w:val="32"/>
          <w:lang w:val="en-US" w:eastAsia="zh-CN" w:bidi="ar"/>
        </w:rPr>
        <w:t>规范标准和政策</w:t>
      </w:r>
      <w:r>
        <w:rPr>
          <w:rFonts w:hint="eastAsia" w:ascii="仿宋_GB2312" w:hAnsi="仿宋_GB2312" w:eastAsia="仿宋_GB2312" w:cs="仿宋_GB2312"/>
          <w:color w:val="auto"/>
          <w:kern w:val="0"/>
          <w:sz w:val="32"/>
          <w:szCs w:val="32"/>
          <w:lang w:val="en-US" w:eastAsia="zh-CN" w:bidi="ar"/>
        </w:rPr>
        <w:t>制度，推进精神障碍社区康复服务与残疾人社会福利服务融合发展。统筹整合资源，推动服务站点、社会组织、志愿者、慈善公益力量等支持精神障碍社区康复服务发展。卫健部门要将精神障碍社区康复纳入心理健康和精神卫生防治体系建设，提供精神卫生医疗服务和专业技术人才支持，促进精神障碍预防、治疗、康</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复有机衔接</w:t>
      </w:r>
      <w:r>
        <w:rPr>
          <w:rFonts w:hint="eastAsia" w:ascii="仿宋_GB2312" w:hAnsi="仿宋_GB2312" w:eastAsia="仿宋_GB2312" w:cs="仿宋_GB2312"/>
          <w:color w:val="auto"/>
          <w:kern w:val="0"/>
          <w:sz w:val="32"/>
          <w:szCs w:val="32"/>
          <w:lang w:val="en-US" w:eastAsia="zh-CN" w:bidi="ar"/>
        </w:rPr>
        <w:t>。人社部门统筹落实就业扶持、公益性岗位开发、技能培训，打通精神障碍患者康复与社会就业衔接通道。财政部门统筹资金筹措、预算保障、资金监管，为精康融合行动长效推进提供财力支撑。残联部门要积极维护精神障碍残疾人康复权益，促进社区康复服务与残疾人康复工程、托养服务、就业服务等工作同步推进。甘州区、民乐县结合实际制定重点任务推进计划清单，进一步细化职责分工、进度安排、组织保障等，严格按照既定时限、目标任务组织实施，高标准落实各项任务。项目实施期间，市民政局对项目实施情况进行跟踪监测、定期调度</w:t>
      </w:r>
      <w:bookmarkStart w:id="0" w:name="_GoBack"/>
      <w:bookmarkEnd w:id="0"/>
      <w:r>
        <w:rPr>
          <w:rFonts w:hint="eastAsia" w:ascii="仿宋_GB2312" w:hAnsi="仿宋_GB2312" w:eastAsia="仿宋_GB2312" w:cs="仿宋_GB2312"/>
          <w:color w:val="auto"/>
          <w:kern w:val="0"/>
          <w:sz w:val="32"/>
          <w:szCs w:val="32"/>
          <w:lang w:val="en-US" w:eastAsia="zh-CN" w:bidi="ar"/>
        </w:rPr>
        <w:t>，适时征集“精康融合行动”优秀案例，择优向民政部、省民政厅推荐，</w:t>
      </w:r>
      <w:r>
        <w:rPr>
          <w:rFonts w:hint="default" w:ascii="仿宋_GB2312" w:hAnsi="仿宋_GB2312" w:eastAsia="仿宋_GB2312" w:cs="仿宋_GB2312"/>
          <w:color w:val="auto"/>
          <w:kern w:val="0"/>
          <w:sz w:val="32"/>
          <w:szCs w:val="32"/>
          <w:lang w:eastAsia="zh-CN" w:bidi="ar"/>
        </w:rPr>
        <w:t>努力打造</w:t>
      </w:r>
      <w:r>
        <w:rPr>
          <w:rFonts w:hint="eastAsia" w:ascii="仿宋_GB2312" w:hAnsi="仿宋_GB2312" w:eastAsia="仿宋_GB2312" w:cs="仿宋_GB2312"/>
          <w:color w:val="auto"/>
          <w:kern w:val="0"/>
          <w:sz w:val="32"/>
          <w:szCs w:val="32"/>
          <w:lang w:val="en-US" w:eastAsia="zh-CN" w:bidi="ar"/>
        </w:rPr>
        <w:t>可复制、可推广的</w:t>
      </w:r>
      <w:r>
        <w:rPr>
          <w:rFonts w:hint="default" w:ascii="仿宋_GB2312" w:hAnsi="仿宋_GB2312" w:eastAsia="仿宋_GB2312" w:cs="仿宋_GB2312"/>
          <w:color w:val="auto"/>
          <w:kern w:val="0"/>
          <w:sz w:val="32"/>
          <w:szCs w:val="32"/>
          <w:lang w:eastAsia="zh-CN" w:bidi="ar"/>
        </w:rPr>
        <w:t>精神障碍社区康复服务“张掖样板”。</w:t>
      </w:r>
    </w:p>
    <w:p w14:paraId="4C87490A">
      <w:pPr>
        <w:pStyle w:val="7"/>
        <w:keepNext w:val="0"/>
        <w:keepLines w:val="0"/>
        <w:pageBreakBefore w:val="0"/>
        <w:kinsoku/>
        <w:wordWrap/>
        <w:overflowPunct/>
        <w:topLinePunct w:val="0"/>
        <w:autoSpaceDE/>
        <w:autoSpaceDN/>
        <w:bidi w:val="0"/>
        <w:spacing w:line="587" w:lineRule="exact"/>
        <w:ind w:left="1918" w:leftChars="304" w:hanging="1280" w:hangingChars="400"/>
        <w:textAlignment w:val="auto"/>
        <w:rPr>
          <w:rFonts w:hint="eastAsia" w:ascii="仿宋_GB2312" w:hAnsi="仿宋_GB2312" w:eastAsia="仿宋_GB2312" w:cs="仿宋_GB2312"/>
          <w:color w:val="auto"/>
          <w:kern w:val="0"/>
          <w:sz w:val="32"/>
          <w:szCs w:val="32"/>
          <w:lang w:val="en-US" w:eastAsia="zh-CN" w:bidi="ar"/>
        </w:rPr>
      </w:pPr>
    </w:p>
    <w:p w14:paraId="3F5A080B">
      <w:pPr>
        <w:pStyle w:val="7"/>
        <w:keepNext w:val="0"/>
        <w:keepLines w:val="0"/>
        <w:pageBreakBefore w:val="0"/>
        <w:kinsoku/>
        <w:wordWrap/>
        <w:overflowPunct/>
        <w:topLinePunct w:val="0"/>
        <w:autoSpaceDE/>
        <w:autoSpaceDN/>
        <w:bidi w:val="0"/>
        <w:spacing w:line="587" w:lineRule="exact"/>
        <w:ind w:left="1854" w:leftChars="304" w:hanging="1216" w:hangingChars="400"/>
        <w:textAlignment w:val="auto"/>
        <w:rPr>
          <w:rFonts w:hint="eastAsia" w:ascii="仿宋_GB2312" w:hAnsi="仿宋_GB2312" w:eastAsia="仿宋_GB2312" w:cs="仿宋_GB2312"/>
          <w:color w:val="auto"/>
          <w:w w:val="95"/>
          <w:kern w:val="0"/>
          <w:sz w:val="32"/>
          <w:szCs w:val="32"/>
          <w:lang w:val="en-US" w:eastAsia="zh-CN" w:bidi="ar"/>
        </w:rPr>
      </w:pPr>
      <w:r>
        <w:rPr>
          <w:rFonts w:hint="eastAsia" w:ascii="仿宋_GB2312" w:hAnsi="仿宋_GB2312" w:eastAsia="仿宋_GB2312" w:cs="仿宋_GB2312"/>
          <w:color w:val="auto"/>
          <w:w w:val="95"/>
          <w:kern w:val="0"/>
          <w:sz w:val="32"/>
          <w:szCs w:val="32"/>
          <w:lang w:val="en-US" w:eastAsia="zh-CN" w:bidi="ar"/>
        </w:rPr>
        <w:t>附件：张掖市精神障碍社区康复服务融合行动项目绩效目标表</w:t>
      </w:r>
    </w:p>
    <w:p w14:paraId="593D44E3">
      <w:pPr>
        <w:pStyle w:val="7"/>
        <w:keepNext w:val="0"/>
        <w:keepLines w:val="0"/>
        <w:pageBreakBefore w:val="0"/>
        <w:kinsoku/>
        <w:wordWrap/>
        <w:overflowPunct/>
        <w:topLinePunct w:val="0"/>
        <w:autoSpaceDE/>
        <w:autoSpaceDN/>
        <w:bidi w:val="0"/>
        <w:spacing w:line="587"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p>
    <w:p w14:paraId="5346FD43">
      <w:pPr>
        <w:pStyle w:val="7"/>
        <w:ind w:left="0" w:leftChars="0" w:firstLine="0" w:firstLineChars="0"/>
        <w:jc w:val="both"/>
        <w:rPr>
          <w:rFonts w:hint="eastAsia" w:ascii="黑体" w:hAnsi="黑体" w:eastAsia="黑体" w:cs="黑体"/>
          <w:color w:val="auto"/>
          <w:kern w:val="0"/>
          <w:sz w:val="32"/>
          <w:szCs w:val="32"/>
          <w:lang w:val="en-US" w:eastAsia="zh-CN" w:bidi="ar"/>
        </w:rPr>
      </w:pPr>
    </w:p>
    <w:p w14:paraId="79A436A6">
      <w:pPr>
        <w:pStyle w:val="7"/>
        <w:ind w:left="0" w:leftChars="0" w:firstLine="0" w:firstLineChars="0"/>
        <w:jc w:val="both"/>
        <w:rPr>
          <w:rFonts w:hint="eastAsia" w:ascii="黑体" w:hAnsi="黑体" w:eastAsia="黑体" w:cs="黑体"/>
          <w:color w:val="auto"/>
          <w:kern w:val="0"/>
          <w:sz w:val="32"/>
          <w:szCs w:val="32"/>
          <w:lang w:val="en-US" w:eastAsia="zh-CN" w:bidi="ar"/>
        </w:rPr>
      </w:pPr>
    </w:p>
    <w:p w14:paraId="7F97C821">
      <w:pPr>
        <w:pStyle w:val="7"/>
        <w:ind w:left="0" w:leftChars="0" w:firstLine="0" w:firstLineChars="0"/>
        <w:jc w:val="both"/>
        <w:rPr>
          <w:rFonts w:hint="eastAsia" w:ascii="黑体" w:hAnsi="黑体" w:eastAsia="黑体" w:cs="黑体"/>
          <w:color w:val="auto"/>
          <w:kern w:val="0"/>
          <w:sz w:val="32"/>
          <w:szCs w:val="32"/>
          <w:lang w:val="en-US" w:eastAsia="zh-CN" w:bidi="ar"/>
        </w:rPr>
      </w:pPr>
    </w:p>
    <w:p w14:paraId="09F081AA">
      <w:pPr>
        <w:pStyle w:val="7"/>
        <w:ind w:left="0" w:leftChars="0" w:firstLine="0" w:firstLineChars="0"/>
        <w:jc w:val="both"/>
        <w:rPr>
          <w:rFonts w:hint="eastAsia" w:ascii="黑体" w:hAnsi="黑体" w:eastAsia="黑体" w:cs="黑体"/>
          <w:color w:val="auto"/>
          <w:kern w:val="0"/>
          <w:sz w:val="32"/>
          <w:szCs w:val="32"/>
          <w:lang w:val="en-US" w:eastAsia="zh-CN" w:bidi="ar"/>
        </w:rPr>
      </w:pPr>
    </w:p>
    <w:p w14:paraId="51D1C04F">
      <w:pPr>
        <w:pStyle w:val="7"/>
        <w:ind w:left="0" w:leftChars="0" w:firstLine="0" w:firstLineChars="0"/>
        <w:jc w:val="both"/>
        <w:rPr>
          <w:rFonts w:hint="eastAsia" w:ascii="黑体" w:hAnsi="黑体" w:eastAsia="黑体" w:cs="黑体"/>
          <w:color w:val="auto"/>
          <w:kern w:val="0"/>
          <w:sz w:val="32"/>
          <w:szCs w:val="32"/>
          <w:lang w:val="en-US" w:eastAsia="zh-CN" w:bidi="ar"/>
        </w:rPr>
      </w:pPr>
    </w:p>
    <w:p w14:paraId="678FB5BA">
      <w:pPr>
        <w:pStyle w:val="7"/>
        <w:ind w:left="0" w:leftChars="0" w:firstLine="0" w:firstLineChars="0"/>
        <w:jc w:val="both"/>
        <w:rPr>
          <w:rFonts w:hint="eastAsia" w:ascii="黑体" w:hAnsi="黑体" w:eastAsia="黑体" w:cs="黑体"/>
          <w:color w:val="auto"/>
          <w:kern w:val="0"/>
          <w:sz w:val="32"/>
          <w:szCs w:val="32"/>
          <w:lang w:val="en-US" w:eastAsia="zh-CN" w:bidi="ar"/>
        </w:rPr>
      </w:pPr>
    </w:p>
    <w:p w14:paraId="067670C6">
      <w:pPr>
        <w:pStyle w:val="7"/>
        <w:ind w:left="0" w:leftChars="0" w:firstLine="0" w:firstLineChars="0"/>
        <w:jc w:val="both"/>
        <w:rPr>
          <w:rFonts w:hint="eastAsia" w:ascii="黑体" w:hAnsi="黑体" w:eastAsia="黑体" w:cs="黑体"/>
          <w:color w:val="auto"/>
          <w:kern w:val="0"/>
          <w:sz w:val="32"/>
          <w:szCs w:val="32"/>
          <w:lang w:val="en-US" w:eastAsia="zh-CN" w:bidi="ar"/>
        </w:rPr>
      </w:pPr>
    </w:p>
    <w:p w14:paraId="61DF5006">
      <w:pPr>
        <w:pStyle w:val="7"/>
        <w:ind w:left="0" w:leftChars="0" w:firstLine="0" w:firstLineChars="0"/>
        <w:jc w:val="both"/>
        <w:rPr>
          <w:rFonts w:hint="eastAsia" w:ascii="黑体" w:hAnsi="黑体" w:eastAsia="黑体" w:cs="黑体"/>
          <w:color w:val="auto"/>
          <w:kern w:val="0"/>
          <w:sz w:val="32"/>
          <w:szCs w:val="32"/>
          <w:lang w:val="en-US" w:eastAsia="zh-CN" w:bidi="ar"/>
        </w:rPr>
      </w:pPr>
    </w:p>
    <w:p w14:paraId="091C6993">
      <w:pPr>
        <w:pStyle w:val="7"/>
        <w:ind w:left="0" w:leftChars="0" w:firstLine="0" w:firstLineChars="0"/>
        <w:jc w:val="both"/>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附件</w:t>
      </w:r>
    </w:p>
    <w:p w14:paraId="23B1F043">
      <w:pPr>
        <w:pStyle w:val="7"/>
        <w:keepNext w:val="0"/>
        <w:keepLines w:val="0"/>
        <w:pageBreakBefore w:val="0"/>
        <w:widowControl w:val="0"/>
        <w:kinsoku/>
        <w:wordWrap/>
        <w:overflowPunct/>
        <w:topLinePunct w:val="0"/>
        <w:autoSpaceDE/>
        <w:autoSpaceDN/>
        <w:bidi w:val="0"/>
        <w:adjustRightInd/>
        <w:snapToGrid/>
        <w:spacing w:line="587"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张掖市精神障碍社区康复服务融合行动项目</w:t>
      </w:r>
    </w:p>
    <w:tbl>
      <w:tblPr>
        <w:tblStyle w:val="14"/>
        <w:tblpPr w:leftFromText="180" w:rightFromText="180" w:vertAnchor="text" w:horzAnchor="page" w:tblpX="1714" w:tblpY="777"/>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953"/>
        <w:gridCol w:w="5391"/>
        <w:gridCol w:w="1500"/>
      </w:tblGrid>
      <w:tr w14:paraId="0CCC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669" w:type="pct"/>
            <w:vAlign w:val="center"/>
          </w:tcPr>
          <w:p w14:paraId="7AC035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2312" w:hAnsi="方正仿宋_GB2312" w:eastAsia="方正仿宋_GB2312" w:cs="方正仿宋_GB2312"/>
                <w:b/>
                <w:bCs/>
                <w:i w:val="0"/>
                <w:iCs w:val="0"/>
                <w:color w:val="auto"/>
                <w:kern w:val="0"/>
                <w:sz w:val="28"/>
                <w:szCs w:val="28"/>
                <w:u w:val="none"/>
                <w:lang w:val="en-US" w:eastAsia="zh-CN" w:bidi="ar"/>
              </w:rPr>
            </w:pPr>
            <w:r>
              <w:rPr>
                <w:rFonts w:hint="eastAsia" w:ascii="方正仿宋_GB2312" w:hAnsi="方正仿宋_GB2312" w:eastAsia="方正仿宋_GB2312" w:cs="方正仿宋_GB2312"/>
                <w:b/>
                <w:bCs/>
                <w:i w:val="0"/>
                <w:iCs w:val="0"/>
                <w:color w:val="auto"/>
                <w:kern w:val="0"/>
                <w:sz w:val="28"/>
                <w:szCs w:val="28"/>
                <w:u w:val="none"/>
                <w:lang w:val="en-US" w:eastAsia="zh-CN" w:bidi="ar"/>
              </w:rPr>
              <w:t>一级</w:t>
            </w:r>
          </w:p>
          <w:p w14:paraId="05D75D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2312" w:hAnsi="方正仿宋_GB2312" w:eastAsia="方正仿宋_GB2312" w:cs="方正仿宋_GB2312"/>
                <w:b/>
                <w:bCs/>
                <w:i w:val="0"/>
                <w:iCs w:val="0"/>
                <w:color w:val="auto"/>
                <w:kern w:val="2"/>
                <w:sz w:val="28"/>
                <w:szCs w:val="28"/>
                <w:u w:val="none"/>
                <w:lang w:val="en-US" w:eastAsia="zh-CN" w:bidi="ar-SA"/>
              </w:rPr>
            </w:pPr>
            <w:r>
              <w:rPr>
                <w:rFonts w:hint="eastAsia" w:ascii="方正仿宋_GB2312" w:hAnsi="方正仿宋_GB2312" w:eastAsia="方正仿宋_GB2312" w:cs="方正仿宋_GB2312"/>
                <w:b/>
                <w:bCs/>
                <w:i w:val="0"/>
                <w:iCs w:val="0"/>
                <w:color w:val="auto"/>
                <w:kern w:val="0"/>
                <w:sz w:val="28"/>
                <w:szCs w:val="28"/>
                <w:u w:val="none"/>
                <w:lang w:val="en-US" w:eastAsia="zh-CN" w:bidi="ar"/>
              </w:rPr>
              <w:t>指标</w:t>
            </w:r>
          </w:p>
        </w:tc>
        <w:tc>
          <w:tcPr>
            <w:tcW w:w="526" w:type="pct"/>
            <w:vAlign w:val="center"/>
          </w:tcPr>
          <w:p w14:paraId="3EEA6F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2312" w:hAnsi="方正仿宋_GB2312" w:eastAsia="方正仿宋_GB2312" w:cs="方正仿宋_GB2312"/>
                <w:b/>
                <w:bCs/>
                <w:i w:val="0"/>
                <w:iCs w:val="0"/>
                <w:color w:val="auto"/>
                <w:kern w:val="0"/>
                <w:sz w:val="28"/>
                <w:szCs w:val="28"/>
                <w:u w:val="none"/>
                <w:lang w:val="en-US" w:eastAsia="zh-CN" w:bidi="ar"/>
              </w:rPr>
            </w:pPr>
            <w:r>
              <w:rPr>
                <w:rFonts w:hint="eastAsia" w:ascii="方正仿宋_GB2312" w:hAnsi="方正仿宋_GB2312" w:eastAsia="方正仿宋_GB2312" w:cs="方正仿宋_GB2312"/>
                <w:b/>
                <w:bCs/>
                <w:i w:val="0"/>
                <w:iCs w:val="0"/>
                <w:color w:val="auto"/>
                <w:kern w:val="0"/>
                <w:sz w:val="28"/>
                <w:szCs w:val="28"/>
                <w:u w:val="none"/>
                <w:lang w:val="en-US" w:eastAsia="zh-CN" w:bidi="ar"/>
              </w:rPr>
              <w:t>二级</w:t>
            </w:r>
          </w:p>
          <w:p w14:paraId="22E4B0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2312" w:hAnsi="方正仿宋_GB2312" w:eastAsia="方正仿宋_GB2312" w:cs="方正仿宋_GB2312"/>
                <w:b/>
                <w:bCs/>
                <w:i w:val="0"/>
                <w:iCs w:val="0"/>
                <w:color w:val="auto"/>
                <w:kern w:val="2"/>
                <w:sz w:val="28"/>
                <w:szCs w:val="28"/>
                <w:u w:val="none"/>
                <w:lang w:val="en-US" w:eastAsia="zh-CN" w:bidi="ar-SA"/>
              </w:rPr>
            </w:pPr>
            <w:r>
              <w:rPr>
                <w:rFonts w:hint="eastAsia" w:ascii="方正仿宋_GB2312" w:hAnsi="方正仿宋_GB2312" w:eastAsia="方正仿宋_GB2312" w:cs="方正仿宋_GB2312"/>
                <w:b/>
                <w:bCs/>
                <w:i w:val="0"/>
                <w:iCs w:val="0"/>
                <w:color w:val="auto"/>
                <w:kern w:val="0"/>
                <w:sz w:val="28"/>
                <w:szCs w:val="28"/>
                <w:u w:val="none"/>
                <w:lang w:val="en-US" w:eastAsia="zh-CN" w:bidi="ar"/>
              </w:rPr>
              <w:t>指标</w:t>
            </w:r>
          </w:p>
        </w:tc>
        <w:tc>
          <w:tcPr>
            <w:tcW w:w="2975" w:type="pct"/>
            <w:vAlign w:val="center"/>
          </w:tcPr>
          <w:p w14:paraId="5DFD37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2312" w:hAnsi="方正仿宋_GB2312" w:eastAsia="方正仿宋_GB2312" w:cs="方正仿宋_GB2312"/>
                <w:b/>
                <w:bCs/>
                <w:i w:val="0"/>
                <w:iCs w:val="0"/>
                <w:color w:val="auto"/>
                <w:kern w:val="2"/>
                <w:sz w:val="28"/>
                <w:szCs w:val="28"/>
                <w:u w:val="none"/>
                <w:lang w:val="en-US" w:eastAsia="zh-CN" w:bidi="ar-SA"/>
              </w:rPr>
            </w:pPr>
            <w:r>
              <w:rPr>
                <w:rFonts w:hint="eastAsia" w:ascii="方正仿宋_GB2312" w:hAnsi="方正仿宋_GB2312" w:eastAsia="方正仿宋_GB2312" w:cs="方正仿宋_GB2312"/>
                <w:b/>
                <w:bCs/>
                <w:i w:val="0"/>
                <w:iCs w:val="0"/>
                <w:color w:val="auto"/>
                <w:kern w:val="0"/>
                <w:sz w:val="28"/>
                <w:szCs w:val="28"/>
                <w:u w:val="none"/>
                <w:lang w:val="en-US" w:eastAsia="zh-CN" w:bidi="ar"/>
              </w:rPr>
              <w:t>三级指标</w:t>
            </w:r>
          </w:p>
        </w:tc>
        <w:tc>
          <w:tcPr>
            <w:tcW w:w="828" w:type="pct"/>
            <w:vAlign w:val="center"/>
          </w:tcPr>
          <w:p w14:paraId="543C0C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2312" w:hAnsi="方正仿宋_GB2312" w:eastAsia="方正仿宋_GB2312" w:cs="方正仿宋_GB2312"/>
                <w:b/>
                <w:bCs/>
                <w:i w:val="0"/>
                <w:iCs w:val="0"/>
                <w:color w:val="auto"/>
                <w:kern w:val="2"/>
                <w:sz w:val="28"/>
                <w:szCs w:val="28"/>
                <w:u w:val="none"/>
                <w:lang w:val="en-US" w:eastAsia="zh-CN" w:bidi="ar-SA"/>
              </w:rPr>
            </w:pPr>
            <w:r>
              <w:rPr>
                <w:rFonts w:hint="eastAsia" w:ascii="方正仿宋_GB2312" w:hAnsi="方正仿宋_GB2312" w:eastAsia="方正仿宋_GB2312" w:cs="方正仿宋_GB2312"/>
                <w:b/>
                <w:bCs/>
                <w:i w:val="0"/>
                <w:iCs w:val="0"/>
                <w:color w:val="auto"/>
                <w:kern w:val="0"/>
                <w:sz w:val="28"/>
                <w:szCs w:val="28"/>
                <w:u w:val="none"/>
                <w:lang w:val="en-US" w:eastAsia="zh-CN" w:bidi="ar"/>
              </w:rPr>
              <w:t>指标值</w:t>
            </w:r>
          </w:p>
        </w:tc>
      </w:tr>
      <w:tr w14:paraId="0C81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69" w:type="pct"/>
            <w:vMerge w:val="restart"/>
            <w:vAlign w:val="center"/>
          </w:tcPr>
          <w:p w14:paraId="53D09F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产出指标</w:t>
            </w:r>
          </w:p>
        </w:tc>
        <w:tc>
          <w:tcPr>
            <w:tcW w:w="526" w:type="pct"/>
            <w:vMerge w:val="restart"/>
            <w:vAlign w:val="center"/>
          </w:tcPr>
          <w:p w14:paraId="15FC1C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数量</w:t>
            </w:r>
          </w:p>
          <w:p w14:paraId="1CFD75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指标</w:t>
            </w:r>
          </w:p>
        </w:tc>
        <w:tc>
          <w:tcPr>
            <w:tcW w:w="2975" w:type="pct"/>
            <w:vAlign w:val="center"/>
          </w:tcPr>
          <w:p w14:paraId="461D5B6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在册精神障碍患者覆盖率</w:t>
            </w:r>
          </w:p>
        </w:tc>
        <w:tc>
          <w:tcPr>
            <w:tcW w:w="828" w:type="pct"/>
            <w:vAlign w:val="center"/>
          </w:tcPr>
          <w:p w14:paraId="7C27DF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≥26%</w:t>
            </w:r>
          </w:p>
        </w:tc>
      </w:tr>
      <w:tr w14:paraId="47CE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69" w:type="pct"/>
            <w:vMerge w:val="continue"/>
            <w:vAlign w:val="center"/>
          </w:tcPr>
          <w:p w14:paraId="1640EC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1156B5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21F7262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接受精神障碍社区康复服务的精神障碍患者数（人）</w:t>
            </w:r>
          </w:p>
        </w:tc>
        <w:tc>
          <w:tcPr>
            <w:tcW w:w="828" w:type="pct"/>
            <w:vAlign w:val="center"/>
          </w:tcPr>
          <w:p w14:paraId="1184AF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≥1040</w:t>
            </w:r>
          </w:p>
        </w:tc>
      </w:tr>
      <w:tr w14:paraId="4DA2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69" w:type="pct"/>
            <w:vMerge w:val="continue"/>
            <w:vAlign w:val="center"/>
          </w:tcPr>
          <w:p w14:paraId="2F8B19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0C7A2C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7993103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接受康复服务的精神障碍患者人均接受服务次数</w:t>
            </w:r>
          </w:p>
        </w:tc>
        <w:tc>
          <w:tcPr>
            <w:tcW w:w="828" w:type="pct"/>
            <w:vAlign w:val="center"/>
          </w:tcPr>
          <w:p w14:paraId="3C932B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≥10次</w:t>
            </w:r>
          </w:p>
        </w:tc>
      </w:tr>
      <w:tr w14:paraId="2AF4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69" w:type="pct"/>
            <w:vMerge w:val="continue"/>
            <w:vAlign w:val="center"/>
          </w:tcPr>
          <w:p w14:paraId="3D4122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1EE3C0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5C44B4B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开展精神障碍社区康复服务人次数（人次）</w:t>
            </w:r>
          </w:p>
        </w:tc>
        <w:tc>
          <w:tcPr>
            <w:tcW w:w="828" w:type="pct"/>
            <w:vAlign w:val="center"/>
          </w:tcPr>
          <w:p w14:paraId="5989C7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≥10400</w:t>
            </w:r>
          </w:p>
        </w:tc>
      </w:tr>
      <w:tr w14:paraId="5FCC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69" w:type="pct"/>
            <w:vMerge w:val="continue"/>
            <w:vAlign w:val="center"/>
          </w:tcPr>
          <w:p w14:paraId="712612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063AEC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487C23F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开展精神障碍社区康复服务督导评估次数</w:t>
            </w:r>
          </w:p>
        </w:tc>
        <w:tc>
          <w:tcPr>
            <w:tcW w:w="828" w:type="pct"/>
            <w:vAlign w:val="center"/>
          </w:tcPr>
          <w:p w14:paraId="32F7CD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≥12次</w:t>
            </w:r>
          </w:p>
        </w:tc>
      </w:tr>
      <w:tr w14:paraId="32C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9" w:type="pct"/>
            <w:vMerge w:val="continue"/>
            <w:vAlign w:val="center"/>
          </w:tcPr>
          <w:p w14:paraId="0A5208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200961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319950B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开展精神障碍社区康复服务培训人次数（人次）</w:t>
            </w:r>
          </w:p>
        </w:tc>
        <w:tc>
          <w:tcPr>
            <w:tcW w:w="828" w:type="pct"/>
            <w:vAlign w:val="center"/>
          </w:tcPr>
          <w:p w14:paraId="7FCDE7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≥600</w:t>
            </w:r>
          </w:p>
        </w:tc>
      </w:tr>
      <w:tr w14:paraId="5293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69" w:type="pct"/>
            <w:vMerge w:val="continue"/>
            <w:vAlign w:val="center"/>
          </w:tcPr>
          <w:p w14:paraId="5CB569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7DE5FB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0E00ED4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精神障碍社区康复服务工作人员人均培训课时</w:t>
            </w:r>
          </w:p>
        </w:tc>
        <w:tc>
          <w:tcPr>
            <w:tcW w:w="828" w:type="pct"/>
            <w:vAlign w:val="center"/>
          </w:tcPr>
          <w:p w14:paraId="002EE2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≥15课时</w:t>
            </w:r>
          </w:p>
        </w:tc>
      </w:tr>
      <w:tr w14:paraId="420F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69" w:type="pct"/>
            <w:vMerge w:val="continue"/>
            <w:vAlign w:val="center"/>
          </w:tcPr>
          <w:p w14:paraId="617557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43A9F9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74FD6BA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精神障碍社区康复社会服务机构服务乡镇和社区覆盖率</w:t>
            </w:r>
          </w:p>
        </w:tc>
        <w:tc>
          <w:tcPr>
            <w:tcW w:w="828" w:type="pct"/>
            <w:vAlign w:val="center"/>
          </w:tcPr>
          <w:p w14:paraId="4B07B6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≥80%</w:t>
            </w:r>
          </w:p>
        </w:tc>
      </w:tr>
      <w:tr w14:paraId="43B9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69" w:type="pct"/>
            <w:vMerge w:val="continue"/>
            <w:vAlign w:val="center"/>
          </w:tcPr>
          <w:p w14:paraId="008F77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4C37EA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0ADD452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设置精神障碍社区康复服务站点数（个）</w:t>
            </w:r>
          </w:p>
        </w:tc>
        <w:tc>
          <w:tcPr>
            <w:tcW w:w="828" w:type="pct"/>
            <w:vAlign w:val="center"/>
          </w:tcPr>
          <w:p w14:paraId="5494C6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≥7</w:t>
            </w:r>
          </w:p>
        </w:tc>
      </w:tr>
      <w:tr w14:paraId="04F6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69" w:type="pct"/>
            <w:vMerge w:val="continue"/>
            <w:vAlign w:val="center"/>
          </w:tcPr>
          <w:p w14:paraId="6C5B33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restart"/>
            <w:vAlign w:val="center"/>
          </w:tcPr>
          <w:p w14:paraId="20CBAC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质量</w:t>
            </w:r>
          </w:p>
          <w:p w14:paraId="253C6E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指标</w:t>
            </w:r>
          </w:p>
        </w:tc>
        <w:tc>
          <w:tcPr>
            <w:tcW w:w="2975" w:type="pct"/>
            <w:vAlign w:val="center"/>
          </w:tcPr>
          <w:p w14:paraId="0636ACF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建立精神障碍社区康复服务长效机制</w:t>
            </w:r>
          </w:p>
        </w:tc>
        <w:tc>
          <w:tcPr>
            <w:tcW w:w="828" w:type="pct"/>
            <w:vAlign w:val="center"/>
          </w:tcPr>
          <w:p w14:paraId="0C7F9C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是</w:t>
            </w:r>
          </w:p>
        </w:tc>
      </w:tr>
      <w:tr w14:paraId="7037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69" w:type="pct"/>
            <w:vMerge w:val="continue"/>
            <w:vAlign w:val="center"/>
          </w:tcPr>
          <w:p w14:paraId="7CFF5E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7A95A2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vAlign w:val="center"/>
          </w:tcPr>
          <w:p w14:paraId="5053678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为登记康复对象规范服务率（%）</w:t>
            </w:r>
          </w:p>
        </w:tc>
        <w:tc>
          <w:tcPr>
            <w:tcW w:w="828" w:type="pct"/>
            <w:vAlign w:val="center"/>
          </w:tcPr>
          <w:p w14:paraId="45B20D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≥26</w:t>
            </w:r>
          </w:p>
        </w:tc>
      </w:tr>
      <w:tr w14:paraId="3B4B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9" w:type="pct"/>
            <w:vMerge w:val="restart"/>
            <w:vAlign w:val="center"/>
          </w:tcPr>
          <w:p w14:paraId="3385A9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效益指标</w:t>
            </w:r>
          </w:p>
        </w:tc>
        <w:tc>
          <w:tcPr>
            <w:tcW w:w="526" w:type="pct"/>
            <w:vMerge w:val="restart"/>
            <w:vAlign w:val="center"/>
          </w:tcPr>
          <w:p w14:paraId="3126D1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社会</w:t>
            </w:r>
          </w:p>
          <w:p w14:paraId="547A29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效益</w:t>
            </w:r>
          </w:p>
          <w:p w14:paraId="0A9232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指标</w:t>
            </w:r>
          </w:p>
        </w:tc>
        <w:tc>
          <w:tcPr>
            <w:tcW w:w="2975" w:type="pct"/>
            <w:shd w:val="clear" w:color="auto" w:fill="auto"/>
            <w:vAlign w:val="center"/>
          </w:tcPr>
          <w:p w14:paraId="5E2AB78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精神障碍患者回归家庭、融入社会的能力</w:t>
            </w:r>
          </w:p>
        </w:tc>
        <w:tc>
          <w:tcPr>
            <w:tcW w:w="828" w:type="pct"/>
            <w:shd w:val="clear" w:color="auto" w:fill="auto"/>
            <w:vAlign w:val="center"/>
          </w:tcPr>
          <w:p w14:paraId="31350D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显著提升</w:t>
            </w:r>
          </w:p>
        </w:tc>
      </w:tr>
      <w:tr w14:paraId="244A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9" w:type="pct"/>
            <w:vMerge w:val="continue"/>
            <w:vAlign w:val="center"/>
          </w:tcPr>
          <w:p w14:paraId="28E8F4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004328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shd w:val="clear" w:color="auto" w:fill="auto"/>
            <w:vAlign w:val="center"/>
          </w:tcPr>
          <w:p w14:paraId="41B785D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关心、理解、支持精神障碍患者的社会氛围</w:t>
            </w:r>
          </w:p>
        </w:tc>
        <w:tc>
          <w:tcPr>
            <w:tcW w:w="828" w:type="pct"/>
            <w:shd w:val="clear" w:color="auto" w:fill="auto"/>
            <w:vAlign w:val="center"/>
          </w:tcPr>
          <w:p w14:paraId="67BBAB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显著提升</w:t>
            </w:r>
          </w:p>
        </w:tc>
      </w:tr>
      <w:tr w14:paraId="0E23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69" w:type="pct"/>
            <w:vMerge w:val="continue"/>
            <w:vAlign w:val="center"/>
          </w:tcPr>
          <w:p w14:paraId="164B48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526" w:type="pct"/>
            <w:vMerge w:val="continue"/>
            <w:vAlign w:val="center"/>
          </w:tcPr>
          <w:p w14:paraId="4774CE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p>
        </w:tc>
        <w:tc>
          <w:tcPr>
            <w:tcW w:w="2975" w:type="pct"/>
            <w:shd w:val="clear" w:color="auto" w:fill="auto"/>
            <w:vAlign w:val="center"/>
          </w:tcPr>
          <w:p w14:paraId="0498DDF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精神障碍患者公共安全风险和危机事件发生率下降幅度</w:t>
            </w:r>
          </w:p>
        </w:tc>
        <w:tc>
          <w:tcPr>
            <w:tcW w:w="828" w:type="pct"/>
            <w:shd w:val="clear" w:color="auto" w:fill="auto"/>
            <w:vAlign w:val="center"/>
          </w:tcPr>
          <w:p w14:paraId="146353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明显下降</w:t>
            </w:r>
          </w:p>
        </w:tc>
      </w:tr>
      <w:tr w14:paraId="01B2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669" w:type="pct"/>
            <w:vAlign w:val="center"/>
          </w:tcPr>
          <w:p w14:paraId="125F9C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满意度指标</w:t>
            </w:r>
          </w:p>
        </w:tc>
        <w:tc>
          <w:tcPr>
            <w:tcW w:w="526" w:type="pct"/>
            <w:vAlign w:val="center"/>
          </w:tcPr>
          <w:p w14:paraId="1A9149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满意度指标</w:t>
            </w:r>
          </w:p>
        </w:tc>
        <w:tc>
          <w:tcPr>
            <w:tcW w:w="2975" w:type="pct"/>
            <w:vAlign w:val="center"/>
          </w:tcPr>
          <w:p w14:paraId="271DFE6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接受康复服务的精神障碍患者（或家庭成员）满意度（%）</w:t>
            </w:r>
          </w:p>
        </w:tc>
        <w:tc>
          <w:tcPr>
            <w:tcW w:w="828" w:type="pct"/>
            <w:vAlign w:val="center"/>
          </w:tcPr>
          <w:p w14:paraId="233433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≥95</w:t>
            </w:r>
          </w:p>
        </w:tc>
      </w:tr>
    </w:tbl>
    <w:p w14:paraId="2A852015">
      <w:pPr>
        <w:pStyle w:val="7"/>
        <w:keepNext w:val="0"/>
        <w:keepLines w:val="0"/>
        <w:pageBreakBefore w:val="0"/>
        <w:widowControl w:val="0"/>
        <w:kinsoku/>
        <w:wordWrap/>
        <w:overflowPunct/>
        <w:topLinePunct w:val="0"/>
        <w:autoSpaceDE/>
        <w:autoSpaceDN/>
        <w:bidi w:val="0"/>
        <w:adjustRightInd/>
        <w:snapToGrid/>
        <w:spacing w:line="587" w:lineRule="exact"/>
        <w:ind w:left="0" w:leftChars="0" w:firstLine="0" w:firstLineChars="0"/>
        <w:jc w:val="center"/>
        <w:textAlignment w:val="auto"/>
        <w:rPr>
          <w:rFonts w:hint="eastAsia" w:ascii="黑体" w:hAnsi="黑体" w:eastAsia="黑体" w:cs="黑体"/>
          <w:color w:val="auto"/>
          <w:kern w:val="0"/>
          <w:sz w:val="32"/>
          <w:szCs w:val="32"/>
          <w:lang w:val="en-US" w:eastAsia="zh-CN" w:bidi="ar"/>
        </w:rPr>
        <w:sectPr>
          <w:footerReference r:id="rId3" w:type="default"/>
          <w:pgSz w:w="11906" w:h="16838"/>
          <w:pgMar w:top="2098" w:right="1474" w:bottom="1701" w:left="1587" w:header="851" w:footer="992" w:gutter="0"/>
          <w:pgNumType w:fmt="decimal"/>
          <w:cols w:space="425" w:num="1"/>
          <w:docGrid w:type="lines" w:linePitch="312" w:charSpace="0"/>
        </w:sectPr>
      </w:pPr>
      <w:r>
        <w:rPr>
          <w:rFonts w:hint="eastAsia" w:ascii="方正小标宋简体" w:hAnsi="方正小标宋简体" w:eastAsia="方正小标宋简体" w:cs="方正小标宋简体"/>
          <w:color w:val="auto"/>
          <w:kern w:val="0"/>
          <w:sz w:val="44"/>
          <w:szCs w:val="44"/>
          <w:lang w:val="en-US" w:eastAsia="zh-CN" w:bidi="ar"/>
        </w:rPr>
        <w:t>绩效目标表</w:t>
      </w:r>
    </w:p>
    <w:p w14:paraId="4577D655">
      <w:pPr>
        <w:pStyle w:val="7"/>
        <w:ind w:left="0" w:leftChars="0" w:firstLine="0" w:firstLineChars="0"/>
        <w:rPr>
          <w:rFonts w:hint="default"/>
          <w:lang w:val="en-US" w:eastAsia="zh-CN"/>
        </w:rPr>
      </w:pPr>
    </w:p>
    <w:sectPr>
      <w:pgSz w:w="16838" w:h="11906" w:orient="landscape"/>
      <w:pgMar w:top="1587" w:right="2098" w:bottom="1474" w:left="170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2F9BF1-2B82-4D9A-81DF-7300D5662D6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C4FF95ED-9FFA-4DA6-99FA-F72C1CDCB208}"/>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3" w:fontKey="{3AE910F3-CB4F-4669-A7B6-79C3ACB41207}"/>
  </w:font>
  <w:font w:name="方正仿宋_GB2312">
    <w:altName w:val="仿宋"/>
    <w:panose1 w:val="02000000000000000000"/>
    <w:charset w:val="86"/>
    <w:family w:val="auto"/>
    <w:pitch w:val="default"/>
    <w:sig w:usb0="00000000" w:usb1="00000000" w:usb2="00000012" w:usb3="00000000" w:csb0="00040001" w:csb1="00000000"/>
    <w:embedRegular r:id="rId4" w:fontKey="{014B66C6-B64D-49D7-936A-EEB3D72AA084}"/>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C317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DBAC4">
                          <w:pPr>
                            <w:pStyle w:val="9"/>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AADBAC4">
                    <w:pPr>
                      <w:pStyle w:val="9"/>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EA4"/>
    <w:rsid w:val="00077E69"/>
    <w:rsid w:val="000F37CC"/>
    <w:rsid w:val="00285895"/>
    <w:rsid w:val="00354DEE"/>
    <w:rsid w:val="00362EA4"/>
    <w:rsid w:val="003B197D"/>
    <w:rsid w:val="003C504A"/>
    <w:rsid w:val="008B740E"/>
    <w:rsid w:val="008C3753"/>
    <w:rsid w:val="00ED789C"/>
    <w:rsid w:val="00FB127F"/>
    <w:rsid w:val="00FF0106"/>
    <w:rsid w:val="051E4D1A"/>
    <w:rsid w:val="069F2378"/>
    <w:rsid w:val="06FF3030"/>
    <w:rsid w:val="0848405E"/>
    <w:rsid w:val="0CA727C5"/>
    <w:rsid w:val="0CF705A3"/>
    <w:rsid w:val="0DAC39D5"/>
    <w:rsid w:val="0DDC6706"/>
    <w:rsid w:val="0DE63E89"/>
    <w:rsid w:val="0DFD0482"/>
    <w:rsid w:val="0E614F32"/>
    <w:rsid w:val="13B55B78"/>
    <w:rsid w:val="13F4637D"/>
    <w:rsid w:val="13F93DCA"/>
    <w:rsid w:val="173043C9"/>
    <w:rsid w:val="178B396F"/>
    <w:rsid w:val="191127F1"/>
    <w:rsid w:val="19BE17AA"/>
    <w:rsid w:val="19EF6AC5"/>
    <w:rsid w:val="1BDE3B7C"/>
    <w:rsid w:val="1C9B20CD"/>
    <w:rsid w:val="1CA94BF5"/>
    <w:rsid w:val="1D586945"/>
    <w:rsid w:val="1F3CBF38"/>
    <w:rsid w:val="1F4FD82B"/>
    <w:rsid w:val="1FA8697B"/>
    <w:rsid w:val="1FFFCE1E"/>
    <w:rsid w:val="22B72F3D"/>
    <w:rsid w:val="251E03CD"/>
    <w:rsid w:val="263009A4"/>
    <w:rsid w:val="264A6DC9"/>
    <w:rsid w:val="27035654"/>
    <w:rsid w:val="28463A4A"/>
    <w:rsid w:val="28BB4FD8"/>
    <w:rsid w:val="29E6E70D"/>
    <w:rsid w:val="2A79050C"/>
    <w:rsid w:val="2AA8B3BB"/>
    <w:rsid w:val="2BC236A6"/>
    <w:rsid w:val="2BDB4ED0"/>
    <w:rsid w:val="2BFF0C9D"/>
    <w:rsid w:val="2DF3EFDA"/>
    <w:rsid w:val="2E4F596A"/>
    <w:rsid w:val="2F21532D"/>
    <w:rsid w:val="2FF0F7A0"/>
    <w:rsid w:val="32B5587B"/>
    <w:rsid w:val="333E0052"/>
    <w:rsid w:val="337BC708"/>
    <w:rsid w:val="347F3FDA"/>
    <w:rsid w:val="34AE07E1"/>
    <w:rsid w:val="35AC1655"/>
    <w:rsid w:val="35D94948"/>
    <w:rsid w:val="36626DBB"/>
    <w:rsid w:val="37F64130"/>
    <w:rsid w:val="38F05494"/>
    <w:rsid w:val="39765426"/>
    <w:rsid w:val="397F041E"/>
    <w:rsid w:val="3A9F2B13"/>
    <w:rsid w:val="3AFEB78E"/>
    <w:rsid w:val="3B1990F1"/>
    <w:rsid w:val="3BBE11A0"/>
    <w:rsid w:val="3BFB91FF"/>
    <w:rsid w:val="3D36764F"/>
    <w:rsid w:val="3D3D5195"/>
    <w:rsid w:val="3DFB90DE"/>
    <w:rsid w:val="3DFD39E4"/>
    <w:rsid w:val="3DFFCDCD"/>
    <w:rsid w:val="3EA73E38"/>
    <w:rsid w:val="3EEA5813"/>
    <w:rsid w:val="3F582D33"/>
    <w:rsid w:val="3FEF3D12"/>
    <w:rsid w:val="3FFC329A"/>
    <w:rsid w:val="3FFE54BC"/>
    <w:rsid w:val="4303280C"/>
    <w:rsid w:val="43A5621C"/>
    <w:rsid w:val="4526483C"/>
    <w:rsid w:val="467B090B"/>
    <w:rsid w:val="48431A2E"/>
    <w:rsid w:val="49466BE7"/>
    <w:rsid w:val="4A5E47CC"/>
    <w:rsid w:val="4ABFD9EB"/>
    <w:rsid w:val="4E52BEF9"/>
    <w:rsid w:val="4E8EB3AE"/>
    <w:rsid w:val="4F9B18C6"/>
    <w:rsid w:val="4FDDD6FE"/>
    <w:rsid w:val="4FE97FD5"/>
    <w:rsid w:val="513E6496"/>
    <w:rsid w:val="514C5F8F"/>
    <w:rsid w:val="52F743FF"/>
    <w:rsid w:val="53EF30EB"/>
    <w:rsid w:val="54D21BB9"/>
    <w:rsid w:val="55BE525F"/>
    <w:rsid w:val="56BBDBA0"/>
    <w:rsid w:val="576F8E98"/>
    <w:rsid w:val="57E7B304"/>
    <w:rsid w:val="57F73E6A"/>
    <w:rsid w:val="57F7927B"/>
    <w:rsid w:val="580E0433"/>
    <w:rsid w:val="58607961"/>
    <w:rsid w:val="5ADF5C52"/>
    <w:rsid w:val="5DBFF375"/>
    <w:rsid w:val="5E853B2C"/>
    <w:rsid w:val="5EFEA695"/>
    <w:rsid w:val="5F3FA4F5"/>
    <w:rsid w:val="5FD76732"/>
    <w:rsid w:val="5FFB92B5"/>
    <w:rsid w:val="5FFD5159"/>
    <w:rsid w:val="621FBCA7"/>
    <w:rsid w:val="63C950E4"/>
    <w:rsid w:val="63CF1637"/>
    <w:rsid w:val="63F64515"/>
    <w:rsid w:val="667AC318"/>
    <w:rsid w:val="66944926"/>
    <w:rsid w:val="66C35AB2"/>
    <w:rsid w:val="675F0103"/>
    <w:rsid w:val="68B735CD"/>
    <w:rsid w:val="6A7D2743"/>
    <w:rsid w:val="6B520B9E"/>
    <w:rsid w:val="6D41432F"/>
    <w:rsid w:val="6DDF8D3C"/>
    <w:rsid w:val="6EE5C9F4"/>
    <w:rsid w:val="6F3239AE"/>
    <w:rsid w:val="6F781772"/>
    <w:rsid w:val="6F9D05FD"/>
    <w:rsid w:val="6F9E52EE"/>
    <w:rsid w:val="6FDFE035"/>
    <w:rsid w:val="6FEA2F95"/>
    <w:rsid w:val="6FEF2825"/>
    <w:rsid w:val="6FEF730E"/>
    <w:rsid w:val="6FFA112D"/>
    <w:rsid w:val="6FFF1F68"/>
    <w:rsid w:val="6FFF96B2"/>
    <w:rsid w:val="6FFFF8CA"/>
    <w:rsid w:val="71C81AA6"/>
    <w:rsid w:val="734B31C5"/>
    <w:rsid w:val="747341BE"/>
    <w:rsid w:val="74AED14F"/>
    <w:rsid w:val="756B3B7C"/>
    <w:rsid w:val="75BF9ED5"/>
    <w:rsid w:val="760140DA"/>
    <w:rsid w:val="767F9C88"/>
    <w:rsid w:val="76836591"/>
    <w:rsid w:val="76BFE829"/>
    <w:rsid w:val="772B0F94"/>
    <w:rsid w:val="77BDAC00"/>
    <w:rsid w:val="77BFACEE"/>
    <w:rsid w:val="77D9A00E"/>
    <w:rsid w:val="77FDFF6F"/>
    <w:rsid w:val="77FEF85E"/>
    <w:rsid w:val="77FF35B0"/>
    <w:rsid w:val="78467000"/>
    <w:rsid w:val="796B594A"/>
    <w:rsid w:val="79B1815A"/>
    <w:rsid w:val="79FEBEE5"/>
    <w:rsid w:val="7BBFA757"/>
    <w:rsid w:val="7BFC1058"/>
    <w:rsid w:val="7C37C881"/>
    <w:rsid w:val="7C3F4AB5"/>
    <w:rsid w:val="7D777329"/>
    <w:rsid w:val="7D7F02FD"/>
    <w:rsid w:val="7DD21C2B"/>
    <w:rsid w:val="7DF16504"/>
    <w:rsid w:val="7DFDEE56"/>
    <w:rsid w:val="7DFE6F8F"/>
    <w:rsid w:val="7E024E93"/>
    <w:rsid w:val="7E5EDCA9"/>
    <w:rsid w:val="7E7B4D3F"/>
    <w:rsid w:val="7ED651F7"/>
    <w:rsid w:val="7EFE5E1C"/>
    <w:rsid w:val="7F7FFAAC"/>
    <w:rsid w:val="7F8332EE"/>
    <w:rsid w:val="7F8DE35F"/>
    <w:rsid w:val="7F975EFE"/>
    <w:rsid w:val="7F9F6BE4"/>
    <w:rsid w:val="7FAD88C8"/>
    <w:rsid w:val="7FB3EE9C"/>
    <w:rsid w:val="7FC79E6A"/>
    <w:rsid w:val="7FC7BB65"/>
    <w:rsid w:val="7FD312F6"/>
    <w:rsid w:val="7FD96A9B"/>
    <w:rsid w:val="7FE7B647"/>
    <w:rsid w:val="7FE7BC54"/>
    <w:rsid w:val="7FEC43B1"/>
    <w:rsid w:val="7FFA7124"/>
    <w:rsid w:val="7FFB2C61"/>
    <w:rsid w:val="7FFBCB38"/>
    <w:rsid w:val="7FFE26A4"/>
    <w:rsid w:val="7FFF29B6"/>
    <w:rsid w:val="84DDF9C8"/>
    <w:rsid w:val="8FD7B471"/>
    <w:rsid w:val="95EFBC19"/>
    <w:rsid w:val="9B2F3553"/>
    <w:rsid w:val="9D4B5CFF"/>
    <w:rsid w:val="9F5FBA43"/>
    <w:rsid w:val="9FC75B41"/>
    <w:rsid w:val="9FFE3D48"/>
    <w:rsid w:val="A3DB348D"/>
    <w:rsid w:val="A3E6D8D5"/>
    <w:rsid w:val="ABFEAA1F"/>
    <w:rsid w:val="ABFF97FF"/>
    <w:rsid w:val="AD5E9F4A"/>
    <w:rsid w:val="ADAE1E93"/>
    <w:rsid w:val="AF876B7B"/>
    <w:rsid w:val="B2F65BDE"/>
    <w:rsid w:val="B3CA36A2"/>
    <w:rsid w:val="B6DFDA9E"/>
    <w:rsid w:val="B7F26A90"/>
    <w:rsid w:val="B7FD7B8D"/>
    <w:rsid w:val="B9EF4345"/>
    <w:rsid w:val="BA7B23C6"/>
    <w:rsid w:val="BB6EAFE8"/>
    <w:rsid w:val="BBDF17F7"/>
    <w:rsid w:val="BCC7E472"/>
    <w:rsid w:val="BCED11CE"/>
    <w:rsid w:val="BCFE0EBB"/>
    <w:rsid w:val="BDDEF513"/>
    <w:rsid w:val="BDFE07B7"/>
    <w:rsid w:val="BEBAE5D5"/>
    <w:rsid w:val="BECD6016"/>
    <w:rsid w:val="BF503C4A"/>
    <w:rsid w:val="BF770AF7"/>
    <w:rsid w:val="BF87A2C7"/>
    <w:rsid w:val="BFB629B5"/>
    <w:rsid w:val="BFB69E1F"/>
    <w:rsid w:val="BFCF761B"/>
    <w:rsid w:val="BFDF27A0"/>
    <w:rsid w:val="BFEB265E"/>
    <w:rsid w:val="BFFD9EA2"/>
    <w:rsid w:val="C47F0552"/>
    <w:rsid w:val="CD9BACB4"/>
    <w:rsid w:val="CDF78138"/>
    <w:rsid w:val="CE5F1125"/>
    <w:rsid w:val="CFF94009"/>
    <w:rsid w:val="D2F68476"/>
    <w:rsid w:val="D593327B"/>
    <w:rsid w:val="D5CF662B"/>
    <w:rsid w:val="D7BED288"/>
    <w:rsid w:val="D7D5BF6C"/>
    <w:rsid w:val="D7F5D304"/>
    <w:rsid w:val="DB6E981D"/>
    <w:rsid w:val="DBF78C7F"/>
    <w:rsid w:val="DBFB4F62"/>
    <w:rsid w:val="DCDDE783"/>
    <w:rsid w:val="DCFDB097"/>
    <w:rsid w:val="DEAF8606"/>
    <w:rsid w:val="DEFFCB5B"/>
    <w:rsid w:val="DF5FB0BE"/>
    <w:rsid w:val="DFB25A86"/>
    <w:rsid w:val="E27E6931"/>
    <w:rsid w:val="E477AE91"/>
    <w:rsid w:val="E5FD7322"/>
    <w:rsid w:val="E6EEEECD"/>
    <w:rsid w:val="E7CD703F"/>
    <w:rsid w:val="EBB368B3"/>
    <w:rsid w:val="EBF70A82"/>
    <w:rsid w:val="EBFDC7DE"/>
    <w:rsid w:val="EEBFED22"/>
    <w:rsid w:val="EEDE43FF"/>
    <w:rsid w:val="EF2C8D6B"/>
    <w:rsid w:val="EF3F86F0"/>
    <w:rsid w:val="EF687164"/>
    <w:rsid w:val="EF7DAA92"/>
    <w:rsid w:val="EF7F5B17"/>
    <w:rsid w:val="EFB77AC3"/>
    <w:rsid w:val="EFDC0849"/>
    <w:rsid w:val="EFFF991D"/>
    <w:rsid w:val="F2176D0F"/>
    <w:rsid w:val="F27E05AC"/>
    <w:rsid w:val="F33DD83B"/>
    <w:rsid w:val="F33E436C"/>
    <w:rsid w:val="F577BE81"/>
    <w:rsid w:val="F5A7EA1E"/>
    <w:rsid w:val="F5FDE853"/>
    <w:rsid w:val="F6FFC37D"/>
    <w:rsid w:val="F7691E34"/>
    <w:rsid w:val="F7977F83"/>
    <w:rsid w:val="F7BF4997"/>
    <w:rsid w:val="F7F5BF21"/>
    <w:rsid w:val="F7FC38C0"/>
    <w:rsid w:val="F8FD7131"/>
    <w:rsid w:val="F93D21FC"/>
    <w:rsid w:val="FADF59D7"/>
    <w:rsid w:val="FADF645C"/>
    <w:rsid w:val="FB6FDDB6"/>
    <w:rsid w:val="FB8BE0E3"/>
    <w:rsid w:val="FBBF683E"/>
    <w:rsid w:val="FBCD6152"/>
    <w:rsid w:val="FBE4D034"/>
    <w:rsid w:val="FBE63372"/>
    <w:rsid w:val="FBEF147C"/>
    <w:rsid w:val="FBEFC357"/>
    <w:rsid w:val="FBF66383"/>
    <w:rsid w:val="FCB99E62"/>
    <w:rsid w:val="FD5FA867"/>
    <w:rsid w:val="FD7D379E"/>
    <w:rsid w:val="FD8F6769"/>
    <w:rsid w:val="FDAEA4A8"/>
    <w:rsid w:val="FDAFD188"/>
    <w:rsid w:val="FDB7A598"/>
    <w:rsid w:val="FDB7D6E4"/>
    <w:rsid w:val="FDCD97DD"/>
    <w:rsid w:val="FDDB757A"/>
    <w:rsid w:val="FDFE1886"/>
    <w:rsid w:val="FE6D2167"/>
    <w:rsid w:val="FE6FF39F"/>
    <w:rsid w:val="FE734873"/>
    <w:rsid w:val="FEE39D77"/>
    <w:rsid w:val="FEF75661"/>
    <w:rsid w:val="FEFB1FCF"/>
    <w:rsid w:val="FF4F0FF8"/>
    <w:rsid w:val="FF539D2F"/>
    <w:rsid w:val="FF5F7D14"/>
    <w:rsid w:val="FF757F74"/>
    <w:rsid w:val="FF7F1A54"/>
    <w:rsid w:val="FF7F4FCF"/>
    <w:rsid w:val="FF7F54E6"/>
    <w:rsid w:val="FFABD467"/>
    <w:rsid w:val="FFAF6612"/>
    <w:rsid w:val="FFB2D9B9"/>
    <w:rsid w:val="FFBA1472"/>
    <w:rsid w:val="FFBE534A"/>
    <w:rsid w:val="FFBF4970"/>
    <w:rsid w:val="FFDD22D0"/>
    <w:rsid w:val="FFEEB8D0"/>
    <w:rsid w:val="FFEF6405"/>
    <w:rsid w:val="FFEF641C"/>
    <w:rsid w:val="FFF3B78E"/>
    <w:rsid w:val="FFFC000E"/>
    <w:rsid w:val="FFFE4D0E"/>
    <w:rsid w:val="FFFFA2B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6">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7">
    <w:name w:val="Normal Indent"/>
    <w:basedOn w:val="1"/>
    <w:qFormat/>
    <w:uiPriority w:val="0"/>
    <w:pPr>
      <w:ind w:firstLine="420" w:firstLineChars="200"/>
    </w:pPr>
    <w:rPr>
      <w:rFonts w:ascii="Times New Roman" w:hAnsi="Times New Roman" w:eastAsia="宋体" w:cs="Times New Roman"/>
    </w:rPr>
  </w:style>
  <w:style w:type="paragraph" w:styleId="8">
    <w:name w:val="index 6"/>
    <w:basedOn w:val="1"/>
    <w:next w:val="1"/>
    <w:qFormat/>
    <w:uiPriority w:val="0"/>
    <w:pPr>
      <w:spacing w:line="540" w:lineRule="exact"/>
      <w:ind w:firstLine="640" w:firstLineChars="200"/>
    </w:pPr>
    <w:rPr>
      <w:rFonts w:ascii="仿宋_GB2312" w:hAnsi="仿宋_GB2312" w:eastAsia="仿宋_GB2312" w:cs="仿宋_GB2312"/>
      <w:sz w:val="32"/>
      <w:szCs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Subtitle"/>
    <w:basedOn w:val="1"/>
    <w:next w:val="1"/>
    <w:qFormat/>
    <w:uiPriority w:val="99"/>
    <w:pPr>
      <w:wordWrap w:val="0"/>
      <w:spacing w:after="60"/>
      <w:jc w:val="center"/>
    </w:pPr>
    <w:rPr>
      <w:rFonts w:ascii="Times New Roman" w:hAnsi="Times New Roman" w:cs="Times New Roman"/>
      <w:sz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customStyle="1" w:styleId="17">
    <w:name w:val="font21"/>
    <w:basedOn w:val="15"/>
    <w:qFormat/>
    <w:uiPriority w:val="0"/>
    <w:rPr>
      <w:rFonts w:hint="eastAsia" w:ascii="仿宋_GB2312" w:eastAsia="仿宋_GB2312" w:cs="仿宋_GB2312"/>
      <w:b/>
      <w:bCs/>
      <w:color w:val="000000"/>
      <w:sz w:val="24"/>
      <w:szCs w:val="24"/>
      <w:u w:val="none"/>
    </w:rPr>
  </w:style>
  <w:style w:type="character" w:customStyle="1" w:styleId="18">
    <w:name w:val="font11"/>
    <w:basedOn w:val="15"/>
    <w:qFormat/>
    <w:uiPriority w:val="0"/>
    <w:rPr>
      <w:rFonts w:hint="eastAsia" w:ascii="仿宋_GB2312" w:eastAsia="仿宋_GB2312" w:cs="仿宋_GB2312"/>
      <w:color w:val="000000"/>
      <w:sz w:val="24"/>
      <w:szCs w:val="24"/>
      <w:u w:val="none"/>
    </w:rPr>
  </w:style>
  <w:style w:type="table" w:customStyle="1" w:styleId="19">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11</Pages>
  <Words>5259</Words>
  <Characters>5315</Characters>
  <Lines>84</Lines>
  <Paragraphs>23</Paragraphs>
  <TotalTime>20</TotalTime>
  <ScaleCrop>false</ScaleCrop>
  <LinksUpToDate>false</LinksUpToDate>
  <CharactersWithSpaces>5315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2014-11-21T04:08:00Z</dcterms:created>
  <dc:creator>admin</dc:creator>
  <cp:lastModifiedBy>Spira . spera</cp:lastModifiedBy>
  <cp:lastPrinted>2026-08-19T09:48:00Z</cp:lastPrinted>
  <dcterms:modified xsi:type="dcterms:W3CDTF">2026-08-19T02:19:49Z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eyJoZGlkIjoiYTMyYjRmZDgyM2Q5ZGVhYjBiNjBhMzExY2M5NzVhNTgiLCJ1c2VySWQiOiI1NjYwNTc3MzEifQ==</vt:lpwstr>
  </property>
  <property fmtid="{D5CDD505-2E9C-101B-9397-08002B2CF9AE}" pid="4" name="ICV">
    <vt:lpwstr>455AFA75062E240054566C6A035B23C5_43</vt:lpwstr>
  </property>
</Properties>
</file>