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right="0"/>
        <w:jc w:val="center"/>
        <w:textAlignment w:val="auto"/>
        <w:rPr>
          <w:rFonts w:hint="eastAsia" w:ascii="方正小标宋简体" w:hAnsi="方正小标宋简体" w:eastAsia="方正小标宋简体" w:cs="方正小标宋简体"/>
          <w:b w:val="0"/>
          <w:bCs w:val="0"/>
          <w:color w:val="333333"/>
          <w:sz w:val="44"/>
          <w:szCs w:val="44"/>
          <w:lang w:eastAsia="zh-CN"/>
        </w:rPr>
      </w:pPr>
      <w:bookmarkStart w:id="0" w:name="_GoBack"/>
      <w:bookmarkEnd w:id="0"/>
    </w:p>
    <w:p>
      <w:pPr>
        <w:pStyle w:val="4"/>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righ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val="0"/>
          <w:bCs w:val="0"/>
          <w:color w:val="333333"/>
          <w:sz w:val="44"/>
          <w:szCs w:val="44"/>
          <w:lang w:eastAsia="zh-CN"/>
        </w:rPr>
        <w:t>张掖</w:t>
      </w:r>
      <w:r>
        <w:rPr>
          <w:rFonts w:hint="eastAsia" w:ascii="方正小标宋简体" w:hAnsi="方正小标宋简体" w:eastAsia="方正小标宋简体" w:cs="方正小标宋简体"/>
          <w:b w:val="0"/>
          <w:bCs w:val="0"/>
          <w:color w:val="333333"/>
          <w:sz w:val="44"/>
          <w:szCs w:val="44"/>
        </w:rPr>
        <w:t>市存量房交易资金监管</w:t>
      </w:r>
      <w:r>
        <w:rPr>
          <w:rFonts w:hint="eastAsia" w:ascii="方正小标宋简体" w:hAnsi="方正小标宋简体" w:eastAsia="方正小标宋简体" w:cs="方正小标宋简体"/>
          <w:b w:val="0"/>
          <w:bCs w:val="0"/>
          <w:color w:val="333333"/>
          <w:sz w:val="44"/>
          <w:szCs w:val="44"/>
          <w:lang w:eastAsia="zh-CN"/>
        </w:rPr>
        <w:t>规定</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楷体_GB2312" w:hAnsi="楷体_GB2312" w:eastAsia="楷体_GB2312" w:cs="楷体_GB2312"/>
          <w:b w:val="0"/>
          <w:bCs w:val="0"/>
          <w:color w:val="333333"/>
          <w:sz w:val="30"/>
          <w:szCs w:val="30"/>
          <w:lang w:eastAsia="zh-CN"/>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仿宋_GB2312" w:hAnsi="仿宋_GB2312" w:eastAsia="仿宋_GB2312" w:cs="仿宋_GB2312"/>
          <w:b w:val="0"/>
          <w:bCs w:val="0"/>
          <w:color w:val="auto"/>
          <w:sz w:val="32"/>
          <w:szCs w:val="32"/>
          <w:lang w:eastAsia="zh-CN"/>
        </w:rPr>
      </w:pPr>
      <w:r>
        <w:rPr>
          <w:rFonts w:hint="eastAsia" w:ascii="楷体_GB2312" w:hAnsi="楷体_GB2312" w:eastAsia="楷体_GB2312" w:cs="楷体_GB2312"/>
          <w:b w:val="0"/>
          <w:bCs w:val="0"/>
          <w:color w:val="auto"/>
          <w:sz w:val="30"/>
          <w:szCs w:val="30"/>
          <w:lang w:eastAsia="zh-CN"/>
        </w:rPr>
        <w:t>（征求意见稿）</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333333"/>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为进一步加强我市存量房交易资金监督管理，保障存量房交易资金安全，维护交易当事人合法权益，根据《房地产经纪管理办法》《住房城乡建设部等部门关于加强房地产中介管理促进行业健康发展的意见》（建房〔201</w:t>
      </w: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rPr>
        <w:t>〕1</w:t>
      </w: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rPr>
        <w:t>8号）</w:t>
      </w:r>
      <w:r>
        <w:rPr>
          <w:rFonts w:hint="eastAsia" w:ascii="仿宋_GB2312" w:hAnsi="微软雅黑" w:eastAsia="仿宋_GB2312" w:cs="仿宋_GB2312"/>
          <w:color w:val="auto"/>
          <w:sz w:val="31"/>
          <w:szCs w:val="31"/>
          <w:u w:val="none"/>
          <w:shd w:val="clear" w:color="auto" w:fill="FFFFFF"/>
        </w:rPr>
        <w:t>《住房和城乡建设部关于提升房屋网签备案服务效能的意见》（建房规〔2020〕4号）</w:t>
      </w:r>
      <w:r>
        <w:rPr>
          <w:rFonts w:hint="eastAsia" w:ascii="仿宋_GB2312" w:hAnsi="仿宋_GB2312" w:eastAsia="仿宋_GB2312" w:cs="仿宋_GB2312"/>
          <w:b w:val="0"/>
          <w:bCs w:val="0"/>
          <w:color w:val="auto"/>
          <w:sz w:val="32"/>
          <w:szCs w:val="32"/>
        </w:rPr>
        <w:t>《住房和城乡建设部市场监管总局关于规范房地产经纪服务的意见》（建房规〔2023〕2号）等有关规定，结合我市实际，制定本办法。</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本办法所称存量房是指在本市</w:t>
      </w:r>
      <w:r>
        <w:rPr>
          <w:rFonts w:hint="eastAsia" w:ascii="仿宋_GB2312" w:hAnsi="仿宋_GB2312" w:eastAsia="仿宋_GB2312" w:cs="仿宋_GB2312"/>
          <w:b w:val="0"/>
          <w:bCs w:val="0"/>
          <w:color w:val="auto"/>
          <w:sz w:val="32"/>
          <w:szCs w:val="32"/>
          <w:lang w:eastAsia="zh-CN"/>
        </w:rPr>
        <w:t>城镇开发边界</w:t>
      </w:r>
      <w:r>
        <w:rPr>
          <w:rFonts w:hint="eastAsia" w:ascii="仿宋_GB2312" w:hAnsi="仿宋_GB2312" w:eastAsia="仿宋_GB2312" w:cs="仿宋_GB2312"/>
          <w:b w:val="0"/>
          <w:bCs w:val="0"/>
          <w:color w:val="auto"/>
          <w:sz w:val="32"/>
          <w:szCs w:val="32"/>
        </w:rPr>
        <w:t>内国有</w:t>
      </w:r>
      <w:r>
        <w:rPr>
          <w:rFonts w:hint="eastAsia" w:ascii="仿宋_GB2312" w:hAnsi="仿宋_GB2312" w:eastAsia="仿宋_GB2312" w:cs="仿宋_GB2312"/>
          <w:b w:val="0"/>
          <w:bCs w:val="0"/>
          <w:color w:val="auto"/>
          <w:sz w:val="32"/>
          <w:szCs w:val="32"/>
          <w:lang w:eastAsia="zh-CN"/>
        </w:rPr>
        <w:t>建设用</w:t>
      </w:r>
      <w:r>
        <w:rPr>
          <w:rFonts w:hint="eastAsia" w:ascii="仿宋_GB2312" w:hAnsi="仿宋_GB2312" w:eastAsia="仿宋_GB2312" w:cs="仿宋_GB2312"/>
          <w:b w:val="0"/>
          <w:bCs w:val="0"/>
          <w:color w:val="auto"/>
          <w:sz w:val="32"/>
          <w:szCs w:val="32"/>
        </w:rPr>
        <w:t>地上已经</w:t>
      </w:r>
      <w:r>
        <w:rPr>
          <w:rFonts w:hint="eastAsia" w:ascii="仿宋_GB2312" w:hAnsi="仿宋_GB2312" w:eastAsia="仿宋_GB2312" w:cs="仿宋_GB2312"/>
          <w:b w:val="0"/>
          <w:bCs w:val="0"/>
          <w:color w:val="auto"/>
          <w:sz w:val="32"/>
          <w:szCs w:val="32"/>
          <w:lang w:eastAsia="zh-CN"/>
        </w:rPr>
        <w:t>建成</w:t>
      </w:r>
      <w:r>
        <w:rPr>
          <w:rFonts w:hint="eastAsia" w:ascii="仿宋_GB2312" w:hAnsi="仿宋_GB2312" w:eastAsia="仿宋_GB2312" w:cs="仿宋_GB2312"/>
          <w:b w:val="0"/>
          <w:bCs w:val="0"/>
          <w:color w:val="auto"/>
          <w:sz w:val="32"/>
          <w:szCs w:val="32"/>
        </w:rPr>
        <w:t>交付使用且已取得《不动产权证</w:t>
      </w:r>
      <w:r>
        <w:rPr>
          <w:rFonts w:hint="eastAsia" w:ascii="仿宋_GB2312" w:hAnsi="仿宋_GB2312" w:eastAsia="仿宋_GB2312" w:cs="仿宋_GB2312"/>
          <w:b w:val="0"/>
          <w:bCs w:val="0"/>
          <w:color w:val="auto"/>
          <w:sz w:val="32"/>
          <w:szCs w:val="32"/>
          <w:lang w:eastAsia="zh-CN"/>
        </w:rPr>
        <w:t>书</w:t>
      </w:r>
      <w:r>
        <w:rPr>
          <w:rFonts w:hint="eastAsia" w:ascii="仿宋_GB2312" w:hAnsi="仿宋_GB2312" w:eastAsia="仿宋_GB2312" w:cs="仿宋_GB2312"/>
          <w:b w:val="0"/>
          <w:bCs w:val="0"/>
          <w:color w:val="auto"/>
          <w:sz w:val="32"/>
          <w:szCs w:val="32"/>
        </w:rPr>
        <w:t>》或同时具备《房屋所有权证》《土地使用权证》的房屋。房地产开发企业预（现）售的商品房不属于存量房。</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本办法所称存量房交易资金是指交易双方当事人在《存量房买卖合同》中约定的交易价款，包括首付款、分期款、购房贷款、</w:t>
      </w:r>
      <w:r>
        <w:rPr>
          <w:rFonts w:hint="eastAsia" w:ascii="仿宋_GB2312" w:hAnsi="仿宋_GB2312" w:eastAsia="仿宋_GB2312" w:cs="仿宋_GB2312"/>
          <w:b w:val="0"/>
          <w:bCs w:val="0"/>
          <w:color w:val="auto"/>
          <w:sz w:val="32"/>
          <w:szCs w:val="32"/>
          <w:lang w:eastAsia="zh-CN"/>
        </w:rPr>
        <w:t>住房公积金、</w:t>
      </w:r>
      <w:r>
        <w:rPr>
          <w:rFonts w:hint="eastAsia" w:ascii="仿宋_GB2312" w:hAnsi="仿宋_GB2312" w:eastAsia="仿宋_GB2312" w:cs="仿宋_GB2312"/>
          <w:b w:val="0"/>
          <w:bCs w:val="0"/>
          <w:color w:val="auto"/>
          <w:sz w:val="32"/>
          <w:szCs w:val="32"/>
        </w:rPr>
        <w:t>转为购房款的定金，一次性支付的全部价款及其他形式支付的购房款</w:t>
      </w:r>
      <w:r>
        <w:rPr>
          <w:rFonts w:hint="eastAsia" w:ascii="仿宋_GB2312" w:hAnsi="仿宋_GB2312" w:eastAsia="仿宋_GB2312" w:cs="仿宋_GB2312"/>
          <w:b w:val="0"/>
          <w:bCs w:val="0"/>
          <w:color w:val="auto"/>
          <w:sz w:val="32"/>
          <w:szCs w:val="32"/>
          <w:lang w:eastAsia="zh-CN"/>
        </w:rPr>
        <w:t>，</w:t>
      </w:r>
      <w:r>
        <w:rPr>
          <w:rFonts w:hint="eastAsia" w:ascii="仿宋_GB2312" w:hAnsi="微软雅黑" w:eastAsia="仿宋_GB2312" w:cs="仿宋_GB2312"/>
          <w:color w:val="auto"/>
          <w:sz w:val="31"/>
          <w:szCs w:val="31"/>
          <w:u w:val="none"/>
          <w:shd w:val="clear" w:color="auto" w:fill="FFFFFF"/>
        </w:rPr>
        <w:t>不包括房屋交易过程中涉及的税费及中介服务费。</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本办法所称存量房交易资金监管是指交易双方当事人在</w:t>
      </w:r>
      <w:r>
        <w:rPr>
          <w:rFonts w:hint="eastAsia" w:ascii="仿宋_GB2312" w:hAnsi="仿宋_GB2312" w:eastAsia="仿宋_GB2312" w:cs="仿宋_GB2312"/>
          <w:b w:val="0"/>
          <w:bCs w:val="0"/>
          <w:color w:val="auto"/>
          <w:sz w:val="32"/>
          <w:szCs w:val="32"/>
          <w:lang w:eastAsia="zh-CN"/>
        </w:rPr>
        <w:t>住建部门存量房交易业务窗口或监管银行网点</w:t>
      </w:r>
      <w:r>
        <w:rPr>
          <w:rFonts w:hint="eastAsia" w:ascii="仿宋_GB2312" w:hAnsi="仿宋_GB2312" w:eastAsia="仿宋_GB2312" w:cs="仿宋_GB2312"/>
          <w:b w:val="0"/>
          <w:bCs w:val="0"/>
          <w:color w:val="auto"/>
          <w:sz w:val="32"/>
          <w:szCs w:val="32"/>
        </w:rPr>
        <w:t>办理存量房交易时，除交易双方当事人明确提出</w:t>
      </w:r>
      <w:r>
        <w:rPr>
          <w:rFonts w:hint="eastAsia" w:ascii="仿宋_GB2312" w:hAnsi="仿宋_GB2312" w:eastAsia="仿宋_GB2312" w:cs="仿宋_GB2312"/>
          <w:b w:val="0"/>
          <w:bCs w:val="0"/>
          <w:color w:val="auto"/>
          <w:sz w:val="32"/>
          <w:szCs w:val="32"/>
          <w:lang w:eastAsia="zh-CN"/>
        </w:rPr>
        <w:t>不监管资金的</w:t>
      </w:r>
      <w:r>
        <w:rPr>
          <w:rFonts w:hint="eastAsia" w:ascii="仿宋_GB2312" w:hAnsi="仿宋_GB2312" w:eastAsia="仿宋_GB2312" w:cs="仿宋_GB2312"/>
          <w:b w:val="0"/>
          <w:bCs w:val="0"/>
          <w:color w:val="auto"/>
          <w:sz w:val="32"/>
          <w:szCs w:val="32"/>
        </w:rPr>
        <w:t>要求外，</w:t>
      </w:r>
      <w:r>
        <w:rPr>
          <w:rFonts w:hint="eastAsia" w:ascii="仿宋_GB2312" w:hAnsi="仿宋_GB2312" w:eastAsia="仿宋_GB2312" w:cs="仿宋_GB2312"/>
          <w:b w:val="0"/>
          <w:bCs w:val="0"/>
          <w:color w:val="auto"/>
          <w:sz w:val="32"/>
          <w:szCs w:val="32"/>
          <w:lang w:eastAsia="zh-CN"/>
        </w:rPr>
        <w:t>自行成交和房地产经纪机构促成的存量房交易都</w:t>
      </w:r>
      <w:r>
        <w:rPr>
          <w:rFonts w:hint="eastAsia" w:ascii="仿宋_GB2312" w:hAnsi="仿宋_GB2312" w:eastAsia="仿宋_GB2312" w:cs="仿宋_GB2312"/>
          <w:b w:val="0"/>
          <w:bCs w:val="0"/>
          <w:color w:val="auto"/>
          <w:sz w:val="32"/>
          <w:szCs w:val="32"/>
        </w:rPr>
        <w:t>应与监管</w:t>
      </w:r>
      <w:r>
        <w:rPr>
          <w:rFonts w:hint="eastAsia" w:ascii="仿宋_GB2312" w:hAnsi="仿宋_GB2312" w:eastAsia="仿宋_GB2312" w:cs="仿宋_GB2312"/>
          <w:b w:val="0"/>
          <w:bCs w:val="0"/>
          <w:color w:val="auto"/>
          <w:sz w:val="32"/>
          <w:szCs w:val="32"/>
          <w:lang w:eastAsia="zh-CN"/>
        </w:rPr>
        <w:t>银行</w:t>
      </w:r>
      <w:r>
        <w:rPr>
          <w:rFonts w:hint="eastAsia" w:ascii="仿宋_GB2312" w:hAnsi="仿宋_GB2312" w:eastAsia="仿宋_GB2312" w:cs="仿宋_GB2312"/>
          <w:b w:val="0"/>
          <w:bCs w:val="0"/>
          <w:color w:val="auto"/>
          <w:sz w:val="32"/>
          <w:szCs w:val="32"/>
        </w:rPr>
        <w:t>签订《</w:t>
      </w:r>
      <w:r>
        <w:rPr>
          <w:rFonts w:hint="eastAsia" w:ascii="仿宋_GB2312" w:hAnsi="仿宋_GB2312" w:eastAsia="仿宋_GB2312" w:cs="仿宋_GB2312"/>
          <w:b w:val="0"/>
          <w:bCs w:val="0"/>
          <w:color w:val="auto"/>
          <w:sz w:val="32"/>
          <w:szCs w:val="32"/>
          <w:lang w:val="en-US" w:eastAsia="zh-CN"/>
        </w:rPr>
        <w:t>张掖市存量房交易资金监管协议</w:t>
      </w:r>
      <w:r>
        <w:rPr>
          <w:rFonts w:hint="eastAsia" w:ascii="仿宋_GB2312" w:hAnsi="仿宋_GB2312" w:eastAsia="仿宋_GB2312" w:cs="仿宋_GB2312"/>
          <w:b w:val="0"/>
          <w:bCs w:val="0"/>
          <w:color w:val="auto"/>
          <w:sz w:val="32"/>
          <w:szCs w:val="32"/>
        </w:rPr>
        <w:t>》，将</w:t>
      </w:r>
      <w:r>
        <w:rPr>
          <w:rFonts w:hint="eastAsia" w:ascii="仿宋_GB2312" w:hAnsi="仿宋_GB2312" w:eastAsia="仿宋_GB2312" w:cs="仿宋_GB2312"/>
          <w:b w:val="0"/>
          <w:bCs w:val="0"/>
          <w:color w:val="auto"/>
          <w:sz w:val="32"/>
          <w:szCs w:val="32"/>
          <w:lang w:eastAsia="zh-CN"/>
        </w:rPr>
        <w:t>转移登记前约定支付的</w:t>
      </w:r>
      <w:r>
        <w:rPr>
          <w:rFonts w:hint="eastAsia" w:ascii="仿宋_GB2312" w:hAnsi="仿宋_GB2312" w:eastAsia="仿宋_GB2312" w:cs="仿宋_GB2312"/>
          <w:b w:val="0"/>
          <w:bCs w:val="0"/>
          <w:color w:val="auto"/>
          <w:sz w:val="32"/>
          <w:szCs w:val="32"/>
        </w:rPr>
        <w:t>全部交易资金存入监管专用账户，待完成不动产转移登记</w:t>
      </w:r>
      <w:r>
        <w:rPr>
          <w:rFonts w:hint="eastAsia" w:ascii="仿宋_GB2312" w:hAnsi="仿宋_GB2312" w:eastAsia="仿宋_GB2312" w:cs="仿宋_GB2312"/>
          <w:b w:val="0"/>
          <w:bCs w:val="0"/>
          <w:color w:val="auto"/>
          <w:sz w:val="32"/>
          <w:szCs w:val="32"/>
          <w:lang w:eastAsia="zh-CN"/>
        </w:rPr>
        <w:t>缮证登簿</w:t>
      </w:r>
      <w:r>
        <w:rPr>
          <w:rFonts w:hint="eastAsia" w:ascii="仿宋_GB2312" w:hAnsi="仿宋_GB2312" w:eastAsia="仿宋_GB2312" w:cs="仿宋_GB2312"/>
          <w:b w:val="0"/>
          <w:bCs w:val="0"/>
          <w:color w:val="auto"/>
          <w:sz w:val="32"/>
          <w:szCs w:val="32"/>
        </w:rPr>
        <w:t>且满足协议约定条件后，由监管</w:t>
      </w:r>
      <w:r>
        <w:rPr>
          <w:rFonts w:hint="eastAsia" w:ascii="仿宋_GB2312" w:hAnsi="仿宋_GB2312" w:eastAsia="仿宋_GB2312" w:cs="仿宋_GB2312"/>
          <w:b w:val="0"/>
          <w:bCs w:val="0"/>
          <w:color w:val="auto"/>
          <w:sz w:val="32"/>
          <w:szCs w:val="32"/>
          <w:lang w:eastAsia="zh-CN"/>
        </w:rPr>
        <w:t>银行</w:t>
      </w:r>
      <w:r>
        <w:rPr>
          <w:rFonts w:hint="eastAsia" w:ascii="仿宋_GB2312" w:hAnsi="仿宋_GB2312" w:eastAsia="仿宋_GB2312" w:cs="仿宋_GB2312"/>
          <w:b w:val="0"/>
          <w:bCs w:val="0"/>
          <w:color w:val="auto"/>
          <w:sz w:val="32"/>
          <w:szCs w:val="32"/>
        </w:rPr>
        <w:t>按协议约定向卖方划转资金的行为。</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房地产经纪机构促成的存量房交易，应在核验房源，办理存量房买卖合同备案时一并提交经纪服务合同。</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房屋存在原有抵押、办理带押过户业务的，买卖双方、原贷款银行、买方新贷款银行共同签订“带押过户”书面协议，明确转移预告登记、抵押权变更、买方贷款放款、原贷款结清、旧抵押注销办理时序；买方首付款、新发放按揭贷款全部存入指定监管专户闭环管控；合并办理房屋转移登记、抵押权变更登记，办结后优先从监管资金划付原银行结清存量贷款，剩余房款足额划转至卖方本人收款账户。</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存量房交易资金监管实行政府监督指导，交易当事人、房地产经纪机构、商业银行等各方参与的资金监管模式，遵循交易当事人自愿选择、无偿服务的原则。</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市住房和城乡建设行政主管部门负责全市城镇开发边界内国有建设用地上存量房交易资金监管工作的监督指导,并委托市城市综合开发办公室承担甘州城区存量房交易资金监管的具体工作，其他县住房和城乡建设行政主管部门负责辖区内存量房交易资金监督的具体工作；人民银行张掖市分行负责指导商业银行做好监管账户管理工作；金融监管局张掖分局负责对商业银行存量房交易资金监管的合规性进行监督指导。</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住房和城乡建设行政主管部门或市城市综合开发办公室应与</w:t>
      </w:r>
      <w:r>
        <w:rPr>
          <w:rFonts w:hint="default" w:ascii="仿宋_GB2312" w:hAnsi="仿宋_GB2312" w:eastAsia="仿宋_GB2312" w:cs="仿宋_GB2312"/>
          <w:b w:val="0"/>
          <w:bCs w:val="0"/>
          <w:color w:val="auto"/>
          <w:sz w:val="32"/>
          <w:szCs w:val="32"/>
          <w:lang w:val="en-US" w:eastAsia="zh-CN"/>
        </w:rPr>
        <w:t>符合以下条件的商业银行（以下简称监管银行）</w:t>
      </w:r>
      <w:r>
        <w:rPr>
          <w:rFonts w:hint="eastAsia" w:ascii="仿宋_GB2312" w:hAnsi="仿宋_GB2312" w:eastAsia="仿宋_GB2312" w:cs="仿宋_GB2312"/>
          <w:b w:val="0"/>
          <w:bCs w:val="0"/>
          <w:color w:val="auto"/>
          <w:sz w:val="32"/>
          <w:szCs w:val="32"/>
          <w:lang w:val="en-US" w:eastAsia="zh-CN"/>
        </w:rPr>
        <w:t>签署《张掖市存量房交易资金委托监管协议》</w:t>
      </w:r>
      <w:r>
        <w:rPr>
          <w:rFonts w:hint="default" w:ascii="仿宋_GB2312" w:hAnsi="仿宋_GB2312" w:eastAsia="仿宋_GB2312" w:cs="仿宋_GB2312"/>
          <w:b w:val="0"/>
          <w:bCs w:val="0"/>
          <w:color w:val="auto"/>
          <w:sz w:val="32"/>
          <w:szCs w:val="32"/>
          <w:lang w:val="en-US" w:eastAsia="zh-CN"/>
        </w:rPr>
        <w:t>（以下简称</w:t>
      </w:r>
      <w:r>
        <w:rPr>
          <w:rFonts w:hint="eastAsia" w:ascii="仿宋_GB2312" w:hAnsi="仿宋_GB2312" w:eastAsia="仿宋_GB2312" w:cs="仿宋_GB2312"/>
          <w:b w:val="0"/>
          <w:bCs w:val="0"/>
          <w:color w:val="auto"/>
          <w:sz w:val="32"/>
          <w:szCs w:val="32"/>
          <w:lang w:val="en-US" w:eastAsia="zh-CN"/>
        </w:rPr>
        <w:t>委托监管协议</w:t>
      </w:r>
      <w:r>
        <w:rPr>
          <w:rFonts w:hint="default" w:ascii="仿宋_GB2312" w:hAnsi="仿宋_GB2312" w:eastAsia="仿宋_GB2312" w:cs="仿宋_GB2312"/>
          <w:b w:val="0"/>
          <w:bCs w:val="0"/>
          <w:color w:val="auto"/>
          <w:sz w:val="32"/>
          <w:szCs w:val="32"/>
          <w:lang w:val="en-US" w:eastAsia="zh-CN"/>
        </w:rPr>
        <w:t>），其辖属分行营业部或分支机构</w:t>
      </w:r>
      <w:r>
        <w:rPr>
          <w:rFonts w:hint="eastAsia" w:ascii="仿宋_GB2312" w:hAnsi="仿宋_GB2312" w:eastAsia="仿宋_GB2312" w:cs="仿宋_GB2312"/>
          <w:b w:val="0"/>
          <w:bCs w:val="0"/>
          <w:color w:val="auto"/>
          <w:sz w:val="32"/>
          <w:szCs w:val="32"/>
          <w:lang w:val="en-US" w:eastAsia="zh-CN"/>
        </w:rPr>
        <w:t>满足以下条件的</w:t>
      </w:r>
      <w:r>
        <w:rPr>
          <w:rFonts w:hint="default" w:ascii="仿宋_GB2312" w:hAnsi="仿宋_GB2312" w:eastAsia="仿宋_GB2312" w:cs="仿宋_GB2312"/>
          <w:b w:val="0"/>
          <w:bCs w:val="0"/>
          <w:color w:val="auto"/>
          <w:sz w:val="32"/>
          <w:szCs w:val="32"/>
          <w:lang w:val="en-US" w:eastAsia="zh-CN"/>
        </w:rPr>
        <w:t>均可开展存量房交易资金监管业务：</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（一）承诺遵守我市存量房交易资金监管规定。</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（二）具备保障存量房交易资金安全、规范运行的金融管理业务能力。</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（三）具备相应的网络和技术条件，与</w:t>
      </w:r>
      <w:r>
        <w:rPr>
          <w:rFonts w:hint="eastAsia" w:ascii="仿宋_GB2312" w:hAnsi="仿宋_GB2312" w:eastAsia="仿宋_GB2312" w:cs="仿宋_GB2312"/>
          <w:b w:val="0"/>
          <w:bCs w:val="0"/>
          <w:color w:val="auto"/>
          <w:sz w:val="32"/>
          <w:szCs w:val="32"/>
          <w:lang w:val="en-US" w:eastAsia="zh-CN"/>
        </w:rPr>
        <w:t>市县</w:t>
      </w:r>
      <w:r>
        <w:rPr>
          <w:rFonts w:hint="default" w:ascii="仿宋_GB2312" w:hAnsi="仿宋_GB2312" w:eastAsia="仿宋_GB2312" w:cs="仿宋_GB2312"/>
          <w:b w:val="0"/>
          <w:bCs w:val="0"/>
          <w:color w:val="auto"/>
          <w:sz w:val="32"/>
          <w:szCs w:val="32"/>
          <w:lang w:val="en-US" w:eastAsia="zh-CN"/>
        </w:rPr>
        <w:t>存量房交易资金监管平台（以下简称监管平台）实现对接，满足信息实时共享等各项要求。</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（四）具备开展存量房买卖合同网签业务条件。</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住房和城乡建设</w:t>
      </w:r>
      <w:r>
        <w:rPr>
          <w:rFonts w:hint="eastAsia" w:ascii="仿宋_GB2312" w:hAnsi="仿宋_GB2312" w:eastAsia="仿宋_GB2312" w:cs="仿宋_GB2312"/>
          <w:b w:val="0"/>
          <w:bCs w:val="0"/>
          <w:color w:val="auto"/>
          <w:sz w:val="32"/>
          <w:szCs w:val="32"/>
        </w:rPr>
        <w:t>行政主管部门通过监管平台与不动产登记部门、监管银行等部门、单位实现</w:t>
      </w:r>
      <w:r>
        <w:rPr>
          <w:rFonts w:hint="eastAsia" w:ascii="仿宋_GB2312" w:hAnsi="仿宋_GB2312" w:eastAsia="仿宋_GB2312" w:cs="仿宋_GB2312"/>
          <w:b w:val="0"/>
          <w:bCs w:val="0"/>
          <w:color w:val="auto"/>
          <w:sz w:val="32"/>
          <w:szCs w:val="32"/>
          <w:lang w:eastAsia="zh-CN"/>
        </w:rPr>
        <w:t>相关业务系统</w:t>
      </w:r>
      <w:r>
        <w:rPr>
          <w:rFonts w:hint="eastAsia" w:ascii="仿宋_GB2312" w:hAnsi="仿宋_GB2312" w:eastAsia="仿宋_GB2312" w:cs="仿宋_GB2312"/>
          <w:b w:val="0"/>
          <w:bCs w:val="0"/>
          <w:color w:val="auto"/>
          <w:sz w:val="32"/>
          <w:szCs w:val="32"/>
        </w:rPr>
        <w:t>信息互通共享</w:t>
      </w:r>
      <w:r>
        <w:rPr>
          <w:rFonts w:hint="eastAsia" w:ascii="仿宋_GB2312" w:hAnsi="仿宋_GB2312" w:eastAsia="仿宋_GB2312" w:cs="仿宋_GB2312"/>
          <w:b w:val="0"/>
          <w:bCs w:val="0"/>
          <w:color w:val="auto"/>
          <w:sz w:val="32"/>
          <w:szCs w:val="32"/>
          <w:lang w:eastAsia="zh-CN"/>
        </w:rPr>
        <w:t>和业务协同</w:t>
      </w:r>
      <w:r>
        <w:rPr>
          <w:rFonts w:hint="eastAsia" w:ascii="仿宋_GB2312" w:hAnsi="仿宋_GB2312" w:eastAsia="仿宋_GB2312" w:cs="仿宋_GB2312"/>
          <w:b w:val="0"/>
          <w:bCs w:val="0"/>
          <w:color w:val="auto"/>
          <w:sz w:val="32"/>
          <w:szCs w:val="32"/>
        </w:rPr>
        <w:t>，实施存量房交易资金信息化监管。</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住房和城乡建设行政主管部门或市城市综合开发办公室为合格备案的房地产经纪机构开通房源核验服务，为监管银行开通存量房买卖合同网签权限及房源核验服务。</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住房和城乡建设行政主管部门或市城市综合开发办公室在</w:t>
      </w:r>
      <w:r>
        <w:rPr>
          <w:rFonts w:hint="eastAsia" w:ascii="仿宋_GB2312" w:hAnsi="仿宋_GB2312" w:eastAsia="仿宋_GB2312" w:cs="仿宋_GB2312"/>
          <w:b w:val="0"/>
          <w:bCs w:val="0"/>
          <w:color w:val="auto"/>
          <w:sz w:val="32"/>
          <w:szCs w:val="32"/>
        </w:rPr>
        <w:t>监管银行开立</w:t>
      </w:r>
      <w:r>
        <w:rPr>
          <w:rFonts w:hint="eastAsia" w:ascii="仿宋_GB2312" w:hAnsi="仿宋_GB2312" w:eastAsia="仿宋_GB2312" w:cs="仿宋_GB2312"/>
          <w:b w:val="0"/>
          <w:bCs w:val="0"/>
          <w:color w:val="auto"/>
          <w:sz w:val="32"/>
          <w:szCs w:val="32"/>
          <w:lang w:eastAsia="zh-CN"/>
        </w:rPr>
        <w:t>张掖市</w:t>
      </w:r>
      <w:r>
        <w:rPr>
          <w:rFonts w:hint="eastAsia" w:ascii="仿宋_GB2312" w:hAnsi="仿宋_GB2312" w:eastAsia="仿宋_GB2312" w:cs="仿宋_GB2312"/>
          <w:b w:val="0"/>
          <w:bCs w:val="0"/>
          <w:color w:val="auto"/>
          <w:sz w:val="32"/>
          <w:szCs w:val="32"/>
        </w:rPr>
        <w:t>存量房交易资金监管专户，专门用于存量房交易资金的存储和支付</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资金专款专用、封闭运行。</w:t>
      </w:r>
      <w:r>
        <w:rPr>
          <w:rFonts w:hint="eastAsia" w:ascii="仿宋_GB2312" w:hAnsi="仿宋_GB2312" w:eastAsia="仿宋_GB2312" w:cs="仿宋_GB2312"/>
          <w:b w:val="0"/>
          <w:bCs w:val="0"/>
          <w:color w:val="auto"/>
          <w:sz w:val="32"/>
          <w:szCs w:val="32"/>
          <w:lang w:eastAsia="zh-CN"/>
        </w:rPr>
        <w:t>监管专户属于交易当事人购房资金托管专户，不属于财政专户，监管账户不得通过普通个人手机银行、网上银行渠道直接办理账户资金转账，资金划转应当通过监管平台业务指令办理</w:t>
      </w:r>
      <w:r>
        <w:rPr>
          <w:rFonts w:hint="eastAsia" w:ascii="仿宋_GB2312" w:hAnsi="仿宋_GB2312" w:eastAsia="仿宋_GB2312" w:cs="仿宋_GB2312"/>
          <w:b w:val="0"/>
          <w:bCs w:val="0"/>
          <w:color w:val="auto"/>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交易当事人</w:t>
      </w:r>
      <w:r>
        <w:rPr>
          <w:rFonts w:hint="eastAsia" w:ascii="仿宋_GB2312" w:hAnsi="仿宋_GB2312" w:eastAsia="仿宋_GB2312" w:cs="仿宋_GB2312"/>
          <w:b w:val="0"/>
          <w:bCs w:val="0"/>
          <w:color w:val="auto"/>
          <w:sz w:val="32"/>
          <w:szCs w:val="32"/>
          <w:lang w:eastAsia="zh-CN"/>
        </w:rPr>
        <w:t>自行成交并</w:t>
      </w:r>
      <w:r>
        <w:rPr>
          <w:rFonts w:hint="eastAsia" w:ascii="仿宋_GB2312" w:hAnsi="仿宋_GB2312" w:eastAsia="仿宋_GB2312" w:cs="仿宋_GB2312"/>
          <w:b w:val="0"/>
          <w:bCs w:val="0"/>
          <w:color w:val="auto"/>
          <w:sz w:val="32"/>
          <w:szCs w:val="32"/>
        </w:rPr>
        <w:t>选择交易资金监管的，可自行选择</w:t>
      </w:r>
      <w:r>
        <w:rPr>
          <w:rFonts w:hint="eastAsia" w:ascii="仿宋_GB2312" w:hAnsi="仿宋_GB2312" w:eastAsia="仿宋_GB2312" w:cs="仿宋_GB2312"/>
          <w:b w:val="0"/>
          <w:bCs w:val="0"/>
          <w:color w:val="auto"/>
          <w:sz w:val="32"/>
          <w:szCs w:val="32"/>
          <w:lang w:eastAsia="zh-CN"/>
        </w:rPr>
        <w:t>监管银行，签订</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张掖市存量房交易资金监管协议</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，并在张掖市</w:t>
      </w:r>
      <w:r>
        <w:rPr>
          <w:rFonts w:hint="eastAsia" w:ascii="仿宋_GB2312" w:hAnsi="仿宋_GB2312" w:eastAsia="仿宋_GB2312" w:cs="仿宋_GB2312"/>
          <w:b w:val="0"/>
          <w:bCs w:val="0"/>
          <w:color w:val="auto"/>
          <w:sz w:val="32"/>
          <w:szCs w:val="32"/>
        </w:rPr>
        <w:t>存量房交易资金监管专户</w:t>
      </w:r>
      <w:r>
        <w:rPr>
          <w:rFonts w:hint="eastAsia" w:ascii="仿宋_GB2312" w:hAnsi="仿宋_GB2312" w:eastAsia="仿宋_GB2312" w:cs="仿宋_GB2312"/>
          <w:b w:val="0"/>
          <w:bCs w:val="0"/>
          <w:color w:val="auto"/>
          <w:sz w:val="32"/>
          <w:szCs w:val="32"/>
          <w:lang w:eastAsia="zh-CN"/>
        </w:rPr>
        <w:t>下</w:t>
      </w:r>
      <w:r>
        <w:rPr>
          <w:rFonts w:hint="eastAsia" w:ascii="仿宋_GB2312" w:hAnsi="仿宋_GB2312" w:eastAsia="仿宋_GB2312" w:cs="仿宋_GB2312"/>
          <w:b w:val="0"/>
          <w:bCs w:val="0"/>
          <w:color w:val="auto"/>
          <w:sz w:val="32"/>
          <w:szCs w:val="32"/>
        </w:rPr>
        <w:t>开立</w:t>
      </w:r>
      <w:r>
        <w:rPr>
          <w:rFonts w:hint="eastAsia" w:ascii="仿宋_GB2312" w:hAnsi="仿宋_GB2312" w:eastAsia="仿宋_GB2312" w:cs="仿宋_GB2312"/>
          <w:b w:val="0"/>
          <w:bCs w:val="0"/>
          <w:color w:val="auto"/>
          <w:sz w:val="32"/>
          <w:szCs w:val="32"/>
          <w:lang w:eastAsia="zh-CN"/>
        </w:rPr>
        <w:t>联名</w:t>
      </w:r>
      <w:r>
        <w:rPr>
          <w:rFonts w:hint="eastAsia" w:ascii="仿宋_GB2312" w:hAnsi="仿宋_GB2312" w:eastAsia="仿宋_GB2312" w:cs="仿宋_GB2312"/>
          <w:b w:val="0"/>
          <w:bCs w:val="0"/>
          <w:color w:val="auto"/>
          <w:sz w:val="32"/>
          <w:szCs w:val="32"/>
        </w:rPr>
        <w:t>监管账户进行</w:t>
      </w:r>
      <w:r>
        <w:rPr>
          <w:rFonts w:hint="eastAsia" w:ascii="仿宋_GB2312" w:hAnsi="仿宋_GB2312" w:eastAsia="仿宋_GB2312" w:cs="仿宋_GB2312"/>
          <w:b w:val="0"/>
          <w:bCs w:val="0"/>
          <w:color w:val="auto"/>
          <w:sz w:val="32"/>
          <w:szCs w:val="32"/>
          <w:lang w:eastAsia="zh-CN"/>
        </w:rPr>
        <w:t>交易资金</w:t>
      </w:r>
      <w:r>
        <w:rPr>
          <w:rFonts w:hint="eastAsia" w:ascii="仿宋_GB2312" w:hAnsi="仿宋_GB2312" w:eastAsia="仿宋_GB2312" w:cs="仿宋_GB2312"/>
          <w:b w:val="0"/>
          <w:bCs w:val="0"/>
          <w:color w:val="auto"/>
          <w:sz w:val="32"/>
          <w:szCs w:val="32"/>
        </w:rPr>
        <w:t>监管。交易当事人</w:t>
      </w:r>
      <w:r>
        <w:rPr>
          <w:rFonts w:hint="eastAsia" w:ascii="仿宋_GB2312" w:hAnsi="仿宋_GB2312" w:eastAsia="仿宋_GB2312" w:cs="仿宋_GB2312"/>
          <w:b w:val="0"/>
          <w:bCs w:val="0"/>
          <w:color w:val="auto"/>
          <w:sz w:val="32"/>
          <w:szCs w:val="32"/>
          <w:lang w:eastAsia="zh-CN"/>
        </w:rPr>
        <w:t>自行成交并</w:t>
      </w:r>
      <w:r>
        <w:rPr>
          <w:rFonts w:hint="eastAsia" w:ascii="仿宋_GB2312" w:hAnsi="仿宋_GB2312" w:eastAsia="仿宋_GB2312" w:cs="仿宋_GB2312"/>
          <w:b w:val="0"/>
          <w:bCs w:val="0"/>
          <w:color w:val="auto"/>
          <w:sz w:val="32"/>
          <w:szCs w:val="32"/>
        </w:rPr>
        <w:t>自愿放弃资金监管的，应签署《放弃存量房交易资金监管</w:t>
      </w:r>
      <w:r>
        <w:rPr>
          <w:rFonts w:hint="eastAsia" w:ascii="仿宋_GB2312" w:hAnsi="仿宋_GB2312" w:eastAsia="仿宋_GB2312" w:cs="仿宋_GB2312"/>
          <w:b w:val="0"/>
          <w:bCs w:val="0"/>
          <w:color w:val="auto"/>
          <w:sz w:val="32"/>
          <w:szCs w:val="32"/>
          <w:lang w:eastAsia="zh-CN"/>
        </w:rPr>
        <w:t>声明</w:t>
      </w:r>
      <w:r>
        <w:rPr>
          <w:rFonts w:hint="eastAsia" w:ascii="仿宋_GB2312" w:hAnsi="仿宋_GB2312" w:eastAsia="仿宋_GB2312" w:cs="仿宋_GB2312"/>
          <w:b w:val="0"/>
          <w:bCs w:val="0"/>
          <w:color w:val="auto"/>
          <w:sz w:val="32"/>
          <w:szCs w:val="32"/>
        </w:rPr>
        <w:t>》，对未纳入监管的交易资金自行承担相应的风险和法律责任。</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通过房地产经纪机构办理存量房交易资金监管的，房地产经纪机构应委托具备存量房</w:t>
      </w:r>
      <w:r>
        <w:rPr>
          <w:rFonts w:hint="eastAsia" w:ascii="仿宋_GB2312" w:hAnsi="仿宋_GB2312" w:eastAsia="仿宋_GB2312" w:cs="仿宋_GB2312"/>
          <w:b w:val="0"/>
          <w:bCs w:val="0"/>
          <w:color w:val="auto"/>
          <w:sz w:val="32"/>
          <w:szCs w:val="32"/>
          <w:lang w:eastAsia="zh-CN"/>
        </w:rPr>
        <w:t>交易</w:t>
      </w:r>
      <w:r>
        <w:rPr>
          <w:rFonts w:hint="eastAsia" w:ascii="仿宋_GB2312" w:hAnsi="仿宋_GB2312" w:eastAsia="仿宋_GB2312" w:cs="仿宋_GB2312"/>
          <w:b w:val="0"/>
          <w:bCs w:val="0"/>
          <w:color w:val="auto"/>
          <w:sz w:val="32"/>
          <w:szCs w:val="32"/>
        </w:rPr>
        <w:t>资金监管、已设立存量房交易资金监管账户的银行进行资金监管。房地产经纪机构促成存量房交易的，各房地产经纪机构应当告知交易双方当事人存量房交易资金监管有关政策。配合交易双方当事人办理交易资金监管业务时，不得收取服务费。房地产经纪机构及其从业人员不得通过监管账户以外的账户代收交易资金，不得侵占、挪用交易资金；不得以任何形式代为收取定金。</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通过加入房地产互联网平台的房地产经纪机构办理存量房交易资金监管的，房地产经纪机构应指导交易双方可选择与房地产互联网平台签约的银行设立存量房交易资金监管账户。房地产互联网平台及其从业人员不得通过监管账户以外的账户代收交易资金，不得侵占、挪用交易资金；不得以任何形式代为收取定金。</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买受人将交易资金存入或转入监管账户，如涉及银行贷款，</w:t>
      </w:r>
      <w:r>
        <w:rPr>
          <w:rFonts w:hint="eastAsia" w:ascii="仿宋_GB2312" w:hAnsi="仿宋_GB2312" w:eastAsia="仿宋_GB2312" w:cs="仿宋_GB2312"/>
          <w:b w:val="0"/>
          <w:bCs w:val="0"/>
          <w:color w:val="auto"/>
          <w:sz w:val="32"/>
          <w:szCs w:val="32"/>
          <w:lang w:eastAsia="zh-CN"/>
        </w:rPr>
        <w:t>应先办理转移登记，贷款资金按照监管协议接受监管，</w:t>
      </w:r>
      <w:r>
        <w:rPr>
          <w:rFonts w:hint="eastAsia" w:ascii="仿宋_GB2312" w:hAnsi="仿宋_GB2312" w:eastAsia="仿宋_GB2312" w:cs="仿宋_GB2312"/>
          <w:b w:val="0"/>
          <w:bCs w:val="0"/>
          <w:color w:val="auto"/>
          <w:sz w:val="32"/>
          <w:szCs w:val="32"/>
        </w:rPr>
        <w:t>由按揭贷款银行将贷款转入该监管账户</w:t>
      </w:r>
      <w:r>
        <w:rPr>
          <w:rFonts w:hint="eastAsia" w:ascii="仿宋_GB2312" w:hAnsi="仿宋_GB2312" w:eastAsia="仿宋_GB2312" w:cs="仿宋_GB2312"/>
          <w:b w:val="0"/>
          <w:bCs w:val="0"/>
          <w:color w:val="auto"/>
          <w:sz w:val="32"/>
          <w:szCs w:val="32"/>
          <w:lang w:eastAsia="zh-CN"/>
        </w:rPr>
        <w:t>，监管协议明确不监管转移登记后入账金额的除外</w:t>
      </w:r>
      <w:r>
        <w:rPr>
          <w:rFonts w:hint="eastAsia" w:ascii="仿宋_GB2312" w:hAnsi="仿宋_GB2312" w:eastAsia="仿宋_GB2312" w:cs="仿宋_GB2312"/>
          <w:b w:val="0"/>
          <w:bCs w:val="0"/>
          <w:color w:val="auto"/>
          <w:sz w:val="32"/>
          <w:szCs w:val="32"/>
        </w:rPr>
        <w:t>。交易当事人从监管账户</w:t>
      </w:r>
      <w:r>
        <w:rPr>
          <w:rFonts w:hint="eastAsia" w:ascii="仿宋_GB2312" w:hAnsi="仿宋_GB2312" w:eastAsia="仿宋_GB2312" w:cs="仿宋_GB2312"/>
          <w:b w:val="0"/>
          <w:bCs w:val="0"/>
          <w:color w:val="auto"/>
          <w:sz w:val="32"/>
          <w:szCs w:val="32"/>
          <w:lang w:eastAsia="zh-CN"/>
        </w:rPr>
        <w:t>申请</w:t>
      </w:r>
      <w:r>
        <w:rPr>
          <w:rFonts w:hint="eastAsia" w:ascii="仿宋_GB2312" w:hAnsi="仿宋_GB2312" w:eastAsia="仿宋_GB2312" w:cs="仿宋_GB2312"/>
          <w:b w:val="0"/>
          <w:bCs w:val="0"/>
          <w:color w:val="auto"/>
          <w:sz w:val="32"/>
          <w:szCs w:val="32"/>
        </w:rPr>
        <w:t>划转交易资金的，监管银行</w:t>
      </w:r>
      <w:r>
        <w:rPr>
          <w:rFonts w:hint="eastAsia" w:ascii="仿宋_GB2312" w:hAnsi="仿宋_GB2312" w:eastAsia="仿宋_GB2312" w:cs="仿宋_GB2312"/>
          <w:b w:val="0"/>
          <w:bCs w:val="0"/>
          <w:color w:val="auto"/>
          <w:sz w:val="32"/>
          <w:szCs w:val="32"/>
          <w:lang w:eastAsia="zh-CN"/>
        </w:rPr>
        <w:t>、主管部门应审核并</w:t>
      </w:r>
      <w:r>
        <w:rPr>
          <w:rFonts w:hint="eastAsia" w:ascii="仿宋_GB2312" w:hAnsi="仿宋_GB2312" w:eastAsia="仿宋_GB2312" w:cs="仿宋_GB2312"/>
          <w:b w:val="0"/>
          <w:bCs w:val="0"/>
          <w:color w:val="auto"/>
          <w:sz w:val="32"/>
          <w:szCs w:val="32"/>
        </w:rPr>
        <w:t>及时</w:t>
      </w:r>
      <w:r>
        <w:rPr>
          <w:rFonts w:hint="eastAsia" w:ascii="仿宋_GB2312" w:hAnsi="仿宋_GB2312" w:eastAsia="仿宋_GB2312" w:cs="仿宋_GB2312"/>
          <w:b w:val="0"/>
          <w:bCs w:val="0"/>
          <w:color w:val="auto"/>
          <w:sz w:val="32"/>
          <w:szCs w:val="32"/>
          <w:lang w:eastAsia="zh-CN"/>
        </w:rPr>
        <w:t>划转</w:t>
      </w:r>
      <w:r>
        <w:rPr>
          <w:rFonts w:hint="eastAsia" w:ascii="仿宋_GB2312" w:hAnsi="仿宋_GB2312" w:eastAsia="仿宋_GB2312" w:cs="仿宋_GB2312"/>
          <w:b w:val="0"/>
          <w:bCs w:val="0"/>
          <w:color w:val="auto"/>
          <w:sz w:val="32"/>
          <w:szCs w:val="32"/>
        </w:rPr>
        <w:t>。交易当事人从监管账户</w:t>
      </w:r>
      <w:r>
        <w:rPr>
          <w:rFonts w:hint="eastAsia" w:ascii="仿宋_GB2312" w:hAnsi="仿宋_GB2312" w:eastAsia="仿宋_GB2312" w:cs="仿宋_GB2312"/>
          <w:b w:val="0"/>
          <w:bCs w:val="0"/>
          <w:color w:val="auto"/>
          <w:sz w:val="32"/>
          <w:szCs w:val="32"/>
          <w:lang w:eastAsia="zh-CN"/>
        </w:rPr>
        <w:t>申请</w:t>
      </w:r>
      <w:r>
        <w:rPr>
          <w:rFonts w:hint="eastAsia" w:ascii="仿宋_GB2312" w:hAnsi="仿宋_GB2312" w:eastAsia="仿宋_GB2312" w:cs="仿宋_GB2312"/>
          <w:b w:val="0"/>
          <w:bCs w:val="0"/>
          <w:color w:val="auto"/>
          <w:sz w:val="32"/>
          <w:szCs w:val="32"/>
        </w:rPr>
        <w:t>划转交易资金的，监管银行</w:t>
      </w:r>
      <w:r>
        <w:rPr>
          <w:rFonts w:hint="eastAsia" w:ascii="仿宋_GB2312" w:hAnsi="仿宋_GB2312" w:eastAsia="仿宋_GB2312" w:cs="仿宋_GB2312"/>
          <w:b w:val="0"/>
          <w:bCs w:val="0"/>
          <w:color w:val="auto"/>
          <w:sz w:val="32"/>
          <w:szCs w:val="32"/>
          <w:lang w:eastAsia="zh-CN"/>
        </w:rPr>
        <w:t>、主管部门</w:t>
      </w:r>
      <w:r>
        <w:rPr>
          <w:rFonts w:hint="eastAsia" w:ascii="仿宋_GB2312" w:hAnsi="仿宋_GB2312" w:eastAsia="仿宋_GB2312" w:cs="仿宋_GB2312"/>
          <w:b w:val="0"/>
          <w:bCs w:val="0"/>
          <w:color w:val="auto"/>
          <w:sz w:val="32"/>
          <w:szCs w:val="32"/>
        </w:rPr>
        <w:t>应按《</w:t>
      </w:r>
      <w:r>
        <w:rPr>
          <w:rFonts w:hint="eastAsia" w:ascii="仿宋_GB2312" w:hAnsi="仿宋_GB2312" w:eastAsia="仿宋_GB2312" w:cs="仿宋_GB2312"/>
          <w:b w:val="0"/>
          <w:bCs w:val="0"/>
          <w:color w:val="auto"/>
          <w:sz w:val="32"/>
          <w:szCs w:val="32"/>
          <w:lang w:eastAsia="zh-CN"/>
        </w:rPr>
        <w:t>监管</w:t>
      </w:r>
      <w:r>
        <w:rPr>
          <w:rFonts w:hint="eastAsia" w:ascii="仿宋_GB2312" w:hAnsi="仿宋_GB2312" w:eastAsia="仿宋_GB2312" w:cs="仿宋_GB2312"/>
          <w:b w:val="0"/>
          <w:bCs w:val="0"/>
          <w:color w:val="auto"/>
          <w:sz w:val="32"/>
          <w:szCs w:val="32"/>
        </w:rPr>
        <w:t>协议》约定</w:t>
      </w:r>
      <w:r>
        <w:rPr>
          <w:rFonts w:hint="eastAsia" w:ascii="仿宋_GB2312" w:hAnsi="仿宋_GB2312" w:eastAsia="仿宋_GB2312" w:cs="仿宋_GB2312"/>
          <w:b w:val="0"/>
          <w:bCs w:val="0"/>
          <w:color w:val="auto"/>
          <w:sz w:val="32"/>
          <w:szCs w:val="32"/>
          <w:lang w:eastAsia="zh-CN"/>
        </w:rPr>
        <w:t>审核后</w:t>
      </w:r>
      <w:r>
        <w:rPr>
          <w:rFonts w:hint="eastAsia" w:ascii="仿宋_GB2312" w:hAnsi="仿宋_GB2312" w:eastAsia="仿宋_GB2312" w:cs="仿宋_GB2312"/>
          <w:b w:val="0"/>
          <w:bCs w:val="0"/>
          <w:color w:val="auto"/>
          <w:sz w:val="32"/>
          <w:szCs w:val="32"/>
        </w:rPr>
        <w:t>将交易资金划转至出卖人指定的收款账户</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交易未达成的，按交易当事人协商或司法裁判结果进行资金划转</w:t>
      </w:r>
      <w:r>
        <w:rPr>
          <w:rFonts w:hint="eastAsia" w:ascii="仿宋_GB2312" w:hAnsi="仿宋_GB2312" w:eastAsia="仿宋_GB2312" w:cs="仿宋_GB2312"/>
          <w:b w:val="0"/>
          <w:bCs w:val="0"/>
          <w:color w:val="auto"/>
          <w:sz w:val="32"/>
          <w:szCs w:val="32"/>
          <w:lang w:eastAsia="zh-CN"/>
        </w:rPr>
        <w:t>，协商处理的应先解除合同备案和退税后办理</w:t>
      </w:r>
      <w:r>
        <w:rPr>
          <w:rFonts w:hint="eastAsia" w:ascii="仿宋_GB2312" w:hAnsi="仿宋_GB2312" w:eastAsia="仿宋_GB2312" w:cs="仿宋_GB2312"/>
          <w:b w:val="0"/>
          <w:bCs w:val="0"/>
          <w:color w:val="auto"/>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存量房交易资金在监管账户存续期间产生的利息，如交易完成，归出卖人所有；如交易未达成，归买受人所有，其中</w:t>
      </w:r>
      <w:r>
        <w:rPr>
          <w:rFonts w:hint="eastAsia" w:ascii="仿宋_GB2312" w:hAnsi="仿宋_GB2312" w:eastAsia="仿宋_GB2312" w:cs="仿宋_GB2312"/>
          <w:b w:val="0"/>
          <w:bCs w:val="0"/>
          <w:color w:val="auto"/>
          <w:sz w:val="32"/>
          <w:szCs w:val="32"/>
          <w:lang w:eastAsia="zh-CN"/>
        </w:rPr>
        <w:t>贷款部分对应的利息归按揭贷款银行所有</w:t>
      </w:r>
      <w:r>
        <w:rPr>
          <w:rFonts w:hint="eastAsia" w:ascii="仿宋_GB2312" w:hAnsi="仿宋_GB2312" w:eastAsia="仿宋_GB2312" w:cs="仿宋_GB2312"/>
          <w:b w:val="0"/>
          <w:bCs w:val="0"/>
          <w:color w:val="auto"/>
          <w:sz w:val="32"/>
          <w:szCs w:val="32"/>
        </w:rPr>
        <w:t>。交易当事人另有约定的，从其约定。</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下列房屋交易可不办理资金监管</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（一）房屋产权交换；（二）依据人民法院或仲裁生效法律文书转移房屋权属；（三）房屋拍卖；（四）以房屋出资入股，房屋权属发生转移；（五）新建商品住房按照现房销售；（六）企事业单位出售的房屋。</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委托监管协议</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监管</w:t>
      </w:r>
      <w:r>
        <w:rPr>
          <w:rFonts w:hint="eastAsia" w:ascii="仿宋_GB2312" w:hAnsi="仿宋_GB2312" w:eastAsia="仿宋_GB2312" w:cs="仿宋_GB2312"/>
          <w:b w:val="0"/>
          <w:bCs w:val="0"/>
          <w:color w:val="auto"/>
          <w:sz w:val="32"/>
          <w:szCs w:val="32"/>
        </w:rPr>
        <w:t>协议》《放弃存量房交易资金监管</w:t>
      </w:r>
      <w:r>
        <w:rPr>
          <w:rFonts w:hint="eastAsia" w:ascii="仿宋_GB2312" w:hAnsi="仿宋_GB2312" w:eastAsia="仿宋_GB2312" w:cs="仿宋_GB2312"/>
          <w:b w:val="0"/>
          <w:bCs w:val="0"/>
          <w:color w:val="auto"/>
          <w:sz w:val="32"/>
          <w:szCs w:val="32"/>
          <w:lang w:eastAsia="zh-CN"/>
        </w:rPr>
        <w:t>声明</w:t>
      </w:r>
      <w:r>
        <w:rPr>
          <w:rFonts w:hint="eastAsia" w:ascii="仿宋_GB2312" w:hAnsi="仿宋_GB2312" w:eastAsia="仿宋_GB2312" w:cs="仿宋_GB2312"/>
          <w:b w:val="0"/>
          <w:bCs w:val="0"/>
          <w:color w:val="auto"/>
          <w:sz w:val="32"/>
          <w:szCs w:val="32"/>
        </w:rPr>
        <w:t>》由市</w:t>
      </w:r>
      <w:r>
        <w:rPr>
          <w:rFonts w:hint="eastAsia" w:ascii="仿宋_GB2312" w:hAnsi="仿宋_GB2312" w:eastAsia="仿宋_GB2312" w:cs="仿宋_GB2312"/>
          <w:b w:val="0"/>
          <w:bCs w:val="0"/>
          <w:color w:val="auto"/>
          <w:sz w:val="32"/>
          <w:szCs w:val="32"/>
          <w:lang w:val="en-US" w:eastAsia="zh-CN"/>
        </w:rPr>
        <w:t>住房和城乡建设</w:t>
      </w:r>
      <w:r>
        <w:rPr>
          <w:rFonts w:hint="eastAsia" w:ascii="仿宋_GB2312" w:hAnsi="仿宋_GB2312" w:eastAsia="仿宋_GB2312" w:cs="仿宋_GB2312"/>
          <w:b w:val="0"/>
          <w:bCs w:val="0"/>
          <w:color w:val="auto"/>
          <w:sz w:val="32"/>
          <w:szCs w:val="32"/>
        </w:rPr>
        <w:t>行政主管部门统一制定，明确</w:t>
      </w:r>
      <w:r>
        <w:rPr>
          <w:rFonts w:hint="eastAsia" w:ascii="仿宋_GB2312" w:hAnsi="仿宋_GB2312" w:eastAsia="仿宋_GB2312" w:cs="仿宋_GB2312"/>
          <w:b w:val="0"/>
          <w:bCs w:val="0"/>
          <w:color w:val="auto"/>
          <w:sz w:val="32"/>
          <w:szCs w:val="32"/>
          <w:lang w:eastAsia="zh-CN"/>
        </w:rPr>
        <w:t>取得产权前后交易资金的监管范围、</w:t>
      </w:r>
      <w:r>
        <w:rPr>
          <w:rFonts w:hint="eastAsia" w:ascii="仿宋_GB2312" w:hAnsi="仿宋_GB2312" w:eastAsia="仿宋_GB2312" w:cs="仿宋_GB2312"/>
          <w:b w:val="0"/>
          <w:bCs w:val="0"/>
          <w:color w:val="auto"/>
          <w:sz w:val="32"/>
          <w:szCs w:val="32"/>
        </w:rPr>
        <w:t>划转节点、各方权利义务及相关法律责任等。</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房地产经纪机构、监管银行不得向交易当事人收取任何资金监管服务费用。因交易资金划转产生的手续费根据监管银行公示的金融服务收费标准及优惠政策执行或减免。</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房地产经纪机构、监管银行在资金监管中获取的交易当事人的有关个人信息，应依法履行个人信息保护义务。在处理个人信息中如对交易当事人的合法权益造成损害的，应依法承担相应的法律责任。</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存量房交易当事人应如实申报交易及资金监管信息，因交易当事人申报不实等原因引发民事纠纷、造成损失的，由交易当事人自行承担责任。</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对违反本办法的房地产经纪机构及其从业人员，行政主管部门可采取约谈告诫、责令整改、</w:t>
      </w:r>
      <w:r>
        <w:rPr>
          <w:rFonts w:hint="eastAsia" w:ascii="仿宋_GB2312" w:hAnsi="仿宋_GB2312" w:eastAsia="仿宋_GB2312" w:cs="仿宋_GB2312"/>
          <w:b w:val="0"/>
          <w:bCs w:val="0"/>
          <w:color w:val="auto"/>
          <w:sz w:val="32"/>
          <w:szCs w:val="32"/>
          <w:lang w:eastAsia="zh-CN"/>
        </w:rPr>
        <w:t>行政处罚、</w:t>
      </w:r>
      <w:r>
        <w:rPr>
          <w:rFonts w:hint="eastAsia" w:ascii="仿宋_GB2312" w:hAnsi="仿宋_GB2312" w:eastAsia="仿宋_GB2312" w:cs="仿宋_GB2312"/>
          <w:b w:val="0"/>
          <w:bCs w:val="0"/>
          <w:color w:val="auto"/>
          <w:sz w:val="32"/>
          <w:szCs w:val="32"/>
        </w:rPr>
        <w:t>记入信用信息管理、发布风险提示等措施，并依法依规予以查处。</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对违反本办法的监管银行，</w:t>
      </w:r>
      <w:r>
        <w:rPr>
          <w:rFonts w:hint="eastAsia" w:ascii="仿宋_GB2312" w:hAnsi="仿宋_GB2312" w:eastAsia="仿宋_GB2312" w:cs="仿宋_GB2312"/>
          <w:b w:val="0"/>
          <w:bCs w:val="0"/>
          <w:color w:val="auto"/>
          <w:sz w:val="32"/>
          <w:szCs w:val="32"/>
          <w:lang w:eastAsia="zh-CN"/>
        </w:rPr>
        <w:t>住房和城乡建设</w:t>
      </w:r>
      <w:r>
        <w:rPr>
          <w:rFonts w:hint="eastAsia" w:ascii="仿宋_GB2312" w:hAnsi="仿宋_GB2312" w:eastAsia="仿宋_GB2312" w:cs="仿宋_GB2312"/>
          <w:b w:val="0"/>
          <w:bCs w:val="0"/>
          <w:color w:val="auto"/>
          <w:sz w:val="32"/>
          <w:szCs w:val="32"/>
        </w:rPr>
        <w:t>行政主管部门通报相关职能部门，依法依规予以查处。</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eastAsia="zh-CN"/>
        </w:rPr>
        <w:t>本办法由市住房和城乡建设局会同相关部门负责解释</w:t>
      </w:r>
      <w:r>
        <w:rPr>
          <w:rFonts w:hint="eastAsia" w:ascii="仿宋_GB2312" w:hAnsi="仿宋_GB2312" w:eastAsia="仿宋_GB2312" w:cs="仿宋_GB2312"/>
          <w:b w:val="0"/>
          <w:bCs w:val="0"/>
          <w:color w:val="auto"/>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本办法自202</w:t>
      </w: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月</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日起施行，有效期五年。20</w:t>
      </w:r>
      <w:r>
        <w:rPr>
          <w:rFonts w:hint="eastAsia" w:ascii="仿宋_GB2312" w:hAnsi="仿宋_GB2312" w:eastAsia="仿宋_GB2312" w:cs="仿宋_GB2312"/>
          <w:b w:val="0"/>
          <w:bCs w:val="0"/>
          <w:color w:val="auto"/>
          <w:sz w:val="32"/>
          <w:szCs w:val="32"/>
          <w:lang w:val="en-US" w:eastAsia="zh-CN"/>
        </w:rPr>
        <w:t>17</w:t>
      </w:r>
      <w:r>
        <w:rPr>
          <w:rFonts w:hint="eastAsia" w:ascii="仿宋_GB2312" w:hAnsi="仿宋_GB2312" w:eastAsia="仿宋_GB2312" w:cs="仿宋_GB2312"/>
          <w:b w:val="0"/>
          <w:bCs w:val="0"/>
          <w:color w:val="auto"/>
          <w:sz w:val="32"/>
          <w:szCs w:val="32"/>
        </w:rPr>
        <w:t>年3月20日</w:t>
      </w:r>
      <w:r>
        <w:rPr>
          <w:rFonts w:hint="eastAsia" w:ascii="仿宋_GB2312" w:hAnsi="仿宋_GB2312" w:eastAsia="仿宋_GB2312" w:cs="仿宋_GB2312"/>
          <w:b w:val="0"/>
          <w:bCs w:val="0"/>
          <w:color w:val="auto"/>
          <w:sz w:val="32"/>
          <w:szCs w:val="32"/>
          <w:lang w:eastAsia="zh-CN"/>
        </w:rPr>
        <w:t>原张掖</w:t>
      </w:r>
      <w:r>
        <w:rPr>
          <w:rFonts w:hint="eastAsia" w:ascii="仿宋_GB2312" w:hAnsi="仿宋_GB2312" w:eastAsia="仿宋_GB2312" w:cs="仿宋_GB2312"/>
          <w:b w:val="0"/>
          <w:bCs w:val="0"/>
          <w:color w:val="auto"/>
          <w:sz w:val="32"/>
          <w:szCs w:val="32"/>
        </w:rPr>
        <w:t>市房产管理局发布的《关于</w:t>
      </w:r>
      <w:r>
        <w:rPr>
          <w:rFonts w:hint="eastAsia" w:ascii="仿宋_GB2312" w:hAnsi="仿宋_GB2312" w:eastAsia="仿宋_GB2312" w:cs="仿宋_GB2312"/>
          <w:b w:val="0"/>
          <w:bCs w:val="0"/>
          <w:color w:val="auto"/>
          <w:sz w:val="32"/>
          <w:szCs w:val="32"/>
          <w:lang w:eastAsia="zh-CN"/>
        </w:rPr>
        <w:t>规范存量房交易市场行为强化交易资金监管的通知</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张</w:t>
      </w:r>
      <w:r>
        <w:rPr>
          <w:rFonts w:hint="eastAsia" w:ascii="仿宋_GB2312" w:hAnsi="仿宋_GB2312" w:eastAsia="仿宋_GB2312" w:cs="仿宋_GB2312"/>
          <w:b w:val="0"/>
          <w:bCs w:val="0"/>
          <w:color w:val="auto"/>
          <w:sz w:val="32"/>
          <w:szCs w:val="32"/>
        </w:rPr>
        <w:t>房</w:t>
      </w:r>
      <w:r>
        <w:rPr>
          <w:rFonts w:hint="eastAsia" w:ascii="仿宋_GB2312" w:hAnsi="仿宋_GB2312" w:eastAsia="仿宋_GB2312" w:cs="仿宋_GB2312"/>
          <w:b w:val="0"/>
          <w:bCs w:val="0"/>
          <w:color w:val="auto"/>
          <w:sz w:val="32"/>
          <w:szCs w:val="32"/>
          <w:lang w:eastAsia="zh-CN"/>
        </w:rPr>
        <w:t>管</w:t>
      </w:r>
      <w:r>
        <w:rPr>
          <w:rFonts w:hint="eastAsia" w:ascii="仿宋_GB2312" w:hAnsi="仿宋_GB2312" w:eastAsia="仿宋_GB2312" w:cs="仿宋_GB2312"/>
          <w:b w:val="0"/>
          <w:bCs w:val="0"/>
          <w:color w:val="auto"/>
          <w:sz w:val="32"/>
          <w:szCs w:val="32"/>
        </w:rPr>
        <w:t>〔20</w:t>
      </w:r>
      <w:r>
        <w:rPr>
          <w:rFonts w:hint="eastAsia" w:ascii="仿宋_GB2312" w:hAnsi="仿宋_GB2312" w:eastAsia="仿宋_GB2312" w:cs="仿宋_GB2312"/>
          <w:b w:val="0"/>
          <w:bCs w:val="0"/>
          <w:color w:val="auto"/>
          <w:sz w:val="32"/>
          <w:szCs w:val="32"/>
          <w:lang w:val="en-US" w:eastAsia="zh-CN"/>
        </w:rPr>
        <w:t>17</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68</w:t>
      </w:r>
      <w:r>
        <w:rPr>
          <w:rFonts w:hint="eastAsia" w:ascii="仿宋_GB2312" w:hAnsi="仿宋_GB2312" w:eastAsia="仿宋_GB2312" w:cs="仿宋_GB2312"/>
          <w:b w:val="0"/>
          <w:bCs w:val="0"/>
          <w:color w:val="auto"/>
          <w:sz w:val="32"/>
          <w:szCs w:val="32"/>
        </w:rPr>
        <w:t>号）同时废止。</w:t>
      </w:r>
    </w:p>
    <w:p>
      <w:pPr>
        <w:rPr>
          <w:color w:val="auto"/>
        </w:rPr>
      </w:pPr>
    </w:p>
    <w:sectPr>
      <w:footerReference r:id="rId3" w:type="default"/>
      <w:pgSz w:w="11906" w:h="16838"/>
      <w:pgMar w:top="1984" w:right="1587" w:bottom="1587"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00000000" w:usb1="00000000" w:usb2="00000000" w:usb3="00000000" w:csb0="00000000" w:csb1="32000000"/>
  </w:font>
  <w:font w:name="宋体">
    <w:panose1 w:val="02030304000000000000"/>
    <w:charset w:val="7A"/>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A0000287" w:usb1="28C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450"/>
        <w:tab w:val="clear" w:pos="4153"/>
      </w:tabs>
      <w:jc w:val="both"/>
      <w:rPr>
        <w:rFonts w:hint="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28702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287020"/>
                      </a:xfrm>
                      <a:prstGeom prst="rect">
                        <a:avLst/>
                      </a:prstGeom>
                      <a:noFill/>
                      <a:ln>
                        <a:noFill/>
                      </a:ln>
                    </wps:spPr>
                    <wps:txbx>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wps:wsp>
                </a:graphicData>
              </a:graphic>
            </wp:anchor>
          </w:drawing>
        </mc:Choice>
        <mc:Fallback>
          <w:pict>
            <v:shape id="_x0000_s1026" o:spid="_x0000_s1026" o:spt="202" type="#_x0000_t202" style="position:absolute;left:0pt;margin-top:0pt;height:22.6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1eL02tIAAAAEAQAADwAAAAAAAAABACAAAAA4&#10;AAAAZHJzL2Rvd25yZXYueG1sUEsBAhQAFAAAAAgAh07iQOyNsePBAQAAfgMAAA4AAAAAAAAAAQAg&#10;AAAANwEAAGRycy9lMm9Eb2MueG1sUEsFBgAAAAAGAAYAWQEAAGoFAAAAAA==&#10;">
              <v:fill on="f" focussize="0,0"/>
              <v:stroke on="f"/>
              <v:imagedata o:title=""/>
              <o:lock v:ext="edit" aspectratio="f"/>
              <v:textbox inset="0mm,0mm,0mm,0mm">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018042"/>
    <w:multiLevelType w:val="singleLevel"/>
    <w:tmpl w:val="56018042"/>
    <w:lvl w:ilvl="0" w:tentative="0">
      <w:start w:val="1"/>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5F0AF8"/>
    <w:rsid w:val="07AF2A81"/>
    <w:rsid w:val="45257F6C"/>
    <w:rsid w:val="45846DAC"/>
    <w:rsid w:val="50C3660D"/>
    <w:rsid w:val="665F0AF8"/>
    <w:rsid w:val="702A7EF9"/>
    <w:rsid w:val="7A6B3C17"/>
    <w:rsid w:val="7ADF0D25"/>
    <w:rsid w:val="7D5EEA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619</Words>
  <Characters>630</Characters>
  <Lines>0</Lines>
  <Paragraphs>0</Paragraphs>
  <TotalTime>14</TotalTime>
  <ScaleCrop>false</ScaleCrop>
  <LinksUpToDate>false</LinksUpToDate>
  <CharactersWithSpaces>630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2026-08-17T16:23:00Z</dcterms:created>
  <dc:creator>星辰</dc:creator>
  <cp:lastModifiedBy>得博～</cp:lastModifiedBy>
  <dcterms:modified xsi:type="dcterms:W3CDTF">2026-09-24T11:13:32Z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8F5A7BF5A3744D40A663F2870C2AC361_13</vt:lpwstr>
  </property>
  <property fmtid="{D5CDD505-2E9C-101B-9397-08002B2CF9AE}" pid="4" name="KSOTemplateDocerSaveRecord">
    <vt:lpwstr>eyJoZGlkIjoiOTY1YjUxNDE5NzNkYjIzZDJhOWI4MmViMTUwZGVjNmYiLCJ1c2VySWQiOiIzODIyMzQ3OTQifQ==</vt:lpwstr>
  </property>
</Properties>
</file>