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00" w:beforeAutospacing="1" w:after="100" w:afterAutospacing="1" w:line="600" w:lineRule="exact"/>
        <w:jc w:val="center"/>
        <w:outlineLvl w:val="0"/>
        <w:rPr>
          <w:rFonts w:hint="eastAsia" w:ascii="宋体" w:hAnsi="宋体" w:eastAsia="宋体" w:cs="宋体"/>
          <w:b/>
          <w:bCs/>
          <w:spacing w:val="-20"/>
          <w:kern w:val="36"/>
          <w:sz w:val="44"/>
          <w:szCs w:val="44"/>
        </w:rPr>
      </w:pPr>
      <w:r>
        <w:rPr>
          <w:rFonts w:hint="eastAsia" w:ascii="宋体" w:hAnsi="宋体" w:eastAsia="宋体" w:cs="宋体"/>
          <w:b/>
          <w:bCs/>
          <w:spacing w:val="-20"/>
          <w:kern w:val="36"/>
          <w:sz w:val="44"/>
          <w:szCs w:val="44"/>
        </w:rPr>
        <w:t>张掖市住宅专项维修资金管理办法</w:t>
      </w:r>
    </w:p>
    <w:p>
      <w:pPr>
        <w:widowControl/>
        <w:shd w:val="clear" w:color="auto" w:fill="FFFFFF"/>
        <w:spacing w:before="100" w:beforeAutospacing="1" w:after="100" w:afterAutospacing="1" w:line="600" w:lineRule="exact"/>
        <w:jc w:val="center"/>
        <w:outlineLvl w:val="0"/>
        <w:rPr>
          <w:rFonts w:hint="eastAsia" w:ascii="宋体" w:hAnsi="宋体" w:eastAsia="宋体" w:cs="宋体"/>
          <w:b/>
          <w:bCs/>
          <w:spacing w:val="-20"/>
          <w:kern w:val="36"/>
          <w:sz w:val="44"/>
          <w:szCs w:val="44"/>
        </w:rPr>
      </w:pPr>
      <w:r>
        <w:rPr>
          <w:rFonts w:hint="eastAsia" w:ascii="宋体" w:hAnsi="宋体" w:eastAsia="宋体" w:cs="宋体"/>
          <w:b/>
          <w:bCs/>
          <w:spacing w:val="-20"/>
          <w:kern w:val="36"/>
          <w:sz w:val="44"/>
          <w:szCs w:val="44"/>
        </w:rPr>
        <w:t>（</w:t>
      </w:r>
      <w:r>
        <w:rPr>
          <w:rFonts w:hint="eastAsia" w:ascii="宋体" w:hAnsi="宋体" w:eastAsia="宋体" w:cs="宋体"/>
          <w:b/>
          <w:bCs/>
          <w:spacing w:val="-20"/>
          <w:kern w:val="36"/>
          <w:sz w:val="44"/>
          <w:szCs w:val="44"/>
          <w:lang w:eastAsia="zh-CN"/>
        </w:rPr>
        <w:t>征求意见</w:t>
      </w:r>
      <w:r>
        <w:rPr>
          <w:rFonts w:hint="eastAsia" w:ascii="宋体" w:hAnsi="宋体" w:eastAsia="宋体" w:cs="宋体"/>
          <w:b/>
          <w:bCs/>
          <w:spacing w:val="-20"/>
          <w:kern w:val="36"/>
          <w:sz w:val="44"/>
          <w:szCs w:val="44"/>
        </w:rPr>
        <w:t>稿）</w:t>
      </w:r>
    </w:p>
    <w:p>
      <w:pPr>
        <w:widowControl/>
        <w:shd w:val="clear" w:color="auto" w:fill="FFFFFF"/>
        <w:spacing w:line="600" w:lineRule="exact"/>
        <w:jc w:val="center"/>
        <w:rPr>
          <w:rFonts w:ascii="黑体" w:hAnsi="黑体" w:eastAsia="黑体" w:cs="黑体"/>
          <w:b/>
          <w:bCs/>
          <w:kern w:val="0"/>
          <w:sz w:val="32"/>
          <w:szCs w:val="32"/>
        </w:rPr>
      </w:pPr>
      <w:r>
        <w:rPr>
          <w:rFonts w:hint="eastAsia" w:ascii="黑体" w:hAnsi="黑体" w:eastAsia="黑体" w:cs="黑体"/>
          <w:b/>
          <w:bCs/>
          <w:kern w:val="0"/>
          <w:sz w:val="32"/>
          <w:szCs w:val="32"/>
        </w:rPr>
        <w:t>第一章　总  则</w:t>
      </w:r>
    </w:p>
    <w:p>
      <w:pPr>
        <w:widowControl/>
        <w:shd w:val="clear" w:color="auto" w:fill="FFFFFF"/>
        <w:spacing w:line="600" w:lineRule="exact"/>
        <w:jc w:val="center"/>
        <w:rPr>
          <w:rFonts w:ascii="黑体" w:hAnsi="黑体" w:eastAsia="黑体" w:cs="黑体"/>
          <w:b/>
          <w:bCs/>
          <w:kern w:val="0"/>
          <w:sz w:val="32"/>
          <w:szCs w:val="32"/>
        </w:rPr>
      </w:pPr>
    </w:p>
    <w:p>
      <w:pPr>
        <w:widowControl/>
        <w:numPr>
          <w:ilvl w:val="0"/>
          <w:numId w:val="0"/>
        </w:numPr>
        <w:spacing w:line="600" w:lineRule="exact"/>
        <w:ind w:firstLine="643" w:firstLineChars="200"/>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b/>
          <w:bCs/>
          <w:kern w:val="0"/>
          <w:sz w:val="32"/>
          <w:szCs w:val="32"/>
          <w:lang w:eastAsia="zh-CN"/>
        </w:rPr>
        <w:t>第一条</w:t>
      </w:r>
      <w:r>
        <w:rPr>
          <w:rFonts w:hint="eastAsia" w:ascii="仿宋_GB2312" w:hAnsi="仿宋_GB2312" w:eastAsia="仿宋_GB2312" w:cs="仿宋_GB2312"/>
          <w:b/>
          <w:bCs/>
          <w:kern w:val="0"/>
          <w:sz w:val="32"/>
          <w:szCs w:val="32"/>
          <w:lang w:val="en-US" w:eastAsia="zh-CN"/>
        </w:rPr>
        <w:t xml:space="preserve"> </w:t>
      </w:r>
      <w:r>
        <w:rPr>
          <w:rFonts w:hint="eastAsia" w:ascii="仿宋_GB2312" w:hAnsi="仿宋_GB2312" w:eastAsia="仿宋_GB2312" w:cs="仿宋_GB2312"/>
          <w:kern w:val="0"/>
          <w:sz w:val="32"/>
          <w:szCs w:val="32"/>
        </w:rPr>
        <w:t>为了加强对住宅专项维修资金的管理，保障住宅共用部位、共用设施设备的维修和正常使用，维护住宅专项维修资金所有者的合法权益，根据</w:t>
      </w:r>
      <w:r>
        <w:rPr>
          <w:rFonts w:hint="eastAsia" w:ascii="仿宋_GB2312" w:hAnsi="仿宋_GB2312" w:eastAsia="仿宋_GB2312" w:cs="仿宋_GB2312"/>
          <w:color w:val="000000" w:themeColor="text1"/>
          <w:kern w:val="0"/>
          <w:sz w:val="32"/>
          <w:szCs w:val="32"/>
          <w14:textFill>
            <w14:solidFill>
              <w14:schemeClr w14:val="tx1"/>
            </w14:solidFill>
          </w14:textFill>
        </w:rPr>
        <w:t>《中华人民共和国</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民法典</w:t>
      </w: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国务院</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《物业管理条例》、建设部财政部《住宅专项维修资金管理办法》及相关法律、法规、规章等有关规定，结合本市实际，制定本办法。 </w:t>
      </w:r>
    </w:p>
    <w:p>
      <w:pPr>
        <w:widowControl/>
        <w:numPr>
          <w:ilvl w:val="0"/>
          <w:numId w:val="0"/>
        </w:numPr>
        <w:spacing w:line="600" w:lineRule="exact"/>
        <w:ind w:firstLine="643" w:firstLineChars="200"/>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第二条</w:t>
      </w:r>
      <w:r>
        <w:rPr>
          <w:rFonts w:hint="eastAsia" w:ascii="仿宋_GB2312" w:hAnsi="仿宋_GB2312" w:eastAsia="仿宋_GB2312" w:cs="仿宋_GB2312"/>
          <w:color w:val="000000" w:themeColor="text1"/>
          <w:kern w:val="0"/>
          <w:sz w:val="32"/>
          <w:szCs w:val="32"/>
          <w14:textFill>
            <w14:solidFill>
              <w14:schemeClr w14:val="tx1"/>
            </w14:solidFill>
          </w14:textFill>
        </w:rPr>
        <w:t>　凡本市、县区行政区域内，商品住宅、售后公有住宅、经济适用住房及</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征收安置</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住宅的住宅专项维修资金的交存、使用、管理和监督，适用本办法。 </w:t>
      </w:r>
    </w:p>
    <w:p>
      <w:pPr>
        <w:widowControl/>
        <w:numPr>
          <w:ilvl w:val="0"/>
          <w:numId w:val="0"/>
        </w:numPr>
        <w:spacing w:line="600" w:lineRule="exact"/>
        <w:ind w:firstLine="640" w:firstLineChars="200"/>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本办法所称住宅专项维修资金是指业主或原公有住宅售房单位交存的，专项用于住宅共用部位、共用设施设备保修期满后的维修和更新、改造的资金。 </w:t>
      </w:r>
    </w:p>
    <w:p>
      <w:pPr>
        <w:widowControl/>
        <w:numPr>
          <w:ilvl w:val="0"/>
          <w:numId w:val="0"/>
        </w:numPr>
        <w:spacing w:line="600" w:lineRule="exact"/>
        <w:ind w:firstLine="643" w:firstLineChars="200"/>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第三条</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本办法所称业主是指房屋所有权人。 </w:t>
      </w:r>
    </w:p>
    <w:p>
      <w:pPr>
        <w:widowControl/>
        <w:numPr>
          <w:ilvl w:val="0"/>
          <w:numId w:val="0"/>
        </w:numPr>
        <w:spacing w:line="600" w:lineRule="exact"/>
        <w:ind w:firstLine="640" w:firstLineChars="200"/>
        <w:rPr>
          <w:rFonts w:hint="eastAsia" w:ascii="仿宋_GB2312" w:eastAsia="仿宋_GB2312" w:cs="Tahoma"/>
          <w:color w:val="000000" w:themeColor="text1"/>
          <w:sz w:val="32"/>
          <w:szCs w:val="32"/>
          <w:lang w:eastAsia="zh-CN"/>
          <w14:textFill>
            <w14:solidFill>
              <w14:schemeClr w14:val="tx1"/>
            </w14:solidFill>
          </w14:textFill>
        </w:rPr>
      </w:pPr>
      <w:r>
        <w:rPr>
          <w:rFonts w:hint="eastAsia" w:ascii="仿宋_GB2312" w:eastAsia="仿宋_GB2312" w:cs="Tahoma"/>
          <w:color w:val="000000" w:themeColor="text1"/>
          <w:sz w:val="32"/>
          <w:szCs w:val="32"/>
          <w14:textFill>
            <w14:solidFill>
              <w14:schemeClr w14:val="tx1"/>
            </w14:solidFill>
          </w14:textFill>
        </w:rPr>
        <w:t xml:space="preserve">本办法所称共用部位，是指根据法律、法规和房屋买卖合同，由单幢住宅内业主或单幢住宅内业主及与之结构相连的非住宅业主共有的部位，一般包括：住宅的基础、承重墙体、柱、梁、楼板、屋顶以及户外墙面、门厅、楼梯间、走廊通道等。 </w:t>
      </w:r>
    </w:p>
    <w:p>
      <w:pPr>
        <w:widowControl/>
        <w:numPr>
          <w:ilvl w:val="0"/>
          <w:numId w:val="0"/>
        </w:numPr>
        <w:spacing w:line="600" w:lineRule="exact"/>
        <w:ind w:firstLine="640" w:firstLineChars="200"/>
        <w:rPr>
          <w:rFonts w:hint="eastAsia" w:ascii="仿宋_GB2312" w:hAnsi="仿宋_GB2312" w:eastAsia="仿宋_GB2312" w:cs="仿宋_GB2312"/>
          <w:b/>
          <w:color w:val="000000" w:themeColor="text1"/>
          <w:kern w:val="0"/>
          <w:sz w:val="32"/>
          <w:szCs w:val="32"/>
          <w:lang w:eastAsia="zh-CN"/>
          <w14:textFill>
            <w14:solidFill>
              <w14:schemeClr w14:val="tx1"/>
            </w14:solidFill>
          </w14:textFill>
        </w:rPr>
      </w:pPr>
      <w:r>
        <w:rPr>
          <w:rFonts w:hint="eastAsia" w:ascii="仿宋_GB2312" w:eastAsia="仿宋_GB2312" w:cs="Tahoma"/>
          <w:color w:val="000000" w:themeColor="text1"/>
          <w:sz w:val="32"/>
          <w:szCs w:val="32"/>
          <w14:textFill>
            <w14:solidFill>
              <w14:schemeClr w14:val="tx1"/>
            </w14:solidFill>
          </w14:textFill>
        </w:rPr>
        <w:t xml:space="preserve">本办法所称的共用设施设备，是指根据法律、法规和房屋买卖合同，由住宅业主或者住宅业主及有关非住宅业主共有的附属设施设备，一般包括：电梯、天线、照明、消防设施、绿地、道路、路灯、沟渠、池、井、非经营性车场车库、公益性文体设施和共用设施设备使用的房屋等。 </w:t>
      </w:r>
      <w:r>
        <w:rPr>
          <w:rFonts w:hint="eastAsia" w:ascii="仿宋_GB2312" w:hAnsi="仿宋_GB2312" w:eastAsia="仿宋_GB2312" w:cs="仿宋_GB2312"/>
          <w:b/>
          <w:color w:val="000000" w:themeColor="text1"/>
          <w:kern w:val="0"/>
          <w:sz w:val="32"/>
          <w:szCs w:val="32"/>
          <w14:textFill>
            <w14:solidFill>
              <w14:schemeClr w14:val="tx1"/>
            </w14:solidFill>
          </w14:textFill>
        </w:rPr>
        <w:t xml:space="preserve"> </w:t>
      </w:r>
    </w:p>
    <w:p>
      <w:pPr>
        <w:widowControl/>
        <w:numPr>
          <w:ilvl w:val="0"/>
          <w:numId w:val="0"/>
        </w:numPr>
        <w:spacing w:line="600" w:lineRule="exact"/>
        <w:ind w:firstLine="643" w:firstLineChars="200"/>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第四条</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住宅专项维修资金按照专户存储、专款专用、所有人决策、政府监督的原则进行管理和使用。 </w:t>
      </w:r>
    </w:p>
    <w:p>
      <w:pPr>
        <w:widowControl/>
        <w:numPr>
          <w:ilvl w:val="0"/>
          <w:numId w:val="0"/>
        </w:numPr>
        <w:spacing w:line="600" w:lineRule="exact"/>
        <w:ind w:firstLine="640" w:firstLineChars="200"/>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业主交存的住宅专项维修资金属于业主所有</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w:t>
      </w:r>
    </w:p>
    <w:p>
      <w:pPr>
        <w:widowControl/>
        <w:numPr>
          <w:ilvl w:val="0"/>
          <w:numId w:val="0"/>
        </w:numPr>
        <w:spacing w:line="600" w:lineRule="exact"/>
        <w:ind w:firstLine="640" w:firstLineChars="200"/>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从公有住宅售房款中提取的住宅专项维修资金属于公有住宅售房单位所有。 </w:t>
      </w:r>
    </w:p>
    <w:p>
      <w:pPr>
        <w:widowControl/>
        <w:numPr>
          <w:ilvl w:val="0"/>
          <w:numId w:val="0"/>
        </w:numPr>
        <w:spacing w:line="600" w:lineRule="exact"/>
        <w:ind w:firstLine="643" w:firstLineChars="200"/>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第五条</w:t>
      </w: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市</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住房和城乡建设局</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负责对全市住宅专项维修资金交存、使用进行指导和监督管理。 </w:t>
      </w:r>
    </w:p>
    <w:p>
      <w:pPr>
        <w:widowControl/>
        <w:numPr>
          <w:ilvl w:val="0"/>
          <w:numId w:val="0"/>
        </w:numPr>
        <w:spacing w:line="600" w:lineRule="exact"/>
        <w:ind w:firstLine="640" w:firstLineChars="200"/>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县区</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住房和城乡建设局</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负责对本辖区内住宅专项维修资金交存、使用进行指导和监督管理。 </w:t>
      </w:r>
    </w:p>
    <w:p>
      <w:pPr>
        <w:widowControl/>
        <w:numPr>
          <w:ilvl w:val="0"/>
          <w:numId w:val="0"/>
        </w:numPr>
        <w:spacing w:line="600" w:lineRule="exact"/>
        <w:ind w:firstLine="640" w:firstLineChars="200"/>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市</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、县</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区</w:t>
      </w:r>
      <w:r>
        <w:rPr>
          <w:rFonts w:hint="eastAsia" w:ascii="仿宋_GB2312" w:hAnsi="仿宋_GB2312" w:eastAsia="仿宋_GB2312" w:cs="仿宋_GB2312"/>
          <w:color w:val="000000" w:themeColor="text1"/>
          <w:kern w:val="0"/>
          <w:sz w:val="32"/>
          <w:szCs w:val="32"/>
          <w14:textFill>
            <w14:solidFill>
              <w14:schemeClr w14:val="tx1"/>
            </w14:solidFill>
          </w14:textFill>
        </w:rPr>
        <w:t>财政</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审计部门按照各自职责负责住宅专项维修资金代管期间的财务监督和审计监督工作。</w:t>
      </w:r>
    </w:p>
    <w:p>
      <w:pPr>
        <w:widowControl/>
        <w:numPr>
          <w:ilvl w:val="0"/>
          <w:numId w:val="0"/>
        </w:numPr>
        <w:spacing w:line="600" w:lineRule="exact"/>
        <w:ind w:firstLine="640" w:firstLineChars="200"/>
        <w:jc w:val="center"/>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第二章　交  存</w:t>
      </w:r>
    </w:p>
    <w:p>
      <w:pPr>
        <w:widowControl/>
        <w:spacing w:line="600" w:lineRule="exact"/>
        <w:ind w:firstLine="643" w:firstLineChars="200"/>
        <w:rPr>
          <w:rFonts w:hint="eastAsia" w:ascii="仿宋_GB2312" w:eastAsia="仿宋_GB2312" w:cs="Tahoma"/>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 xml:space="preserve">第六条 </w:t>
      </w:r>
      <w:r>
        <w:rPr>
          <w:rFonts w:hint="eastAsia" w:cs="Tahoma"/>
          <w:color w:val="000000" w:themeColor="text1"/>
          <w:sz w:val="27"/>
          <w:szCs w:val="27"/>
          <w14:textFill>
            <w14:solidFill>
              <w14:schemeClr w14:val="tx1"/>
            </w14:solidFill>
          </w14:textFill>
        </w:rPr>
        <w:t xml:space="preserve"> </w:t>
      </w:r>
      <w:r>
        <w:rPr>
          <w:rFonts w:hint="eastAsia" w:ascii="仿宋_GB2312" w:eastAsia="仿宋_GB2312" w:cs="Tahoma"/>
          <w:color w:val="000000" w:themeColor="text1"/>
          <w:sz w:val="32"/>
          <w:szCs w:val="32"/>
          <w14:textFill>
            <w14:solidFill>
              <w14:schemeClr w14:val="tx1"/>
            </w14:solidFill>
          </w14:textFill>
        </w:rPr>
        <w:t xml:space="preserve">住宅、住宅小区内的非住宅、住宅小区外与单幢住宅结构相连的非住宅的业主，应当按照下列标准交纳住宅专项维修资金。 </w:t>
      </w:r>
    </w:p>
    <w:p>
      <w:pPr>
        <w:widowControl/>
        <w:spacing w:line="600" w:lineRule="exact"/>
        <w:ind w:firstLine="640" w:firstLineChars="200"/>
        <w:rPr>
          <w:rFonts w:hint="eastAsia" w:ascii="仿宋_GB2312" w:eastAsia="仿宋_GB2312" w:cs="Tahoma"/>
          <w:color w:val="000000" w:themeColor="text1"/>
          <w:sz w:val="32"/>
          <w:szCs w:val="32"/>
          <w14:textFill>
            <w14:solidFill>
              <w14:schemeClr w14:val="tx1"/>
            </w14:solidFill>
          </w14:textFill>
        </w:rPr>
      </w:pPr>
      <w:r>
        <w:rPr>
          <w:rFonts w:hint="eastAsia" w:ascii="仿宋_GB2312" w:eastAsia="仿宋_GB2312" w:cs="Tahoma"/>
          <w:color w:val="000000" w:themeColor="text1"/>
          <w:sz w:val="32"/>
          <w:szCs w:val="32"/>
          <w14:textFill>
            <w14:solidFill>
              <w14:schemeClr w14:val="tx1"/>
            </w14:solidFill>
          </w14:textFill>
        </w:rPr>
        <w:t>（一）新建商品住宅的业主、非住宅业主、经济适用住房的业主按照所拥有物业的建筑面积交存，</w:t>
      </w:r>
      <w:r>
        <w:rPr>
          <w:rFonts w:hint="eastAsia" w:ascii="仿宋_GB2312" w:eastAsia="仿宋_GB2312"/>
          <w:color w:val="000000" w:themeColor="text1"/>
          <w:sz w:val="32"/>
          <w:szCs w:val="32"/>
          <w14:textFill>
            <w14:solidFill>
              <w14:schemeClr w14:val="tx1"/>
            </w14:solidFill>
          </w14:textFill>
        </w:rPr>
        <w:t>每平方米建筑面积交存首期住宅专项维修资金的标准为</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s="Tahoma"/>
          <w:color w:val="000000" w:themeColor="text1"/>
          <w:sz w:val="32"/>
          <w:szCs w:val="32"/>
          <w14:textFill>
            <w14:solidFill>
              <w14:schemeClr w14:val="tx1"/>
            </w14:solidFill>
          </w14:textFill>
        </w:rPr>
        <w:t>多层（</w:t>
      </w:r>
      <w:r>
        <w:rPr>
          <w:rFonts w:hint="eastAsia" w:ascii="仿宋_GB2312" w:eastAsia="仿宋_GB2312" w:cs="Tahoma"/>
          <w:color w:val="000000" w:themeColor="text1"/>
          <w:sz w:val="32"/>
          <w:szCs w:val="32"/>
          <w:lang w:eastAsia="zh-CN"/>
          <w14:textFill>
            <w14:solidFill>
              <w14:schemeClr w14:val="tx1"/>
            </w14:solidFill>
          </w14:textFill>
        </w:rPr>
        <w:t>六</w:t>
      </w:r>
      <w:r>
        <w:rPr>
          <w:rFonts w:hint="eastAsia" w:ascii="仿宋_GB2312" w:eastAsia="仿宋_GB2312" w:cs="Tahoma"/>
          <w:color w:val="000000" w:themeColor="text1"/>
          <w:sz w:val="32"/>
          <w:szCs w:val="32"/>
          <w14:textFill>
            <w14:solidFill>
              <w14:schemeClr w14:val="tx1"/>
            </w14:solidFill>
          </w14:textFill>
        </w:rPr>
        <w:t>层及以下）交存首期住宅专项维修资金的标准为每平方米</w:t>
      </w:r>
      <w:r>
        <w:rPr>
          <w:rFonts w:hint="eastAsia" w:ascii="仿宋_GB2312" w:eastAsia="仿宋_GB2312" w:cs="Tahoma"/>
          <w:color w:val="000000" w:themeColor="text1"/>
          <w:sz w:val="32"/>
          <w:szCs w:val="32"/>
          <w:lang w:val="en-US" w:eastAsia="zh-CN"/>
          <w14:textFill>
            <w14:solidFill>
              <w14:schemeClr w14:val="tx1"/>
            </w14:solidFill>
          </w14:textFill>
        </w:rPr>
        <w:t>50</w:t>
      </w:r>
      <w:r>
        <w:rPr>
          <w:rFonts w:hint="eastAsia" w:ascii="仿宋_GB2312" w:eastAsia="仿宋_GB2312" w:cs="Tahoma"/>
          <w:color w:val="000000" w:themeColor="text1"/>
          <w:sz w:val="32"/>
          <w:szCs w:val="32"/>
          <w14:textFill>
            <w14:solidFill>
              <w14:schemeClr w14:val="tx1"/>
            </w14:solidFill>
          </w14:textFill>
        </w:rPr>
        <w:t>元；</w:t>
      </w:r>
      <w:r>
        <w:rPr>
          <w:rFonts w:hint="eastAsia" w:ascii="仿宋_GB2312" w:eastAsia="仿宋_GB2312" w:cs="Tahoma"/>
          <w:color w:val="000000" w:themeColor="text1"/>
          <w:sz w:val="32"/>
          <w:szCs w:val="32"/>
          <w:lang w:eastAsia="zh-CN"/>
          <w14:textFill>
            <w14:solidFill>
              <w14:schemeClr w14:val="tx1"/>
            </w14:solidFill>
          </w14:textFill>
        </w:rPr>
        <w:t>小</w:t>
      </w:r>
      <w:r>
        <w:rPr>
          <w:rFonts w:hint="eastAsia" w:ascii="仿宋_GB2312" w:eastAsia="仿宋_GB2312" w:cs="Tahoma"/>
          <w:color w:val="000000" w:themeColor="text1"/>
          <w:sz w:val="32"/>
          <w:szCs w:val="32"/>
          <w14:textFill>
            <w14:solidFill>
              <w14:schemeClr w14:val="tx1"/>
            </w14:solidFill>
          </w14:textFill>
        </w:rPr>
        <w:t>高层</w:t>
      </w:r>
      <w:r>
        <w:rPr>
          <w:rFonts w:hint="eastAsia" w:ascii="仿宋_GB2312" w:eastAsia="仿宋_GB2312" w:cs="Tahoma"/>
          <w:color w:val="000000" w:themeColor="text1"/>
          <w:sz w:val="32"/>
          <w:szCs w:val="32"/>
          <w:lang w:eastAsia="zh-CN"/>
          <w14:textFill>
            <w14:solidFill>
              <w14:schemeClr w14:val="tx1"/>
            </w14:solidFill>
          </w14:textFill>
        </w:rPr>
        <w:t>（</w:t>
      </w:r>
      <w:r>
        <w:rPr>
          <w:rFonts w:hint="eastAsia" w:ascii="仿宋_GB2312" w:eastAsia="仿宋_GB2312" w:cs="Tahoma"/>
          <w:color w:val="000000" w:themeColor="text1"/>
          <w:sz w:val="32"/>
          <w:szCs w:val="32"/>
          <w:lang w:val="en-US" w:eastAsia="zh-CN"/>
          <w14:textFill>
            <w14:solidFill>
              <w14:schemeClr w14:val="tx1"/>
            </w14:solidFill>
          </w14:textFill>
        </w:rPr>
        <w:t>7层以上，9层及以下</w:t>
      </w:r>
      <w:r>
        <w:rPr>
          <w:rFonts w:hint="eastAsia" w:ascii="仿宋_GB2312" w:eastAsia="仿宋_GB2312" w:cs="Tahoma"/>
          <w:color w:val="000000" w:themeColor="text1"/>
          <w:sz w:val="32"/>
          <w:szCs w:val="32"/>
          <w:lang w:eastAsia="zh-CN"/>
          <w14:textFill>
            <w14:solidFill>
              <w14:schemeClr w14:val="tx1"/>
            </w14:solidFill>
          </w14:textFill>
        </w:rPr>
        <w:t>）</w:t>
      </w:r>
      <w:r>
        <w:rPr>
          <w:rFonts w:hint="eastAsia" w:ascii="仿宋_GB2312" w:eastAsia="仿宋_GB2312" w:cs="Tahoma"/>
          <w:color w:val="000000" w:themeColor="text1"/>
          <w:sz w:val="32"/>
          <w:szCs w:val="32"/>
          <w14:textFill>
            <w14:solidFill>
              <w14:schemeClr w14:val="tx1"/>
            </w14:solidFill>
          </w14:textFill>
        </w:rPr>
        <w:t>交存标准为每平方米</w:t>
      </w:r>
      <w:r>
        <w:rPr>
          <w:rFonts w:hint="eastAsia" w:ascii="仿宋_GB2312" w:eastAsia="仿宋_GB2312" w:cs="Tahoma"/>
          <w:color w:val="000000" w:themeColor="text1"/>
          <w:sz w:val="32"/>
          <w:szCs w:val="32"/>
          <w:lang w:val="en-US" w:eastAsia="zh-CN"/>
          <w14:textFill>
            <w14:solidFill>
              <w14:schemeClr w14:val="tx1"/>
            </w14:solidFill>
          </w14:textFill>
        </w:rPr>
        <w:t>60</w:t>
      </w:r>
      <w:r>
        <w:rPr>
          <w:rFonts w:hint="eastAsia" w:ascii="仿宋_GB2312" w:eastAsia="仿宋_GB2312" w:cs="Tahoma"/>
          <w:color w:val="000000" w:themeColor="text1"/>
          <w:sz w:val="32"/>
          <w:szCs w:val="32"/>
          <w14:textFill>
            <w14:solidFill>
              <w14:schemeClr w14:val="tx1"/>
            </w14:solidFill>
          </w14:textFill>
        </w:rPr>
        <w:t>元</w:t>
      </w:r>
      <w:r>
        <w:rPr>
          <w:rFonts w:hint="eastAsia" w:ascii="仿宋_GB2312" w:eastAsia="仿宋_GB2312" w:cs="Tahoma"/>
          <w:color w:val="000000" w:themeColor="text1"/>
          <w:sz w:val="32"/>
          <w:szCs w:val="32"/>
          <w:lang w:eastAsia="zh-CN"/>
          <w14:textFill>
            <w14:solidFill>
              <w14:schemeClr w14:val="tx1"/>
            </w14:solidFill>
          </w14:textFill>
        </w:rPr>
        <w:t>；高层（</w:t>
      </w:r>
      <w:r>
        <w:rPr>
          <w:rFonts w:hint="eastAsia" w:ascii="仿宋_GB2312" w:eastAsia="仿宋_GB2312" w:cs="Tahoma"/>
          <w:color w:val="000000" w:themeColor="text1"/>
          <w:sz w:val="32"/>
          <w:szCs w:val="32"/>
          <w:lang w:val="en-US" w:eastAsia="zh-CN"/>
          <w14:textFill>
            <w14:solidFill>
              <w14:schemeClr w14:val="tx1"/>
            </w14:solidFill>
          </w14:textFill>
        </w:rPr>
        <w:t>9层以上</w:t>
      </w:r>
      <w:r>
        <w:rPr>
          <w:rFonts w:hint="eastAsia" w:ascii="仿宋_GB2312" w:eastAsia="仿宋_GB2312" w:cs="Tahoma"/>
          <w:color w:val="000000" w:themeColor="text1"/>
          <w:sz w:val="32"/>
          <w:szCs w:val="32"/>
          <w:lang w:eastAsia="zh-CN"/>
          <w14:textFill>
            <w14:solidFill>
              <w14:schemeClr w14:val="tx1"/>
            </w14:solidFill>
          </w14:textFill>
        </w:rPr>
        <w:t>）</w:t>
      </w:r>
      <w:r>
        <w:rPr>
          <w:rFonts w:hint="eastAsia" w:ascii="仿宋_GB2312" w:eastAsia="仿宋_GB2312" w:cs="Tahoma"/>
          <w:color w:val="000000" w:themeColor="text1"/>
          <w:sz w:val="32"/>
          <w:szCs w:val="32"/>
          <w14:textFill>
            <w14:solidFill>
              <w14:schemeClr w14:val="tx1"/>
            </w14:solidFill>
          </w14:textFill>
        </w:rPr>
        <w:t>交存标准为每平方米</w:t>
      </w:r>
      <w:r>
        <w:rPr>
          <w:rFonts w:hint="eastAsia" w:ascii="仿宋_GB2312" w:eastAsia="仿宋_GB2312" w:cs="Tahoma"/>
          <w:color w:val="000000" w:themeColor="text1"/>
          <w:sz w:val="32"/>
          <w:szCs w:val="32"/>
          <w:lang w:val="en-US" w:eastAsia="zh-CN"/>
          <w14:textFill>
            <w14:solidFill>
              <w14:schemeClr w14:val="tx1"/>
            </w14:solidFill>
          </w14:textFill>
        </w:rPr>
        <w:t>70</w:t>
      </w:r>
      <w:r>
        <w:rPr>
          <w:rFonts w:hint="eastAsia" w:ascii="仿宋_GB2312" w:eastAsia="仿宋_GB2312" w:cs="Tahoma"/>
          <w:color w:val="000000" w:themeColor="text1"/>
          <w:sz w:val="32"/>
          <w:szCs w:val="32"/>
          <w14:textFill>
            <w14:solidFill>
              <w14:schemeClr w14:val="tx1"/>
            </w14:solidFill>
          </w14:textFill>
        </w:rPr>
        <w:t>元</w:t>
      </w:r>
      <w:r>
        <w:rPr>
          <w:rFonts w:hint="eastAsia" w:ascii="仿宋_GB2312" w:eastAsia="仿宋_GB2312" w:cs="Tahoma"/>
          <w:color w:val="000000" w:themeColor="text1"/>
          <w:sz w:val="32"/>
          <w:szCs w:val="32"/>
          <w:lang w:eastAsia="zh-CN"/>
          <w14:textFill>
            <w14:solidFill>
              <w14:schemeClr w14:val="tx1"/>
            </w14:solidFill>
          </w14:textFill>
        </w:rPr>
        <w:t>；别墅</w:t>
      </w:r>
      <w:r>
        <w:rPr>
          <w:rFonts w:hint="eastAsia" w:ascii="仿宋_GB2312" w:eastAsia="仿宋_GB2312" w:cs="Tahoma"/>
          <w:color w:val="000000" w:themeColor="text1"/>
          <w:sz w:val="32"/>
          <w:szCs w:val="32"/>
          <w14:textFill>
            <w14:solidFill>
              <w14:schemeClr w14:val="tx1"/>
            </w14:solidFill>
          </w14:textFill>
        </w:rPr>
        <w:t>交存标准为每平方米</w:t>
      </w:r>
      <w:r>
        <w:rPr>
          <w:rFonts w:hint="eastAsia" w:ascii="仿宋_GB2312" w:eastAsia="仿宋_GB2312" w:cs="Tahoma"/>
          <w:color w:val="000000" w:themeColor="text1"/>
          <w:sz w:val="32"/>
          <w:szCs w:val="32"/>
          <w:lang w:val="en-US" w:eastAsia="zh-CN"/>
          <w14:textFill>
            <w14:solidFill>
              <w14:schemeClr w14:val="tx1"/>
            </w14:solidFill>
          </w14:textFill>
        </w:rPr>
        <w:t>80元</w:t>
      </w:r>
      <w:r>
        <w:rPr>
          <w:rFonts w:hint="eastAsia" w:ascii="仿宋_GB2312" w:eastAsia="仿宋_GB2312" w:cs="Tahoma"/>
          <w:color w:val="000000" w:themeColor="text1"/>
          <w:sz w:val="32"/>
          <w:szCs w:val="32"/>
          <w14:textFill>
            <w14:solidFill>
              <w14:schemeClr w14:val="tx1"/>
            </w14:solidFill>
          </w14:textFill>
        </w:rPr>
        <w:t>。</w:t>
      </w:r>
    </w:p>
    <w:p>
      <w:pPr>
        <w:widowControl/>
        <w:spacing w:line="600" w:lineRule="exact"/>
        <w:ind w:firstLine="640" w:firstLineChars="200"/>
        <w:rPr>
          <w:rFonts w:hint="eastAsia" w:ascii="仿宋_GB2312" w:eastAsia="仿宋_GB2312" w:cs="Tahoma"/>
          <w:color w:val="000000" w:themeColor="text1"/>
          <w:sz w:val="32"/>
          <w:szCs w:val="32"/>
          <w14:textFill>
            <w14:solidFill>
              <w14:schemeClr w14:val="tx1"/>
            </w14:solidFill>
          </w14:textFill>
        </w:rPr>
      </w:pPr>
      <w:r>
        <w:rPr>
          <w:rFonts w:hint="eastAsia" w:ascii="仿宋_GB2312" w:eastAsia="仿宋_GB2312" w:cs="Tahoma"/>
          <w:color w:val="000000" w:themeColor="text1"/>
          <w:sz w:val="32"/>
          <w:szCs w:val="32"/>
          <w14:textFill>
            <w14:solidFill>
              <w14:schemeClr w14:val="tx1"/>
            </w14:solidFill>
          </w14:textFill>
        </w:rPr>
        <w:t>（二）新建商品住宅、非住宅、经济适用房的业主，在办理房屋入住手续前</w:t>
      </w:r>
      <w:r>
        <w:rPr>
          <w:rFonts w:hint="eastAsia" w:ascii="仿宋_GB2312" w:eastAsia="仿宋_GB2312" w:cs="Tahoma"/>
          <w:color w:val="000000" w:themeColor="text1"/>
          <w:sz w:val="32"/>
          <w:szCs w:val="32"/>
          <w:lang w:eastAsia="zh-CN"/>
          <w14:textFill>
            <w14:solidFill>
              <w14:schemeClr w14:val="tx1"/>
            </w14:solidFill>
          </w14:textFill>
        </w:rPr>
        <w:t>、</w:t>
      </w:r>
      <w:r>
        <w:rPr>
          <w:rFonts w:hint="eastAsia" w:ascii="仿宋_GB2312" w:eastAsia="仿宋_GB2312" w:cs="Tahoma"/>
          <w:color w:val="000000" w:themeColor="text1"/>
          <w:sz w:val="32"/>
          <w:szCs w:val="32"/>
          <w14:textFill>
            <w14:solidFill>
              <w14:schemeClr w14:val="tx1"/>
            </w14:solidFill>
          </w14:textFill>
        </w:rPr>
        <w:t>商品房销售合同网上登记备案时，将首期住宅专项维修资金一次性存入县区</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住房和城乡建设局委托</w:t>
      </w:r>
      <w:r>
        <w:rPr>
          <w:rFonts w:hint="eastAsia" w:ascii="仿宋_GB2312" w:eastAsia="仿宋_GB2312" w:cs="Tahoma"/>
          <w:color w:val="000000" w:themeColor="text1"/>
          <w:sz w:val="32"/>
          <w:szCs w:val="32"/>
          <w14:textFill>
            <w14:solidFill>
              <w14:schemeClr w14:val="tx1"/>
            </w14:solidFill>
          </w14:textFill>
        </w:rPr>
        <w:t>设立的维修资金专用</w:t>
      </w:r>
      <w:r>
        <w:rPr>
          <w:rFonts w:hint="eastAsia" w:ascii="仿宋_GB2312" w:eastAsia="仿宋_GB2312" w:cs="Tahoma"/>
          <w:color w:val="000000" w:themeColor="text1"/>
          <w:sz w:val="32"/>
          <w:szCs w:val="32"/>
          <w:lang w:eastAsia="zh-CN"/>
          <w14:textFill>
            <w14:solidFill>
              <w14:schemeClr w14:val="tx1"/>
            </w14:solidFill>
          </w14:textFill>
        </w:rPr>
        <w:t>银行</w:t>
      </w:r>
      <w:r>
        <w:rPr>
          <w:rFonts w:hint="eastAsia" w:ascii="仿宋_GB2312" w:eastAsia="仿宋_GB2312" w:cs="Tahoma"/>
          <w:color w:val="000000" w:themeColor="text1"/>
          <w:sz w:val="32"/>
          <w:szCs w:val="32"/>
          <w14:textFill>
            <w14:solidFill>
              <w14:schemeClr w14:val="tx1"/>
            </w14:solidFill>
          </w14:textFill>
        </w:rPr>
        <w:t>账户，凭银行进账单开具</w:t>
      </w:r>
      <w:r>
        <w:rPr>
          <w:rFonts w:hint="eastAsia" w:ascii="仿宋_GB2312" w:eastAsia="仿宋_GB2312" w:cs="Tahoma"/>
          <w:color w:val="000000" w:themeColor="text1"/>
          <w:sz w:val="32"/>
          <w:szCs w:val="32"/>
          <w:lang w:eastAsia="zh-CN"/>
          <w14:textFill>
            <w14:solidFill>
              <w14:schemeClr w14:val="tx1"/>
            </w14:solidFill>
          </w14:textFill>
        </w:rPr>
        <w:t>财政</w:t>
      </w:r>
      <w:r>
        <w:rPr>
          <w:rFonts w:hint="eastAsia" w:ascii="仿宋_GB2312" w:eastAsia="仿宋_GB2312" w:cs="Tahoma"/>
          <w:color w:val="000000" w:themeColor="text1"/>
          <w:sz w:val="32"/>
          <w:szCs w:val="32"/>
          <w14:textFill>
            <w14:solidFill>
              <w14:schemeClr w14:val="tx1"/>
            </w14:solidFill>
          </w14:textFill>
        </w:rPr>
        <w:t>统一监制专用票据。</w:t>
      </w:r>
    </w:p>
    <w:p>
      <w:pPr>
        <w:widowControl/>
        <w:spacing w:line="600" w:lineRule="exact"/>
        <w:ind w:firstLine="640" w:firstLineChars="200"/>
        <w:rPr>
          <w:rFonts w:hint="eastAsia" w:ascii="仿宋_GB2312" w:eastAsia="仿宋_GB2312" w:cs="Tahoma"/>
          <w:color w:val="000000" w:themeColor="text1"/>
          <w:sz w:val="32"/>
          <w:szCs w:val="32"/>
          <w14:textFill>
            <w14:solidFill>
              <w14:schemeClr w14:val="tx1"/>
            </w14:solidFill>
          </w14:textFill>
        </w:rPr>
      </w:pPr>
      <w:r>
        <w:rPr>
          <w:rFonts w:hint="eastAsia" w:ascii="仿宋_GB2312" w:eastAsia="仿宋_GB2312" w:cs="Tahoma"/>
          <w:color w:val="000000" w:themeColor="text1"/>
          <w:sz w:val="32"/>
          <w:szCs w:val="32"/>
          <w14:textFill>
            <w14:solidFill>
              <w14:schemeClr w14:val="tx1"/>
            </w14:solidFill>
          </w14:textFill>
        </w:rPr>
        <w:t>业主办理入住手续时，</w:t>
      </w:r>
      <w:r>
        <w:rPr>
          <w:rFonts w:hint="eastAsia" w:ascii="仿宋_GB2312" w:eastAsia="仿宋_GB2312" w:cs="Tahoma"/>
          <w:color w:val="000000" w:themeColor="text1"/>
          <w:sz w:val="32"/>
          <w:szCs w:val="32"/>
          <w:lang w:eastAsia="zh-CN"/>
          <w14:textFill>
            <w14:solidFill>
              <w14:schemeClr w14:val="tx1"/>
            </w14:solidFill>
          </w14:textFill>
        </w:rPr>
        <w:t>应当</w:t>
      </w:r>
      <w:r>
        <w:rPr>
          <w:rFonts w:hint="eastAsia" w:ascii="仿宋_GB2312" w:eastAsia="仿宋_GB2312" w:cs="Tahoma"/>
          <w:color w:val="000000" w:themeColor="text1"/>
          <w:sz w:val="32"/>
          <w:szCs w:val="32"/>
          <w14:textFill>
            <w14:solidFill>
              <w14:schemeClr w14:val="tx1"/>
            </w14:solidFill>
          </w14:textFill>
        </w:rPr>
        <w:t>提供交存维修资金凭证（银行进账单和财政监制专用票据）；未提供凭证的，开发建设单位不得将房屋交付购房人。</w:t>
      </w:r>
    </w:p>
    <w:p>
      <w:pPr>
        <w:spacing w:line="600" w:lineRule="exact"/>
        <w:ind w:firstLine="640" w:firstLineChars="200"/>
        <w:rPr>
          <w:rFonts w:hint="eastAsia" w:ascii="仿宋_GB2312" w:eastAsia="仿宋_GB2312" w:cs="Arial" w:hAnsiTheme="minorEastAsia"/>
          <w:color w:val="000000" w:themeColor="text1"/>
          <w:kern w:val="0"/>
          <w:sz w:val="32"/>
          <w:szCs w:val="32"/>
          <w:lang w:val="en-US" w:eastAsia="zh-CN"/>
          <w14:textFill>
            <w14:solidFill>
              <w14:schemeClr w14:val="tx1"/>
            </w14:solidFill>
          </w14:textFill>
        </w:rPr>
      </w:pPr>
      <w:r>
        <w:rPr>
          <w:rFonts w:hint="eastAsia" w:ascii="仿宋_GB2312" w:hAnsi="宋体" w:eastAsia="仿宋_GB2312" w:cs="Tahoma"/>
          <w:color w:val="000000" w:themeColor="text1"/>
          <w:kern w:val="0"/>
          <w:sz w:val="32"/>
          <w:szCs w:val="32"/>
          <w14:textFill>
            <w14:solidFill>
              <w14:schemeClr w14:val="tx1"/>
            </w14:solidFill>
          </w14:textFill>
        </w:rPr>
        <w:t>市</w:t>
      </w:r>
      <w:r>
        <w:rPr>
          <w:rFonts w:hint="eastAsia" w:ascii="仿宋_GB2312" w:hAnsi="宋体" w:eastAsia="仿宋_GB2312" w:cs="Tahoma"/>
          <w:color w:val="000000" w:themeColor="text1"/>
          <w:kern w:val="0"/>
          <w:sz w:val="32"/>
          <w:szCs w:val="32"/>
          <w:lang w:eastAsia="zh-CN"/>
          <w14:textFill>
            <w14:solidFill>
              <w14:schemeClr w14:val="tx1"/>
            </w14:solidFill>
          </w14:textFill>
        </w:rPr>
        <w:t>住房和城乡建设局</w:t>
      </w:r>
      <w:r>
        <w:rPr>
          <w:rFonts w:hint="eastAsia" w:ascii="仿宋_GB2312" w:eastAsia="仿宋_GB2312" w:cs="Arial" w:hAnsiTheme="minorEastAsia"/>
          <w:color w:val="000000" w:themeColor="text1"/>
          <w:kern w:val="0"/>
          <w:sz w:val="32"/>
          <w:szCs w:val="32"/>
          <w14:textFill>
            <w14:solidFill>
              <w14:schemeClr w14:val="tx1"/>
            </w14:solidFill>
          </w14:textFill>
        </w:rPr>
        <w:t>根据本市住宅建筑安装工程每平方米造价的变化情况，适时调整首期住宅专项维修资金的交存标准。</w:t>
      </w:r>
      <w:r>
        <w:rPr>
          <w:rFonts w:hint="eastAsia" w:ascii="仿宋_GB2312" w:eastAsia="仿宋_GB2312" w:cs="Arial" w:hAnsiTheme="minorEastAsia"/>
          <w:color w:val="000000" w:themeColor="text1"/>
          <w:kern w:val="0"/>
          <w:sz w:val="32"/>
          <w:szCs w:val="32"/>
          <w:lang w:val="en-US" w:eastAsia="zh-CN"/>
          <w14:textFill>
            <w14:solidFill>
              <w14:schemeClr w14:val="tx1"/>
            </w14:solidFill>
          </w14:textFill>
        </w:rPr>
        <w:t xml:space="preserve"> </w:t>
      </w:r>
    </w:p>
    <w:p>
      <w:pPr>
        <w:numPr>
          <w:ilvl w:val="0"/>
          <w:numId w:val="1"/>
        </w:numPr>
        <w:spacing w:line="60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s="Tahoma"/>
          <w:color w:val="000000" w:themeColor="text1"/>
          <w:sz w:val="32"/>
          <w:szCs w:val="32"/>
          <w:lang w:eastAsia="zh-CN"/>
          <w14:textFill>
            <w14:solidFill>
              <w14:schemeClr w14:val="tx1"/>
            </w14:solidFill>
          </w14:textFill>
        </w:rPr>
        <w:t>未按本办法规定交存首期住宅专项维修资金的，</w:t>
      </w:r>
      <w:r>
        <w:rPr>
          <w:rFonts w:hint="eastAsia" w:ascii="仿宋_GB2312" w:eastAsia="仿宋_GB2312"/>
          <w:color w:val="000000" w:themeColor="text1"/>
          <w:sz w:val="32"/>
          <w:szCs w:val="32"/>
          <w14:textFill>
            <w14:solidFill>
              <w14:schemeClr w14:val="tx1"/>
            </w14:solidFill>
          </w14:textFill>
        </w:rPr>
        <w:t>业主应当按规定足额交纳首期住宅专项维修资金。否则</w:t>
      </w:r>
      <w:r>
        <w:rPr>
          <w:rFonts w:hint="eastAsia" w:ascii="仿宋_GB2312" w:eastAsia="仿宋_GB2312"/>
          <w:color w:val="000000" w:themeColor="text1"/>
          <w:sz w:val="32"/>
          <w:szCs w:val="32"/>
          <w:lang w:eastAsia="zh-CN"/>
          <w14:textFill>
            <w14:solidFill>
              <w14:schemeClr w14:val="tx1"/>
            </w14:solidFill>
          </w14:textFill>
        </w:rPr>
        <w:t>不动产登记部门</w:t>
      </w:r>
      <w:r>
        <w:rPr>
          <w:rFonts w:hint="eastAsia" w:ascii="仿宋_GB2312" w:eastAsia="仿宋_GB2312"/>
          <w:color w:val="000000" w:themeColor="text1"/>
          <w:sz w:val="32"/>
          <w:szCs w:val="32"/>
          <w14:textFill>
            <w14:solidFill>
              <w14:schemeClr w14:val="tx1"/>
            </w14:solidFill>
          </w14:textFill>
        </w:rPr>
        <w:t>不得办理</w:t>
      </w:r>
      <w:r>
        <w:rPr>
          <w:rFonts w:hint="eastAsia" w:ascii="仿宋_GB2312" w:eastAsia="仿宋_GB2312"/>
          <w:color w:val="000000" w:themeColor="text1"/>
          <w:sz w:val="32"/>
          <w:szCs w:val="32"/>
          <w:lang w:eastAsia="zh-CN"/>
          <w14:textFill>
            <w14:solidFill>
              <w14:schemeClr w14:val="tx1"/>
            </w14:solidFill>
          </w14:textFill>
        </w:rPr>
        <w:t>不动产</w:t>
      </w:r>
      <w:r>
        <w:rPr>
          <w:rFonts w:hint="eastAsia" w:ascii="仿宋_GB2312" w:eastAsia="仿宋_GB2312"/>
          <w:color w:val="000000" w:themeColor="text1"/>
          <w:sz w:val="32"/>
          <w:szCs w:val="32"/>
          <w14:textFill>
            <w14:solidFill>
              <w14:schemeClr w14:val="tx1"/>
            </w14:solidFill>
          </w14:textFill>
        </w:rPr>
        <w:t>初始登记、转移登记、变更登记、他项权利登记等。</w:t>
      </w:r>
    </w:p>
    <w:p>
      <w:pPr>
        <w:numPr>
          <w:ilvl w:val="0"/>
          <w:numId w:val="1"/>
        </w:num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bookmarkStart w:id="0" w:name="_GoBack"/>
      <w:bookmarkEnd w:id="0"/>
      <w:r>
        <w:rPr>
          <w:rFonts w:hint="eastAsia" w:ascii="仿宋_GB2312" w:eastAsia="仿宋_GB2312" w:cs="Tahoma"/>
          <w:color w:val="000000" w:themeColor="text1"/>
          <w:sz w:val="32"/>
          <w:szCs w:val="32"/>
          <w:lang w:eastAsia="zh-CN"/>
          <w14:textFill>
            <w14:solidFill>
              <w14:schemeClr w14:val="tx1"/>
            </w14:solidFill>
          </w14:textFill>
        </w:rPr>
        <w:t>新建商品房、非住宅、经济适用住房的住宅专项维修资金，由购房人自行交纳，并在办理商品房网签备案手续前统一存入指定的住宅专项维修资金专户。</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禁止开发建设单位私自收取购房人的专项维修资金。</w:t>
      </w:r>
    </w:p>
    <w:p>
      <w:pPr>
        <w:widowControl/>
        <w:spacing w:line="600" w:lineRule="exact"/>
        <w:ind w:firstLine="640" w:firstLineChars="200"/>
        <w:rPr>
          <w:rFonts w:hint="eastAsia" w:ascii="仿宋_GB2312" w:hAnsi="仿宋_GB2312" w:eastAsia="仿宋_GB2312" w:cs="仿宋_GB2312"/>
          <w:b/>
          <w:bCs/>
          <w:color w:val="000000" w:themeColor="text1"/>
          <w:kern w:val="0"/>
          <w:sz w:val="32"/>
          <w:szCs w:val="32"/>
          <w:lang w:eastAsia="zh-CN"/>
          <w14:textFill>
            <w14:solidFill>
              <w14:schemeClr w14:val="tx1"/>
            </w14:solidFill>
          </w14:textFill>
        </w:rPr>
      </w:pPr>
      <w:r>
        <w:rPr>
          <w:rFonts w:hint="eastAsia" w:ascii="仿宋_GB2312" w:eastAsia="仿宋_GB2312" w:cs="Tahoma"/>
          <w:color w:val="000000" w:themeColor="text1"/>
          <w:sz w:val="32"/>
          <w:szCs w:val="32"/>
          <w14:textFill>
            <w14:solidFill>
              <w14:schemeClr w14:val="tx1"/>
            </w14:solidFill>
          </w14:textFill>
        </w:rPr>
        <w:t>征收安置住宅的</w:t>
      </w:r>
      <w:r>
        <w:rPr>
          <w:rFonts w:hint="eastAsia" w:ascii="仿宋_GB2312" w:hAnsi="仿宋_GB2312" w:eastAsia="仿宋_GB2312" w:cs="仿宋_GB2312"/>
          <w:bCs/>
          <w:color w:val="000000" w:themeColor="text1"/>
          <w:kern w:val="0"/>
          <w:sz w:val="32"/>
          <w:szCs w:val="32"/>
          <w14:textFill>
            <w14:solidFill>
              <w14:schemeClr w14:val="tx1"/>
            </w14:solidFill>
          </w14:textFill>
        </w:rPr>
        <w:t>住宅专项维修资金，由</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征收安置</w:t>
      </w:r>
      <w:r>
        <w:rPr>
          <w:rFonts w:hint="eastAsia" w:ascii="仿宋_GB2312" w:hAnsi="仿宋_GB2312" w:eastAsia="仿宋_GB2312" w:cs="仿宋_GB2312"/>
          <w:bCs/>
          <w:color w:val="000000" w:themeColor="text1"/>
          <w:kern w:val="0"/>
          <w:sz w:val="32"/>
          <w:szCs w:val="32"/>
          <w14:textFill>
            <w14:solidFill>
              <w14:schemeClr w14:val="tx1"/>
            </w14:solidFill>
          </w14:textFill>
        </w:rPr>
        <w:t>部门代收，并在办理</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不动产</w:t>
      </w:r>
      <w:r>
        <w:rPr>
          <w:rFonts w:hint="eastAsia" w:ascii="仿宋_GB2312" w:hAnsi="仿宋_GB2312" w:eastAsia="仿宋_GB2312" w:cs="仿宋_GB2312"/>
          <w:b w:val="0"/>
          <w:bCs w:val="0"/>
          <w:color w:val="000000" w:themeColor="text1"/>
          <w:kern w:val="0"/>
          <w:sz w:val="32"/>
          <w:szCs w:val="32"/>
          <w:lang w:eastAsia="zh-CN"/>
          <w14:textFill>
            <w14:solidFill>
              <w14:schemeClr w14:val="tx1"/>
            </w14:solidFill>
          </w14:textFill>
        </w:rPr>
        <w:t>权属登记</w:t>
      </w:r>
      <w:r>
        <w:rPr>
          <w:rFonts w:hint="eastAsia" w:ascii="仿宋_GB2312" w:hAnsi="仿宋_GB2312" w:eastAsia="仿宋_GB2312" w:cs="仿宋_GB2312"/>
          <w:bCs/>
          <w:color w:val="000000" w:themeColor="text1"/>
          <w:kern w:val="0"/>
          <w:sz w:val="32"/>
          <w:szCs w:val="32"/>
          <w14:textFill>
            <w14:solidFill>
              <w14:schemeClr w14:val="tx1"/>
            </w14:solidFill>
          </w14:textFill>
        </w:rPr>
        <w:t>手续时统一存入指定的住宅专项维修资金专户。</w:t>
      </w:r>
      <w:r>
        <w:rPr>
          <w:rFonts w:hint="eastAsia" w:ascii="仿宋_GB2312" w:hAnsi="仿宋_GB2312" w:eastAsia="仿宋_GB2312" w:cs="仿宋_GB2312"/>
          <w:b/>
          <w:bCs/>
          <w:color w:val="000000" w:themeColor="text1"/>
          <w:kern w:val="0"/>
          <w:sz w:val="32"/>
          <w:szCs w:val="32"/>
          <w14:textFill>
            <w14:solidFill>
              <w14:schemeClr w14:val="tx1"/>
            </w14:solidFill>
          </w14:textFill>
        </w:rPr>
        <w:t xml:space="preserve"> </w:t>
      </w:r>
    </w:p>
    <w:p>
      <w:pPr>
        <w:shd w:val="clear" w:color="auto" w:fill="FFFFFF"/>
        <w:spacing w:line="600" w:lineRule="exact"/>
        <w:ind w:firstLine="640" w:firstLineChars="200"/>
        <w:rPr>
          <w:rFonts w:hint="eastAsia" w:ascii="仿宋_GB2312" w:hAnsi="仿宋_GB2312" w:eastAsia="仿宋_GB2312" w:cs="仿宋_GB2312"/>
          <w:bCs/>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14:textFill>
            <w14:solidFill>
              <w14:schemeClr w14:val="tx1"/>
            </w14:solidFill>
          </w14:textFill>
        </w:rPr>
        <w:t xml:space="preserve">未交存住宅专项维修资金的，住宅共用部位、共用设施设备需要维修的，由相关业主共同承担分摊费用。 </w:t>
      </w:r>
    </w:p>
    <w:p>
      <w:pPr>
        <w:shd w:val="clear" w:color="auto" w:fill="FFFFFF"/>
        <w:spacing w:line="600" w:lineRule="exact"/>
        <w:ind w:firstLine="643" w:firstLineChars="200"/>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第九条</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住宅专项维修资金余额不足首期交存额30%,应当及时续交，续交的数额不少于首期住宅专项维修资金的数额。 </w:t>
      </w:r>
    </w:p>
    <w:p>
      <w:pPr>
        <w:shd w:val="clear" w:color="auto" w:fill="FFFFFF"/>
        <w:spacing w:line="600" w:lineRule="exact"/>
        <w:ind w:firstLine="640" w:firstLineChars="200"/>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商品住宅的业主、非住宅的业主、经济适用住房的业主续交住宅专项维修资金的，由相关业主按照所拥有物业建筑面积分摊，标准由业主委员会参照本办法制定并提交业主大会讨论决定，具体续交工作由业主委员会或业主委员会委托的物业服务企业实施。 </w:t>
      </w:r>
    </w:p>
    <w:p>
      <w:pPr>
        <w:shd w:val="clear" w:color="auto" w:fill="FFFFFF"/>
        <w:spacing w:line="600" w:lineRule="exact"/>
        <w:ind w:firstLine="640" w:firstLineChars="200"/>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续交的住宅专项维修资金，按本办法的规定存入指定住宅专项维修资金专户。 </w:t>
      </w:r>
    </w:p>
    <w:p>
      <w:pPr>
        <w:shd w:val="clear" w:color="auto" w:fill="FFFFFF"/>
        <w:spacing w:line="600" w:lineRule="exact"/>
        <w:ind w:firstLine="643" w:firstLineChars="200"/>
        <w:rPr>
          <w:rFonts w:hint="eastAsia" w:ascii="仿宋_GB2312" w:hAnsi="仿宋_GB2312" w:eastAsia="仿宋_GB2312" w:cs="仿宋_GB2312"/>
          <w:b/>
          <w:bCs/>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第十条</w:t>
      </w:r>
      <w:r>
        <w:rPr>
          <w:rFonts w:hint="eastAsia" w:ascii="仿宋_GB2312" w:hAnsi="仿宋_GB2312" w:eastAsia="仿宋_GB2312" w:cs="仿宋_GB2312"/>
          <w:color w:val="000000" w:themeColor="text1"/>
          <w:kern w:val="0"/>
          <w:sz w:val="32"/>
          <w:szCs w:val="32"/>
          <w14:textFill>
            <w14:solidFill>
              <w14:schemeClr w14:val="tx1"/>
            </w14:solidFill>
          </w14:textFill>
        </w:rPr>
        <w:t> </w:t>
      </w:r>
      <w:r>
        <w:rPr>
          <w:rFonts w:hint="eastAsia" w:ascii="仿宋_GB2312" w:hAnsi="仿宋_GB2312" w:eastAsia="仿宋_GB2312" w:cs="仿宋_GB2312"/>
          <w:bCs/>
          <w:color w:val="000000" w:themeColor="text1"/>
          <w:kern w:val="0"/>
          <w:sz w:val="32"/>
          <w:szCs w:val="32"/>
          <w14:textFill>
            <w14:solidFill>
              <w14:schemeClr w14:val="tx1"/>
            </w14:solidFill>
          </w14:textFill>
        </w:rPr>
        <w:t>业主大会成立前，商品住宅的业主、非住宅的业主交存的住宅专项维修资金，由所在</w:t>
      </w:r>
      <w:r>
        <w:rPr>
          <w:rFonts w:hint="eastAsia" w:ascii="仿宋_GB2312" w:hAnsi="仿宋_GB2312" w:eastAsia="仿宋_GB2312" w:cs="仿宋_GB2312"/>
          <w:bCs/>
          <w:color w:val="000000" w:themeColor="text1"/>
          <w:kern w:val="0"/>
          <w:sz w:val="32"/>
          <w:szCs w:val="32"/>
          <w:lang w:eastAsia="zh-CN"/>
          <w14:textFill>
            <w14:solidFill>
              <w14:schemeClr w14:val="tx1"/>
            </w14:solidFill>
          </w14:textFill>
        </w:rPr>
        <w:t>县区</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住房和城乡建设局</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代管。</w:t>
      </w:r>
      <w:r>
        <w:rPr>
          <w:rFonts w:hint="eastAsia" w:ascii="仿宋_GB2312" w:hAnsi="仿宋_GB2312" w:eastAsia="仿宋_GB2312" w:cs="仿宋_GB2312"/>
          <w:b/>
          <w:bCs/>
          <w:color w:val="000000" w:themeColor="text1"/>
          <w:kern w:val="0"/>
          <w:sz w:val="32"/>
          <w:szCs w:val="32"/>
          <w14:textFill>
            <w14:solidFill>
              <w14:schemeClr w14:val="tx1"/>
            </w14:solidFill>
          </w14:textFill>
        </w:rPr>
        <w:t xml:space="preserve"> </w:t>
      </w:r>
    </w:p>
    <w:p>
      <w:pPr>
        <w:shd w:val="clear" w:color="auto" w:fill="FFFFFF"/>
        <w:spacing w:line="600" w:lineRule="exact"/>
        <w:ind w:firstLine="640" w:firstLineChars="200"/>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住宅专项维修资金的管理费用从增值收益中列支。 </w:t>
      </w:r>
    </w:p>
    <w:p>
      <w:pPr>
        <w:shd w:val="clear" w:color="auto" w:fill="FFFFFF"/>
        <w:spacing w:line="600" w:lineRule="exact"/>
        <w:ind w:firstLine="643" w:firstLineChars="200"/>
        <w:rPr>
          <w:rFonts w:hint="eastAsia" w:ascii="仿宋_GB2312" w:hAnsi="仿宋_GB2312" w:eastAsia="仿宋_GB2312" w:cs="仿宋_GB2312"/>
          <w:bCs/>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第十一条</w:t>
      </w:r>
      <w:r>
        <w:rPr>
          <w:rFonts w:hint="eastAsia" w:ascii="仿宋_GB2312" w:hAnsi="仿宋_GB2312" w:eastAsia="仿宋_GB2312" w:cs="仿宋_GB2312"/>
          <w:color w:val="000000" w:themeColor="text1"/>
          <w:kern w:val="0"/>
          <w:sz w:val="32"/>
          <w:szCs w:val="32"/>
          <w14:textFill>
            <w14:solidFill>
              <w14:schemeClr w14:val="tx1"/>
            </w14:solidFill>
          </w14:textFill>
        </w:rPr>
        <w:t>　</w:t>
      </w:r>
      <w:r>
        <w:rPr>
          <w:rFonts w:hint="eastAsia" w:ascii="仿宋_GB2312" w:eastAsia="仿宋_GB2312" w:cs="Tahoma"/>
          <w:color w:val="000000" w:themeColor="text1"/>
          <w:sz w:val="32"/>
          <w:szCs w:val="32"/>
          <w:lang w:eastAsia="zh-CN"/>
          <w14:textFill>
            <w14:solidFill>
              <w14:schemeClr w14:val="tx1"/>
            </w14:solidFill>
          </w14:textFill>
        </w:rPr>
        <w:t>县区</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住房和城乡建设局</w:t>
      </w:r>
      <w:r>
        <w:rPr>
          <w:rFonts w:hint="eastAsia" w:ascii="仿宋_GB2312" w:hAnsi="仿宋_GB2312" w:eastAsia="仿宋_GB2312" w:cs="仿宋_GB2312"/>
          <w:bCs/>
          <w:color w:val="000000" w:themeColor="text1"/>
          <w:kern w:val="0"/>
          <w:sz w:val="32"/>
          <w:szCs w:val="32"/>
          <w14:textFill>
            <w14:solidFill>
              <w14:schemeClr w14:val="tx1"/>
            </w14:solidFill>
          </w14:textFill>
        </w:rPr>
        <w:t xml:space="preserve">委托所在地商业银行，作为本行政区域内住宅专项维修资金的专户管理银行，并在专户管理银行开立住宅专项维修资金专户。 </w:t>
      </w:r>
    </w:p>
    <w:p>
      <w:pPr>
        <w:shd w:val="clear" w:color="auto" w:fill="FFFFFF"/>
        <w:spacing w:line="600" w:lineRule="exact"/>
        <w:ind w:firstLine="640" w:firstLineChars="200"/>
        <w:rPr>
          <w:rFonts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开立住宅专项维修资金专户，以物业服务区域为单位设账，按</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楼幢、</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房屋户门号设分户账；未划定物业管理区域的，以幢为单位设账，按房屋户门号设分户账。 </w:t>
      </w:r>
    </w:p>
    <w:p>
      <w:pPr>
        <w:widowControl/>
        <w:shd w:val="clear" w:color="auto" w:fill="FFFFFF"/>
        <w:spacing w:line="600" w:lineRule="exact"/>
        <w:jc w:val="center"/>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第三章　使  用</w:t>
      </w:r>
    </w:p>
    <w:p>
      <w:pPr>
        <w:widowControl/>
        <w:shd w:val="clear" w:color="auto" w:fill="FFFFFF"/>
        <w:spacing w:line="600" w:lineRule="exact"/>
        <w:ind w:left="0" w:leftChars="0" w:firstLine="742" w:firstLineChars="231"/>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第十二条</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住宅专项维修资金应当专项用于住宅共用部位、共用设施设备保修期满后的维修和更新、改造，不得挪作他用。 </w:t>
      </w:r>
    </w:p>
    <w:p>
      <w:pPr>
        <w:widowControl/>
        <w:shd w:val="clear" w:color="auto" w:fill="FFFFFF"/>
        <w:spacing w:line="600" w:lineRule="exact"/>
        <w:ind w:left="0" w:leftChars="0" w:firstLine="643" w:firstLineChars="200"/>
        <w:jc w:val="left"/>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第十三条</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住宅专项维修资金的使用，应当遵守方便快捷、公开透明、受益人和负担人相一致的原则。 </w:t>
      </w:r>
    </w:p>
    <w:p>
      <w:pPr>
        <w:widowControl/>
        <w:shd w:val="clear" w:color="auto" w:fill="FFFFFF"/>
        <w:spacing w:line="600" w:lineRule="exact"/>
        <w:ind w:firstLine="643" w:firstLineChars="200"/>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第十四条</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使用住宅专项维修资金按照下列规定分摊： </w:t>
      </w:r>
    </w:p>
    <w:p>
      <w:pPr>
        <w:widowControl/>
        <w:shd w:val="clear" w:color="auto" w:fill="FFFFFF"/>
        <w:spacing w:line="600" w:lineRule="exact"/>
        <w:ind w:firstLine="540"/>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（一）商品住宅之间或者商品住宅与非住宅之间共用部位、共用设施设备的维修和更新、改造费用，由相关业主按照各自拥有物业建筑面积的比例分摊。 </w:t>
      </w:r>
    </w:p>
    <w:p>
      <w:pPr>
        <w:widowControl/>
        <w:shd w:val="clear" w:color="auto" w:fill="FFFFFF"/>
        <w:spacing w:line="600" w:lineRule="exact"/>
        <w:ind w:firstLine="54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（二）住宅共用部位、共用设施设备维修、更新和改造，涉及尚未出售的商品住宅和非住宅，开发建设单位应当按照尚未出售商品住宅的建筑面积分摊。 </w:t>
      </w:r>
    </w:p>
    <w:p>
      <w:pPr>
        <w:widowControl/>
        <w:shd w:val="clear" w:color="auto" w:fill="FFFFFF"/>
        <w:spacing w:line="600" w:lineRule="exact"/>
        <w:ind w:firstLine="54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（三）属于两个以上物业服务区域的共用设施设备维修、更新、改造费用，由所属物业服务区域的全体业主按照各自拥有物业建筑面积的比例分摊。</w:t>
      </w:r>
    </w:p>
    <w:p>
      <w:pPr>
        <w:widowControl/>
        <w:shd w:val="clear" w:color="auto" w:fill="FFFFFF"/>
        <w:spacing w:line="600" w:lineRule="exact"/>
        <w:ind w:left="0" w:leftChars="0" w:firstLine="643" w:firstLineChars="200"/>
        <w:rPr>
          <w:rFonts w:hint="eastAsia" w:ascii="仿宋_GB2312" w:eastAsia="仿宋_GB2312" w:cs="Tahoma"/>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第十五条</w:t>
      </w:r>
      <w:r>
        <w:rPr>
          <w:rFonts w:hint="eastAsia" w:ascii="仿宋_GB2312" w:hAnsi="仿宋_GB2312" w:eastAsia="仿宋_GB2312" w:cs="仿宋_GB2312"/>
          <w:color w:val="000000" w:themeColor="text1"/>
          <w:kern w:val="0"/>
          <w:sz w:val="32"/>
          <w:szCs w:val="32"/>
          <w14:textFill>
            <w14:solidFill>
              <w14:schemeClr w14:val="tx1"/>
            </w14:solidFill>
          </w14:textFill>
        </w:rPr>
        <w:t>　</w:t>
      </w:r>
      <w:r>
        <w:rPr>
          <w:rFonts w:hint="eastAsia" w:ascii="仿宋_GB2312" w:eastAsia="仿宋_GB2312" w:cs="Tahoma"/>
          <w:color w:val="000000" w:themeColor="text1"/>
          <w:sz w:val="32"/>
          <w:szCs w:val="32"/>
          <w14:textFill>
            <w14:solidFill>
              <w14:schemeClr w14:val="tx1"/>
            </w14:solidFill>
          </w14:textFill>
        </w:rPr>
        <w:t xml:space="preserve">业主大会成立前，使用住宅专项维修资金的，按照以下程序办理： </w:t>
      </w:r>
    </w:p>
    <w:p>
      <w:pPr>
        <w:pStyle w:val="7"/>
        <w:keepNext w:val="0"/>
        <w:keepLines w:val="0"/>
        <w:widowControl/>
        <w:suppressLineNumbers w:val="0"/>
        <w:shd w:val="clear" w:fill="FFFFFF"/>
        <w:spacing w:before="0" w:beforeAutospacing="0" w:after="0" w:afterAutospacing="0" w:line="576" w:lineRule="atLeast"/>
        <w:ind w:left="0" w:right="0" w:firstLine="420"/>
        <w:jc w:val="left"/>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（一）用于小区共用设施设备维修和更新、改造的，由小区业主按照其拥有物业的建筑面积比例承担，并从小区业主交存的维修资金中列支;</w:t>
      </w:r>
    </w:p>
    <w:p>
      <w:pPr>
        <w:pStyle w:val="7"/>
        <w:keepNext w:val="0"/>
        <w:keepLines w:val="0"/>
        <w:widowControl/>
        <w:suppressLineNumbers w:val="0"/>
        <w:shd w:val="clear" w:fill="FFFFFF"/>
        <w:spacing w:before="0" w:beforeAutospacing="0" w:after="0" w:afterAutospacing="0" w:line="576" w:lineRule="atLeast"/>
        <w:ind w:left="0" w:right="0" w:firstLine="420"/>
        <w:jc w:val="left"/>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（二）用于整幢楼本体共用部位、共用设施设备维修和更新、改造的，</w:t>
      </w:r>
      <w:r>
        <w:rPr>
          <w:rFonts w:hint="eastAsia" w:ascii="仿宋_GB2312" w:hAnsi="仿宋_GB2312" w:eastAsia="仿宋_GB2312" w:cs="仿宋_GB2312"/>
          <w:color w:val="000000" w:themeColor="text1"/>
          <w:sz w:val="32"/>
          <w:szCs w:val="32"/>
          <w14:textFill>
            <w14:solidFill>
              <w14:schemeClr w14:val="tx1"/>
            </w14:solidFill>
          </w14:textFill>
        </w:rPr>
        <w:t>占</w:t>
      </w:r>
      <w:r>
        <w:rPr>
          <w:rFonts w:hint="eastAsia" w:ascii="仿宋_GB2312" w:hAnsi="仿宋_GB2312" w:eastAsia="仿宋_GB2312" w:cs="仿宋_GB2312"/>
          <w:color w:val="000000" w:themeColor="text1"/>
          <w:sz w:val="32"/>
          <w:szCs w:val="32"/>
          <w:lang w:eastAsia="zh-CN"/>
          <w14:textFill>
            <w14:solidFill>
              <w14:schemeClr w14:val="tx1"/>
            </w14:solidFill>
          </w14:textFill>
        </w:rPr>
        <w:t>部分</w:t>
      </w:r>
      <w:r>
        <w:rPr>
          <w:rFonts w:hint="eastAsia" w:ascii="仿宋_GB2312" w:hAnsi="仿宋_GB2312" w:eastAsia="仿宋_GB2312" w:cs="仿宋_GB2312"/>
          <w:color w:val="000000" w:themeColor="text1"/>
          <w:sz w:val="32"/>
          <w:szCs w:val="32"/>
          <w14:textFill>
            <w14:solidFill>
              <w14:schemeClr w14:val="tx1"/>
            </w14:solidFill>
          </w14:textFill>
        </w:rPr>
        <w:t>建筑物总面积三分之二以上</w:t>
      </w:r>
      <w:r>
        <w:rPr>
          <w:rFonts w:hint="eastAsia" w:ascii="仿宋_GB2312" w:hAnsi="仿宋_GB2312" w:eastAsia="仿宋_GB2312" w:cs="仿宋_GB2312"/>
          <w:color w:val="000000" w:themeColor="text1"/>
          <w:sz w:val="32"/>
          <w:szCs w:val="32"/>
          <w:lang w:eastAsia="zh-CN"/>
          <w14:textFill>
            <w14:solidFill>
              <w14:schemeClr w14:val="tx1"/>
            </w14:solidFill>
          </w14:textFill>
        </w:rPr>
        <w:t>利害关系的</w:t>
      </w:r>
      <w:r>
        <w:rPr>
          <w:rFonts w:hint="eastAsia" w:ascii="仿宋_GB2312" w:hAnsi="仿宋_GB2312" w:eastAsia="仿宋_GB2312" w:cs="仿宋_GB2312"/>
          <w:color w:val="000000" w:themeColor="text1"/>
          <w:sz w:val="32"/>
          <w:szCs w:val="32"/>
          <w14:textFill>
            <w14:solidFill>
              <w14:schemeClr w14:val="tx1"/>
            </w14:solidFill>
          </w14:textFill>
        </w:rPr>
        <w:t>业主讨论通过使用建议</w:t>
      </w:r>
      <w:r>
        <w:rPr>
          <w:rFonts w:hint="eastAsia" w:ascii="仿宋_GB2312" w:hAnsi="仿宋_GB2312" w:eastAsia="仿宋_GB2312" w:cs="仿宋_GB2312"/>
          <w:color w:val="000000" w:themeColor="text1"/>
          <w:sz w:val="32"/>
          <w:szCs w:val="32"/>
          <w:lang w:eastAsia="zh-CN"/>
          <w14:textFill>
            <w14:solidFill>
              <w14:schemeClr w14:val="tx1"/>
            </w14:solidFill>
          </w14:textFill>
        </w:rPr>
        <w:t>，由</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整幢楼业主按照其拥有物业的建筑面积比例承担，并从该幢业主交存的维修资金中列支;</w:t>
      </w:r>
    </w:p>
    <w:p>
      <w:pPr>
        <w:pStyle w:val="7"/>
        <w:keepNext w:val="0"/>
        <w:keepLines w:val="0"/>
        <w:widowControl/>
        <w:suppressLineNumbers w:val="0"/>
        <w:shd w:val="clear" w:fill="FFFFFF"/>
        <w:spacing w:before="0" w:beforeAutospacing="0" w:after="0" w:afterAutospacing="0" w:line="576" w:lineRule="atLeast"/>
        <w:ind w:left="0" w:right="0" w:firstLine="420"/>
        <w:jc w:val="left"/>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（三）用于本单元内共用部位、共用设施设备维修和更新、改造的，由本单元内业主按照其拥有物业的建筑面积比例承担，并从该单元业主交存的维修资金中列支。</w:t>
      </w:r>
    </w:p>
    <w:p>
      <w:pPr>
        <w:widowControl/>
        <w:shd w:val="clear" w:color="auto" w:fill="FFFFFF"/>
        <w:spacing w:line="600" w:lineRule="exact"/>
        <w:ind w:firstLine="540"/>
        <w:rPr>
          <w:rFonts w:hint="eastAsia" w:ascii="仿宋_GB2312" w:eastAsia="仿宋_GB2312" w:cs="Tahoma"/>
          <w:color w:val="000000" w:themeColor="text1"/>
          <w:sz w:val="32"/>
          <w:szCs w:val="32"/>
          <w:lang w:eastAsia="zh-CN"/>
          <w14:textFill>
            <w14:solidFill>
              <w14:schemeClr w14:val="tx1"/>
            </w14:solidFill>
          </w14:textFill>
        </w:rPr>
      </w:pPr>
      <w:r>
        <w:rPr>
          <w:rFonts w:hint="eastAsia" w:ascii="仿宋_GB2312" w:eastAsia="仿宋_GB2312" w:cs="Tahoma"/>
          <w:color w:val="000000" w:themeColor="text1"/>
          <w:sz w:val="32"/>
          <w:szCs w:val="32"/>
          <w14:textFill>
            <w14:solidFill>
              <w14:schemeClr w14:val="tx1"/>
            </w14:solidFill>
          </w14:textFill>
        </w:rPr>
        <w:t>（</w:t>
      </w:r>
      <w:r>
        <w:rPr>
          <w:rFonts w:hint="eastAsia" w:ascii="仿宋_GB2312" w:eastAsia="仿宋_GB2312" w:cs="Tahoma"/>
          <w:color w:val="000000" w:themeColor="text1"/>
          <w:sz w:val="32"/>
          <w:szCs w:val="32"/>
          <w:lang w:eastAsia="zh-CN"/>
          <w14:textFill>
            <w14:solidFill>
              <w14:schemeClr w14:val="tx1"/>
            </w14:solidFill>
          </w14:textFill>
        </w:rPr>
        <w:t>四</w:t>
      </w:r>
      <w:r>
        <w:rPr>
          <w:rFonts w:hint="eastAsia" w:ascii="仿宋_GB2312" w:eastAsia="仿宋_GB2312" w:cs="Tahoma"/>
          <w:color w:val="000000" w:themeColor="text1"/>
          <w:sz w:val="32"/>
          <w:szCs w:val="32"/>
          <w14:textFill>
            <w14:solidFill>
              <w14:schemeClr w14:val="tx1"/>
            </w14:solidFill>
          </w14:textFill>
        </w:rPr>
        <w:t>）物业服务企业或者相关业主持有关材料，向所在地</w:t>
      </w:r>
      <w:r>
        <w:rPr>
          <w:rFonts w:hint="eastAsia" w:ascii="仿宋_GB2312" w:eastAsia="仿宋_GB2312" w:cs="Tahoma"/>
          <w:color w:val="000000" w:themeColor="text1"/>
          <w:sz w:val="32"/>
          <w:szCs w:val="32"/>
          <w:lang w:eastAsia="zh-CN"/>
          <w14:textFill>
            <w14:solidFill>
              <w14:schemeClr w14:val="tx1"/>
            </w14:solidFill>
          </w14:textFill>
        </w:rPr>
        <w:t>县区住房和城乡建设局</w:t>
      </w:r>
      <w:r>
        <w:rPr>
          <w:rFonts w:hint="eastAsia" w:ascii="仿宋_GB2312" w:eastAsia="仿宋_GB2312" w:cs="Tahoma"/>
          <w:color w:val="000000" w:themeColor="text1"/>
          <w:sz w:val="32"/>
          <w:szCs w:val="32"/>
          <w14:textFill>
            <w14:solidFill>
              <w14:schemeClr w14:val="tx1"/>
            </w14:solidFill>
          </w14:textFill>
        </w:rPr>
        <w:t xml:space="preserve">申请列支； </w:t>
      </w:r>
    </w:p>
    <w:p>
      <w:pPr>
        <w:widowControl/>
        <w:shd w:val="clear" w:color="auto" w:fill="FFFFFF"/>
        <w:spacing w:line="600" w:lineRule="exact"/>
        <w:ind w:firstLine="540"/>
        <w:rPr>
          <w:rFonts w:hint="eastAsia" w:ascii="仿宋_GB2312" w:eastAsia="仿宋_GB2312" w:cs="Tahoma"/>
          <w:color w:val="000000" w:themeColor="text1"/>
          <w:sz w:val="32"/>
          <w:szCs w:val="32"/>
          <w:lang w:eastAsia="zh-CN"/>
          <w14:textFill>
            <w14:solidFill>
              <w14:schemeClr w14:val="tx1"/>
            </w14:solidFill>
          </w14:textFill>
        </w:rPr>
      </w:pPr>
      <w:r>
        <w:rPr>
          <w:rFonts w:hint="eastAsia" w:ascii="仿宋_GB2312" w:eastAsia="仿宋_GB2312" w:cs="Tahoma"/>
          <w:color w:val="000000" w:themeColor="text1"/>
          <w:sz w:val="32"/>
          <w:szCs w:val="32"/>
          <w14:textFill>
            <w14:solidFill>
              <w14:schemeClr w14:val="tx1"/>
            </w14:solidFill>
          </w14:textFill>
        </w:rPr>
        <w:t>（</w:t>
      </w:r>
      <w:r>
        <w:rPr>
          <w:rFonts w:hint="eastAsia" w:ascii="仿宋_GB2312" w:eastAsia="仿宋_GB2312" w:cs="Tahoma"/>
          <w:color w:val="000000" w:themeColor="text1"/>
          <w:sz w:val="32"/>
          <w:szCs w:val="32"/>
          <w:lang w:eastAsia="zh-CN"/>
          <w14:textFill>
            <w14:solidFill>
              <w14:schemeClr w14:val="tx1"/>
            </w14:solidFill>
          </w14:textFill>
        </w:rPr>
        <w:t>五</w:t>
      </w:r>
      <w:r>
        <w:rPr>
          <w:rFonts w:hint="eastAsia" w:ascii="仿宋_GB2312" w:eastAsia="仿宋_GB2312" w:cs="Tahoma"/>
          <w:color w:val="000000" w:themeColor="text1"/>
          <w:sz w:val="32"/>
          <w:szCs w:val="32"/>
          <w14:textFill>
            <w14:solidFill>
              <w14:schemeClr w14:val="tx1"/>
            </w14:solidFill>
          </w14:textFill>
        </w:rPr>
        <w:t>）</w:t>
      </w:r>
      <w:r>
        <w:rPr>
          <w:rFonts w:hint="eastAsia" w:ascii="仿宋_GB2312" w:eastAsia="仿宋_GB2312" w:cs="Tahoma"/>
          <w:color w:val="000000" w:themeColor="text1"/>
          <w:sz w:val="32"/>
          <w:szCs w:val="32"/>
          <w:lang w:eastAsia="zh-CN"/>
          <w14:textFill>
            <w14:solidFill>
              <w14:schemeClr w14:val="tx1"/>
            </w14:solidFill>
          </w14:textFill>
        </w:rPr>
        <w:t>县区住房和城乡建设局</w:t>
      </w:r>
      <w:r>
        <w:rPr>
          <w:rFonts w:hint="eastAsia" w:ascii="仿宋_GB2312" w:eastAsia="仿宋_GB2312" w:cs="Tahoma"/>
          <w:color w:val="000000" w:themeColor="text1"/>
          <w:sz w:val="32"/>
          <w:szCs w:val="32"/>
          <w14:textFill>
            <w14:solidFill>
              <w14:schemeClr w14:val="tx1"/>
            </w14:solidFill>
          </w14:textFill>
        </w:rPr>
        <w:t xml:space="preserve">审核后，按照维修工程施工合同的约定，向专户管理银行发出划转住宅专项维修资金的通知，专户管理银行将住宅专项维修资金划转至维修单位； </w:t>
      </w:r>
    </w:p>
    <w:p>
      <w:pPr>
        <w:widowControl/>
        <w:shd w:val="clear" w:color="auto" w:fill="FFFFFF"/>
        <w:spacing w:line="600" w:lineRule="exact"/>
        <w:ind w:firstLine="540"/>
        <w:rPr>
          <w:rFonts w:hint="eastAsia" w:ascii="仿宋_GB2312" w:eastAsia="仿宋_GB2312" w:cs="Tahoma"/>
          <w:color w:val="000000" w:themeColor="text1"/>
          <w:sz w:val="32"/>
          <w:szCs w:val="32"/>
          <w:lang w:eastAsia="zh-CN"/>
          <w14:textFill>
            <w14:solidFill>
              <w14:schemeClr w14:val="tx1"/>
            </w14:solidFill>
          </w14:textFill>
        </w:rPr>
      </w:pPr>
      <w:r>
        <w:rPr>
          <w:rFonts w:hint="eastAsia" w:ascii="仿宋_GB2312" w:eastAsia="仿宋_GB2312" w:cs="Tahoma"/>
          <w:color w:val="000000" w:themeColor="text1"/>
          <w:sz w:val="32"/>
          <w:szCs w:val="32"/>
          <w14:textFill>
            <w14:solidFill>
              <w14:schemeClr w14:val="tx1"/>
            </w14:solidFill>
          </w14:textFill>
        </w:rPr>
        <w:t>（</w:t>
      </w:r>
      <w:r>
        <w:rPr>
          <w:rFonts w:hint="eastAsia" w:ascii="仿宋_GB2312" w:eastAsia="仿宋_GB2312" w:cs="Tahoma"/>
          <w:color w:val="000000" w:themeColor="text1"/>
          <w:sz w:val="32"/>
          <w:szCs w:val="32"/>
          <w:lang w:eastAsia="zh-CN"/>
          <w14:textFill>
            <w14:solidFill>
              <w14:schemeClr w14:val="tx1"/>
            </w14:solidFill>
          </w14:textFill>
        </w:rPr>
        <w:t>六</w:t>
      </w:r>
      <w:r>
        <w:rPr>
          <w:rFonts w:hint="eastAsia" w:ascii="仿宋_GB2312" w:eastAsia="仿宋_GB2312" w:cs="Tahoma"/>
          <w:color w:val="000000" w:themeColor="text1"/>
          <w:sz w:val="32"/>
          <w:szCs w:val="32"/>
          <w14:textFill>
            <w14:solidFill>
              <w14:schemeClr w14:val="tx1"/>
            </w14:solidFill>
          </w14:textFill>
        </w:rPr>
        <w:t xml:space="preserve">）物业服务企业或者相关业主组织实施使用方案； </w:t>
      </w:r>
    </w:p>
    <w:p>
      <w:pPr>
        <w:widowControl/>
        <w:shd w:val="clear" w:color="auto" w:fill="FFFFFF"/>
        <w:spacing w:line="600" w:lineRule="exact"/>
        <w:ind w:firstLine="540"/>
        <w:rPr>
          <w:rFonts w:hint="eastAsia" w:ascii="仿宋_GB2312" w:eastAsia="仿宋_GB2312" w:cs="Tahoma"/>
          <w:color w:val="000000" w:themeColor="text1"/>
          <w:sz w:val="32"/>
          <w:szCs w:val="32"/>
          <w:lang w:eastAsia="zh-CN"/>
          <w14:textFill>
            <w14:solidFill>
              <w14:schemeClr w14:val="tx1"/>
            </w14:solidFill>
          </w14:textFill>
        </w:rPr>
      </w:pPr>
      <w:r>
        <w:rPr>
          <w:rFonts w:hint="eastAsia" w:ascii="仿宋_GB2312" w:eastAsia="仿宋_GB2312" w:cs="Tahoma"/>
          <w:color w:val="000000" w:themeColor="text1"/>
          <w:sz w:val="32"/>
          <w:szCs w:val="32"/>
          <w14:textFill>
            <w14:solidFill>
              <w14:schemeClr w14:val="tx1"/>
            </w14:solidFill>
          </w14:textFill>
        </w:rPr>
        <w:t>（</w:t>
      </w:r>
      <w:r>
        <w:rPr>
          <w:rFonts w:hint="eastAsia" w:ascii="仿宋_GB2312" w:eastAsia="仿宋_GB2312" w:cs="Tahoma"/>
          <w:color w:val="000000" w:themeColor="text1"/>
          <w:sz w:val="32"/>
          <w:szCs w:val="32"/>
          <w:lang w:eastAsia="zh-CN"/>
          <w14:textFill>
            <w14:solidFill>
              <w14:schemeClr w14:val="tx1"/>
            </w14:solidFill>
          </w14:textFill>
        </w:rPr>
        <w:t>七</w:t>
      </w:r>
      <w:r>
        <w:rPr>
          <w:rFonts w:hint="eastAsia" w:ascii="仿宋_GB2312" w:eastAsia="仿宋_GB2312" w:cs="Tahoma"/>
          <w:color w:val="000000" w:themeColor="text1"/>
          <w:sz w:val="32"/>
          <w:szCs w:val="32"/>
          <w14:textFill>
            <w14:solidFill>
              <w14:schemeClr w14:val="tx1"/>
            </w14:solidFill>
          </w14:textFill>
        </w:rPr>
        <w:t>）工程完工后，维修单位持下列资料报</w:t>
      </w:r>
      <w:r>
        <w:rPr>
          <w:rFonts w:hint="eastAsia" w:ascii="仿宋_GB2312" w:eastAsia="仿宋_GB2312" w:cs="Tahoma"/>
          <w:color w:val="000000" w:themeColor="text1"/>
          <w:sz w:val="32"/>
          <w:szCs w:val="32"/>
          <w:lang w:eastAsia="zh-CN"/>
          <w14:textFill>
            <w14:solidFill>
              <w14:schemeClr w14:val="tx1"/>
            </w14:solidFill>
          </w14:textFill>
        </w:rPr>
        <w:t>县区住房和城乡建设局</w:t>
      </w:r>
      <w:r>
        <w:rPr>
          <w:rFonts w:hint="eastAsia" w:ascii="仿宋_GB2312" w:eastAsia="仿宋_GB2312" w:cs="Tahoma"/>
          <w:color w:val="000000" w:themeColor="text1"/>
          <w:sz w:val="32"/>
          <w:szCs w:val="32"/>
          <w14:textFill>
            <w14:solidFill>
              <w14:schemeClr w14:val="tx1"/>
            </w14:solidFill>
          </w14:textFill>
        </w:rPr>
        <w:t xml:space="preserve">备案。 </w:t>
      </w:r>
    </w:p>
    <w:p>
      <w:pPr>
        <w:widowControl/>
        <w:shd w:val="clear" w:color="auto" w:fill="FFFFFF"/>
        <w:spacing w:line="600" w:lineRule="exact"/>
        <w:ind w:firstLine="540"/>
        <w:rPr>
          <w:rFonts w:hint="eastAsia" w:ascii="仿宋_GB2312" w:eastAsia="仿宋_GB2312" w:cs="Tahoma"/>
          <w:color w:val="000000" w:themeColor="text1"/>
          <w:sz w:val="32"/>
          <w:szCs w:val="32"/>
          <w:lang w:eastAsia="zh-CN"/>
          <w14:textFill>
            <w14:solidFill>
              <w14:schemeClr w14:val="tx1"/>
            </w14:solidFill>
          </w14:textFill>
        </w:rPr>
      </w:pPr>
      <w:r>
        <w:rPr>
          <w:rFonts w:hint="eastAsia" w:ascii="仿宋_GB2312" w:eastAsia="仿宋_GB2312" w:cs="Tahoma"/>
          <w:color w:val="000000" w:themeColor="text1"/>
          <w:sz w:val="32"/>
          <w:szCs w:val="32"/>
          <w14:textFill>
            <w14:solidFill>
              <w14:schemeClr w14:val="tx1"/>
            </w14:solidFill>
          </w14:textFill>
        </w:rPr>
        <w:t xml:space="preserve">　1、经业主审定的工程决算书； </w:t>
      </w:r>
    </w:p>
    <w:p>
      <w:pPr>
        <w:widowControl/>
        <w:shd w:val="clear" w:color="auto" w:fill="FFFFFF"/>
        <w:spacing w:line="600" w:lineRule="exact"/>
        <w:ind w:firstLine="540"/>
        <w:rPr>
          <w:rFonts w:hint="eastAsia" w:ascii="仿宋_GB2312" w:eastAsia="仿宋_GB2312" w:cs="Tahoma"/>
          <w:color w:val="000000" w:themeColor="text1"/>
          <w:sz w:val="32"/>
          <w:szCs w:val="32"/>
          <w:lang w:eastAsia="zh-CN"/>
          <w14:textFill>
            <w14:solidFill>
              <w14:schemeClr w14:val="tx1"/>
            </w14:solidFill>
          </w14:textFill>
        </w:rPr>
      </w:pPr>
      <w:r>
        <w:rPr>
          <w:rFonts w:hint="eastAsia" w:ascii="仿宋_GB2312" w:eastAsia="仿宋_GB2312" w:cs="Tahoma"/>
          <w:color w:val="000000" w:themeColor="text1"/>
          <w:sz w:val="32"/>
          <w:szCs w:val="32"/>
          <w14:textFill>
            <w14:solidFill>
              <w14:schemeClr w14:val="tx1"/>
            </w14:solidFill>
          </w14:textFill>
        </w:rPr>
        <w:t xml:space="preserve">　2、经业主审核的维修工程施工合同； </w:t>
      </w:r>
    </w:p>
    <w:p>
      <w:pPr>
        <w:widowControl/>
        <w:shd w:val="clear" w:color="auto" w:fill="FFFFFF"/>
        <w:spacing w:line="600" w:lineRule="exact"/>
        <w:ind w:firstLine="540"/>
        <w:rPr>
          <w:rFonts w:hint="eastAsia" w:ascii="仿宋_GB2312" w:hAnsi="仿宋_GB2312" w:eastAsia="仿宋_GB2312" w:cs="仿宋_GB2312"/>
          <w:b w:val="0"/>
          <w:bCs w:val="0"/>
          <w:color w:val="000000" w:themeColor="text1"/>
          <w:kern w:val="0"/>
          <w:sz w:val="32"/>
          <w:szCs w:val="32"/>
          <w:lang w:eastAsia="zh-CN"/>
          <w14:textFill>
            <w14:solidFill>
              <w14:schemeClr w14:val="tx1"/>
            </w14:solidFill>
          </w14:textFill>
        </w:rPr>
      </w:pPr>
      <w:r>
        <w:rPr>
          <w:rFonts w:hint="eastAsia" w:ascii="仿宋_GB2312" w:eastAsia="仿宋_GB2312" w:cs="Tahoma"/>
          <w:b w:val="0"/>
          <w:bCs w:val="0"/>
          <w:color w:val="000000" w:themeColor="text1"/>
          <w:sz w:val="32"/>
          <w:szCs w:val="32"/>
          <w14:textFill>
            <w14:solidFill>
              <w14:schemeClr w14:val="tx1"/>
            </w14:solidFill>
          </w14:textFill>
        </w:rPr>
        <w:t xml:space="preserve">　3、经业主代表签署的验收合格意见及付款凭证。 </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 xml:space="preserve"> </w:t>
      </w:r>
    </w:p>
    <w:p>
      <w:pPr>
        <w:widowControl/>
        <w:shd w:val="clear" w:color="auto" w:fill="FFFFFF"/>
        <w:spacing w:line="600" w:lineRule="exact"/>
        <w:ind w:left="0" w:leftChars="0" w:firstLine="643"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 xml:space="preserve">第十六条 </w:t>
      </w:r>
      <w:r>
        <w:rPr>
          <w:rFonts w:hint="eastAsia" w:ascii="仿宋_GB2312" w:hAnsi="仿宋_GB2312" w:eastAsia="仿宋_GB2312" w:cs="仿宋_GB2312"/>
          <w:bCs/>
          <w:color w:val="000000" w:themeColor="text1"/>
          <w:sz w:val="32"/>
          <w:szCs w:val="32"/>
          <w14:textFill>
            <w14:solidFill>
              <w14:schemeClr w14:val="tx1"/>
            </w14:solidFill>
          </w14:textFill>
        </w:rPr>
        <w:t>业主大会成立后,经业主大会决定,业主委员会可以向</w:t>
      </w:r>
      <w:r>
        <w:rPr>
          <w:rFonts w:hint="eastAsia" w:ascii="仿宋_GB2312" w:eastAsia="仿宋_GB2312" w:cs="Tahoma"/>
          <w:color w:val="000000" w:themeColor="text1"/>
          <w:sz w:val="32"/>
          <w:szCs w:val="32"/>
          <w:lang w:eastAsia="zh-CN"/>
          <w14:textFill>
            <w14:solidFill>
              <w14:schemeClr w14:val="tx1"/>
            </w14:solidFill>
          </w14:textFill>
        </w:rPr>
        <w:t>县区住房和城乡建设局</w:t>
      </w:r>
      <w:r>
        <w:rPr>
          <w:rFonts w:hint="eastAsia" w:ascii="仿宋_GB2312" w:hAnsi="仿宋_GB2312" w:eastAsia="仿宋_GB2312" w:cs="仿宋_GB2312"/>
          <w:bCs/>
          <w:color w:val="000000" w:themeColor="text1"/>
          <w:sz w:val="32"/>
          <w:szCs w:val="32"/>
          <w14:textFill>
            <w14:solidFill>
              <w14:schemeClr w14:val="tx1"/>
            </w14:solidFill>
          </w14:textFill>
        </w:rPr>
        <w:t>申请划转住宅专项维修资金至业主委员会设立的银行专户,其管理按有关规定执行。</w:t>
      </w:r>
    </w:p>
    <w:p>
      <w:pPr>
        <w:widowControl/>
        <w:shd w:val="clear" w:color="auto" w:fill="FFFFFF"/>
        <w:spacing w:line="600" w:lineRule="exact"/>
        <w:ind w:firstLine="643"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bCs w:val="0"/>
          <w:color w:val="000000" w:themeColor="text1"/>
          <w:sz w:val="32"/>
          <w:szCs w:val="32"/>
          <w14:textFill>
            <w14:solidFill>
              <w14:schemeClr w14:val="tx1"/>
            </w14:solidFill>
          </w14:textFill>
        </w:rPr>
        <w:t>第十七条</w:t>
      </w:r>
      <w:r>
        <w:rPr>
          <w:rFonts w:hint="eastAsia" w:ascii="仿宋_GB2312" w:hAnsi="仿宋_GB2312" w:eastAsia="仿宋_GB2312" w:cs="仿宋_GB2312"/>
          <w:b w:val="0"/>
          <w:bCs/>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 xml:space="preserve">住宅专项维修资金划转业主大会管理后,需要使用住宅专项维修资金的,按照以下程序办理: </w:t>
      </w:r>
    </w:p>
    <w:p>
      <w:pPr>
        <w:shd w:val="clear" w:color="auto" w:fill="FFFFFF"/>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(一)物业服务企业提出使用方案,使用方案应当包括拟维修和更新、改造的项目、费用预算、列支范围、发生危及房屋安全等紧急情况以及其他需临时使用住宅专项维修资金的情况的处置办法等; </w:t>
      </w:r>
    </w:p>
    <w:p>
      <w:pPr>
        <w:shd w:val="clear" w:color="auto" w:fill="FFFFFF"/>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(二)业主大会依法通过使用方案; </w:t>
      </w:r>
    </w:p>
    <w:p>
      <w:pPr>
        <w:shd w:val="clear" w:color="auto" w:fill="FFFFFF"/>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(三)物业服务企业持有关材料向业主委员会提出列支住宅专项维修资金; </w:t>
      </w:r>
    </w:p>
    <w:p>
      <w:pPr>
        <w:shd w:val="clear" w:color="auto" w:fill="FFFFFF"/>
        <w:spacing w:line="600" w:lineRule="exact"/>
        <w:ind w:firstLine="640" w:firstLineChars="200"/>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(四)业主委员会依据使用方案审核同意,并报</w:t>
      </w:r>
      <w:r>
        <w:rPr>
          <w:rFonts w:hint="eastAsia" w:ascii="仿宋_GB2312" w:eastAsia="仿宋_GB2312" w:cs="Tahoma"/>
          <w:color w:val="000000" w:themeColor="text1"/>
          <w:sz w:val="32"/>
          <w:szCs w:val="32"/>
          <w:lang w:eastAsia="zh-CN"/>
          <w14:textFill>
            <w14:solidFill>
              <w14:schemeClr w14:val="tx1"/>
            </w14:solidFill>
          </w14:textFill>
        </w:rPr>
        <w:t>县区</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住房和城乡建设局</w:t>
      </w:r>
      <w:r>
        <w:rPr>
          <w:rFonts w:hint="eastAsia" w:ascii="仿宋_GB2312" w:hAnsi="仿宋_GB2312" w:eastAsia="仿宋_GB2312" w:cs="仿宋_GB2312"/>
          <w:bCs/>
          <w:color w:val="000000" w:themeColor="text1"/>
          <w:sz w:val="32"/>
          <w:szCs w:val="32"/>
          <w14:textFill>
            <w14:solidFill>
              <w14:schemeClr w14:val="tx1"/>
            </w14:solidFill>
          </w14:textFill>
        </w:rPr>
        <w:t xml:space="preserve">备案。发现不符合有关法律、法规、规章和使用方案的,应当责令改正; </w:t>
      </w:r>
    </w:p>
    <w:p>
      <w:pPr>
        <w:shd w:val="clear" w:color="auto" w:fill="FFFFFF"/>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(五)业主委员会按照维修工程施工合同的约定,向专户管理银行发出划转住宅专项维修资金通知,专户管理银行将所需住宅专项维修资金划转至维修单位; </w:t>
      </w:r>
    </w:p>
    <w:p>
      <w:pPr>
        <w:shd w:val="clear" w:color="auto" w:fill="FFFFFF"/>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(六)物业服务企业组织实施使用方案; </w:t>
      </w:r>
    </w:p>
    <w:p>
      <w:pPr>
        <w:shd w:val="clear" w:color="auto" w:fill="FFFFFF"/>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(七)工程完工后由业主委员会组织验收。 </w:t>
      </w:r>
    </w:p>
    <w:p>
      <w:pPr>
        <w:shd w:val="clear" w:color="auto" w:fill="FFFFFF"/>
        <w:spacing w:line="600" w:lineRule="exact"/>
        <w:ind w:firstLine="645"/>
        <w:rPr>
          <w:rFonts w:hint="eastAsia" w:ascii="仿宋_GB2312" w:eastAsia="仿宋_GB2312" w:cs="Tahoma"/>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第十八条</w:t>
      </w:r>
      <w:r>
        <w:rPr>
          <w:rFonts w:hint="eastAsia" w:ascii="仿宋_GB2312" w:hAnsi="仿宋_GB2312" w:eastAsia="仿宋_GB2312" w:cs="仿宋_GB2312"/>
          <w:color w:val="000000" w:themeColor="text1"/>
          <w:kern w:val="0"/>
          <w:sz w:val="32"/>
          <w:szCs w:val="32"/>
          <w14:textFill>
            <w14:solidFill>
              <w14:schemeClr w14:val="tx1"/>
            </w14:solidFill>
          </w14:textFill>
        </w:rPr>
        <w:t> </w:t>
      </w:r>
      <w:r>
        <w:rPr>
          <w:rFonts w:hint="eastAsia" w:ascii="仿宋_GB2312" w:eastAsia="仿宋_GB2312" w:cs="Tahoma"/>
          <w:color w:val="000000" w:themeColor="text1"/>
          <w:sz w:val="32"/>
          <w:szCs w:val="32"/>
          <w14:textFill>
            <w14:solidFill>
              <w14:schemeClr w14:val="tx1"/>
            </w14:solidFill>
          </w14:textFill>
        </w:rPr>
        <w:t xml:space="preserve">发生危及房屋安全等紧急情况，需要立即对住宅共用部位、共用设施设备进行维修和更新、改造的，按照以下规定列支住宅专项维修资金： </w:t>
      </w:r>
    </w:p>
    <w:p>
      <w:pPr>
        <w:shd w:val="clear" w:color="auto" w:fill="FFFFFF"/>
        <w:spacing w:line="600" w:lineRule="exact"/>
        <w:ind w:firstLine="645"/>
        <w:rPr>
          <w:rFonts w:hint="eastAsia" w:ascii="仿宋_GB2312" w:eastAsia="仿宋_GB2312" w:cs="Tahoma"/>
          <w:color w:val="000000" w:themeColor="text1"/>
          <w:sz w:val="32"/>
          <w:szCs w:val="32"/>
          <w:lang w:eastAsia="zh-CN"/>
          <w14:textFill>
            <w14:solidFill>
              <w14:schemeClr w14:val="tx1"/>
            </w14:solidFill>
          </w14:textFill>
        </w:rPr>
      </w:pPr>
      <w:r>
        <w:rPr>
          <w:rFonts w:hint="eastAsia" w:ascii="仿宋_GB2312" w:eastAsia="仿宋_GB2312" w:cs="Tahoma"/>
          <w:color w:val="000000" w:themeColor="text1"/>
          <w:sz w:val="32"/>
          <w:szCs w:val="32"/>
          <w14:textFill>
            <w14:solidFill>
              <w14:schemeClr w14:val="tx1"/>
            </w14:solidFill>
          </w14:textFill>
        </w:rPr>
        <w:t>（一）住宅专项维修资金划转业主大会管理前，按照本办法第十五条第</w:t>
      </w:r>
      <w:r>
        <w:rPr>
          <w:rFonts w:hint="eastAsia" w:ascii="仿宋_GB2312" w:eastAsia="仿宋_GB2312" w:cs="Tahoma"/>
          <w:color w:val="000000" w:themeColor="text1"/>
          <w:sz w:val="32"/>
          <w:szCs w:val="32"/>
          <w:lang w:eastAsia="zh-CN"/>
          <w14:textFill>
            <w14:solidFill>
              <w14:schemeClr w14:val="tx1"/>
            </w14:solidFill>
          </w14:textFill>
        </w:rPr>
        <w:t>一</w:t>
      </w:r>
      <w:r>
        <w:rPr>
          <w:rFonts w:hint="eastAsia" w:ascii="仿宋_GB2312" w:eastAsia="仿宋_GB2312" w:cs="Tahoma"/>
          <w:color w:val="000000" w:themeColor="text1"/>
          <w:sz w:val="32"/>
          <w:szCs w:val="32"/>
          <w14:textFill>
            <w14:solidFill>
              <w14:schemeClr w14:val="tx1"/>
            </w14:solidFill>
          </w14:textFill>
        </w:rPr>
        <w:t>项、第</w:t>
      </w:r>
      <w:r>
        <w:rPr>
          <w:rFonts w:hint="eastAsia" w:ascii="仿宋_GB2312" w:eastAsia="仿宋_GB2312" w:cs="Tahoma"/>
          <w:color w:val="000000" w:themeColor="text1"/>
          <w:sz w:val="32"/>
          <w:szCs w:val="32"/>
          <w:lang w:eastAsia="zh-CN"/>
          <w14:textFill>
            <w14:solidFill>
              <w14:schemeClr w14:val="tx1"/>
            </w14:solidFill>
          </w14:textFill>
        </w:rPr>
        <w:t>二</w:t>
      </w:r>
      <w:r>
        <w:rPr>
          <w:rFonts w:hint="eastAsia" w:ascii="仿宋_GB2312" w:eastAsia="仿宋_GB2312" w:cs="Tahoma"/>
          <w:color w:val="000000" w:themeColor="text1"/>
          <w:sz w:val="32"/>
          <w:szCs w:val="32"/>
          <w14:textFill>
            <w14:solidFill>
              <w14:schemeClr w14:val="tx1"/>
            </w14:solidFill>
          </w14:textFill>
        </w:rPr>
        <w:t>项、第</w:t>
      </w:r>
      <w:r>
        <w:rPr>
          <w:rFonts w:hint="eastAsia" w:ascii="仿宋_GB2312" w:eastAsia="仿宋_GB2312" w:cs="Tahoma"/>
          <w:color w:val="000000" w:themeColor="text1"/>
          <w:sz w:val="32"/>
          <w:szCs w:val="32"/>
          <w:lang w:eastAsia="zh-CN"/>
          <w14:textFill>
            <w14:solidFill>
              <w14:schemeClr w14:val="tx1"/>
            </w14:solidFill>
          </w14:textFill>
        </w:rPr>
        <w:t>三</w:t>
      </w:r>
      <w:r>
        <w:rPr>
          <w:rFonts w:hint="eastAsia" w:ascii="仿宋_GB2312" w:eastAsia="仿宋_GB2312" w:cs="Tahoma"/>
          <w:color w:val="000000" w:themeColor="text1"/>
          <w:sz w:val="32"/>
          <w:szCs w:val="32"/>
          <w14:textFill>
            <w14:solidFill>
              <w14:schemeClr w14:val="tx1"/>
            </w14:solidFill>
          </w14:textFill>
        </w:rPr>
        <w:t>项、第</w:t>
      </w:r>
      <w:r>
        <w:rPr>
          <w:rFonts w:hint="eastAsia" w:ascii="仿宋_GB2312" w:eastAsia="仿宋_GB2312" w:cs="Tahoma"/>
          <w:color w:val="000000" w:themeColor="text1"/>
          <w:sz w:val="32"/>
          <w:szCs w:val="32"/>
          <w:lang w:eastAsia="zh-CN"/>
          <w14:textFill>
            <w14:solidFill>
              <w14:schemeClr w14:val="tx1"/>
            </w14:solidFill>
          </w14:textFill>
        </w:rPr>
        <w:t>七</w:t>
      </w:r>
      <w:r>
        <w:rPr>
          <w:rFonts w:hint="eastAsia" w:ascii="仿宋_GB2312" w:eastAsia="仿宋_GB2312" w:cs="Tahoma"/>
          <w:color w:val="000000" w:themeColor="text1"/>
          <w:sz w:val="32"/>
          <w:szCs w:val="32"/>
          <w14:textFill>
            <w14:solidFill>
              <w14:schemeClr w14:val="tx1"/>
            </w14:solidFill>
          </w14:textFill>
        </w:rPr>
        <w:t xml:space="preserve">项的规定办理； </w:t>
      </w:r>
    </w:p>
    <w:p>
      <w:pPr>
        <w:shd w:val="clear" w:color="auto" w:fill="FFFFFF"/>
        <w:spacing w:line="600" w:lineRule="exact"/>
        <w:ind w:firstLine="645"/>
        <w:rPr>
          <w:rFonts w:hint="eastAsia" w:ascii="仿宋_GB2312" w:eastAsia="仿宋_GB2312" w:cs="Tahoma"/>
          <w:color w:val="000000" w:themeColor="text1"/>
          <w:sz w:val="32"/>
          <w:szCs w:val="32"/>
          <w:lang w:eastAsia="zh-CN"/>
          <w14:textFill>
            <w14:solidFill>
              <w14:schemeClr w14:val="tx1"/>
            </w14:solidFill>
          </w14:textFill>
        </w:rPr>
      </w:pPr>
      <w:r>
        <w:rPr>
          <w:rFonts w:hint="eastAsia" w:ascii="仿宋_GB2312" w:eastAsia="仿宋_GB2312" w:cs="Tahoma"/>
          <w:color w:val="000000" w:themeColor="text1"/>
          <w:sz w:val="32"/>
          <w:szCs w:val="32"/>
          <w14:textFill>
            <w14:solidFill>
              <w14:schemeClr w14:val="tx1"/>
            </w14:solidFill>
          </w14:textFill>
        </w:rPr>
        <w:t xml:space="preserve">（二）住宅专项维修资金划转业主大会管理后，按照本办法第十七条第三项、第四项、第五项、第六项和第七项的规定办理。 </w:t>
      </w:r>
    </w:p>
    <w:p>
      <w:pPr>
        <w:shd w:val="clear" w:color="auto" w:fill="FFFFFF"/>
        <w:spacing w:line="600" w:lineRule="exact"/>
        <w:ind w:firstLine="645"/>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eastAsia="仿宋_GB2312" w:cs="Tahoma"/>
          <w:color w:val="000000" w:themeColor="text1"/>
          <w:sz w:val="32"/>
          <w:szCs w:val="32"/>
          <w14:textFill>
            <w14:solidFill>
              <w14:schemeClr w14:val="tx1"/>
            </w14:solidFill>
          </w14:textFill>
        </w:rPr>
        <w:t>发生前款情况后，未按规定实施维修、更新和改造的，</w:t>
      </w:r>
      <w:r>
        <w:rPr>
          <w:rFonts w:hint="eastAsia" w:ascii="仿宋_GB2312" w:eastAsia="仿宋_GB2312" w:cs="Tahoma"/>
          <w:color w:val="000000" w:themeColor="text1"/>
          <w:sz w:val="32"/>
          <w:szCs w:val="32"/>
          <w:lang w:eastAsia="zh-CN"/>
          <w14:textFill>
            <w14:solidFill>
              <w14:schemeClr w14:val="tx1"/>
            </w14:solidFill>
          </w14:textFill>
        </w:rPr>
        <w:t>县区住房和城乡建设局</w:t>
      </w:r>
      <w:r>
        <w:rPr>
          <w:rFonts w:hint="eastAsia" w:ascii="仿宋_GB2312" w:eastAsia="仿宋_GB2312" w:cs="Tahoma"/>
          <w:color w:val="000000" w:themeColor="text1"/>
          <w:sz w:val="32"/>
          <w:szCs w:val="32"/>
          <w14:textFill>
            <w14:solidFill>
              <w14:schemeClr w14:val="tx1"/>
            </w14:solidFill>
          </w14:textFill>
        </w:rPr>
        <w:t>也可以组织代修，维修费用从相关业主住宅专项维修资金中列支。</w:t>
      </w:r>
      <w:r>
        <w:rPr>
          <w:rFonts w:hint="eastAsia" w:ascii="仿宋_GB2312" w:hAnsi="仿宋_GB2312" w:eastAsia="仿宋_GB2312" w:cs="仿宋_GB2312"/>
          <w:color w:val="000000" w:themeColor="text1"/>
          <w:kern w:val="0"/>
          <w:sz w:val="32"/>
          <w:szCs w:val="32"/>
          <w14:textFill>
            <w14:solidFill>
              <w14:schemeClr w14:val="tx1"/>
            </w14:solidFill>
          </w14:textFill>
        </w:rPr>
        <w:t>　　</w:t>
      </w:r>
    </w:p>
    <w:p>
      <w:pPr>
        <w:shd w:val="clear" w:color="auto" w:fill="FFFFFF"/>
        <w:spacing w:line="600" w:lineRule="exact"/>
        <w:ind w:firstLine="645"/>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第十九条</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下列费用不得从住宅专项维修资金中列支： </w:t>
      </w:r>
    </w:p>
    <w:p>
      <w:pPr>
        <w:shd w:val="clear" w:color="auto" w:fill="FFFFFF"/>
        <w:spacing w:line="600" w:lineRule="exact"/>
        <w:ind w:firstLine="640" w:firstLineChars="200"/>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（一）依法应当由建设单位或施工单位承担的住宅共用部位、共用设施设备维修、更新和改造费用； </w:t>
      </w:r>
    </w:p>
    <w:p>
      <w:pPr>
        <w:shd w:val="clear" w:color="auto" w:fill="FFFFFF"/>
        <w:spacing w:line="600" w:lineRule="exact"/>
        <w:ind w:firstLine="645"/>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（二）依法应当由相关单位承担的供水、供电、供气、供热、通讯、有线电视等管线和设施设备的维修、养护费用； </w:t>
      </w:r>
    </w:p>
    <w:p>
      <w:pPr>
        <w:shd w:val="clear" w:color="auto" w:fill="FFFFFF"/>
        <w:spacing w:line="600" w:lineRule="exact"/>
        <w:ind w:firstLine="645"/>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（三）应当由当事人承担的因人为损坏住宅共用部位、共用设施设备所需的修复费用； </w:t>
      </w:r>
    </w:p>
    <w:p>
      <w:pPr>
        <w:shd w:val="clear" w:color="auto" w:fill="FFFFFF"/>
        <w:spacing w:line="600" w:lineRule="exact"/>
        <w:ind w:firstLine="645"/>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（四）根据物业服务合同约定，应当由物业服务企业承担的住宅共用部位、共用设施设备的维修和养护费用。 </w:t>
      </w:r>
    </w:p>
    <w:p>
      <w:pPr>
        <w:shd w:val="clear" w:color="auto" w:fill="FFFFFF"/>
        <w:spacing w:line="600" w:lineRule="exact"/>
        <w:ind w:firstLine="645"/>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第二十条</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住宅专项维修资金每使用一次后，应当及时核算，并在交存的住宅专项维修资金中扣减。 </w:t>
      </w:r>
    </w:p>
    <w:p>
      <w:pPr>
        <w:shd w:val="clear" w:color="auto" w:fill="FFFFFF"/>
        <w:spacing w:line="600" w:lineRule="exact"/>
        <w:ind w:firstLine="645"/>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第二十一条</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在保证住宅专项维修资金正常使用的前提下，可以按照国家有关规定将住宅专项维修资金用于购买一级市场新发行的国债，并持有到期。 </w:t>
      </w:r>
    </w:p>
    <w:p>
      <w:pPr>
        <w:shd w:val="clear" w:color="auto" w:fill="FFFFFF"/>
        <w:spacing w:line="600" w:lineRule="exact"/>
        <w:ind w:firstLine="645"/>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禁止利用住宅专项维修资金从事国债回购、委托理财业务或将购买的国债用于质押、抵押等担保行为。 </w:t>
      </w:r>
    </w:p>
    <w:p>
      <w:pPr>
        <w:shd w:val="clear" w:color="auto" w:fill="FFFFFF"/>
        <w:spacing w:line="600" w:lineRule="exact"/>
        <w:ind w:firstLine="645"/>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第二十二条</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下列资金应当转入住宅专项维修资金滚存使用： </w:t>
      </w:r>
    </w:p>
    <w:p>
      <w:pPr>
        <w:shd w:val="clear" w:color="auto" w:fill="FFFFFF"/>
        <w:spacing w:line="600" w:lineRule="exact"/>
        <w:ind w:firstLine="640" w:firstLineChars="200"/>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（一）住宅专项维修资金存储利息； </w:t>
      </w:r>
    </w:p>
    <w:p>
      <w:pPr>
        <w:shd w:val="clear" w:color="auto" w:fill="FFFFFF"/>
        <w:spacing w:line="600" w:lineRule="exact"/>
        <w:ind w:firstLine="645"/>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（二）利用住宅专项维修资金购买国债的增值收益； </w:t>
      </w:r>
    </w:p>
    <w:p>
      <w:pPr>
        <w:shd w:val="clear" w:color="auto" w:fill="FFFFFF"/>
        <w:spacing w:line="600" w:lineRule="exact"/>
        <w:ind w:firstLine="645"/>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（三）利用住宅共用部位、共用设施设备进行经营的所得收益，但业主大会另有决定的除外； </w:t>
      </w:r>
    </w:p>
    <w:p>
      <w:pPr>
        <w:shd w:val="clear" w:color="auto" w:fill="FFFFFF"/>
        <w:spacing w:line="600" w:lineRule="exact"/>
        <w:ind w:firstLine="64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（四）住宅共用设施设备报废后回收的残值。 </w:t>
      </w:r>
    </w:p>
    <w:p>
      <w:pPr>
        <w:widowControl/>
        <w:shd w:val="clear" w:color="auto" w:fill="FFFFFF"/>
        <w:spacing w:line="600" w:lineRule="exact"/>
        <w:jc w:val="center"/>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第四章　监督管理</w:t>
      </w:r>
    </w:p>
    <w:p>
      <w:pPr>
        <w:pStyle w:val="7"/>
        <w:spacing w:before="0" w:beforeAutospacing="0" w:after="0" w:afterAutospacing="0" w:line="600" w:lineRule="exact"/>
        <w:ind w:firstLine="643" w:firstLineChars="200"/>
        <w:jc w:val="both"/>
        <w:rPr>
          <w:rFonts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第二十三条</w:t>
      </w:r>
      <w:r>
        <w:rPr>
          <w:rFonts w:hint="eastAsia" w:ascii="仿宋_GB2312" w:hAnsi="仿宋_GB2312" w:eastAsia="仿宋_GB2312" w:cs="仿宋_GB2312"/>
          <w:color w:val="000000" w:themeColor="text1"/>
          <w:sz w:val="32"/>
          <w:szCs w:val="32"/>
          <w14:textFill>
            <w14:solidFill>
              <w14:schemeClr w14:val="tx1"/>
            </w14:solidFill>
          </w14:textFill>
        </w:rPr>
        <w:t>　</w:t>
      </w:r>
      <w:r>
        <w:rPr>
          <w:rFonts w:hint="eastAsia" w:ascii="仿宋_GB2312" w:hAnsi="仿宋_GB2312" w:eastAsia="仿宋_GB2312" w:cs="仿宋_GB2312"/>
          <w:b w:val="0"/>
          <w:bCs/>
          <w:color w:val="000000" w:themeColor="text1"/>
          <w:sz w:val="32"/>
          <w:szCs w:val="32"/>
          <w14:textFill>
            <w14:solidFill>
              <w14:schemeClr w14:val="tx1"/>
            </w14:solidFill>
          </w14:textFill>
        </w:rPr>
        <w:t>房屋所有权转让的，业主应当向受让人说明住宅专项维修资金交存和结余情况并出具交存</w:t>
      </w:r>
      <w:r>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t>凭</w:t>
      </w:r>
      <w:r>
        <w:rPr>
          <w:rFonts w:hint="eastAsia" w:ascii="仿宋_GB2312" w:hAnsi="仿宋_GB2312" w:eastAsia="仿宋_GB2312" w:cs="仿宋_GB2312"/>
          <w:b w:val="0"/>
          <w:bCs/>
          <w:color w:val="000000" w:themeColor="text1"/>
          <w:sz w:val="32"/>
          <w:szCs w:val="32"/>
          <w14:textFill>
            <w14:solidFill>
              <w14:schemeClr w14:val="tx1"/>
            </w14:solidFill>
          </w14:textFill>
        </w:rPr>
        <w:t xml:space="preserve">据，住宅专项维修资金余额随不动产权证同时转让。 </w:t>
      </w:r>
    </w:p>
    <w:p>
      <w:pPr>
        <w:pStyle w:val="7"/>
        <w:spacing w:before="0" w:beforeAutospacing="0" w:after="0" w:afterAutospacing="0" w:line="600" w:lineRule="exact"/>
        <w:ind w:firstLine="640" w:firstLineChars="200"/>
        <w:jc w:val="both"/>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color w:val="000000" w:themeColor="text1"/>
          <w:sz w:val="32"/>
          <w:szCs w:val="32"/>
          <w14:textFill>
            <w14:solidFill>
              <w14:schemeClr w14:val="tx1"/>
            </w14:solidFill>
          </w14:textFill>
        </w:rPr>
        <w:t>受让人应当持不动产权证、身份证、住宅专项维修资金交存</w:t>
      </w:r>
      <w:r>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t>凭</w:t>
      </w:r>
      <w:r>
        <w:rPr>
          <w:rFonts w:hint="eastAsia" w:ascii="仿宋_GB2312" w:hAnsi="仿宋_GB2312" w:eastAsia="仿宋_GB2312" w:cs="仿宋_GB2312"/>
          <w:b w:val="0"/>
          <w:bCs/>
          <w:color w:val="000000" w:themeColor="text1"/>
          <w:sz w:val="32"/>
          <w:szCs w:val="32"/>
          <w14:textFill>
            <w14:solidFill>
              <w14:schemeClr w14:val="tx1"/>
            </w14:solidFill>
          </w14:textFill>
        </w:rPr>
        <w:t>据、住宅专项维修资金转让协议到专户管理银行办理住宅专项</w:t>
      </w:r>
      <w:r>
        <w:rPr>
          <w:rFonts w:hint="eastAsia" w:ascii="仿宋_GB2312" w:hAnsi="仿宋_GB2312" w:eastAsia="仿宋_GB2312" w:cs="仿宋_GB2312"/>
          <w:bCs/>
          <w:color w:val="000000" w:themeColor="text1"/>
          <w:sz w:val="32"/>
          <w:szCs w:val="32"/>
          <w14:textFill>
            <w14:solidFill>
              <w14:schemeClr w14:val="tx1"/>
            </w14:solidFill>
          </w14:textFill>
        </w:rPr>
        <w:t>维修资金分户账更名手续。</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p>
    <w:p>
      <w:pPr>
        <w:pStyle w:val="7"/>
        <w:spacing w:before="0" w:beforeAutospacing="0" w:after="0" w:afterAutospacing="0" w:line="600" w:lineRule="exact"/>
        <w:ind w:firstLine="643" w:firstLineChars="200"/>
        <w:jc w:val="both"/>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第二十四条</w:t>
      </w:r>
      <w:r>
        <w:rPr>
          <w:rFonts w:hint="eastAsia" w:ascii="仿宋_GB2312" w:hAnsi="仿宋_GB2312" w:eastAsia="仿宋_GB2312" w:cs="仿宋_GB2312"/>
          <w:color w:val="000000" w:themeColor="text1"/>
          <w:sz w:val="32"/>
          <w:szCs w:val="32"/>
          <w14:textFill>
            <w14:solidFill>
              <w14:schemeClr w14:val="tx1"/>
            </w14:solidFill>
          </w14:textFill>
        </w:rPr>
        <w:t xml:space="preserve">　房屋灭失的，业主可以持有关证明申请返还其住宅专项维修资金余额，并办理分户账注销手续。 </w:t>
      </w:r>
    </w:p>
    <w:p>
      <w:pPr>
        <w:pStyle w:val="7"/>
        <w:spacing w:before="0" w:beforeAutospacing="0" w:after="0" w:afterAutospacing="0" w:line="600" w:lineRule="exact"/>
        <w:ind w:firstLine="643" w:firstLineChars="200"/>
        <w:jc w:val="both"/>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第二十五条</w:t>
      </w:r>
      <w:r>
        <w:rPr>
          <w:rFonts w:hint="eastAsia"/>
          <w:color w:val="000000" w:themeColor="text1"/>
          <w:sz w:val="32"/>
          <w:szCs w:val="32"/>
          <w14:textFill>
            <w14:solidFill>
              <w14:schemeClr w14:val="tx1"/>
            </w14:solidFill>
          </w14:textFill>
        </w:rPr>
        <w:t> </w:t>
      </w:r>
      <w:r>
        <w:rPr>
          <w:rFonts w:hint="eastAsia" w:ascii="仿宋_GB2312" w:hAnsi="仿宋_GB2312" w:eastAsia="仿宋_GB2312" w:cs="仿宋_GB2312"/>
          <w:color w:val="000000" w:themeColor="text1"/>
          <w:sz w:val="32"/>
          <w:szCs w:val="32"/>
          <w14:textFill>
            <w14:solidFill>
              <w14:schemeClr w14:val="tx1"/>
            </w14:solidFill>
          </w14:textFill>
        </w:rPr>
        <w:t xml:space="preserve">住宅专项维修资金管理单位应当每年至少一次与专户管理银行核对住宅专项维修资金账目，并向相关业主公布下列情况： </w:t>
      </w:r>
    </w:p>
    <w:p>
      <w:pPr>
        <w:pStyle w:val="7"/>
        <w:spacing w:before="0" w:beforeAutospacing="0" w:after="0" w:afterAutospacing="0" w:line="600" w:lineRule="exact"/>
        <w:ind w:firstLine="640" w:firstLineChars="200"/>
        <w:jc w:val="both"/>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（一）住宅专项维修资金交存、使用、增值收益和结存的总额； </w:t>
      </w:r>
    </w:p>
    <w:p>
      <w:pPr>
        <w:pStyle w:val="7"/>
        <w:spacing w:before="0" w:beforeAutospacing="0" w:after="0" w:afterAutospacing="0" w:line="600" w:lineRule="exact"/>
        <w:ind w:firstLine="640" w:firstLineChars="200"/>
        <w:jc w:val="both"/>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（二）发生列支的项目、费用和分摊情况； </w:t>
      </w:r>
    </w:p>
    <w:p>
      <w:pPr>
        <w:pStyle w:val="7"/>
        <w:spacing w:before="0" w:beforeAutospacing="0" w:after="0" w:afterAutospacing="0" w:line="600" w:lineRule="exact"/>
        <w:ind w:firstLine="640" w:firstLineChars="200"/>
        <w:jc w:val="both"/>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（三）业主分户账中住宅专项维修资金交存、使用、增值收益和结存的金额； </w:t>
      </w:r>
    </w:p>
    <w:p>
      <w:pPr>
        <w:pStyle w:val="7"/>
        <w:spacing w:before="0" w:beforeAutospacing="0" w:after="0" w:afterAutospacing="0" w:line="600" w:lineRule="exact"/>
        <w:ind w:firstLine="640" w:firstLineChars="200"/>
        <w:jc w:val="both"/>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（四）其他有关住宅专项维修资金使用和管理的情况。 </w:t>
      </w:r>
    </w:p>
    <w:p>
      <w:pPr>
        <w:pStyle w:val="7"/>
        <w:spacing w:before="0" w:beforeAutospacing="0" w:after="0" w:afterAutospacing="0" w:line="600" w:lineRule="exact"/>
        <w:ind w:firstLine="640" w:firstLineChars="200"/>
        <w:jc w:val="both"/>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业主对公布的情况有异议的，可以要求复核。 </w:t>
      </w:r>
    </w:p>
    <w:p>
      <w:pPr>
        <w:pStyle w:val="7"/>
        <w:spacing w:before="0" w:beforeAutospacing="0" w:after="0" w:afterAutospacing="0" w:line="600" w:lineRule="exact"/>
        <w:ind w:firstLine="643" w:firstLineChars="200"/>
        <w:jc w:val="both"/>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第二十六条</w:t>
      </w:r>
      <w:r>
        <w:rPr>
          <w:rFonts w:hint="eastAsia" w:ascii="仿宋_GB2312" w:hAnsi="仿宋_GB2312" w:eastAsia="仿宋_GB2312" w:cs="仿宋_GB2312"/>
          <w:color w:val="000000" w:themeColor="text1"/>
          <w:sz w:val="32"/>
          <w:szCs w:val="32"/>
          <w14:textFill>
            <w14:solidFill>
              <w14:schemeClr w14:val="tx1"/>
            </w14:solidFill>
          </w14:textFill>
        </w:rPr>
        <w:t xml:space="preserve">　专户管理银行应当每年至少一次向住宅专项维修资金管理单位发送住宅专项维修资金对账单。 </w:t>
      </w:r>
    </w:p>
    <w:p>
      <w:pPr>
        <w:pStyle w:val="7"/>
        <w:spacing w:before="0" w:beforeAutospacing="0" w:after="0" w:afterAutospacing="0" w:line="600" w:lineRule="exact"/>
        <w:ind w:firstLine="640" w:firstLineChars="200"/>
        <w:jc w:val="both"/>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住宅专项维修资金管理单位对资金账户变化情况有异议的，可以要求专户管理银行进行复核。 </w:t>
      </w:r>
    </w:p>
    <w:p>
      <w:pPr>
        <w:pStyle w:val="7"/>
        <w:spacing w:before="0" w:beforeAutospacing="0" w:after="0" w:afterAutospacing="0" w:line="600" w:lineRule="exact"/>
        <w:ind w:firstLine="640" w:firstLineChars="200"/>
        <w:jc w:val="both"/>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专户管理银行应当建立住宅专项维修资金查询制度，接受业主对其分户账中住宅专项维修资金使用、增值收益和账面余额的查询。 </w:t>
      </w:r>
    </w:p>
    <w:p>
      <w:pPr>
        <w:pStyle w:val="7"/>
        <w:spacing w:before="0" w:beforeAutospacing="0" w:after="0" w:afterAutospacing="0" w:line="600" w:lineRule="exact"/>
        <w:ind w:firstLine="643" w:firstLineChars="200"/>
        <w:jc w:val="both"/>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第二十七条　</w:t>
      </w:r>
      <w:r>
        <w:rPr>
          <w:rFonts w:hint="eastAsia" w:ascii="仿宋_GB2312" w:hAnsi="仿宋_GB2312" w:eastAsia="仿宋_GB2312" w:cs="仿宋_GB2312"/>
          <w:b w:val="0"/>
          <w:bCs w:val="0"/>
          <w:color w:val="000000" w:themeColor="text1"/>
          <w:sz w:val="32"/>
          <w:szCs w:val="32"/>
          <w14:textFill>
            <w14:solidFill>
              <w14:schemeClr w14:val="tx1"/>
            </w14:solidFill>
          </w14:textFill>
        </w:rPr>
        <w:t>不动产登记部门</w:t>
      </w:r>
      <w:r>
        <w:rPr>
          <w:rFonts w:hint="eastAsia" w:ascii="仿宋_GB2312" w:hAnsi="仿宋_GB2312" w:eastAsia="仿宋_GB2312" w:cs="仿宋_GB2312"/>
          <w:bCs/>
          <w:color w:val="000000" w:themeColor="text1"/>
          <w:sz w:val="32"/>
          <w:szCs w:val="32"/>
          <w14:textFill>
            <w14:solidFill>
              <w14:schemeClr w14:val="tx1"/>
            </w14:solidFill>
          </w14:textFill>
        </w:rPr>
        <w:t>在办理</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不动产</w:t>
      </w:r>
      <w:r>
        <w:rPr>
          <w:rFonts w:hint="eastAsia" w:ascii="仿宋_GB2312" w:hAnsi="仿宋_GB2312" w:eastAsia="仿宋_GB2312" w:cs="仿宋_GB2312"/>
          <w:bCs/>
          <w:color w:val="000000" w:themeColor="text1"/>
          <w:sz w:val="32"/>
          <w:szCs w:val="32"/>
          <w14:textFill>
            <w14:solidFill>
              <w14:schemeClr w14:val="tx1"/>
            </w14:solidFill>
          </w14:textFill>
        </w:rPr>
        <w:t>权属登记时,应当</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核</w:t>
      </w:r>
      <w:r>
        <w:rPr>
          <w:rFonts w:hint="eastAsia" w:ascii="仿宋_GB2312" w:hAnsi="仿宋_GB2312" w:eastAsia="仿宋_GB2312" w:cs="仿宋_GB2312"/>
          <w:bCs/>
          <w:color w:val="000000" w:themeColor="text1"/>
          <w:sz w:val="32"/>
          <w:szCs w:val="32"/>
          <w14:textFill>
            <w14:solidFill>
              <w14:schemeClr w14:val="tx1"/>
            </w14:solidFill>
          </w14:textFill>
        </w:rPr>
        <w:t>验住宅专项维修资金交存专用票据。</w:t>
      </w:r>
    </w:p>
    <w:p>
      <w:pPr>
        <w:pStyle w:val="7"/>
        <w:spacing w:before="0" w:beforeAutospacing="0" w:after="0" w:afterAutospacing="0" w:line="600" w:lineRule="exact"/>
        <w:ind w:firstLine="643" w:firstLineChars="200"/>
        <w:jc w:val="both"/>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第二十八条</w:t>
      </w:r>
      <w:r>
        <w:rPr>
          <w:rFonts w:hint="eastAsia" w:ascii="仿宋_GB2312" w:hAnsi="仿宋_GB2312" w:eastAsia="仿宋_GB2312" w:cs="仿宋_GB2312"/>
          <w:color w:val="000000" w:themeColor="text1"/>
          <w:sz w:val="32"/>
          <w:szCs w:val="32"/>
          <w14:textFill>
            <w14:solidFill>
              <w14:schemeClr w14:val="tx1"/>
            </w14:solidFill>
          </w14:textFill>
        </w:rPr>
        <w:t xml:space="preserve">　住宅专项维修资金的管理和使用，应当依法接受审计部门的审计监督。 </w:t>
      </w:r>
    </w:p>
    <w:p>
      <w:pPr>
        <w:pStyle w:val="7"/>
        <w:spacing w:before="0" w:beforeAutospacing="0" w:after="0" w:afterAutospacing="0" w:line="600" w:lineRule="exact"/>
        <w:ind w:firstLine="643" w:firstLineChars="200"/>
        <w:jc w:val="both"/>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第二十九条</w:t>
      </w:r>
      <w:r>
        <w:rPr>
          <w:rFonts w:hint="eastAsia" w:ascii="仿宋_GB2312" w:hAnsi="仿宋_GB2312" w:eastAsia="仿宋_GB2312" w:cs="仿宋_GB2312"/>
          <w:color w:val="000000" w:themeColor="text1"/>
          <w:sz w:val="32"/>
          <w:szCs w:val="32"/>
          <w14:textFill>
            <w14:solidFill>
              <w14:schemeClr w14:val="tx1"/>
            </w14:solidFill>
          </w14:textFill>
        </w:rPr>
        <w:t xml:space="preserve">　住宅专项维修资金的财务管理和会计核算应当执行财政部有关规定。 </w:t>
      </w:r>
    </w:p>
    <w:p>
      <w:pPr>
        <w:pStyle w:val="7"/>
        <w:spacing w:before="0" w:beforeAutospacing="0" w:after="0" w:afterAutospacing="0" w:line="600" w:lineRule="exact"/>
        <w:ind w:firstLine="640" w:firstLineChars="200"/>
        <w:jc w:val="both"/>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财政部门应当加强对住宅专项维修资金收支财务管理和会计核算制度执行情况的监督。 </w:t>
      </w:r>
    </w:p>
    <w:p>
      <w:pPr>
        <w:pStyle w:val="7"/>
        <w:spacing w:before="0" w:beforeAutospacing="0" w:after="0" w:afterAutospacing="0" w:line="600" w:lineRule="exact"/>
        <w:ind w:firstLine="643" w:firstLineChars="200"/>
        <w:jc w:val="both"/>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第三十条</w:t>
      </w:r>
      <w:r>
        <w:rPr>
          <w:rFonts w:hint="eastAsia" w:ascii="仿宋_GB2312" w:hAnsi="仿宋_GB2312" w:eastAsia="仿宋_GB2312" w:cs="仿宋_GB2312"/>
          <w:color w:val="000000" w:themeColor="text1"/>
          <w:sz w:val="32"/>
          <w:szCs w:val="32"/>
          <w14:textFill>
            <w14:solidFill>
              <w14:schemeClr w14:val="tx1"/>
            </w14:solidFill>
          </w14:textFill>
        </w:rPr>
        <w:t>　</w:t>
      </w:r>
      <w:r>
        <w:rPr>
          <w:rFonts w:hint="eastAsia" w:ascii="仿宋_GB2312" w:hAnsi="仿宋_GB2312" w:eastAsia="仿宋_GB2312" w:cs="仿宋_GB2312"/>
          <w:color w:val="000000" w:themeColor="text1"/>
          <w:sz w:val="32"/>
          <w:szCs w:val="32"/>
          <w:lang w:eastAsia="zh-CN"/>
          <w14:textFill>
            <w14:solidFill>
              <w14:schemeClr w14:val="tx1"/>
            </w14:solidFill>
          </w14:textFill>
        </w:rPr>
        <w:t>委托</w:t>
      </w:r>
      <w:r>
        <w:rPr>
          <w:rFonts w:hint="eastAsia" w:ascii="仿宋_GB2312" w:hAnsi="仿宋_GB2312" w:eastAsia="仿宋_GB2312" w:cs="仿宋_GB2312"/>
          <w:color w:val="000000" w:themeColor="text1"/>
          <w:sz w:val="32"/>
          <w:szCs w:val="32"/>
          <w14:textFill>
            <w14:solidFill>
              <w14:schemeClr w14:val="tx1"/>
            </w14:solidFill>
          </w14:textFill>
        </w:rPr>
        <w:t xml:space="preserve">代收住宅专项维修资金的单位应当出具由财政部门统一监制的住宅专项维修资金专用票据。 </w:t>
      </w:r>
    </w:p>
    <w:p>
      <w:pPr>
        <w:pStyle w:val="7"/>
        <w:spacing w:before="0" w:beforeAutospacing="0" w:after="0" w:afterAutospacing="0" w:line="600" w:lineRule="exact"/>
        <w:ind w:firstLine="640"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住宅专项维修资金专用票据的购领、使用、保存、核销管理，应执行财政部门的有关规定，并接受财政部门的监督检查。</w:t>
      </w:r>
    </w:p>
    <w:p>
      <w:pPr>
        <w:pStyle w:val="7"/>
        <w:spacing w:before="0" w:beforeAutospacing="0" w:after="0" w:afterAutospacing="0" w:line="600" w:lineRule="exact"/>
        <w:ind w:firstLine="643" w:firstLineChars="200"/>
        <w:jc w:val="both"/>
        <w:rPr>
          <w:rFonts w:hint="eastAsia" w:ascii="仿宋_GB2312" w:eastAsia="仿宋_GB2312" w:cs="Tahoma"/>
          <w:color w:val="000000" w:themeColor="text1"/>
          <w:sz w:val="32"/>
          <w:szCs w:val="32"/>
          <w:lang w:eastAsia="zh-CN"/>
          <w14:textFill>
            <w14:solidFill>
              <w14:schemeClr w14:val="tx1"/>
            </w14:solidFill>
          </w14:textFill>
        </w:rPr>
      </w:pPr>
      <w:r>
        <w:rPr>
          <w:rStyle w:val="10"/>
          <w:rFonts w:hint="eastAsia" w:ascii="仿宋_GB2312" w:eastAsia="仿宋_GB2312" w:cs="Tahoma"/>
          <w:color w:val="000000" w:themeColor="text1"/>
          <w:sz w:val="32"/>
          <w:szCs w:val="32"/>
          <w14:textFill>
            <w14:solidFill>
              <w14:schemeClr w14:val="tx1"/>
            </w14:solidFill>
          </w14:textFill>
        </w:rPr>
        <w:t>第三十一条</w:t>
      </w:r>
      <w:r>
        <w:rPr>
          <w:rFonts w:hint="eastAsia" w:ascii="仿宋_GB2312" w:eastAsia="仿宋_GB2312" w:cs="Tahoma"/>
          <w:color w:val="000000" w:themeColor="text1"/>
          <w:sz w:val="32"/>
          <w:szCs w:val="32"/>
          <w14:textFill>
            <w14:solidFill>
              <w14:schemeClr w14:val="tx1"/>
            </w14:solidFill>
          </w14:textFill>
        </w:rPr>
        <w:t xml:space="preserve">　开发建设单位、业主委员会、物业服务企业、专户管理银行违反本办法规定的，依照建设部、财政部《住宅专项维修资金管理办法》及相关法律法规的规定予以处理。 </w:t>
      </w:r>
    </w:p>
    <w:p>
      <w:pPr>
        <w:pStyle w:val="7"/>
        <w:spacing w:before="0" w:beforeAutospacing="0" w:after="0" w:afterAutospacing="0" w:line="600" w:lineRule="exact"/>
        <w:ind w:firstLine="643" w:firstLineChars="200"/>
        <w:jc w:val="both"/>
        <w:rPr>
          <w:rFonts w:hint="eastAsia" w:ascii="仿宋_GB2312" w:eastAsia="仿宋_GB2312" w:cs="Tahoma"/>
          <w:color w:val="000000" w:themeColor="text1"/>
          <w:sz w:val="32"/>
          <w:szCs w:val="32"/>
          <w:lang w:eastAsia="zh-CN"/>
          <w14:textFill>
            <w14:solidFill>
              <w14:schemeClr w14:val="tx1"/>
            </w14:solidFill>
          </w14:textFill>
        </w:rPr>
      </w:pPr>
      <w:r>
        <w:rPr>
          <w:rStyle w:val="10"/>
          <w:rFonts w:hint="eastAsia" w:ascii="仿宋_GB2312" w:eastAsia="仿宋_GB2312" w:cs="Tahoma"/>
          <w:color w:val="000000" w:themeColor="text1"/>
          <w:sz w:val="32"/>
          <w:szCs w:val="32"/>
          <w14:textFill>
            <w14:solidFill>
              <w14:schemeClr w14:val="tx1"/>
            </w14:solidFill>
          </w14:textFill>
        </w:rPr>
        <w:t>第三十二条</w:t>
      </w:r>
      <w:r>
        <w:rPr>
          <w:rFonts w:hint="eastAsia" w:eastAsia="仿宋_GB2312" w:cs="Tahoma"/>
          <w:color w:val="000000" w:themeColor="text1"/>
          <w:sz w:val="32"/>
          <w:szCs w:val="32"/>
          <w14:textFill>
            <w14:solidFill>
              <w14:schemeClr w14:val="tx1"/>
            </w14:solidFill>
          </w14:textFill>
        </w:rPr>
        <w:t> </w:t>
      </w:r>
      <w:r>
        <w:rPr>
          <w:rFonts w:hint="eastAsia" w:ascii="仿宋_GB2312" w:eastAsia="仿宋_GB2312" w:cs="Tahoma"/>
          <w:color w:val="000000" w:themeColor="text1"/>
          <w:sz w:val="32"/>
          <w:szCs w:val="32"/>
          <w14:textFill>
            <w14:solidFill>
              <w14:schemeClr w14:val="tx1"/>
            </w14:solidFill>
          </w14:textFill>
        </w:rPr>
        <w:t>业主或物业使用人、物业服务企业、开发建设单位之间就住宅专项维修资金发生纠纷的，当事人可以通过协商、协调解决，也可以向人民法院提起诉讼。</w:t>
      </w:r>
    </w:p>
    <w:p>
      <w:pPr>
        <w:pStyle w:val="7"/>
        <w:spacing w:before="0" w:beforeAutospacing="0" w:after="0" w:afterAutospacing="0" w:line="600" w:lineRule="exact"/>
        <w:ind w:firstLine="640" w:firstLineChars="200"/>
        <w:jc w:val="both"/>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w:t>
      </w:r>
    </w:p>
    <w:p>
      <w:pPr>
        <w:pStyle w:val="7"/>
        <w:spacing w:before="0" w:beforeAutospacing="0" w:after="0" w:afterAutospacing="0" w:line="600" w:lineRule="exact"/>
        <w:ind w:firstLine="3520" w:firstLineChars="110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第五章　附  则</w:t>
      </w:r>
    </w:p>
    <w:p>
      <w:pPr>
        <w:widowControl/>
        <w:shd w:val="clear" w:color="auto" w:fill="FFFFFF"/>
        <w:spacing w:line="600" w:lineRule="exact"/>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　　</w:t>
      </w:r>
      <w:r>
        <w:rPr>
          <w:rFonts w:hint="eastAsia" w:ascii="仿宋_GB2312" w:hAnsi="仿宋_GB2312" w:eastAsia="仿宋_GB2312" w:cs="仿宋_GB2312"/>
          <w:b/>
          <w:bCs/>
          <w:color w:val="000000" w:themeColor="text1"/>
          <w:kern w:val="0"/>
          <w:sz w:val="32"/>
          <w:szCs w:val="32"/>
          <w14:textFill>
            <w14:solidFill>
              <w14:schemeClr w14:val="tx1"/>
            </w14:solidFill>
          </w14:textFill>
        </w:rPr>
        <w:t>第三十三条</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非住宅物业专项维修资金的交存、使用、管理，参照本办法执行。 </w:t>
      </w:r>
    </w:p>
    <w:p>
      <w:pPr>
        <w:widowControl/>
        <w:shd w:val="clear" w:color="auto" w:fill="FFFFFF"/>
        <w:spacing w:line="600" w:lineRule="exact"/>
        <w:rPr>
          <w:rFonts w:ascii="仿宋_GB2312" w:hAnsi="仿宋_GB2312" w:eastAsia="仿宋_GB2312" w:cs="仿宋_GB2312"/>
          <w:b w:val="0"/>
          <w:bCs w:val="0"/>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　</w:t>
      </w:r>
      <w:r>
        <w:rPr>
          <w:rFonts w:hint="eastAsia" w:ascii="仿宋_GB2312" w:hAnsi="仿宋_GB2312" w:eastAsia="仿宋_GB2312" w:cs="仿宋_GB2312"/>
          <w:b/>
          <w:bCs/>
          <w:color w:val="000000" w:themeColor="text1"/>
          <w:kern w:val="0"/>
          <w:sz w:val="32"/>
          <w:szCs w:val="32"/>
          <w14:textFill>
            <w14:solidFill>
              <w14:schemeClr w14:val="tx1"/>
            </w14:solidFill>
          </w14:textFill>
        </w:rPr>
        <w:t>　第三十四条 </w:t>
      </w: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 xml:space="preserve">本办法自发布之日起施行，有效期五年。 </w:t>
      </w:r>
      <w:r>
        <w:rPr>
          <w:rFonts w:hint="eastAsia" w:ascii="仿宋_GB2312" w:hAnsi="仿宋_GB2312" w:eastAsia="仿宋_GB2312" w:cs="仿宋_GB2312"/>
          <w:b w:val="0"/>
          <w:bCs w:val="0"/>
          <w:color w:val="000000" w:themeColor="text1"/>
          <w:sz w:val="32"/>
          <w:szCs w:val="32"/>
          <w14:textFill>
            <w14:solidFill>
              <w14:schemeClr w14:val="tx1"/>
            </w14:solidFill>
          </w14:textFill>
        </w:rPr>
        <w:t>2009年8月5日张掖市人民政府颁布的《张掖市住宅专项维修资金管理办法》（张政发〔2009〕84号）同时废止。</w:t>
      </w:r>
    </w:p>
    <w:p>
      <w:pPr>
        <w:spacing w:line="600" w:lineRule="exact"/>
        <w:rPr>
          <w:rFonts w:ascii="仿宋_GB2312" w:hAnsi="仿宋_GB2312" w:eastAsia="仿宋_GB2312" w:cs="仿宋_GB2312"/>
          <w:color w:val="000000" w:themeColor="text1"/>
          <w:sz w:val="32"/>
          <w:szCs w:val="32"/>
          <w14:textFill>
            <w14:solidFill>
              <w14:schemeClr w14:val="tx1"/>
            </w14:solidFill>
          </w14:textFill>
        </w:rPr>
      </w:pPr>
    </w:p>
    <w:sectPr>
      <w:headerReference r:id="rId3" w:type="default"/>
      <w:footerReference r:id="rId4" w:type="default"/>
      <w:pgSz w:w="11906" w:h="16838"/>
      <w:pgMar w:top="2098" w:right="1474" w:bottom="1984" w:left="1587" w:header="851" w:footer="992" w:gutter="0"/>
      <w:cols w:space="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ascii="宋体" w:hAnsi="宋体" w:eastAsia="宋体" w:cs="宋体"/>
                              <w:sz w:val="28"/>
                              <w:szCs w:val="28"/>
                            </w:rPr>
                            <w:t>－</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t>2</w:t>
                          </w:r>
                          <w:r>
                            <w:rPr>
                              <w:rFonts w:hint="eastAsia" w:asciiTheme="minorEastAsia" w:hAnsiTheme="minorEastAsia" w:cstheme="minorEastAsia"/>
                              <w:sz w:val="28"/>
                              <w:szCs w:val="28"/>
                            </w:rPr>
                            <w:fldChar w:fldCharType="end"/>
                          </w:r>
                          <w:r>
                            <w:rPr>
                              <w:rFonts w:hint="eastAsia" w:ascii="宋体" w:hAnsi="宋体" w:eastAsia="宋体" w:cs="宋体"/>
                              <w:sz w:val="28"/>
                              <w:szCs w:val="28"/>
                            </w:rPr>
                            <w:t>－</w:t>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Pwn/8kBAACZAwAADgAAAGRycy9lMm9Eb2MueG1srVPNjtMwEL4j8Q6W&#10;79Rpk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I6&#10;29MHqLHrIWBfGu78kFunPGAyqx5UtPmNegjW0dzz1Vw5JCLyR+vVel1hSWBtPiAOe/w8REhvpbck&#10;Bw2NeHvFVH56D2lsnVvyNOfvtTGY57VxfyUQM2dY5j5yzFEa9sNEfO/bM+rp8eIb6nDPKTHvHPqa&#10;d2QO4hzs5+AYoj50SG1ZeEG4PSYkUbjlCSPsNBhvrKibtiuvxJ/n0vX4R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Y/Cf/yQEAAJkDAAAOAAAAAAAAAAEAIAAAAB4BAABkcnMvZTJvRG9j&#10;LnhtbFBLBQYAAAAABgAGAFkBAABZBQAAAAA=&#10;">
              <v:fill on="f" focussize="0,0"/>
              <v:stroke on="f"/>
              <v:imagedata o:title=""/>
              <o:lock v:ext="edit" aspectratio="f"/>
              <v:textbox inset="0mm,0mm,0mm,0mm" style="mso-fit-shape-to-text:t;">
                <w:txbxContent>
                  <w:p>
                    <w:pPr>
                      <w:snapToGrid w:val="0"/>
                      <w:rPr>
                        <w:sz w:val="18"/>
                      </w:rPr>
                    </w:pPr>
                    <w:r>
                      <w:rPr>
                        <w:rFonts w:hint="eastAsia" w:ascii="宋体" w:hAnsi="宋体" w:eastAsia="宋体" w:cs="宋体"/>
                        <w:sz w:val="28"/>
                        <w:szCs w:val="28"/>
                      </w:rPr>
                      <w:t>－</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t>2</w:t>
                    </w:r>
                    <w:r>
                      <w:rPr>
                        <w:rFonts w:hint="eastAsia" w:asciiTheme="minorEastAsia" w:hAnsiTheme="minorEastAsia" w:cstheme="minorEastAsia"/>
                        <w:sz w:val="28"/>
                        <w:szCs w:val="28"/>
                      </w:rPr>
                      <w:fldChar w:fldCharType="end"/>
                    </w:r>
                    <w:r>
                      <w:rPr>
                        <w:rFonts w:hint="eastAsia" w:ascii="宋体" w:hAnsi="宋体" w:eastAsia="宋体" w:cs="宋体"/>
                        <w:sz w:val="28"/>
                        <w:szCs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single" w:color="FFFFFF" w:sz="6"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832D8D"/>
    <w:multiLevelType w:val="singleLevel"/>
    <w:tmpl w:val="6C832D8D"/>
    <w:lvl w:ilvl="0" w:tentative="0">
      <w:start w:val="7"/>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9B9"/>
    <w:rsid w:val="000659B9"/>
    <w:rsid w:val="00070FCB"/>
    <w:rsid w:val="000B295A"/>
    <w:rsid w:val="00115347"/>
    <w:rsid w:val="0013404E"/>
    <w:rsid w:val="00140837"/>
    <w:rsid w:val="00146B87"/>
    <w:rsid w:val="00160144"/>
    <w:rsid w:val="001828AC"/>
    <w:rsid w:val="001858D8"/>
    <w:rsid w:val="00185C2F"/>
    <w:rsid w:val="0019378F"/>
    <w:rsid w:val="001A5AA9"/>
    <w:rsid w:val="001B69EB"/>
    <w:rsid w:val="001F2FA9"/>
    <w:rsid w:val="001F6F9D"/>
    <w:rsid w:val="00236109"/>
    <w:rsid w:val="00280A6A"/>
    <w:rsid w:val="00281B7E"/>
    <w:rsid w:val="00287E61"/>
    <w:rsid w:val="00290F94"/>
    <w:rsid w:val="00293F62"/>
    <w:rsid w:val="002C2C29"/>
    <w:rsid w:val="002C4FD4"/>
    <w:rsid w:val="002D3F38"/>
    <w:rsid w:val="003214C3"/>
    <w:rsid w:val="00367C5F"/>
    <w:rsid w:val="003B1C64"/>
    <w:rsid w:val="003F2DFB"/>
    <w:rsid w:val="0040020C"/>
    <w:rsid w:val="00424EA2"/>
    <w:rsid w:val="00425C11"/>
    <w:rsid w:val="00437D8C"/>
    <w:rsid w:val="004446D0"/>
    <w:rsid w:val="00507CF2"/>
    <w:rsid w:val="00515A2D"/>
    <w:rsid w:val="00554B33"/>
    <w:rsid w:val="00556150"/>
    <w:rsid w:val="005A1EC6"/>
    <w:rsid w:val="005D25F8"/>
    <w:rsid w:val="00636ECC"/>
    <w:rsid w:val="00690EB2"/>
    <w:rsid w:val="006A606E"/>
    <w:rsid w:val="006C1DC2"/>
    <w:rsid w:val="0070320B"/>
    <w:rsid w:val="0073411E"/>
    <w:rsid w:val="00763A99"/>
    <w:rsid w:val="007F7BC0"/>
    <w:rsid w:val="00811473"/>
    <w:rsid w:val="00827748"/>
    <w:rsid w:val="008459BB"/>
    <w:rsid w:val="00864855"/>
    <w:rsid w:val="008A190E"/>
    <w:rsid w:val="008B115A"/>
    <w:rsid w:val="008F6C3E"/>
    <w:rsid w:val="00905000"/>
    <w:rsid w:val="00905482"/>
    <w:rsid w:val="00936E14"/>
    <w:rsid w:val="009658D5"/>
    <w:rsid w:val="009E6259"/>
    <w:rsid w:val="009F79ED"/>
    <w:rsid w:val="00A31E8E"/>
    <w:rsid w:val="00A74245"/>
    <w:rsid w:val="00AB2CFE"/>
    <w:rsid w:val="00B20524"/>
    <w:rsid w:val="00B2306B"/>
    <w:rsid w:val="00B37CAF"/>
    <w:rsid w:val="00B5436F"/>
    <w:rsid w:val="00B55149"/>
    <w:rsid w:val="00BD3CFC"/>
    <w:rsid w:val="00BF42AC"/>
    <w:rsid w:val="00C06AF5"/>
    <w:rsid w:val="00C0788E"/>
    <w:rsid w:val="00C23E93"/>
    <w:rsid w:val="00C3491C"/>
    <w:rsid w:val="00C57BAD"/>
    <w:rsid w:val="00CB47F2"/>
    <w:rsid w:val="00CC45DE"/>
    <w:rsid w:val="00CE3980"/>
    <w:rsid w:val="00D02BB3"/>
    <w:rsid w:val="00D45F6C"/>
    <w:rsid w:val="00D67FD5"/>
    <w:rsid w:val="00DA32CD"/>
    <w:rsid w:val="00DB66FB"/>
    <w:rsid w:val="00E531AB"/>
    <w:rsid w:val="00E95847"/>
    <w:rsid w:val="00EB4C95"/>
    <w:rsid w:val="00EF22FC"/>
    <w:rsid w:val="00F248F6"/>
    <w:rsid w:val="00F63881"/>
    <w:rsid w:val="00FC0E65"/>
    <w:rsid w:val="00FC1EED"/>
    <w:rsid w:val="03CB400E"/>
    <w:rsid w:val="03ED2F84"/>
    <w:rsid w:val="04200464"/>
    <w:rsid w:val="10A45E1A"/>
    <w:rsid w:val="166215BE"/>
    <w:rsid w:val="178D7233"/>
    <w:rsid w:val="1B1175F6"/>
    <w:rsid w:val="1C1B332C"/>
    <w:rsid w:val="248B1E3A"/>
    <w:rsid w:val="24E97A13"/>
    <w:rsid w:val="24F649B4"/>
    <w:rsid w:val="268D5D4F"/>
    <w:rsid w:val="28D948BF"/>
    <w:rsid w:val="2CA27689"/>
    <w:rsid w:val="2ECE3686"/>
    <w:rsid w:val="32005D96"/>
    <w:rsid w:val="36646AA6"/>
    <w:rsid w:val="37690576"/>
    <w:rsid w:val="3BCB0707"/>
    <w:rsid w:val="3C934571"/>
    <w:rsid w:val="421B25DB"/>
    <w:rsid w:val="4488117E"/>
    <w:rsid w:val="48084E46"/>
    <w:rsid w:val="4B8939F2"/>
    <w:rsid w:val="4F031E92"/>
    <w:rsid w:val="4F7369E2"/>
    <w:rsid w:val="55E011F1"/>
    <w:rsid w:val="5BA95B6E"/>
    <w:rsid w:val="5E5003CB"/>
    <w:rsid w:val="61C15914"/>
    <w:rsid w:val="6CC12C6C"/>
    <w:rsid w:val="704F7A21"/>
    <w:rsid w:val="71F260FE"/>
    <w:rsid w:val="71F41E15"/>
    <w:rsid w:val="74DB455F"/>
    <w:rsid w:val="74EF5AE6"/>
    <w:rsid w:val="75D4705E"/>
    <w:rsid w:val="75D50184"/>
    <w:rsid w:val="7FFE28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widowControl/>
      <w:spacing w:before="100" w:beforeAutospacing="1" w:after="100" w:afterAutospacing="1" w:line="288" w:lineRule="auto"/>
      <w:jc w:val="center"/>
      <w:outlineLvl w:val="0"/>
    </w:pPr>
    <w:rPr>
      <w:rFonts w:ascii="黑体" w:hAnsi="黑体" w:eastAsia="黑体" w:cs="宋体"/>
      <w:b/>
      <w:bCs/>
      <w:kern w:val="36"/>
      <w:sz w:val="36"/>
      <w:szCs w:val="36"/>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pPr>
      <w:jc w:val="left"/>
    </w:pPr>
  </w:style>
  <w:style w:type="paragraph" w:styleId="4">
    <w:name w:val="Balloon Text"/>
    <w:basedOn w:val="1"/>
    <w:link w:val="20"/>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color w:val="000000"/>
      <w:kern w:val="0"/>
      <w:sz w:val="24"/>
      <w:szCs w:val="24"/>
    </w:rPr>
  </w:style>
  <w:style w:type="character" w:styleId="10">
    <w:name w:val="Strong"/>
    <w:basedOn w:val="9"/>
    <w:qFormat/>
    <w:uiPriority w:val="22"/>
    <w:rPr>
      <w:b/>
      <w:bCs/>
    </w:rPr>
  </w:style>
  <w:style w:type="character" w:styleId="11">
    <w:name w:val="Hyperlink"/>
    <w:basedOn w:val="9"/>
    <w:unhideWhenUsed/>
    <w:qFormat/>
    <w:uiPriority w:val="99"/>
    <w:rPr>
      <w:color w:val="0000FF"/>
      <w:u w:val="single"/>
    </w:rPr>
  </w:style>
  <w:style w:type="character" w:styleId="12">
    <w:name w:val="annotation reference"/>
    <w:basedOn w:val="9"/>
    <w:unhideWhenUsed/>
    <w:qFormat/>
    <w:uiPriority w:val="99"/>
    <w:rPr>
      <w:sz w:val="21"/>
      <w:szCs w:val="21"/>
    </w:rPr>
  </w:style>
  <w:style w:type="character" w:customStyle="1" w:styleId="13">
    <w:name w:val="标题 1 Char"/>
    <w:basedOn w:val="9"/>
    <w:link w:val="2"/>
    <w:qFormat/>
    <w:uiPriority w:val="9"/>
    <w:rPr>
      <w:rFonts w:ascii="黑体" w:hAnsi="黑体" w:eastAsia="黑体" w:cs="宋体"/>
      <w:b/>
      <w:bCs/>
      <w:kern w:val="36"/>
      <w:sz w:val="36"/>
      <w:szCs w:val="36"/>
    </w:rPr>
  </w:style>
  <w:style w:type="character" w:customStyle="1" w:styleId="14">
    <w:name w:val="small1"/>
    <w:basedOn w:val="9"/>
    <w:qFormat/>
    <w:uiPriority w:val="0"/>
    <w:rPr>
      <w:rFonts w:hint="default" w:ascii="Times New Roman" w:hAnsi="Times New Roman" w:cs="Times New Roman"/>
      <w:b/>
      <w:bCs/>
      <w:color w:val="01458E"/>
      <w:sz w:val="15"/>
      <w:szCs w:val="15"/>
    </w:rPr>
  </w:style>
  <w:style w:type="character" w:customStyle="1" w:styleId="15">
    <w:name w:val="big1"/>
    <w:basedOn w:val="9"/>
    <w:qFormat/>
    <w:uiPriority w:val="0"/>
    <w:rPr>
      <w:rFonts w:hint="default" w:ascii="Times New Roman" w:hAnsi="Times New Roman" w:cs="Times New Roman"/>
      <w:b/>
      <w:bCs/>
      <w:color w:val="999999"/>
      <w:sz w:val="27"/>
      <w:szCs w:val="27"/>
    </w:rPr>
  </w:style>
  <w:style w:type="character" w:customStyle="1" w:styleId="16">
    <w:name w:val="页眉 Char"/>
    <w:basedOn w:val="9"/>
    <w:link w:val="6"/>
    <w:semiHidden/>
    <w:qFormat/>
    <w:uiPriority w:val="99"/>
    <w:rPr>
      <w:sz w:val="18"/>
      <w:szCs w:val="18"/>
    </w:rPr>
  </w:style>
  <w:style w:type="character" w:customStyle="1" w:styleId="17">
    <w:name w:val="页脚 Char"/>
    <w:basedOn w:val="9"/>
    <w:link w:val="5"/>
    <w:semiHidden/>
    <w:qFormat/>
    <w:uiPriority w:val="99"/>
    <w:rPr>
      <w:sz w:val="18"/>
      <w:szCs w:val="18"/>
    </w:rPr>
  </w:style>
  <w:style w:type="paragraph" w:customStyle="1" w:styleId="18">
    <w:name w:val="列出段落1"/>
    <w:basedOn w:val="1"/>
    <w:qFormat/>
    <w:uiPriority w:val="34"/>
    <w:pPr>
      <w:ind w:firstLine="420" w:firstLineChars="200"/>
    </w:pPr>
  </w:style>
  <w:style w:type="character" w:customStyle="1" w:styleId="19">
    <w:name w:val="bjh-p"/>
    <w:basedOn w:val="9"/>
    <w:qFormat/>
    <w:uiPriority w:val="0"/>
  </w:style>
  <w:style w:type="character" w:customStyle="1" w:styleId="20">
    <w:name w:val="批注框文本 Char"/>
    <w:basedOn w:val="9"/>
    <w:link w:val="4"/>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8D5A12-0B69-4355-965C-F26550788E49}">
  <ds:schemaRefs/>
</ds:datastoreItem>
</file>

<file path=docProps/app.xml><?xml version="1.0" encoding="utf-8"?>
<Properties xmlns="http://schemas.openxmlformats.org/officeDocument/2006/extended-properties" xmlns:vt="http://schemas.openxmlformats.org/officeDocument/2006/docPropsVTypes">
  <Template>Normal</Template>
  <Pages>11</Pages>
  <Words>747</Words>
  <Characters>4261</Characters>
  <Lines>35</Lines>
  <Paragraphs>9</Paragraphs>
  <TotalTime>4</TotalTime>
  <ScaleCrop>false</ScaleCrop>
  <LinksUpToDate>false</LinksUpToDate>
  <CharactersWithSpaces>4999</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2018-11-01T02:24:00Z</dcterms:created>
  <dc:creator>Administrator</dc:creator>
  <cp:lastModifiedBy>我爱逗逗</cp:lastModifiedBy>
  <cp:lastPrinted>2021-11-17T06:50:00Z</cp:lastPrinted>
  <dcterms:modified xsi:type="dcterms:W3CDTF">2021-12-03T01:29:58Z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AFBCA1108AE14E31AA09BA2A9ED86905</vt:lpwstr>
  </property>
</Properties>
</file>