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880" w:firstLineChars="200"/>
        <w:jc w:val="center"/>
        <w:textAlignment w:val="baseline"/>
        <w:outlineLvl w:val="0"/>
        <w:rPr>
          <w:rFonts w:hint="eastAsia" w:ascii="方正小标宋简体" w:hAnsi="方正小标宋简体" w:eastAsia="方正小标宋简体" w:cs="方正小标宋简体"/>
          <w:b w:val="0"/>
          <w:bCs w:val="0"/>
          <w:spacing w:val="0"/>
          <w:sz w:val="44"/>
          <w:szCs w:val="44"/>
        </w:rPr>
      </w:pPr>
    </w:p>
    <w:p>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880" w:firstLineChars="200"/>
        <w:jc w:val="center"/>
        <w:textAlignment w:val="baseline"/>
        <w:outlineLvl w:val="0"/>
        <w:rPr>
          <w:rFonts w:hint="eastAsia" w:ascii="方正小标宋简体" w:hAnsi="方正小标宋简体" w:eastAsia="方正小标宋简体" w:cs="方正小标宋简体"/>
          <w:b w:val="0"/>
          <w:bCs w:val="0"/>
          <w:spacing w:val="0"/>
          <w:sz w:val="44"/>
          <w:szCs w:val="44"/>
        </w:rPr>
      </w:pPr>
    </w:p>
    <w:p>
      <w:pPr>
        <w:keepNext w:val="0"/>
        <w:keepLines w:val="0"/>
        <w:pageBreakBefore w:val="0"/>
        <w:widowControl w:val="0"/>
        <w:kinsoku w:val="0"/>
        <w:wordWrap/>
        <w:overflowPunct/>
        <w:topLinePunct w:val="0"/>
        <w:autoSpaceDE w:val="0"/>
        <w:autoSpaceDN w:val="0"/>
        <w:bidi w:val="0"/>
        <w:adjustRightInd w:val="0"/>
        <w:snapToGrid w:val="0"/>
        <w:spacing w:line="660" w:lineRule="exact"/>
        <w:ind w:left="0" w:right="0" w:firstLine="0" w:firstLineChars="0"/>
        <w:jc w:val="center"/>
        <w:textAlignment w:val="baseline"/>
        <w:outlineLvl w:val="0"/>
        <w:rPr>
          <w:rFonts w:hint="eastAsia" w:ascii="方正小标宋简体" w:hAnsi="方正小标宋简体" w:eastAsia="方正小标宋简体" w:cs="方正小标宋简体"/>
          <w:b w:val="0"/>
          <w:bCs w:val="0"/>
          <w:spacing w:val="0"/>
          <w:sz w:val="44"/>
          <w:szCs w:val="44"/>
          <w:lang w:eastAsia="zh-CN"/>
        </w:rPr>
      </w:pPr>
      <w:r>
        <w:rPr>
          <w:rFonts w:hint="eastAsia" w:ascii="方正小标宋简体" w:hAnsi="方正小标宋简体" w:eastAsia="方正小标宋简体" w:cs="方正小标宋简体"/>
          <w:b w:val="0"/>
          <w:bCs w:val="0"/>
          <w:spacing w:val="0"/>
          <w:sz w:val="44"/>
          <w:szCs w:val="44"/>
        </w:rPr>
        <w:t>张掖市非电网直供电小区供配电设施改造升级工作的实施方案</w:t>
      </w:r>
      <w:r>
        <w:rPr>
          <w:rFonts w:hint="eastAsia" w:ascii="方正小标宋简体" w:hAnsi="方正小标宋简体" w:eastAsia="方正小标宋简体" w:cs="方正小标宋简体"/>
          <w:b w:val="0"/>
          <w:bCs w:val="0"/>
          <w:spacing w:val="0"/>
          <w:sz w:val="44"/>
          <w:szCs w:val="44"/>
          <w:lang w:eastAsia="zh-CN"/>
        </w:rPr>
        <w:t>（征求意见稿）</w:t>
      </w:r>
    </w:p>
    <w:p>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0" w:firstLineChars="0"/>
        <w:jc w:val="center"/>
        <w:textAlignment w:val="baseline"/>
        <w:rPr>
          <w:rFonts w:hint="eastAsia" w:ascii="仿宋_GB2312" w:hAnsi="仿宋_GB2312" w:eastAsia="仿宋_GB2312" w:cs="仿宋_GB2312"/>
          <w:spacing w:val="0"/>
          <w:sz w:val="32"/>
          <w:szCs w:val="32"/>
        </w:rPr>
      </w:pPr>
    </w:p>
    <w:p>
      <w:pPr>
        <w:pStyle w:val="2"/>
        <w:keepNext w:val="0"/>
        <w:keepLines w:val="0"/>
        <w:pageBreakBefore w:val="0"/>
        <w:widowControl w:val="0"/>
        <w:tabs>
          <w:tab w:val="left" w:pos="8037"/>
        </w:tabs>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为切实提升非电网直供电小区(以下简称非直供小区)供电可靠性与居民用电质量，解决全市非直供小区用电问题，改善用电条件，满足小区居民日益增长的生活用电需求，增强人民群众用电获得感、幸福感、安全感。根据《国家发展改革委国家能源局关于深化提升“获得电力”服务水平全面打造现代用电营商环境的意见》(发改能源规〔2025〕624号)《国家能源局综合司住房城乡建设部办公厅关于进一步提升居民住宅小区供用电服务质效深入推进群众用电“急难愁盼”问题治理工作的通知》(国能综能监管〔2026〕47号)及甘肃省发展和改革委员会等部门关于印发《全省非电网直供电小区供配电设施改造升级工作方案》的通知(甘发改能源〔2026〕403号)文件相关要求</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结合我市实际，制定本实施方案。</w:t>
      </w:r>
    </w:p>
    <w:p>
      <w:pPr>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黑体" w:hAnsi="黑体" w:eastAsia="黑体" w:cs="黑体"/>
          <w:color w:val="auto"/>
          <w:spacing w:val="0"/>
          <w:sz w:val="32"/>
          <w:szCs w:val="32"/>
          <w:highlight w:val="none"/>
        </w:rPr>
      </w:pPr>
      <w:r>
        <w:rPr>
          <w:rFonts w:hint="eastAsia" w:ascii="黑体" w:hAnsi="黑体" w:eastAsia="黑体" w:cs="黑体"/>
          <w:color w:val="auto"/>
          <w:spacing w:val="0"/>
          <w:sz w:val="32"/>
          <w:szCs w:val="32"/>
          <w:highlight w:val="none"/>
        </w:rPr>
        <w:t>一、总体要求</w:t>
      </w:r>
    </w:p>
    <w:p>
      <w:pPr>
        <w:pStyle w:val="2"/>
        <w:keepNext w:val="0"/>
        <w:keepLines w:val="0"/>
        <w:pageBreakBefore w:val="0"/>
        <w:widowControl w:val="0"/>
        <w:tabs>
          <w:tab w:val="left" w:pos="8045"/>
        </w:tabs>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楷体_GB2312" w:hAnsi="楷体_GB2312" w:eastAsia="楷体_GB2312" w:cs="楷体_GB2312"/>
          <w:b w:val="0"/>
          <w:bCs w:val="0"/>
          <w:color w:val="auto"/>
          <w:spacing w:val="0"/>
          <w:sz w:val="32"/>
          <w:szCs w:val="32"/>
          <w:highlight w:val="none"/>
        </w:rPr>
        <w:t>(一)指导思想</w:t>
      </w:r>
      <w:r>
        <w:rPr>
          <w:rFonts w:hint="eastAsia" w:ascii="楷体_GB2312" w:hAnsi="楷体_GB2312" w:eastAsia="楷体_GB2312" w:cs="楷体_GB2312"/>
          <w:b/>
          <w:bCs/>
          <w:color w:val="auto"/>
          <w:spacing w:val="0"/>
          <w:sz w:val="32"/>
          <w:szCs w:val="32"/>
          <w:highlight w:val="none"/>
        </w:rPr>
        <w:t>。</w:t>
      </w:r>
      <w:r>
        <w:rPr>
          <w:rFonts w:hint="eastAsia" w:ascii="仿宋_GB2312" w:hAnsi="仿宋_GB2312" w:eastAsia="仿宋_GB2312" w:cs="仿宋_GB2312"/>
          <w:color w:val="auto"/>
          <w:spacing w:val="0"/>
          <w:sz w:val="32"/>
          <w:szCs w:val="32"/>
          <w:highlight w:val="none"/>
        </w:rPr>
        <w:t>以习近平新时代中国特色社会主义思想为指导，深入贯彻党的二十大、二十届历次全会精神，坚持以人民为中心的发展思想，以保障居民用电安全和生活需求为目标</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按照“政府主导、电网主动、多方参与、分类施策”的思路</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积极稳妥、规范有序</w:t>
      </w:r>
      <w:r>
        <w:rPr>
          <w:rFonts w:hint="eastAsia" w:ascii="仿宋_GB2312" w:hAnsi="仿宋_GB2312" w:eastAsia="仿宋_GB2312" w:cs="仿宋_GB2312"/>
          <w:color w:val="auto"/>
          <w:spacing w:val="0"/>
          <w:sz w:val="32"/>
          <w:szCs w:val="32"/>
          <w:highlight w:val="none"/>
          <w:lang w:eastAsia="zh-CN"/>
        </w:rPr>
        <w:t>地</w:t>
      </w:r>
      <w:r>
        <w:rPr>
          <w:rFonts w:hint="eastAsia" w:ascii="仿宋_GB2312" w:hAnsi="仿宋_GB2312" w:eastAsia="仿宋_GB2312" w:cs="仿宋_GB2312"/>
          <w:color w:val="auto"/>
          <w:spacing w:val="0"/>
          <w:sz w:val="32"/>
          <w:szCs w:val="32"/>
          <w:highlight w:val="none"/>
        </w:rPr>
        <w:t>加快推进非直供小区供电改造工作，健全新建住宅小区供电管理机制，实现</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供电到户、抄表到户、收费到户、服务到户</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以下简称“四到户”服务</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切实提升人民群众用电质量。</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eastAsia="zh-CN"/>
        </w:rPr>
      </w:pPr>
      <w:r>
        <w:rPr>
          <w:rFonts w:hint="eastAsia" w:ascii="楷体_GB2312" w:hAnsi="楷体_GB2312" w:eastAsia="楷体_GB2312" w:cs="楷体_GB2312"/>
          <w:b w:val="0"/>
          <w:bCs w:val="0"/>
          <w:color w:val="auto"/>
          <w:spacing w:val="0"/>
          <w:sz w:val="32"/>
          <w:szCs w:val="32"/>
          <w:highlight w:val="none"/>
        </w:rPr>
        <w:t>(二)工作目标。</w:t>
      </w:r>
      <w:r>
        <w:rPr>
          <w:rFonts w:hint="eastAsia" w:ascii="仿宋_GB2312" w:hAnsi="仿宋_GB2312" w:eastAsia="仿宋_GB2312" w:cs="仿宋_GB2312"/>
          <w:color w:val="auto"/>
          <w:spacing w:val="0"/>
          <w:sz w:val="32"/>
          <w:szCs w:val="32"/>
          <w:highlight w:val="none"/>
        </w:rPr>
        <w:t>遵循</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依法合规、先易后难、积极推进</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的原则，分期分批对全市改造范围内的非直供小区进行改造升级。原则上2026年年底前完成弃管、老旧、“临代正”等供电矛盾突出小区的改</w:t>
      </w:r>
      <w:bookmarkStart w:id="1" w:name="_GoBack"/>
      <w:bookmarkEnd w:id="1"/>
      <w:r>
        <w:rPr>
          <w:rFonts w:hint="eastAsia" w:ascii="仿宋_GB2312" w:hAnsi="仿宋_GB2312" w:eastAsia="仿宋_GB2312" w:cs="仿宋_GB2312"/>
          <w:color w:val="auto"/>
          <w:spacing w:val="0"/>
          <w:sz w:val="32"/>
          <w:szCs w:val="32"/>
          <w:highlight w:val="none"/>
        </w:rPr>
        <w:t>造接收，力争在2030年底前基本完成全市非直供小区改造任务。同时加强新建住宅小区供电工程验收管理</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张掖地区新建居民住宅小区全面落实“一户一表”供电方式</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新建居民住宅小区供电设施要按照“一户一表”的标准进行建设，由张掖供电公司实施“四到户”服务，统一负责运行维护</w:t>
      </w:r>
      <w:r>
        <w:rPr>
          <w:rFonts w:hint="eastAsia" w:ascii="仿宋_GB2312" w:hAnsi="仿宋_GB2312" w:eastAsia="仿宋_GB2312" w:cs="仿宋_GB2312"/>
          <w:color w:val="auto"/>
          <w:spacing w:val="0"/>
          <w:sz w:val="32"/>
          <w:szCs w:val="32"/>
          <w:highlight w:val="none"/>
          <w:lang w:eastAsia="zh-CN"/>
        </w:rPr>
        <w:t>。</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楷体_GB2312" w:hAnsi="楷体_GB2312" w:eastAsia="楷体_GB2312" w:cs="楷体_GB2312"/>
          <w:b w:val="0"/>
          <w:bCs w:val="0"/>
          <w:color w:val="auto"/>
          <w:spacing w:val="0"/>
          <w:sz w:val="32"/>
          <w:szCs w:val="32"/>
          <w:highlight w:val="none"/>
        </w:rPr>
        <w:t>(三)改造范围。</w:t>
      </w:r>
      <w:r>
        <w:rPr>
          <w:rFonts w:hint="eastAsia" w:ascii="仿宋_GB2312" w:hAnsi="仿宋_GB2312" w:eastAsia="仿宋_GB2312" w:cs="仿宋_GB2312"/>
          <w:color w:val="auto"/>
          <w:spacing w:val="0"/>
          <w:sz w:val="32"/>
          <w:szCs w:val="32"/>
          <w:highlight w:val="none"/>
        </w:rPr>
        <w:t>全市城市建成区范围内已建成入住、建设手续齐全、未实现供电企业“四到户”服务的居民住宅小区，包括合表供电、跨产权供电、“临代正”、弃管、老旧等小区</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已列入征收拆迁计划(含棚户区改造、城中村改造、城市更新等)的居民住宅小区不在本方案改造范围内。</w:t>
      </w:r>
    </w:p>
    <w:p>
      <w:pPr>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黑体" w:hAnsi="黑体" w:eastAsia="黑体" w:cs="黑体"/>
          <w:color w:val="auto"/>
          <w:spacing w:val="0"/>
          <w:sz w:val="32"/>
          <w:szCs w:val="32"/>
          <w:highlight w:val="none"/>
        </w:rPr>
      </w:pPr>
      <w:r>
        <w:rPr>
          <w:rFonts w:hint="eastAsia" w:ascii="黑体" w:hAnsi="黑体" w:eastAsia="黑体" w:cs="黑体"/>
          <w:color w:val="auto"/>
          <w:spacing w:val="0"/>
          <w:sz w:val="32"/>
          <w:szCs w:val="32"/>
          <w:highlight w:val="none"/>
        </w:rPr>
        <w:t>二、职责分工</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建立政府统筹、部门协同、企业实施、群众参与的工作机制，明确责任分工如下：</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发展改革部门</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能源主管部门</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:负责指导电网规划与电力保障，督促供电企业做好配电网建设、改造和运行管理。负责配合制定改造计划，配合相关部门争取国家资金支持。</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住房和城乡建设部门：负责牵头统筹协调，制定改造计划</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督促物业服务企业配合做好改造接收及移交；负责小区红线内配套土建工程质量安全管理；将供电设施建设标准纳入新建小区建设条件。</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rPr>
        <w:t>市场监管部门：负责查处非直供小区转供电环节中违规加价及不明码标价、不执行政府指导价或政府定价、价格欺诈等价格违法行为</w:t>
      </w:r>
      <w:r>
        <w:rPr>
          <w:rFonts w:hint="eastAsia" w:ascii="仿宋_GB2312" w:hAnsi="仿宋_GB2312" w:eastAsia="仿宋_GB2312" w:cs="仿宋_GB2312"/>
          <w:color w:val="auto"/>
          <w:spacing w:val="0"/>
          <w:sz w:val="32"/>
          <w:szCs w:val="32"/>
          <w:highlight w:val="none"/>
          <w:lang w:eastAsia="zh-CN"/>
        </w:rPr>
        <w:t>。</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rPr>
        <w:t>财政部门：</w:t>
      </w:r>
      <w:r>
        <w:rPr>
          <w:rFonts w:hint="eastAsia" w:ascii="仿宋_GB2312" w:hAnsi="仿宋_GB2312" w:eastAsia="仿宋_GB2312" w:cs="仿宋_GB2312"/>
          <w:color w:val="auto"/>
          <w:spacing w:val="0"/>
          <w:sz w:val="32"/>
          <w:szCs w:val="32"/>
          <w:highlight w:val="none"/>
          <w:lang w:eastAsia="zh-CN"/>
        </w:rPr>
        <w:t>负责统筹保障本辖区内确需由政府承担的改造资金，做好预算编制和支出管理。</w:t>
      </w:r>
      <w:r>
        <w:rPr>
          <w:rFonts w:hint="eastAsia" w:ascii="仿宋_GB2312" w:hAnsi="仿宋_GB2312" w:eastAsia="仿宋_GB2312" w:cs="仿宋_GB2312"/>
          <w:color w:val="auto"/>
          <w:spacing w:val="0"/>
          <w:sz w:val="32"/>
          <w:szCs w:val="32"/>
          <w:highlight w:val="none"/>
        </w:rPr>
        <w:t>供电企业：负责非直供小区改造技术指导、方案制定、电气工程实施、竣工验收、“一户一表”安装及后续运维服务，积极向省电力公司争取电网配套投资</w:t>
      </w:r>
      <w:r>
        <w:rPr>
          <w:rFonts w:hint="eastAsia" w:ascii="仿宋_GB2312" w:hAnsi="仿宋_GB2312" w:eastAsia="仿宋_GB2312" w:cs="仿宋_GB2312"/>
          <w:color w:val="auto"/>
          <w:spacing w:val="0"/>
          <w:sz w:val="32"/>
          <w:szCs w:val="32"/>
          <w:highlight w:val="none"/>
          <w:lang w:eastAsia="zh-CN"/>
        </w:rPr>
        <w:t>。</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rPr>
        <w:t>产权单位、物业服务企业、开发建设单位：</w:t>
      </w:r>
      <w:r>
        <w:rPr>
          <w:rFonts w:hint="eastAsia" w:ascii="仿宋_GB2312" w:hAnsi="仿宋_GB2312" w:eastAsia="仿宋_GB2312" w:cs="仿宋_GB2312"/>
          <w:color w:val="auto"/>
          <w:spacing w:val="-6"/>
          <w:sz w:val="32"/>
          <w:szCs w:val="32"/>
          <w:highlight w:val="none"/>
        </w:rPr>
        <w:t>负责配合提供资料</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协调施工条件、承担相应改造资金及过渡期供电保障责任</w:t>
      </w:r>
      <w:r>
        <w:rPr>
          <w:rFonts w:hint="eastAsia" w:ascii="仿宋_GB2312" w:hAnsi="仿宋_GB2312" w:eastAsia="仿宋_GB2312" w:cs="仿宋_GB2312"/>
          <w:color w:val="auto"/>
          <w:spacing w:val="-6"/>
          <w:sz w:val="32"/>
          <w:szCs w:val="32"/>
          <w:highlight w:val="none"/>
          <w:lang w:eastAsia="zh-CN"/>
        </w:rPr>
        <w:t>，</w:t>
      </w:r>
      <w:r>
        <w:rPr>
          <w:rFonts w:hint="eastAsia" w:ascii="仿宋_GB2312" w:eastAsia="仿宋_GB2312"/>
          <w:color w:val="auto"/>
          <w:sz w:val="32"/>
          <w:szCs w:val="32"/>
          <w:highlight w:val="none"/>
          <w:lang w:val="en-US" w:eastAsia="zh-CN"/>
        </w:rPr>
        <w:t>属地街道办事处、社区居委会</w:t>
      </w:r>
      <w:r>
        <w:rPr>
          <w:rFonts w:hint="eastAsia" w:ascii="仿宋_GB2312" w:eastAsia="仿宋_GB2312" w:hAnsiTheme="minorHAnsi" w:cstheme="minorBidi"/>
          <w:color w:val="auto"/>
          <w:kern w:val="2"/>
          <w:sz w:val="32"/>
          <w:szCs w:val="32"/>
          <w:highlight w:val="none"/>
          <w:lang w:val="en-US" w:eastAsia="zh-CN" w:bidi="ar-SA"/>
        </w:rPr>
        <w:t>组织召开业主</w:t>
      </w:r>
      <w:r>
        <w:rPr>
          <w:rFonts w:hint="eastAsia" w:ascii="仿宋_GB2312" w:eastAsia="仿宋_GB2312" w:cstheme="minorBidi"/>
          <w:color w:val="auto"/>
          <w:kern w:val="2"/>
          <w:sz w:val="32"/>
          <w:szCs w:val="32"/>
          <w:highlight w:val="none"/>
          <w:lang w:val="en-US" w:eastAsia="zh-CN" w:bidi="ar-SA"/>
        </w:rPr>
        <w:t>大会</w:t>
      </w:r>
      <w:r>
        <w:rPr>
          <w:rFonts w:hint="eastAsia" w:ascii="仿宋_GB2312" w:eastAsia="仿宋_GB2312" w:hAnsiTheme="minorHAnsi" w:cstheme="minorBidi"/>
          <w:color w:val="auto"/>
          <w:kern w:val="2"/>
          <w:sz w:val="32"/>
          <w:szCs w:val="32"/>
          <w:highlight w:val="none"/>
          <w:lang w:val="en-US" w:eastAsia="zh-CN" w:bidi="ar-SA"/>
        </w:rPr>
        <w:t>，负责督促相关单位、企业配合提供相关资料，签订供电设施设备移交协议等工作。</w:t>
      </w:r>
    </w:p>
    <w:p>
      <w:pPr>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黑体" w:hAnsi="黑体" w:eastAsia="黑体" w:cs="黑体"/>
          <w:color w:val="auto"/>
          <w:spacing w:val="0"/>
          <w:sz w:val="32"/>
          <w:szCs w:val="32"/>
          <w:highlight w:val="none"/>
        </w:rPr>
      </w:pPr>
      <w:r>
        <w:rPr>
          <w:rFonts w:hint="eastAsia" w:ascii="黑体" w:hAnsi="黑体" w:eastAsia="黑体" w:cs="黑体"/>
          <w:color w:val="auto"/>
          <w:spacing w:val="0"/>
          <w:sz w:val="32"/>
          <w:szCs w:val="32"/>
          <w:highlight w:val="none"/>
        </w:rPr>
        <w:t>三、工作内容和实施步骤</w:t>
      </w:r>
    </w:p>
    <w:p>
      <w:pPr>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楷体_GB2312" w:hAnsi="楷体_GB2312" w:eastAsia="楷体_GB2312" w:cs="楷体_GB2312"/>
          <w:color w:val="auto"/>
          <w:spacing w:val="0"/>
          <w:sz w:val="32"/>
          <w:szCs w:val="32"/>
          <w:highlight w:val="none"/>
        </w:rPr>
        <w:t>(一)居民合表用电小区改造</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1.全面摸清底数。2026年9月底前，市级及各县</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区</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strike w:val="0"/>
          <w:dstrike w:val="0"/>
          <w:color w:val="auto"/>
          <w:spacing w:val="0"/>
          <w:sz w:val="32"/>
          <w:szCs w:val="32"/>
          <w:highlight w:val="none"/>
        </w:rPr>
        <w:t>发改</w:t>
      </w:r>
      <w:r>
        <w:rPr>
          <w:rFonts w:hint="eastAsia" w:ascii="仿宋_GB2312" w:hAnsi="仿宋_GB2312" w:eastAsia="仿宋_GB2312" w:cs="仿宋_GB2312"/>
          <w:strike w:val="0"/>
          <w:dstrike w:val="0"/>
          <w:color w:val="auto"/>
          <w:spacing w:val="0"/>
          <w:sz w:val="32"/>
          <w:szCs w:val="32"/>
          <w:highlight w:val="none"/>
          <w:lang w:eastAsia="zh-CN"/>
        </w:rPr>
        <w:t>（</w:t>
      </w:r>
      <w:r>
        <w:rPr>
          <w:rFonts w:hint="eastAsia" w:ascii="仿宋_GB2312" w:hAnsi="仿宋_GB2312" w:eastAsia="仿宋_GB2312" w:cs="仿宋_GB2312"/>
          <w:strike w:val="0"/>
          <w:dstrike w:val="0"/>
          <w:color w:val="auto"/>
          <w:spacing w:val="0"/>
          <w:sz w:val="32"/>
          <w:szCs w:val="32"/>
          <w:highlight w:val="none"/>
        </w:rPr>
        <w:t>能源</w:t>
      </w:r>
      <w:r>
        <w:rPr>
          <w:rFonts w:hint="eastAsia" w:ascii="仿宋_GB2312" w:hAnsi="仿宋_GB2312" w:eastAsia="仿宋_GB2312" w:cs="仿宋_GB2312"/>
          <w:strike w:val="0"/>
          <w:dstrike w:val="0"/>
          <w:color w:val="auto"/>
          <w:spacing w:val="0"/>
          <w:sz w:val="32"/>
          <w:szCs w:val="32"/>
          <w:highlight w:val="none"/>
          <w:lang w:eastAsia="zh-CN"/>
        </w:rPr>
        <w:t>）</w:t>
      </w:r>
      <w:r>
        <w:rPr>
          <w:rFonts w:hint="eastAsia" w:ascii="仿宋_GB2312" w:hAnsi="仿宋_GB2312" w:eastAsia="仿宋_GB2312" w:cs="仿宋_GB2312"/>
          <w:strike w:val="0"/>
          <w:dstrike w:val="0"/>
          <w:color w:val="auto"/>
          <w:spacing w:val="0"/>
          <w:sz w:val="32"/>
          <w:szCs w:val="32"/>
          <w:highlight w:val="none"/>
        </w:rPr>
        <w:t>部门</w:t>
      </w:r>
      <w:r>
        <w:rPr>
          <w:rFonts w:hint="eastAsia" w:ascii="仿宋_GB2312" w:hAnsi="仿宋_GB2312" w:eastAsia="仿宋_GB2312" w:cs="仿宋_GB2312"/>
          <w:color w:val="auto"/>
          <w:spacing w:val="0"/>
          <w:sz w:val="32"/>
          <w:szCs w:val="32"/>
          <w:highlight w:val="none"/>
        </w:rPr>
        <w:t>、住房和城乡建设部门指导供电企业全面摸清本行政区域内非直供小区的数量、小区户数、建筑面积、产权性质、供电设施现状、存在问题和改造意愿等基本情况，建立改造接收清单台账。摸底统计工作可由属地协调，小区管理单位</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物业服务企业应配合提供所掌握的原有供配电设施图纸、设备清单、小区居民入住信息等相关资料。</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6"/>
          <w:sz w:val="32"/>
          <w:szCs w:val="32"/>
          <w:highlight w:val="none"/>
        </w:rPr>
      </w:pPr>
      <w:r>
        <w:rPr>
          <w:rFonts w:hint="eastAsia" w:ascii="仿宋_GB2312" w:hAnsi="仿宋_GB2312" w:eastAsia="仿宋_GB2312" w:cs="仿宋_GB2312"/>
          <w:color w:val="auto"/>
          <w:spacing w:val="0"/>
          <w:sz w:val="32"/>
          <w:szCs w:val="32"/>
          <w:highlight w:val="none"/>
        </w:rPr>
        <w:t>2.</w:t>
      </w:r>
      <w:r>
        <w:rPr>
          <w:rFonts w:hint="eastAsia" w:ascii="仿宋_GB2312" w:hAnsi="仿宋_GB2312" w:eastAsia="仿宋_GB2312" w:cs="仿宋_GB2312"/>
          <w:color w:val="auto"/>
          <w:spacing w:val="-6"/>
          <w:sz w:val="32"/>
          <w:szCs w:val="32"/>
          <w:highlight w:val="none"/>
        </w:rPr>
        <w:t>制定改造计划。在充分调研摸底的基础上，结合实际，</w:t>
      </w:r>
      <w:r>
        <w:rPr>
          <w:rFonts w:hint="eastAsia" w:ascii="仿宋_GB2312" w:hAnsi="仿宋_GB2312" w:eastAsia="仿宋_GB2312" w:cs="仿宋_GB2312"/>
          <w:color w:val="auto"/>
          <w:spacing w:val="0"/>
          <w:sz w:val="32"/>
          <w:szCs w:val="32"/>
          <w:highlight w:val="none"/>
          <w:lang w:eastAsia="zh-CN"/>
        </w:rPr>
        <w:t>由供电企业牵头（</w:t>
      </w:r>
      <w:r>
        <w:rPr>
          <w:rFonts w:hint="eastAsia" w:ascii="仿宋_GB2312" w:hAnsi="仿宋_GB2312" w:eastAsia="仿宋_GB2312" w:cs="仿宋_GB2312"/>
          <w:color w:val="auto"/>
          <w:spacing w:val="0"/>
          <w:sz w:val="32"/>
          <w:szCs w:val="32"/>
          <w:highlight w:val="none"/>
          <w:lang w:val="en-US" w:eastAsia="zh-CN"/>
        </w:rPr>
        <w:t>改变</w:t>
      </w:r>
      <w:r>
        <w:rPr>
          <w:rFonts w:hint="eastAsia" w:ascii="仿宋_GB2312" w:hAnsi="仿宋_GB2312" w:eastAsia="仿宋_GB2312" w:cs="仿宋_GB2312"/>
          <w:color w:val="auto"/>
          <w:spacing w:val="0"/>
          <w:sz w:val="32"/>
          <w:szCs w:val="32"/>
          <w:highlight w:val="none"/>
          <w:lang w:eastAsia="zh-CN"/>
        </w:rPr>
        <w:t>由</w:t>
      </w:r>
      <w:r>
        <w:rPr>
          <w:rFonts w:hint="eastAsia" w:ascii="仿宋_GB2312" w:hAnsi="仿宋_GB2312" w:eastAsia="仿宋_GB2312" w:cs="仿宋_GB2312"/>
          <w:color w:val="auto"/>
          <w:spacing w:val="0"/>
          <w:sz w:val="32"/>
          <w:szCs w:val="32"/>
          <w:highlight w:val="none"/>
          <w:lang w:val="en-US" w:eastAsia="zh-CN"/>
        </w:rPr>
        <w:t>住建部门</w:t>
      </w:r>
      <w:r>
        <w:rPr>
          <w:rFonts w:hint="eastAsia" w:ascii="仿宋_GB2312" w:hAnsi="仿宋_GB2312" w:eastAsia="仿宋_GB2312" w:cs="仿宋_GB2312"/>
          <w:color w:val="auto"/>
          <w:spacing w:val="0"/>
          <w:sz w:val="32"/>
          <w:szCs w:val="32"/>
          <w:highlight w:val="none"/>
          <w:lang w:eastAsia="zh-CN"/>
        </w:rPr>
        <w:t>牵头供电</w:t>
      </w:r>
      <w:r>
        <w:rPr>
          <w:rFonts w:hint="eastAsia" w:ascii="仿宋_GB2312" w:hAnsi="仿宋_GB2312" w:eastAsia="仿宋_GB2312" w:cs="仿宋_GB2312"/>
          <w:color w:val="auto"/>
          <w:spacing w:val="0"/>
          <w:sz w:val="32"/>
          <w:szCs w:val="32"/>
          <w:highlight w:val="none"/>
          <w:lang w:val="en-US" w:eastAsia="zh-CN"/>
        </w:rPr>
        <w:t>公司配合</w:t>
      </w:r>
      <w:r>
        <w:rPr>
          <w:rFonts w:hint="eastAsia" w:ascii="仿宋_GB2312" w:hAnsi="仿宋_GB2312" w:eastAsia="仿宋_GB2312" w:cs="仿宋_GB2312"/>
          <w:color w:val="auto"/>
          <w:spacing w:val="0"/>
          <w:sz w:val="32"/>
          <w:szCs w:val="32"/>
          <w:highlight w:val="none"/>
          <w:lang w:eastAsia="zh-CN"/>
        </w:rPr>
        <w:t>），在现有住宅小区合表用户供电的基础上，广泛征求改造意见。结合业主改造意愿，增加设施故障频次、安全风险等级、业主诉求分歧等指标，（</w:t>
      </w:r>
      <w:r>
        <w:rPr>
          <w:rFonts w:hint="eastAsia" w:ascii="仿宋_GB2312" w:hAnsi="仿宋_GB2312" w:eastAsia="仿宋_GB2312" w:cs="仿宋_GB2312"/>
          <w:color w:val="auto"/>
          <w:spacing w:val="0"/>
          <w:sz w:val="32"/>
          <w:szCs w:val="32"/>
          <w:highlight w:val="none"/>
          <w:lang w:val="en-US" w:eastAsia="zh-CN"/>
        </w:rPr>
        <w:t>改为关注</w:t>
      </w:r>
      <w:r>
        <w:rPr>
          <w:rFonts w:hint="eastAsia" w:ascii="仿宋_GB2312" w:hAnsi="仿宋_GB2312" w:eastAsia="仿宋_GB2312" w:cs="仿宋_GB2312"/>
          <w:color w:val="auto"/>
          <w:spacing w:val="0"/>
          <w:sz w:val="32"/>
          <w:szCs w:val="32"/>
          <w:highlight w:val="none"/>
          <w:lang w:eastAsia="zh-CN"/>
        </w:rPr>
        <w:t>设施故障频次、安全风险等级、业主诉求分歧等</w:t>
      </w:r>
      <w:r>
        <w:rPr>
          <w:rFonts w:hint="eastAsia" w:ascii="仿宋_GB2312" w:hAnsi="仿宋_GB2312" w:eastAsia="仿宋_GB2312" w:cs="仿宋_GB2312"/>
          <w:color w:val="auto"/>
          <w:spacing w:val="0"/>
          <w:sz w:val="32"/>
          <w:szCs w:val="32"/>
          <w:highlight w:val="none"/>
          <w:lang w:val="en-US" w:eastAsia="zh-CN"/>
        </w:rPr>
        <w:t>问题</w:t>
      </w:r>
      <w:r>
        <w:rPr>
          <w:rFonts w:hint="eastAsia" w:ascii="仿宋_GB2312" w:hAnsi="仿宋_GB2312" w:eastAsia="仿宋_GB2312" w:cs="仿宋_GB2312"/>
          <w:color w:val="auto"/>
          <w:spacing w:val="0"/>
          <w:sz w:val="32"/>
          <w:szCs w:val="32"/>
          <w:highlight w:val="none"/>
          <w:lang w:eastAsia="zh-CN"/>
        </w:rPr>
        <w:t>）实行风险分级管理，将高频停电、弃管无物业小区列为最高优先级改造对象。明确“一小区一方案”编制，并在小区进行公示，广泛吸纳居民意见，保障群众知情权。</w:t>
      </w:r>
      <w:r>
        <w:rPr>
          <w:rFonts w:hint="eastAsia" w:ascii="仿宋_GB2312" w:hAnsi="仿宋_GB2312" w:eastAsia="仿宋_GB2312" w:cs="仿宋_GB2312"/>
          <w:color w:val="auto"/>
          <w:spacing w:val="-6"/>
          <w:sz w:val="32"/>
          <w:szCs w:val="32"/>
          <w:highlight w:val="none"/>
        </w:rPr>
        <w:t>市级及各县</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区</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住房和城乡建设部门、能源主管部门会同供电企业于2026年1</w:t>
      </w:r>
      <w:r>
        <w:rPr>
          <w:rFonts w:hint="eastAsia" w:ascii="仿宋_GB2312" w:hAnsi="仿宋_GB2312" w:eastAsia="仿宋_GB2312" w:cs="仿宋_GB2312"/>
          <w:color w:val="auto"/>
          <w:spacing w:val="-6"/>
          <w:sz w:val="32"/>
          <w:szCs w:val="32"/>
          <w:highlight w:val="none"/>
          <w:lang w:val="en-US" w:eastAsia="zh-CN"/>
        </w:rPr>
        <w:t>1</w:t>
      </w:r>
      <w:r>
        <w:rPr>
          <w:rFonts w:hint="eastAsia" w:ascii="仿宋_GB2312" w:hAnsi="仿宋_GB2312" w:eastAsia="仿宋_GB2312" w:cs="仿宋_GB2312"/>
          <w:color w:val="auto"/>
          <w:spacing w:val="-6"/>
          <w:sz w:val="32"/>
          <w:szCs w:val="32"/>
          <w:highlight w:val="none"/>
        </w:rPr>
        <w:t>月</w:t>
      </w:r>
      <w:r>
        <w:rPr>
          <w:rFonts w:hint="eastAsia" w:ascii="仿宋_GB2312" w:hAnsi="仿宋_GB2312" w:eastAsia="仿宋_GB2312" w:cs="仿宋_GB2312"/>
          <w:color w:val="auto"/>
          <w:spacing w:val="-6"/>
          <w:sz w:val="32"/>
          <w:szCs w:val="32"/>
          <w:highlight w:val="none"/>
          <w:lang w:eastAsia="zh-CN"/>
        </w:rPr>
        <w:t>中旬</w:t>
      </w:r>
      <w:r>
        <w:rPr>
          <w:rFonts w:hint="eastAsia" w:ascii="仿宋_GB2312" w:hAnsi="仿宋_GB2312" w:eastAsia="仿宋_GB2312" w:cs="仿宋_GB2312"/>
          <w:color w:val="auto"/>
          <w:spacing w:val="-6"/>
          <w:sz w:val="32"/>
          <w:szCs w:val="32"/>
          <w:highlight w:val="none"/>
        </w:rPr>
        <w:t>前编制非直供小区供配电设施改造升级实施方案，制定供电改造“一小区一方案”</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明确分包领导、责任部门</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改造单位、改造内容、资金来源、实施步骤、完成时限等内容，报请市政府同意后印发执行。市级及各县</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区</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相关部门要有序安排年度改造任务，对供配电设备安全隐患较大</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用户改造意愿强烈，已落实土建和电气改造资金来源，</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临代正”、弃管、老旧小区优先列入改造计划。</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rPr>
        <w:t>3.组织实施改造。非直供小区供配电设施改造升级，由市级相关</w:t>
      </w:r>
      <w:r>
        <w:rPr>
          <w:rFonts w:hint="eastAsia" w:ascii="仿宋_GB2312" w:hAnsi="仿宋_GB2312" w:eastAsia="仿宋_GB2312" w:cs="仿宋_GB2312"/>
          <w:color w:val="auto"/>
          <w:spacing w:val="0"/>
          <w:sz w:val="32"/>
          <w:szCs w:val="32"/>
          <w:highlight w:val="none"/>
          <w:lang w:val="en-US" w:eastAsia="zh-CN"/>
        </w:rPr>
        <w:t>政府</w:t>
      </w:r>
      <w:r>
        <w:rPr>
          <w:rFonts w:hint="eastAsia" w:ascii="仿宋_GB2312" w:hAnsi="仿宋_GB2312" w:eastAsia="仿宋_GB2312" w:cs="仿宋_GB2312"/>
          <w:color w:val="auto"/>
          <w:spacing w:val="0"/>
          <w:sz w:val="32"/>
          <w:szCs w:val="32"/>
          <w:highlight w:val="none"/>
        </w:rPr>
        <w:t>部门组织并给予政策支持</w:t>
      </w:r>
      <w:r>
        <w:rPr>
          <w:rFonts w:hint="eastAsia" w:ascii="仿宋_GB2312" w:hAnsi="仿宋_GB2312" w:eastAsia="仿宋_GB2312" w:cs="仿宋_GB2312"/>
          <w:color w:val="auto"/>
          <w:spacing w:val="0"/>
          <w:sz w:val="32"/>
          <w:szCs w:val="32"/>
          <w:highlight w:val="none"/>
          <w:lang w:eastAsia="zh-CN"/>
        </w:rPr>
        <w:t>，由各县（区）相关</w:t>
      </w:r>
      <w:r>
        <w:rPr>
          <w:rFonts w:hint="eastAsia" w:ascii="仿宋_GB2312" w:hAnsi="仿宋_GB2312" w:eastAsia="仿宋_GB2312" w:cs="仿宋_GB2312"/>
          <w:color w:val="auto"/>
          <w:spacing w:val="0"/>
          <w:sz w:val="32"/>
          <w:szCs w:val="32"/>
          <w:highlight w:val="none"/>
          <w:lang w:val="en-US" w:eastAsia="zh-CN"/>
        </w:rPr>
        <w:t>政府</w:t>
      </w:r>
      <w:r>
        <w:rPr>
          <w:rFonts w:hint="eastAsia" w:ascii="仿宋_GB2312" w:hAnsi="仿宋_GB2312" w:eastAsia="仿宋_GB2312" w:cs="仿宋_GB2312"/>
          <w:color w:val="auto"/>
          <w:spacing w:val="0"/>
          <w:sz w:val="32"/>
          <w:szCs w:val="32"/>
          <w:highlight w:val="none"/>
          <w:lang w:eastAsia="zh-CN"/>
        </w:rPr>
        <w:t>部门组织实施</w:t>
      </w:r>
      <w:r>
        <w:rPr>
          <w:rFonts w:hint="eastAsia" w:ascii="仿宋_GB2312" w:hAnsi="仿宋_GB2312" w:eastAsia="仿宋_GB2312" w:cs="仿宋_GB2312"/>
          <w:color w:val="auto"/>
          <w:spacing w:val="0"/>
          <w:sz w:val="32"/>
          <w:szCs w:val="32"/>
          <w:highlight w:val="none"/>
        </w:rPr>
        <w:t>，按照改造资金“到位一个、改造一个、接收一个”的方式，组织供电企业与供配电设施产权单位签订改造移交协议。</w:t>
      </w:r>
      <w:r>
        <w:rPr>
          <w:rFonts w:hint="eastAsia" w:ascii="仿宋_GB2312" w:hAnsi="仿宋_GB2312" w:eastAsia="仿宋_GB2312" w:cs="仿宋_GB2312"/>
          <w:color w:val="auto"/>
          <w:spacing w:val="0"/>
          <w:sz w:val="32"/>
          <w:szCs w:val="32"/>
          <w:highlight w:val="none"/>
          <w:lang w:val="en-US" w:eastAsia="zh-CN"/>
        </w:rPr>
        <w:t>住建部门联合供电公司，与街道、社区进行做好改造前的入户宣讲，</w:t>
      </w:r>
      <w:r>
        <w:rPr>
          <w:rFonts w:hint="eastAsia" w:ascii="仿宋_GB2312" w:hAnsi="仿宋_GB2312" w:eastAsia="仿宋_GB2312" w:cs="仿宋_GB2312"/>
          <w:color w:val="auto"/>
          <w:spacing w:val="0"/>
          <w:sz w:val="32"/>
          <w:szCs w:val="32"/>
          <w:highlight w:val="none"/>
          <w:lang w:eastAsia="zh-CN"/>
        </w:rPr>
        <w:t>讲清改造收益、各方权责、过渡期风险，对反对意见建立台账做好解释疏导，减少改造阻力。</w:t>
      </w:r>
      <w:r>
        <w:rPr>
          <w:rFonts w:hint="eastAsia" w:ascii="仿宋_GB2312" w:hAnsi="仿宋_GB2312" w:eastAsia="仿宋_GB2312" w:cs="仿宋_GB2312"/>
          <w:color w:val="auto"/>
          <w:spacing w:val="0"/>
          <w:sz w:val="32"/>
          <w:szCs w:val="32"/>
          <w:highlight w:val="none"/>
        </w:rPr>
        <w:t>供配电设施产权属于业主共有的，由属地街道办事处、社区居委会指导召开业主大会或组织业主进行表决，</w:t>
      </w:r>
      <w:r>
        <w:rPr>
          <w:rFonts w:hint="eastAsia" w:ascii="仿宋_GB2312" w:hAnsi="仿宋_GB2312" w:eastAsia="仿宋_GB2312" w:cs="仿宋_GB2312"/>
          <w:color w:val="auto"/>
          <w:spacing w:val="0"/>
          <w:sz w:val="32"/>
          <w:szCs w:val="32"/>
          <w:highlight w:val="none"/>
          <w:lang w:val="en-US" w:eastAsia="zh-CN"/>
        </w:rPr>
        <w:t>对于</w:t>
      </w:r>
      <w:r>
        <w:rPr>
          <w:rFonts w:hint="eastAsia" w:ascii="仿宋_GB2312" w:hAnsi="仿宋_GB2312" w:eastAsia="仿宋_GB2312" w:cs="仿宋_GB2312"/>
          <w:color w:val="auto"/>
          <w:spacing w:val="0"/>
          <w:sz w:val="32"/>
          <w:szCs w:val="32"/>
          <w:highlight w:val="none"/>
          <w:lang w:eastAsia="zh-CN"/>
        </w:rPr>
        <w:t>召开业主大会表决难度大的</w:t>
      </w:r>
      <w:r>
        <w:rPr>
          <w:rFonts w:hint="eastAsia" w:ascii="仿宋_GB2312" w:hAnsi="仿宋_GB2312" w:eastAsia="仿宋_GB2312" w:cs="仿宋_GB2312"/>
          <w:color w:val="auto"/>
          <w:spacing w:val="0"/>
          <w:sz w:val="32"/>
          <w:szCs w:val="32"/>
          <w:highlight w:val="none"/>
          <w:lang w:val="en-US" w:eastAsia="zh-CN"/>
        </w:rPr>
        <w:t>小区</w:t>
      </w:r>
      <w:r>
        <w:rPr>
          <w:rFonts w:hint="eastAsia" w:ascii="仿宋_GB2312" w:hAnsi="仿宋_GB2312" w:eastAsia="仿宋_GB2312" w:cs="仿宋_GB2312"/>
          <w:color w:val="auto"/>
          <w:spacing w:val="0"/>
          <w:sz w:val="32"/>
          <w:szCs w:val="32"/>
          <w:highlight w:val="none"/>
          <w:lang w:eastAsia="zh-CN"/>
        </w:rPr>
        <w:t>在街道、社区主导下，补充书面征集、线上表决等多元表决形式，明确表决有效条件，破解表决难问题，同时做好留存表决档案，</w:t>
      </w:r>
      <w:r>
        <w:rPr>
          <w:rFonts w:hint="eastAsia" w:ascii="仿宋_GB2312" w:eastAsia="仿宋_GB2312"/>
          <w:color w:val="auto"/>
          <w:sz w:val="32"/>
          <w:szCs w:val="32"/>
          <w:highlight w:val="none"/>
          <w:lang w:val="en-US" w:eastAsia="zh-CN"/>
        </w:rPr>
        <w:t>表决通过后签订供电设施设备移交协议后实施改造接收工作。</w:t>
      </w:r>
      <w:r>
        <w:rPr>
          <w:rFonts w:hint="eastAsia" w:ascii="仿宋_GB2312" w:hAnsi="仿宋_GB2312" w:eastAsia="仿宋_GB2312" w:cs="仿宋_GB2312"/>
          <w:color w:val="auto"/>
          <w:spacing w:val="0"/>
          <w:sz w:val="32"/>
          <w:szCs w:val="32"/>
          <w:highlight w:val="none"/>
        </w:rPr>
        <w:t>市级及各县</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区</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政府牵头部门负责组织小区红线内配套土建、电气工程、表箱后入户线路相关工程建设实施，联合供电企业共同验收；由供电企业负责实施的电气工程部分由供电企业按照有关规定进行设计、招投标和工程实施。非直供小区改造应预留电动汽车和电动自行车充电设施接入条件，</w:t>
      </w:r>
      <w:r>
        <w:rPr>
          <w:rFonts w:hint="eastAsia" w:ascii="仿宋_GB2312" w:hAnsi="仿宋_GB2312" w:eastAsia="仿宋_GB2312" w:cs="仿宋_GB2312"/>
          <w:color w:val="auto"/>
          <w:spacing w:val="0"/>
          <w:sz w:val="32"/>
          <w:szCs w:val="32"/>
          <w:highlight w:val="none"/>
          <w:lang w:eastAsia="zh-CN"/>
        </w:rPr>
        <w:t>进一步细化电动汽车、电动自行车充电设施预埋管线、配电容量技术标准，杜绝形式化预留，</w:t>
      </w:r>
      <w:r>
        <w:rPr>
          <w:rFonts w:hint="eastAsia" w:ascii="仿宋_GB2312" w:hAnsi="仿宋_GB2312" w:eastAsia="仿宋_GB2312" w:cs="仿宋_GB2312"/>
          <w:color w:val="auto"/>
          <w:spacing w:val="0"/>
          <w:sz w:val="32"/>
          <w:szCs w:val="32"/>
          <w:highlight w:val="none"/>
        </w:rPr>
        <w:t>统筹考虑配电设施用电负荷增长需求</w:t>
      </w:r>
      <w:r>
        <w:rPr>
          <w:rFonts w:hint="eastAsia" w:ascii="仿宋_GB2312" w:hAnsi="仿宋_GB2312" w:eastAsia="仿宋_GB2312" w:cs="仿宋_GB2312"/>
          <w:color w:val="auto"/>
          <w:spacing w:val="0"/>
          <w:sz w:val="32"/>
          <w:szCs w:val="32"/>
          <w:highlight w:val="none"/>
          <w:lang w:val="en-US" w:eastAsia="zh-CN"/>
        </w:rPr>
        <w:t>及</w:t>
      </w:r>
      <w:r>
        <w:rPr>
          <w:rFonts w:hint="eastAsia" w:ascii="仿宋_GB2312" w:hAnsi="仿宋_GB2312" w:eastAsia="仿宋_GB2312" w:cs="仿宋_GB2312"/>
          <w:color w:val="auto"/>
          <w:spacing w:val="0"/>
          <w:sz w:val="32"/>
          <w:szCs w:val="32"/>
          <w:highlight w:val="none"/>
          <w:lang w:eastAsia="zh-CN"/>
        </w:rPr>
        <w:t>电力改造与小区道路、管网修缮同步实施</w:t>
      </w:r>
      <w:r>
        <w:rPr>
          <w:rFonts w:hint="eastAsia" w:ascii="仿宋_GB2312" w:hAnsi="仿宋_GB2312" w:eastAsia="仿宋_GB2312" w:cs="仿宋_GB2312"/>
          <w:color w:val="auto"/>
          <w:spacing w:val="0"/>
          <w:sz w:val="32"/>
          <w:szCs w:val="32"/>
          <w:highlight w:val="none"/>
        </w:rPr>
        <w:t>，避免短期内重复</w:t>
      </w:r>
      <w:r>
        <w:rPr>
          <w:rFonts w:hint="eastAsia" w:ascii="仿宋_GB2312" w:hAnsi="仿宋_GB2312" w:eastAsia="仿宋_GB2312" w:cs="仿宋_GB2312"/>
          <w:color w:val="auto"/>
          <w:spacing w:val="0"/>
          <w:sz w:val="32"/>
          <w:szCs w:val="32"/>
          <w:highlight w:val="none"/>
          <w:lang w:eastAsia="zh-CN"/>
        </w:rPr>
        <w:t>开挖、</w:t>
      </w:r>
      <w:r>
        <w:rPr>
          <w:rFonts w:hint="eastAsia" w:ascii="仿宋_GB2312" w:hAnsi="仿宋_GB2312" w:eastAsia="仿宋_GB2312" w:cs="仿宋_GB2312"/>
          <w:color w:val="auto"/>
          <w:spacing w:val="0"/>
          <w:sz w:val="32"/>
          <w:szCs w:val="32"/>
          <w:highlight w:val="none"/>
        </w:rPr>
        <w:t>改造</w:t>
      </w:r>
      <w:r>
        <w:rPr>
          <w:rFonts w:hint="eastAsia" w:ascii="仿宋_GB2312" w:hAnsi="仿宋_GB2312" w:eastAsia="仿宋_GB2312" w:cs="仿宋_GB2312"/>
          <w:color w:val="auto"/>
          <w:spacing w:val="0"/>
          <w:sz w:val="32"/>
          <w:szCs w:val="32"/>
          <w:highlight w:val="none"/>
          <w:lang w:eastAsia="zh-CN"/>
        </w:rPr>
        <w:t>，降低施工对居民生活影响，</w:t>
      </w:r>
      <w:r>
        <w:rPr>
          <w:rFonts w:hint="eastAsia" w:ascii="仿宋_GB2312" w:hAnsi="仿宋_GB2312" w:eastAsia="仿宋_GB2312" w:cs="仿宋_GB2312"/>
          <w:color w:val="auto"/>
          <w:spacing w:val="0"/>
          <w:sz w:val="32"/>
          <w:szCs w:val="32"/>
          <w:highlight w:val="none"/>
          <w:lang w:val="en-US" w:eastAsia="zh-CN"/>
        </w:rPr>
        <w:t>建设过程中要</w:t>
      </w:r>
      <w:r>
        <w:rPr>
          <w:rFonts w:hint="eastAsia" w:ascii="仿宋_GB2312" w:hAnsi="仿宋_GB2312" w:eastAsia="仿宋_GB2312" w:cs="仿宋_GB2312"/>
          <w:color w:val="auto"/>
          <w:spacing w:val="0"/>
          <w:sz w:val="32"/>
          <w:szCs w:val="32"/>
          <w:highlight w:val="none"/>
          <w:lang w:eastAsia="zh-CN"/>
        </w:rPr>
        <w:t>限定合理施工时段，落实停电、占道提前预告机制，建立特殊群体应急用电保障预案。</w:t>
      </w:r>
      <w:r>
        <w:rPr>
          <w:rFonts w:hint="eastAsia" w:ascii="仿宋_GB2312" w:hAnsi="仿宋_GB2312" w:eastAsia="仿宋_GB2312" w:cs="仿宋_GB2312"/>
          <w:color w:val="auto"/>
          <w:spacing w:val="0"/>
          <w:sz w:val="32"/>
          <w:szCs w:val="32"/>
          <w:highlight w:val="none"/>
        </w:rPr>
        <w:t>改造过程中街道办事处要做好群众工作，协调解决施工扰民、道路占用、开挖等问题。</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rPr>
        <w:t>4.竣工验收移交。供配电设施改造升级竣工后，由政府牵头部门</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供电企业</w:t>
      </w:r>
      <w:r>
        <w:rPr>
          <w:rFonts w:hint="eastAsia" w:ascii="仿宋_GB2312" w:hAnsi="仿宋_GB2312" w:eastAsia="仿宋_GB2312" w:cs="仿宋_GB2312"/>
          <w:color w:val="auto"/>
          <w:spacing w:val="0"/>
          <w:sz w:val="32"/>
          <w:szCs w:val="32"/>
          <w:highlight w:val="none"/>
          <w:lang w:eastAsia="zh-CN"/>
        </w:rPr>
        <w:t>、社区、业主代表共同参与</w:t>
      </w:r>
      <w:r>
        <w:rPr>
          <w:rFonts w:hint="eastAsia" w:ascii="仿宋_GB2312" w:hAnsi="仿宋_GB2312" w:eastAsia="仿宋_GB2312" w:cs="仿宋_GB2312"/>
          <w:color w:val="auto"/>
          <w:spacing w:val="0"/>
          <w:sz w:val="32"/>
          <w:szCs w:val="32"/>
          <w:highlight w:val="none"/>
          <w:lang w:val="en-US" w:eastAsia="zh-CN"/>
        </w:rPr>
        <w:t>共同验收</w:t>
      </w:r>
      <w:r>
        <w:rPr>
          <w:rFonts w:hint="eastAsia" w:ascii="仿宋_GB2312" w:hAnsi="仿宋_GB2312" w:eastAsia="仿宋_GB2312" w:cs="仿宋_GB2312"/>
          <w:color w:val="auto"/>
          <w:spacing w:val="0"/>
          <w:sz w:val="32"/>
          <w:szCs w:val="32"/>
          <w:highlight w:val="none"/>
          <w:lang w:eastAsia="zh-CN"/>
        </w:rPr>
        <w:t>，实行问题清单销号管理，整改不到位不予移交接收</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eastAsia="zh-CN"/>
        </w:rPr>
        <w:t>进一步厘清改造建设阶段、正式移交过渡期的安全责任、故障抢修主体，避免出现抢修推诿现象。明确表前、表后线路运维责任边界，为居民户内线路更新提供技术指引。</w:t>
      </w:r>
      <w:r>
        <w:rPr>
          <w:rFonts w:hint="eastAsia" w:ascii="仿宋_GB2312" w:hAnsi="仿宋_GB2312" w:eastAsia="仿宋_GB2312" w:cs="仿宋_GB2312"/>
          <w:color w:val="auto"/>
          <w:spacing w:val="0"/>
          <w:sz w:val="32"/>
          <w:szCs w:val="32"/>
          <w:highlight w:val="none"/>
        </w:rPr>
        <w:t>验收合格后，供电企业安装“一户一表”计量装置，正式与设备资产管理单位完成供配电设施移交接收，并负责后续的设备运维及用户“四到户”服务工作</w:t>
      </w:r>
      <w:r>
        <w:rPr>
          <w:rFonts w:hint="eastAsia" w:ascii="仿宋_GB2312" w:hAnsi="仿宋_GB2312" w:eastAsia="仿宋_GB2312" w:cs="仿宋_GB2312"/>
          <w:color w:val="auto"/>
          <w:spacing w:val="0"/>
          <w:sz w:val="32"/>
          <w:szCs w:val="32"/>
          <w:highlight w:val="none"/>
          <w:lang w:eastAsia="zh-CN"/>
        </w:rPr>
        <w:t>。</w:t>
      </w:r>
    </w:p>
    <w:p>
      <w:pPr>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outlineLvl w:val="2"/>
        <w:rPr>
          <w:rFonts w:hint="eastAsia" w:ascii="楷体_GB2312" w:hAnsi="楷体_GB2312" w:eastAsia="楷体_GB2312" w:cs="楷体_GB2312"/>
          <w:b w:val="0"/>
          <w:bCs w:val="0"/>
          <w:color w:val="auto"/>
          <w:spacing w:val="0"/>
          <w:sz w:val="32"/>
          <w:szCs w:val="32"/>
          <w:highlight w:val="none"/>
        </w:rPr>
      </w:pPr>
      <w:r>
        <w:rPr>
          <w:rFonts w:hint="eastAsia" w:ascii="楷体_GB2312" w:hAnsi="楷体_GB2312" w:eastAsia="楷体_GB2312" w:cs="楷体_GB2312"/>
          <w:b w:val="0"/>
          <w:bCs w:val="0"/>
          <w:color w:val="auto"/>
          <w:spacing w:val="0"/>
          <w:sz w:val="32"/>
          <w:szCs w:val="32"/>
          <w:highlight w:val="none"/>
        </w:rPr>
        <w:t>(二)跨产权用电小区改造</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跨产权用电的小区，供电企业已完成“一户一表”计量装置安装，对于小区供配电设施满足要求的，市级及各县</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区</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相关部门组织供电企业与供配电设施产权单位签订无偿移交意向协议</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并履行资产移交程序，小区供配电设施移交供电企业管理运维；供配电设施不满足要求的，参照合表用电小区组织实施改造后移交。</w:t>
      </w:r>
    </w:p>
    <w:p>
      <w:pPr>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楷体_GB2312" w:hAnsi="楷体_GB2312" w:eastAsia="楷体_GB2312" w:cs="楷体_GB2312"/>
          <w:color w:val="auto"/>
          <w:spacing w:val="0"/>
          <w:sz w:val="32"/>
          <w:szCs w:val="32"/>
          <w:highlight w:val="none"/>
        </w:rPr>
      </w:pPr>
      <w:r>
        <w:rPr>
          <w:rFonts w:hint="eastAsia" w:ascii="楷体_GB2312" w:hAnsi="楷体_GB2312" w:eastAsia="楷体_GB2312" w:cs="楷体_GB2312"/>
          <w:color w:val="auto"/>
          <w:spacing w:val="0"/>
          <w:sz w:val="32"/>
          <w:szCs w:val="32"/>
          <w:highlight w:val="none"/>
        </w:rPr>
        <w:t>(三)“临代正”小区改造</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kern w:val="21"/>
          <w:sz w:val="32"/>
          <w:szCs w:val="32"/>
          <w:highlight w:val="none"/>
        </w:rPr>
      </w:pPr>
      <w:r>
        <w:rPr>
          <w:rFonts w:hint="eastAsia" w:ascii="仿宋_GB2312" w:hAnsi="仿宋_GB2312" w:eastAsia="仿宋_GB2312" w:cs="仿宋_GB2312"/>
          <w:color w:val="auto"/>
          <w:spacing w:val="0"/>
          <w:sz w:val="32"/>
          <w:szCs w:val="32"/>
          <w:highlight w:val="none"/>
        </w:rPr>
        <w:t>采用临时电源供电的小区，</w:t>
      </w:r>
      <w:r>
        <w:rPr>
          <w:rFonts w:hint="eastAsia" w:ascii="仿宋_GB2312" w:hAnsi="仿宋_GB2312" w:eastAsia="仿宋_GB2312" w:cs="仿宋_GB2312"/>
          <w:color w:val="auto"/>
          <w:spacing w:val="6"/>
          <w:sz w:val="32"/>
          <w:szCs w:val="32"/>
          <w:highlight w:val="none"/>
        </w:rPr>
        <w:t>开发建设单位仍然存在的，要压实开发建设单位出资责任，督促其抓紧完成正式用电建设；</w:t>
      </w:r>
      <w:r>
        <w:rPr>
          <w:rFonts w:hint="eastAsia" w:ascii="仿宋_GB2312" w:hAnsi="仿宋_GB2312" w:eastAsia="仿宋_GB2312" w:cs="仿宋_GB2312"/>
          <w:color w:val="auto"/>
          <w:spacing w:val="11"/>
          <w:sz w:val="32"/>
          <w:szCs w:val="32"/>
          <w:highlight w:val="none"/>
        </w:rPr>
        <w:t>开发建设单位已注销且无法落实其建设责任的，市级及各县</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区</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相关部门要采取“一案一策”“综合施策”的</w:t>
      </w:r>
      <w:r>
        <w:rPr>
          <w:rFonts w:hint="eastAsia" w:ascii="仿宋_GB2312" w:hAnsi="仿宋_GB2312" w:eastAsia="仿宋_GB2312" w:cs="仿宋_GB2312"/>
          <w:color w:val="auto"/>
          <w:spacing w:val="0"/>
          <w:kern w:val="21"/>
          <w:sz w:val="32"/>
          <w:szCs w:val="32"/>
          <w:highlight w:val="none"/>
        </w:rPr>
        <w:t>方法，分类化解临时用电小区供配电设施改造矛盾问题，2026年年底前完成8个临时用电小区改造接收。</w:t>
      </w:r>
    </w:p>
    <w:p>
      <w:pPr>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黑体" w:hAnsi="黑体" w:eastAsia="黑体" w:cs="黑体"/>
          <w:color w:val="auto"/>
          <w:spacing w:val="0"/>
          <w:sz w:val="32"/>
          <w:szCs w:val="32"/>
          <w:highlight w:val="none"/>
        </w:rPr>
      </w:pPr>
      <w:r>
        <w:rPr>
          <w:rFonts w:hint="eastAsia" w:ascii="黑体" w:hAnsi="黑体" w:eastAsia="黑体" w:cs="黑体"/>
          <w:color w:val="auto"/>
          <w:spacing w:val="0"/>
          <w:sz w:val="32"/>
          <w:szCs w:val="32"/>
          <w:highlight w:val="none"/>
        </w:rPr>
        <w:t>四、资金保障</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按照属地主导、多方协同、共同参与的原则，改造资金通过属地相关政府部门、供电企业、物业</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产权</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单位等多方共担方式进行筹集</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建立</w:t>
      </w:r>
      <w:r>
        <w:rPr>
          <w:rFonts w:hint="eastAsia" w:ascii="仿宋_GB2312" w:hAnsi="仿宋_GB2312" w:eastAsia="仿宋_GB2312" w:cs="仿宋_GB2312"/>
          <w:color w:val="auto"/>
          <w:spacing w:val="0"/>
          <w:sz w:val="32"/>
          <w:szCs w:val="32"/>
          <w:highlight w:val="none"/>
          <w:lang w:eastAsia="zh-CN"/>
        </w:rPr>
        <w:t>资金监管与公开机制，改造资金拨付、使用情况定期向小区业主公开，接受居民监督，保障资金专款专用</w:t>
      </w:r>
      <w:r>
        <w:rPr>
          <w:rFonts w:hint="eastAsia" w:ascii="仿宋_GB2312" w:hAnsi="仿宋_GB2312" w:eastAsia="仿宋_GB2312" w:cs="仿宋_GB2312"/>
          <w:color w:val="auto"/>
          <w:spacing w:val="0"/>
          <w:sz w:val="32"/>
          <w:szCs w:val="32"/>
          <w:highlight w:val="none"/>
        </w:rPr>
        <w:t>。</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1.新建小区：</w:t>
      </w:r>
      <w:bookmarkStart w:id="0" w:name="OLE_LINK2"/>
      <w:r>
        <w:rPr>
          <w:rFonts w:hint="eastAsia" w:ascii="仿宋_GB2312" w:hAnsi="仿宋_GB2312" w:eastAsia="仿宋_GB2312" w:cs="仿宋_GB2312"/>
          <w:color w:val="auto"/>
          <w:spacing w:val="0"/>
          <w:sz w:val="32"/>
          <w:szCs w:val="32"/>
          <w:highlight w:val="none"/>
        </w:rPr>
        <w:t>按照</w:t>
      </w:r>
      <w:r>
        <w:rPr>
          <w:rFonts w:hint="eastAsia" w:ascii="仿宋_GB2312" w:hAnsi="仿宋_GB2312" w:eastAsia="仿宋_GB2312" w:cs="仿宋_GB2312"/>
          <w:color w:val="auto"/>
          <w:spacing w:val="6"/>
          <w:sz w:val="32"/>
          <w:szCs w:val="32"/>
          <w:highlight w:val="none"/>
        </w:rPr>
        <w:t>《国务院办公厅转发国家发展改革委等部门关于清理规范城镇供水供电供气供暖行业收费促进行业高质量发展的意见》</w:t>
      </w:r>
      <w:r>
        <w:rPr>
          <w:rFonts w:hint="eastAsia" w:ascii="仿宋_GB2312" w:hAnsi="仿宋_GB2312" w:eastAsia="仿宋_GB2312" w:cs="仿宋_GB2312"/>
          <w:color w:val="auto"/>
          <w:spacing w:val="6"/>
          <w:sz w:val="32"/>
          <w:szCs w:val="32"/>
          <w:highlight w:val="none"/>
          <w:lang w:eastAsia="zh-CN"/>
        </w:rPr>
        <w:t>（</w:t>
      </w:r>
      <w:r>
        <w:rPr>
          <w:rFonts w:hint="eastAsia" w:ascii="仿宋_GB2312" w:hAnsi="仿宋_GB2312" w:eastAsia="仿宋_GB2312" w:cs="仿宋_GB2312"/>
          <w:color w:val="auto"/>
          <w:spacing w:val="6"/>
          <w:sz w:val="32"/>
          <w:szCs w:val="32"/>
          <w:highlight w:val="none"/>
        </w:rPr>
        <w:t>国办函〔2020〕129号</w:t>
      </w:r>
      <w:r>
        <w:rPr>
          <w:rFonts w:hint="eastAsia" w:ascii="仿宋_GB2312" w:hAnsi="仿宋_GB2312" w:eastAsia="仿宋_GB2312" w:cs="仿宋_GB2312"/>
          <w:color w:val="auto"/>
          <w:spacing w:val="6"/>
          <w:sz w:val="32"/>
          <w:szCs w:val="32"/>
          <w:highlight w:val="none"/>
          <w:lang w:eastAsia="zh-CN"/>
        </w:rPr>
        <w:t>）</w:t>
      </w:r>
      <w:bookmarkEnd w:id="0"/>
      <w:r>
        <w:rPr>
          <w:rFonts w:hint="eastAsia" w:ascii="仿宋_GB2312" w:hAnsi="仿宋_GB2312" w:eastAsia="仿宋_GB2312" w:cs="仿宋_GB2312"/>
          <w:color w:val="auto"/>
          <w:spacing w:val="6"/>
          <w:sz w:val="32"/>
          <w:szCs w:val="32"/>
          <w:highlight w:val="none"/>
        </w:rPr>
        <w:t>文件要求，供电企业负责将供电设施投资建设至文件规定的投资红线处；小区建设方负责投资建设文件中非供电企业投资红线外的配电设施</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包含居民“一户一表”计量箱、公用设施应急电源、小区充电设施预留接入设备等</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及接网设备。</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2.居民合表、跨产权、“临代正”等存量小区：按照国办函〔2020〕129号文件要求，供电企业负责将供电设施投资建设至文件规定的投资红线处；小区改造过程中非供电企业投资红线外的配电设施</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开关柜、变压器、低压配电设施等</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和接网设备由属地县</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区</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政府相关部门协调投资。</w:t>
      </w:r>
    </w:p>
    <w:p>
      <w:pPr>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黑体" w:hAnsi="黑体" w:eastAsia="黑体" w:cs="黑体"/>
          <w:color w:val="auto"/>
          <w:spacing w:val="0"/>
          <w:sz w:val="32"/>
          <w:szCs w:val="32"/>
          <w:highlight w:val="none"/>
        </w:rPr>
      </w:pPr>
      <w:r>
        <w:rPr>
          <w:rFonts w:hint="eastAsia" w:ascii="黑体" w:hAnsi="黑体" w:eastAsia="黑体" w:cs="黑体"/>
          <w:color w:val="auto"/>
          <w:spacing w:val="0"/>
          <w:sz w:val="32"/>
          <w:szCs w:val="32"/>
          <w:highlight w:val="none"/>
        </w:rPr>
        <w:t>五、保障措施</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default" w:ascii="仿宋_GB2312" w:hAnsi="仿宋_GB2312" w:eastAsia="仿宋_GB2312" w:cs="仿宋_GB2312"/>
          <w:color w:val="auto"/>
          <w:spacing w:val="0"/>
          <w:sz w:val="32"/>
          <w:szCs w:val="32"/>
          <w:highlight w:val="none"/>
          <w:lang w:val="en-US" w:eastAsia="zh-CN"/>
        </w:rPr>
      </w:pPr>
      <w:r>
        <w:rPr>
          <w:rFonts w:hint="eastAsia" w:ascii="楷体_GB2312" w:hAnsi="楷体_GB2312" w:eastAsia="楷体_GB2312" w:cs="楷体_GB2312"/>
          <w:color w:val="auto"/>
          <w:spacing w:val="0"/>
          <w:sz w:val="32"/>
          <w:szCs w:val="32"/>
          <w:highlight w:val="none"/>
          <w:lang w:eastAsia="zh-CN"/>
        </w:rPr>
        <w:t>（</w:t>
      </w:r>
      <w:r>
        <w:rPr>
          <w:rFonts w:hint="eastAsia" w:ascii="楷体_GB2312" w:hAnsi="楷体_GB2312" w:eastAsia="楷体_GB2312" w:cs="楷体_GB2312"/>
          <w:color w:val="auto"/>
          <w:spacing w:val="0"/>
          <w:sz w:val="32"/>
          <w:szCs w:val="32"/>
          <w:highlight w:val="none"/>
        </w:rPr>
        <w:t>一</w:t>
      </w:r>
      <w:r>
        <w:rPr>
          <w:rFonts w:hint="eastAsia" w:ascii="楷体_GB2312" w:hAnsi="楷体_GB2312" w:eastAsia="楷体_GB2312" w:cs="楷体_GB2312"/>
          <w:color w:val="auto"/>
          <w:spacing w:val="0"/>
          <w:sz w:val="32"/>
          <w:szCs w:val="32"/>
          <w:highlight w:val="none"/>
          <w:lang w:eastAsia="zh-CN"/>
        </w:rPr>
        <w:t>）</w:t>
      </w:r>
      <w:r>
        <w:rPr>
          <w:rFonts w:hint="eastAsia" w:ascii="楷体_GB2312" w:hAnsi="楷体_GB2312" w:eastAsia="楷体_GB2312" w:cs="楷体_GB2312"/>
          <w:color w:val="auto"/>
          <w:spacing w:val="0"/>
          <w:sz w:val="32"/>
          <w:szCs w:val="32"/>
          <w:highlight w:val="none"/>
        </w:rPr>
        <w:t>加强组织领导。</w:t>
      </w:r>
      <w:r>
        <w:rPr>
          <w:rFonts w:hint="eastAsia" w:ascii="仿宋_GB2312" w:hAnsi="仿宋_GB2312" w:eastAsia="仿宋_GB2312" w:cs="仿宋_GB2312"/>
          <w:color w:val="auto"/>
          <w:spacing w:val="0"/>
          <w:sz w:val="32"/>
          <w:szCs w:val="32"/>
          <w:highlight w:val="none"/>
        </w:rPr>
        <w:t>坚持属地为主、分级负责，市级及各县</w:t>
      </w:r>
      <w:r>
        <w:rPr>
          <w:rFonts w:hint="eastAsia" w:ascii="仿宋_GB2312" w:hAnsi="仿宋_GB2312" w:eastAsia="仿宋_GB2312" w:cs="仿宋_GB2312"/>
          <w:color w:val="auto"/>
          <w:spacing w:val="0"/>
          <w:sz w:val="32"/>
          <w:szCs w:val="32"/>
          <w:highlight w:val="none"/>
          <w:lang w:eastAsia="zh-CN"/>
        </w:rPr>
        <w:t>（区）</w:t>
      </w:r>
      <w:r>
        <w:rPr>
          <w:rFonts w:hint="eastAsia" w:ascii="仿宋_GB2312" w:hAnsi="仿宋_GB2312" w:eastAsia="仿宋_GB2312" w:cs="仿宋_GB2312"/>
          <w:color w:val="auto"/>
          <w:spacing w:val="0"/>
          <w:sz w:val="32"/>
          <w:szCs w:val="32"/>
          <w:highlight w:val="none"/>
        </w:rPr>
        <w:t>相关部门和供电企业成立工作专班，统筹建立工作机制，形成工作合力，研究制定改造接收计划和工作落实方案</w:t>
      </w:r>
      <w:r>
        <w:rPr>
          <w:rFonts w:hint="eastAsia" w:ascii="仿宋_GB2312" w:hAnsi="仿宋_GB2312" w:eastAsia="仿宋_GB2312" w:cs="仿宋_GB2312"/>
          <w:color w:val="auto"/>
          <w:spacing w:val="0"/>
          <w:sz w:val="32"/>
          <w:szCs w:val="32"/>
          <w:highlight w:val="none"/>
          <w:lang w:val="en-US" w:eastAsia="zh-CN"/>
        </w:rPr>
        <w:t>，</w:t>
      </w:r>
      <w:r>
        <w:rPr>
          <w:rFonts w:hint="eastAsia" w:ascii="仿宋_GB2312" w:hAnsi="仿宋_GB2312" w:eastAsia="仿宋_GB2312" w:cs="仿宋_GB2312"/>
          <w:color w:val="auto"/>
          <w:spacing w:val="0"/>
          <w:sz w:val="32"/>
          <w:szCs w:val="32"/>
          <w:highlight w:val="none"/>
        </w:rPr>
        <w:t>定期召开工作协调推进会，掌握实施进度，研究解决实际问题。</w:t>
      </w:r>
      <w:r>
        <w:rPr>
          <w:rFonts w:hint="eastAsia" w:ascii="仿宋_GB2312" w:hAnsi="仿宋_GB2312" w:eastAsia="仿宋_GB2312" w:cs="仿宋_GB2312"/>
          <w:color w:val="auto"/>
          <w:spacing w:val="0"/>
          <w:sz w:val="32"/>
          <w:szCs w:val="32"/>
          <w:highlight w:val="none"/>
          <w:lang w:eastAsia="zh-CN"/>
        </w:rPr>
        <w:t>各县（区）具体负责县域内非电网直供小区供配电设施改造升级工作</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eastAsia="zh-CN"/>
        </w:rPr>
        <w:t>做好计划编制、实施改造、验收移交等全过程工作，确保任务改造如期完成</w:t>
      </w:r>
      <w:r>
        <w:rPr>
          <w:rFonts w:hint="eastAsia" w:ascii="仿宋_GB2312" w:hAnsi="仿宋_GB2312" w:eastAsia="仿宋_GB2312" w:cs="仿宋_GB2312"/>
          <w:color w:val="auto"/>
          <w:spacing w:val="0"/>
          <w:sz w:val="32"/>
          <w:szCs w:val="32"/>
          <w:highlight w:val="none"/>
        </w:rPr>
        <w:t>。</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楷体_GB2312" w:hAnsi="楷体_GB2312" w:eastAsia="楷体_GB2312" w:cs="楷体_GB2312"/>
          <w:color w:val="auto"/>
          <w:spacing w:val="0"/>
          <w:sz w:val="32"/>
          <w:szCs w:val="32"/>
          <w:highlight w:val="none"/>
          <w:lang w:val="en-US" w:eastAsia="zh-CN"/>
        </w:rPr>
        <w:t>（</w:t>
      </w:r>
      <w:r>
        <w:rPr>
          <w:rFonts w:hint="eastAsia" w:ascii="楷体_GB2312" w:hAnsi="楷体_GB2312" w:eastAsia="楷体_GB2312" w:cs="楷体_GB2312"/>
          <w:color w:val="auto"/>
          <w:spacing w:val="0"/>
          <w:sz w:val="32"/>
          <w:szCs w:val="32"/>
          <w:highlight w:val="none"/>
          <w:lang w:eastAsia="zh-CN"/>
        </w:rPr>
        <w:t>二）严格安全管理。</w:t>
      </w:r>
      <w:r>
        <w:rPr>
          <w:rFonts w:hint="eastAsia" w:ascii="仿宋_GB2312" w:hAnsi="仿宋_GB2312" w:eastAsia="仿宋_GB2312" w:cs="仿宋_GB2312"/>
          <w:color w:val="auto"/>
          <w:spacing w:val="0"/>
          <w:sz w:val="32"/>
          <w:szCs w:val="32"/>
          <w:highlight w:val="none"/>
        </w:rPr>
        <w:t>各单位严格履行安全管理职责，重点抓好现场施工、供电、涉燃和消防等安全管理。非直供小区电力设施移交前，供电企业指导移交主体开展安全隐患排查，建立问题台账，及时整改。移交主体在改造期间加强安全管理</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制定供电安全事故应急预案，备足抢修物资，增强抢修力量，确保一旦发生故障及时快速处理。</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lang w:eastAsia="zh-CN"/>
        </w:rPr>
      </w:pPr>
      <w:r>
        <w:rPr>
          <w:rFonts w:hint="eastAsia" w:ascii="楷体_GB2312" w:hAnsi="楷体_GB2312" w:eastAsia="楷体_GB2312" w:cs="楷体_GB2312"/>
          <w:color w:val="auto"/>
          <w:spacing w:val="0"/>
          <w:sz w:val="32"/>
          <w:szCs w:val="32"/>
          <w:highlight w:val="none"/>
          <w:lang w:eastAsia="zh-CN"/>
        </w:rPr>
        <w:t>（三）强化过渡期管控。</w:t>
      </w:r>
      <w:r>
        <w:rPr>
          <w:rFonts w:hint="eastAsia" w:ascii="仿宋_GB2312" w:hAnsi="仿宋_GB2312" w:eastAsia="仿宋_GB2312" w:cs="仿宋_GB2312"/>
          <w:color w:val="auto"/>
          <w:spacing w:val="0"/>
          <w:sz w:val="32"/>
          <w:szCs w:val="32"/>
          <w:highlight w:val="none"/>
        </w:rPr>
        <w:t>在非直供小区改造移交前和移交过程中，由属地或业主单位承担供电服务主体责任，加大舆情监测处置力度，</w:t>
      </w:r>
      <w:r>
        <w:rPr>
          <w:rFonts w:hint="eastAsia" w:ascii="仿宋_GB2312" w:hAnsi="仿宋_GB2312" w:eastAsia="仿宋_GB2312" w:cs="仿宋_GB2312"/>
          <w:color w:val="auto"/>
          <w:spacing w:val="0"/>
          <w:sz w:val="32"/>
          <w:szCs w:val="32"/>
          <w:highlight w:val="none"/>
          <w:lang w:eastAsia="zh-CN"/>
        </w:rPr>
        <w:t>建立街道社区矛盾纠纷调解渠道，妥善处置改造过程中信访舆情，</w:t>
      </w:r>
      <w:r>
        <w:rPr>
          <w:rFonts w:hint="eastAsia" w:ascii="仿宋_GB2312" w:hAnsi="仿宋_GB2312" w:eastAsia="仿宋_GB2312" w:cs="仿宋_GB2312"/>
          <w:color w:val="auto"/>
          <w:spacing w:val="0"/>
          <w:sz w:val="32"/>
          <w:szCs w:val="32"/>
          <w:highlight w:val="none"/>
        </w:rPr>
        <w:t>及时消除不利影响，供电企业配合做好非直供小区供配电设施的应急抢修和处置工作，保障人民群众用电需求。</w:t>
      </w:r>
      <w:r>
        <w:rPr>
          <w:rFonts w:hint="eastAsia" w:ascii="仿宋_GB2312" w:hAnsi="仿宋_GB2312" w:eastAsia="仿宋_GB2312" w:cs="仿宋_GB2312"/>
          <w:color w:val="auto"/>
          <w:spacing w:val="0"/>
          <w:sz w:val="32"/>
          <w:szCs w:val="32"/>
          <w:highlight w:val="none"/>
          <w:lang w:eastAsia="zh-CN"/>
        </w:rPr>
        <w:t>将供电设施建设标准作为房地产项目竣工验收硬性审查环节，从源头杜绝新增非直供小区。</w:t>
      </w:r>
      <w:r>
        <w:rPr>
          <w:rFonts w:hint="eastAsia" w:ascii="仿宋_GB2312" w:hAnsi="仿宋_GB2312" w:eastAsia="仿宋_GB2312" w:cs="仿宋_GB2312"/>
          <w:color w:val="auto"/>
          <w:spacing w:val="0"/>
          <w:sz w:val="32"/>
          <w:szCs w:val="32"/>
          <w:highlight w:val="none"/>
        </w:rPr>
        <w:t>整改移交后，由供电企业履行供电服务主体责任</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并</w:t>
      </w:r>
      <w:r>
        <w:rPr>
          <w:rFonts w:hint="eastAsia" w:ascii="仿宋_GB2312" w:hAnsi="仿宋_GB2312" w:eastAsia="仿宋_GB2312" w:cs="仿宋_GB2312"/>
          <w:color w:val="auto"/>
          <w:spacing w:val="0"/>
          <w:sz w:val="32"/>
          <w:szCs w:val="32"/>
          <w:highlight w:val="none"/>
          <w:lang w:eastAsia="zh-CN"/>
        </w:rPr>
        <w:t>增加改造后评估环节，移交运行一定时期后开展供电质量回访，补齐改造短板。</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楷体_GB2312" w:hAnsi="楷体_GB2312" w:eastAsia="楷体_GB2312" w:cs="楷体_GB2312"/>
          <w:color w:val="auto"/>
          <w:spacing w:val="0"/>
          <w:sz w:val="32"/>
          <w:szCs w:val="32"/>
          <w:highlight w:val="none"/>
          <w:lang w:eastAsia="zh-CN"/>
        </w:rPr>
        <w:t>(四)杜绝新增问题。</w:t>
      </w:r>
      <w:r>
        <w:rPr>
          <w:rFonts w:hint="eastAsia" w:ascii="仿宋_GB2312" w:hAnsi="仿宋_GB2312" w:eastAsia="仿宋_GB2312" w:cs="仿宋_GB2312"/>
          <w:color w:val="auto"/>
          <w:spacing w:val="0"/>
          <w:sz w:val="32"/>
          <w:szCs w:val="32"/>
          <w:highlight w:val="none"/>
        </w:rPr>
        <w:t>严格落实甘肃省</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居民住宅用电一户一表建设与改造技术规程》</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DB62/T25—3067-2013</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等有关规定</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如标准更新按最新标准执行</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将供电设施建设标准纳入房地产开发项目建设条件，由供电企业参与房地产开发项目建设条件提出、执行相关政策标准，新建居住区按照国家和省有关标准进行电力设施建设，做好报装和验收，杜绝出现新的非直供小区。</w:t>
      </w:r>
    </w:p>
    <w:p>
      <w:pPr>
        <w:pStyle w:val="2"/>
        <w:keepNext w:val="0"/>
        <w:keepLines w:val="0"/>
        <w:pageBreakBefore w:val="0"/>
        <w:widowControl w:val="0"/>
        <w:kinsoku w:val="0"/>
        <w:wordWrap/>
        <w:overflowPunct/>
        <w:topLinePunct w:val="0"/>
        <w:autoSpaceDE w:val="0"/>
        <w:autoSpaceDN w:val="0"/>
        <w:bidi w:val="0"/>
        <w:adjustRightInd w:val="0"/>
        <w:snapToGrid w:val="0"/>
        <w:spacing w:line="587" w:lineRule="exact"/>
        <w:ind w:left="0" w:right="0" w:firstLine="640" w:firstLineChars="200"/>
        <w:jc w:val="both"/>
        <w:textAlignment w:val="baseline"/>
        <w:rPr>
          <w:rFonts w:hint="eastAsia" w:ascii="仿宋_GB2312" w:hAnsi="仿宋_GB2312" w:eastAsia="仿宋_GB2312" w:cs="仿宋_GB2312"/>
          <w:color w:val="auto"/>
          <w:spacing w:val="0"/>
          <w:sz w:val="32"/>
          <w:szCs w:val="32"/>
          <w:highlight w:val="none"/>
        </w:rPr>
      </w:pPr>
      <w:r>
        <w:rPr>
          <w:rFonts w:hint="eastAsia" w:ascii="楷体_GB2312" w:hAnsi="楷体_GB2312" w:eastAsia="楷体_GB2312" w:cs="楷体_GB2312"/>
          <w:color w:val="auto"/>
          <w:spacing w:val="0"/>
          <w:sz w:val="32"/>
          <w:szCs w:val="32"/>
          <w:highlight w:val="none"/>
          <w:lang w:eastAsia="zh-CN"/>
        </w:rPr>
        <w:t>(五)做好宣传引导。</w:t>
      </w:r>
      <w:r>
        <w:rPr>
          <w:rFonts w:hint="eastAsia" w:ascii="仿宋_GB2312" w:hAnsi="仿宋_GB2312" w:eastAsia="仿宋_GB2312" w:cs="仿宋_GB2312"/>
          <w:color w:val="auto"/>
          <w:spacing w:val="0"/>
          <w:sz w:val="32"/>
          <w:szCs w:val="32"/>
          <w:highlight w:val="none"/>
        </w:rPr>
        <w:t>强化政策宣传，通过政府官网、媒体报道、社区公告等渠道，积极宣传非直供小区电力设施改造提升的重要意义，引导开发建设单位、产权单位、物业服务企业和居民支持改造、参与改造。加强工作总结，梳理工作成效，提炼典型做法，营造良好氛围。</w:t>
      </w:r>
    </w:p>
    <w:p>
      <w:pPr>
        <w:keepNext w:val="0"/>
        <w:keepLines w:val="0"/>
        <w:widowControl/>
        <w:suppressLineNumbers w:val="0"/>
        <w:ind w:firstLine="664" w:firstLineChars="200"/>
        <w:jc w:val="left"/>
        <w:rPr>
          <w:rFonts w:hint="eastAsia" w:ascii="仿宋_GB2312" w:hAnsi="仿宋_GB2312" w:eastAsia="仿宋_GB2312" w:cs="仿宋_GB2312"/>
          <w:color w:val="auto"/>
          <w:spacing w:val="6"/>
          <w:sz w:val="32"/>
          <w:szCs w:val="32"/>
          <w:highlight w:val="none"/>
          <w:lang w:val="en-US" w:eastAsia="zh-CN"/>
        </w:rPr>
      </w:pPr>
    </w:p>
    <w:sectPr>
      <w:footerReference r:id="rId5" w:type="default"/>
      <w:pgSz w:w="11900" w:h="16840"/>
      <w:pgMar w:top="2098" w:right="1474" w:bottom="1984" w:left="1587" w:header="850" w:footer="992" w:gutter="0"/>
      <w:pgNumType w:fmt="numberInDash"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5" w:lineRule="auto"/>
      <w:rPr>
        <w:rFonts w:ascii="Times New Roman" w:hAnsi="Times New Roman" w:eastAsia="Times New Roman" w:cs="Times New Roman"/>
        <w:sz w:val="11"/>
        <w:szCs w:val="11"/>
      </w:rPr>
    </w:pPr>
    <w:r>
      <w:rPr>
        <w:sz w:val="11"/>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-180975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keepNext w:val="0"/>
                            <w:keepLines w:val="0"/>
                            <w:pageBreakBefore w:val="0"/>
                            <w:widowControl/>
                            <w:kinsoku w:val="0"/>
                            <w:wordWrap/>
                            <w:overflowPunct/>
                            <w:topLinePunct w:val="0"/>
                            <w:bidi w:val="0"/>
                            <w:adjustRightInd w:val="0"/>
                            <w:snapToGrid w:val="0"/>
                            <w:jc w:val="left"/>
                            <w:textAlignment w:val="baseline"/>
                            <w:rPr>
                              <w:rFonts w:hint="default" w:asciiTheme="minorEastAsia" w:hAnsiTheme="minorEastAsia" w:eastAsiaTheme="minorEastAsia" w:cstheme="minorEastAsia"/>
                              <w:sz w:val="28"/>
                              <w:szCs w:val="36"/>
                              <w:lang w:val="en-US" w:eastAsia="zh-CN"/>
                            </w:rPr>
                          </w:pPr>
                          <w:r>
                            <w:rPr>
                              <w:rFonts w:hint="eastAsia" w:asciiTheme="minorEastAsia" w:hAnsiTheme="minorEastAsia" w:eastAsiaTheme="minorEastAsia" w:cstheme="minorEastAsia"/>
                              <w:sz w:val="28"/>
                              <w:szCs w:val="36"/>
                            </w:rPr>
                            <w:fldChar w:fldCharType="begin"/>
                          </w:r>
                          <w:r>
                            <w:rPr>
                              <w:rFonts w:hint="eastAsia" w:asciiTheme="minorEastAsia" w:hAnsiTheme="minorEastAsia" w:eastAsiaTheme="minorEastAsia" w:cstheme="minorEastAsia"/>
                              <w:sz w:val="28"/>
                              <w:szCs w:val="36"/>
                            </w:rPr>
                            <w:instrText xml:space="preserve"> PAGE  \* MERGEFORMAT </w:instrText>
                          </w:r>
                          <w:r>
                            <w:rPr>
                              <w:rFonts w:hint="eastAsia" w:asciiTheme="minorEastAsia" w:hAnsiTheme="minorEastAsia" w:eastAsiaTheme="minorEastAsia" w:cstheme="minorEastAsia"/>
                              <w:sz w:val="28"/>
                              <w:szCs w:val="36"/>
                            </w:rPr>
                            <w:fldChar w:fldCharType="separate"/>
                          </w:r>
                          <w:r>
                            <w:rPr>
                              <w:rFonts w:hint="eastAsia" w:asciiTheme="minorEastAsia" w:hAnsiTheme="minorEastAsia" w:eastAsiaTheme="minorEastAsia" w:cstheme="minorEastAsia"/>
                              <w:sz w:val="28"/>
                              <w:szCs w:val="36"/>
                            </w:rPr>
                            <w:t>1</w:t>
                          </w:r>
                          <w:r>
                            <w:rPr>
                              <w:rFonts w:hint="eastAsia" w:asciiTheme="minorEastAsia" w:hAnsiTheme="minorEastAsia" w:eastAsiaTheme="minorEastAsia" w:cstheme="minorEastAsia"/>
                              <w:sz w:val="28"/>
                              <w:szCs w:val="36"/>
                            </w:rPr>
                            <w:fldChar w:fldCharType="end"/>
                          </w:r>
                          <w:r>
                            <w:rPr>
                              <w:rFonts w:hint="eastAsia" w:asciiTheme="minorEastAsia" w:hAnsiTheme="minorEastAsia" w:eastAsiaTheme="minorEastAsia" w:cstheme="minorEastAsia"/>
                              <w:sz w:val="28"/>
                              <w:szCs w:val="36"/>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4.25pt;height:144pt;width:144pt;mso-position-horizontal:inside;mso-position-horizontal-relative:margin;mso-wrap-style:none;z-index:251659264;mso-width-relative:page;mso-height-relative:page;" filled="f" stroked="f" coordsize="21600,21600" o:gfxdata="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NZ61+NYAAAAIAQAADwAAAAAAAAABACAA&#10;AAA4AAAAZHJzL2Rvd25yZXYueG1sUEsBAhQAFAAAAAgAh07iQOGA044yAgAAYQQAAA4AAAAAAAAA&#10;AQAgAAAAOwEAAGRycy9lMm9Eb2MueG1sUEsFBgAAAAAGAAYAWQEAAN8FAAAAAA==&#10;">
              <v:fill on="f" focussize="0,0"/>
              <v:stroke on="f" weight="0.5pt"/>
              <v:imagedata o:title=""/>
              <o:lock v:ext="edit" aspectratio="f"/>
              <v:textbox inset="0mm,0mm,0mm,0mm" style="mso-fit-shape-to-text:t;">
                <w:txbxContent>
                  <w:p>
                    <w:pPr>
                      <w:pStyle w:val="3"/>
                      <w:keepNext w:val="0"/>
                      <w:keepLines w:val="0"/>
                      <w:pageBreakBefore w:val="0"/>
                      <w:widowControl/>
                      <w:kinsoku w:val="0"/>
                      <w:wordWrap/>
                      <w:overflowPunct/>
                      <w:topLinePunct w:val="0"/>
                      <w:bidi w:val="0"/>
                      <w:adjustRightInd w:val="0"/>
                      <w:snapToGrid w:val="0"/>
                      <w:jc w:val="left"/>
                      <w:textAlignment w:val="baseline"/>
                      <w:rPr>
                        <w:rFonts w:hint="default" w:asciiTheme="minorEastAsia" w:hAnsiTheme="minorEastAsia" w:eastAsiaTheme="minorEastAsia" w:cstheme="minorEastAsia"/>
                        <w:sz w:val="28"/>
                        <w:szCs w:val="36"/>
                        <w:lang w:val="en-US" w:eastAsia="zh-CN"/>
                      </w:rPr>
                    </w:pPr>
                    <w:r>
                      <w:rPr>
                        <w:rFonts w:hint="eastAsia" w:asciiTheme="minorEastAsia" w:hAnsiTheme="minorEastAsia" w:eastAsiaTheme="minorEastAsia" w:cstheme="minorEastAsia"/>
                        <w:sz w:val="28"/>
                        <w:szCs w:val="36"/>
                      </w:rPr>
                      <w:fldChar w:fldCharType="begin"/>
                    </w:r>
                    <w:r>
                      <w:rPr>
                        <w:rFonts w:hint="eastAsia" w:asciiTheme="minorEastAsia" w:hAnsiTheme="minorEastAsia" w:eastAsiaTheme="minorEastAsia" w:cstheme="minorEastAsia"/>
                        <w:sz w:val="28"/>
                        <w:szCs w:val="36"/>
                      </w:rPr>
                      <w:instrText xml:space="preserve"> PAGE  \* MERGEFORMAT </w:instrText>
                    </w:r>
                    <w:r>
                      <w:rPr>
                        <w:rFonts w:hint="eastAsia" w:asciiTheme="minorEastAsia" w:hAnsiTheme="minorEastAsia" w:eastAsiaTheme="minorEastAsia" w:cstheme="minorEastAsia"/>
                        <w:sz w:val="28"/>
                        <w:szCs w:val="36"/>
                      </w:rPr>
                      <w:fldChar w:fldCharType="separate"/>
                    </w:r>
                    <w:r>
                      <w:rPr>
                        <w:rFonts w:hint="eastAsia" w:asciiTheme="minorEastAsia" w:hAnsiTheme="minorEastAsia" w:eastAsiaTheme="minorEastAsia" w:cstheme="minorEastAsia"/>
                        <w:sz w:val="28"/>
                        <w:szCs w:val="36"/>
                      </w:rPr>
                      <w:t>1</w:t>
                    </w:r>
                    <w:r>
                      <w:rPr>
                        <w:rFonts w:hint="eastAsia" w:asciiTheme="minorEastAsia" w:hAnsiTheme="minorEastAsia" w:eastAsiaTheme="minorEastAsia" w:cstheme="minorEastAsia"/>
                        <w:sz w:val="28"/>
                        <w:szCs w:val="36"/>
                      </w:rPr>
                      <w:fldChar w:fldCharType="end"/>
                    </w:r>
                    <w:r>
                      <w:rPr>
                        <w:rFonts w:hint="eastAsia" w:asciiTheme="minorEastAsia" w:hAnsiTheme="minorEastAsia" w:eastAsiaTheme="minorEastAsia" w:cstheme="minorEastAsia"/>
                        <w:sz w:val="28"/>
                        <w:szCs w:val="36"/>
                        <w:lang w:val="en-US"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502"/>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172A27"/>
    <w:rsid w:val="0A7813E8"/>
    <w:rsid w:val="0A91166B"/>
    <w:rsid w:val="0D163CA0"/>
    <w:rsid w:val="100877BF"/>
    <w:rsid w:val="13B37593"/>
    <w:rsid w:val="29BD31B6"/>
    <w:rsid w:val="3A3E17F6"/>
    <w:rsid w:val="3D5F7114"/>
    <w:rsid w:val="3DF5589F"/>
    <w:rsid w:val="59AB3705"/>
    <w:rsid w:val="59DB4679"/>
    <w:rsid w:val="5B305088"/>
    <w:rsid w:val="5BD0382F"/>
    <w:rsid w:val="6E5D1EC8"/>
    <w:rsid w:val="77EF63B7"/>
    <w:rsid w:val="7EF2DA02"/>
    <w:rsid w:val="7FB87368"/>
    <w:rsid w:val="7FEB5864"/>
    <w:rsid w:val="97FF257C"/>
    <w:rsid w:val="A67D928E"/>
    <w:rsid w:val="BD7F6BD5"/>
    <w:rsid w:val="DCAC2D45"/>
    <w:rsid w:val="DEFD94BD"/>
    <w:rsid w:val="ED7FA4F3"/>
    <w:rsid w:val="EE7D1055"/>
    <w:rsid w:val="F35F55DF"/>
    <w:rsid w:val="F3BB3975"/>
    <w:rsid w:val="FD8D3FB7"/>
    <w:rsid w:val="FF7A505F"/>
    <w:rsid w:val="FFFF3A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3904</Words>
  <Characters>3950</Characters>
  <TotalTime>57</TotalTime>
  <ScaleCrop>false</ScaleCrop>
  <LinksUpToDate>false</LinksUpToDate>
  <CharactersWithSpaces>3951</CharactersWithSpaces>
  <Application>WPS Office_11.8.2.1132_F1E327BC-269C-435d-A152-05C5408002CA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2026-10-01T10:14:00Z</dcterms:created>
  <dc:creator>uos</dc:creator>
  <cp:lastModifiedBy>毛瑞林</cp:lastModifiedBy>
  <cp:lastPrinted>2026-11-05T16:06:18Z</cp:lastPrinted>
  <dcterms:modified xsi:type="dcterms:W3CDTF">2026-11-05T16:39:14Z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2026-09-29T18:14:48Z</vt:filetime>
  </property>
  <property fmtid="{D5CDD505-2E9C-101B-9397-08002B2CF9AE}" pid="4" name="UsrData">
    <vt:lpwstr>6abb8f950b53a8001f489fb8wl</vt:lpwstr>
  </property>
  <property fmtid="{D5CDD505-2E9C-101B-9397-08002B2CF9AE}" pid="5" name="KSOProductBuildVer">
    <vt:lpwstr>2052-11.8.2.1132</vt:lpwstr>
  </property>
  <property fmtid="{D5CDD505-2E9C-101B-9397-08002B2CF9AE}" pid="6" name="ICV">
    <vt:lpwstr>21D0E055C7B48FDCB240EC6A36FA3392</vt:lpwstr>
  </property>
  <property fmtid="{D5CDD505-2E9C-101B-9397-08002B2CF9AE}" pid="7" name="KSOTemplateDocerSaveRecord">
    <vt:lpwstr>eyJoZGlkIjoiY2NlN2M5ZmZjYWFlMWY1MmIxODMzYjI2ZTUyOWUwNjciLCJ1c2VySWQiOiI1OTU1MjMxNjAifQ==</vt:lpwstr>
  </property>
</Properties>
</file>