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6725A">
      <w:pPr>
        <w:spacing w:line="587"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14:paraId="0D00FF42">
      <w:pPr>
        <w:spacing w:line="587" w:lineRule="exact"/>
        <w:jc w:val="center"/>
        <w:rPr>
          <w:rFonts w:ascii="方正小标宋简体" w:hAnsi="黑体" w:eastAsia="方正小标宋简体" w:cs="仿宋_GB2312"/>
          <w:color w:val="000000" w:themeColor="text1"/>
          <w:sz w:val="44"/>
          <w:szCs w:val="44"/>
          <w14:textFill>
            <w14:solidFill>
              <w14:schemeClr w14:val="tx1"/>
            </w14:solidFill>
          </w14:textFill>
        </w:rPr>
      </w:pPr>
      <w:r>
        <w:rPr>
          <w:rFonts w:hint="eastAsia" w:ascii="方正小标宋简体" w:hAnsi="黑体" w:eastAsia="方正小标宋简体" w:cs="仿宋_GB2312"/>
          <w:color w:val="000000" w:themeColor="text1"/>
          <w:sz w:val="44"/>
          <w:szCs w:val="44"/>
          <w14:textFill>
            <w14:solidFill>
              <w14:schemeClr w14:val="tx1"/>
            </w14:solidFill>
          </w14:textFill>
        </w:rPr>
        <w:t>《张掖市</w:t>
      </w:r>
      <w:r>
        <w:rPr>
          <w:rFonts w:hint="eastAsia" w:ascii="方正小标宋简体" w:hAnsi="黑体" w:eastAsia="方正小标宋简体" w:cs="仿宋_GB2312"/>
          <w:color w:val="000000" w:themeColor="text1"/>
          <w:sz w:val="44"/>
          <w:szCs w:val="44"/>
          <w:lang w:val="en-US" w:eastAsia="zh-CN"/>
          <w14:textFill>
            <w14:solidFill>
              <w14:schemeClr w14:val="tx1"/>
            </w14:solidFill>
          </w14:textFill>
        </w:rPr>
        <w:t>耕地质量保护条例</w:t>
      </w:r>
      <w:r>
        <w:rPr>
          <w:rFonts w:hint="eastAsia" w:ascii="方正小标宋简体" w:hAnsi="黑体" w:eastAsia="方正小标宋简体" w:cs="仿宋_GB2312"/>
          <w:color w:val="000000" w:themeColor="text1"/>
          <w:sz w:val="44"/>
          <w:szCs w:val="44"/>
          <w14:textFill>
            <w14:solidFill>
              <w14:schemeClr w14:val="tx1"/>
            </w14:solidFill>
          </w14:textFill>
        </w:rPr>
        <w:t>（草案</w:t>
      </w:r>
      <w:r>
        <w:rPr>
          <w:rFonts w:hint="eastAsia" w:ascii="方正小标宋简体" w:hAnsi="黑体" w:eastAsia="方正小标宋简体" w:cs="仿宋_GB2312"/>
          <w:color w:val="000000" w:themeColor="text1"/>
          <w:sz w:val="44"/>
          <w:szCs w:val="44"/>
          <w:lang w:val="en-US" w:eastAsia="zh-CN"/>
          <w14:textFill>
            <w14:solidFill>
              <w14:schemeClr w14:val="tx1"/>
            </w14:solidFill>
          </w14:textFill>
        </w:rPr>
        <w:t>送审稿</w:t>
      </w:r>
      <w:r>
        <w:rPr>
          <w:rFonts w:hint="eastAsia" w:ascii="方正小标宋简体" w:hAnsi="黑体" w:eastAsia="方正小标宋简体" w:cs="仿宋_GB2312"/>
          <w:color w:val="000000" w:themeColor="text1"/>
          <w:sz w:val="44"/>
          <w:szCs w:val="44"/>
          <w14:textFill>
            <w14:solidFill>
              <w14:schemeClr w14:val="tx1"/>
            </w14:solidFill>
          </w14:textFill>
        </w:rPr>
        <w:t>）》</w:t>
      </w:r>
      <w:r>
        <w:rPr>
          <w:rFonts w:hint="eastAsia" w:ascii="方正小标宋简体" w:hAnsi="黑体" w:eastAsia="方正小标宋简体" w:cs="仿宋_GB2312"/>
          <w:color w:val="000000" w:themeColor="text1"/>
          <w:sz w:val="44"/>
          <w:szCs w:val="44"/>
          <w:lang w:eastAsia="zh-CN"/>
          <w14:textFill>
            <w14:solidFill>
              <w14:schemeClr w14:val="tx1"/>
            </w14:solidFill>
          </w14:textFill>
        </w:rPr>
        <w:t>法律</w:t>
      </w:r>
      <w:r>
        <w:rPr>
          <w:rFonts w:hint="eastAsia" w:ascii="方正小标宋简体" w:hAnsi="黑体" w:eastAsia="方正小标宋简体" w:cs="仿宋_GB2312"/>
          <w:color w:val="000000" w:themeColor="text1"/>
          <w:sz w:val="44"/>
          <w:szCs w:val="44"/>
          <w14:textFill>
            <w14:solidFill>
              <w14:schemeClr w14:val="tx1"/>
            </w14:solidFill>
          </w14:textFill>
        </w:rPr>
        <w:t>依据对照表</w:t>
      </w:r>
    </w:p>
    <w:p w14:paraId="4909ACF2">
      <w:pPr>
        <w:spacing w:line="587" w:lineRule="exact"/>
        <w:ind w:firstLine="1980" w:firstLineChars="450"/>
        <w:jc w:val="center"/>
        <w:rPr>
          <w:rFonts w:ascii="方正小标宋简体" w:hAnsi="黑体" w:eastAsia="方正小标宋简体" w:cs="仿宋_GB2312"/>
          <w:color w:val="000000" w:themeColor="text1"/>
          <w:sz w:val="44"/>
          <w:szCs w:val="44"/>
          <w14:textFill>
            <w14:solidFill>
              <w14:schemeClr w14:val="tx1"/>
            </w14:solidFill>
          </w14:textFill>
        </w:rPr>
      </w:pPr>
    </w:p>
    <w:tbl>
      <w:tblPr>
        <w:tblStyle w:val="12"/>
        <w:tblW w:w="1396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83"/>
        <w:gridCol w:w="7284"/>
      </w:tblGrid>
      <w:tr w14:paraId="5689F6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6683" w:type="dxa"/>
            <w:vAlign w:val="center"/>
          </w:tcPr>
          <w:p w14:paraId="745BB4A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ascii="黑体" w:hAnsi="黑体" w:eastAsia="黑体" w:cs="仿宋_GB2312"/>
                <w:b w:val="0"/>
                <w:bCs w:val="0"/>
                <w:color w:val="000000" w:themeColor="text1"/>
                <w:sz w:val="24"/>
                <w:szCs w:val="24"/>
                <w14:textFill>
                  <w14:solidFill>
                    <w14:schemeClr w14:val="tx1"/>
                  </w14:solidFill>
                </w14:textFill>
              </w:rPr>
            </w:pPr>
            <w:r>
              <w:rPr>
                <w:rFonts w:hint="eastAsia" w:ascii="黑体" w:hAnsi="黑体" w:eastAsia="黑体" w:cs="仿宋_GB2312"/>
                <w:b w:val="0"/>
                <w:bCs w:val="0"/>
                <w:color w:val="000000" w:themeColor="text1"/>
                <w:sz w:val="24"/>
                <w:szCs w:val="24"/>
                <w14:textFill>
                  <w14:solidFill>
                    <w14:schemeClr w14:val="tx1"/>
                  </w14:solidFill>
                </w14:textFill>
              </w:rPr>
              <w:t>条文</w:t>
            </w:r>
          </w:p>
        </w:tc>
        <w:tc>
          <w:tcPr>
            <w:tcW w:w="7284" w:type="dxa"/>
            <w:vAlign w:val="center"/>
          </w:tcPr>
          <w:p w14:paraId="453E0AB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ascii="黑体" w:hAnsi="黑体" w:eastAsia="黑体" w:cs="仿宋_GB2312"/>
                <w:b w:val="0"/>
                <w:bCs w:val="0"/>
                <w:color w:val="000000" w:themeColor="text1"/>
                <w:sz w:val="24"/>
                <w:szCs w:val="24"/>
                <w14:textFill>
                  <w14:solidFill>
                    <w14:schemeClr w14:val="tx1"/>
                  </w14:solidFill>
                </w14:textFill>
              </w:rPr>
            </w:pPr>
            <w:r>
              <w:rPr>
                <w:rFonts w:hint="eastAsia" w:ascii="黑体" w:hAnsi="黑体" w:eastAsia="黑体" w:cs="仿宋_GB2312"/>
                <w:b w:val="0"/>
                <w:bCs w:val="0"/>
                <w:color w:val="000000" w:themeColor="text1"/>
                <w:sz w:val="24"/>
                <w:szCs w:val="24"/>
                <w14:textFill>
                  <w14:solidFill>
                    <w14:schemeClr w14:val="tx1"/>
                  </w14:solidFill>
                </w14:textFill>
              </w:rPr>
              <w:t>依据</w:t>
            </w:r>
          </w:p>
        </w:tc>
      </w:tr>
      <w:tr w14:paraId="6A3F4D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4" w:hRule="atLeast"/>
        </w:trPr>
        <w:tc>
          <w:tcPr>
            <w:tcW w:w="13967" w:type="dxa"/>
            <w:gridSpan w:val="2"/>
            <w:vAlign w:val="center"/>
          </w:tcPr>
          <w:p w14:paraId="1B738C8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ascii="黑体" w:hAnsi="黑体" w:eastAsia="黑体" w:cs="仿宋_GB2312"/>
                <w:b w:val="0"/>
                <w:bCs w:val="0"/>
                <w:color w:val="000000" w:themeColor="text1"/>
                <w:sz w:val="24"/>
                <w:szCs w:val="24"/>
                <w14:textFill>
                  <w14:solidFill>
                    <w14:schemeClr w14:val="tx1"/>
                  </w14:solidFill>
                </w14:textFill>
              </w:rPr>
            </w:pPr>
            <w:r>
              <w:rPr>
                <w:rFonts w:hint="eastAsia" w:ascii="黑体" w:hAnsi="黑体" w:eastAsia="黑体" w:cs="仿宋_GB2312"/>
                <w:b w:val="0"/>
                <w:bCs w:val="0"/>
                <w:color w:val="000000" w:themeColor="text1"/>
                <w:sz w:val="24"/>
                <w:szCs w:val="24"/>
                <w14:textFill>
                  <w14:solidFill>
                    <w14:schemeClr w14:val="tx1"/>
                  </w14:solidFill>
                </w14:textFill>
              </w:rPr>
              <w:t>第一章总则</w:t>
            </w:r>
          </w:p>
        </w:tc>
      </w:tr>
      <w:tr w14:paraId="4247DE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3D446FC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第一条【立法目的】 为了落实最严格的耕地保护制度，保障国家粮食安全和生态安全，促进农业可持续发展，根据《中华人民共和国农业法》《中华人民共和国土地管理法》《中华人民共和国基本农田保护条例》等法律法规，结合本市实际，制定本条例。</w:t>
            </w:r>
          </w:p>
        </w:tc>
        <w:tc>
          <w:tcPr>
            <w:tcW w:w="7284" w:type="dxa"/>
            <w:shd w:val="clear" w:color="auto" w:fill="auto"/>
            <w:vAlign w:val="center"/>
          </w:tcPr>
          <w:p w14:paraId="31FE8C1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农业法》第一条：“为了巩固和加强农业在国民经济中的基础地位，深化农村改革，发展农业生产力，推进农业现代化，维护农民和农业生产经营组织的合法权益，增加农民收入，提高农民科学文化素质，促进农业和农村经济的持续、稳定、健康发展，实现全面建设小康社会的目标，制定本法。”</w:t>
            </w:r>
          </w:p>
          <w:p w14:paraId="1B20EE7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土地管理法》第三条：“十分珍惜、合理利用土地和切实保护耕地是我国的基本国策。各级人民政府应当采取措施，全面规划，严格管理，保护、开发土地资源，制止非法占用土地的行为。”</w:t>
            </w:r>
          </w:p>
          <w:p w14:paraId="38C1792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依据《中华人民共和国粮食安全保障法》第十四条第一款：“国家建立严格的耕地质量保护制度，加强高标准农田建设，健全完善多元投入保障机制，提高建设标准和质量。”</w:t>
            </w:r>
          </w:p>
          <w:p w14:paraId="3436526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生态环境法典》第一条：“为了保护生态环境，防治污染和其他公害，保障公众健康和生态环境权益，维护生态安全，推动绿色低碳发展，建设生态文明，全面推进美丽中国建设，加快推进人与自然和谐共生的现代化，实现中华民族永续发展，根据宪法，制定本法。”</w:t>
            </w:r>
          </w:p>
          <w:p w14:paraId="07378E3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农村土地承包法》第一条：“为了巩固和完善以家庭承包经营为基础、统分结合的双层经营体制，保持农村土地承包关系稳定并长久不变，维护农村土地承包经营当事人的合法权益，促进农业、农村经济发展和农村社会和谐稳定，根据宪法，制定本法。”</w:t>
            </w:r>
          </w:p>
        </w:tc>
      </w:tr>
      <w:tr w14:paraId="016D34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6683" w:type="dxa"/>
            <w:shd w:val="clear" w:color="auto" w:fill="auto"/>
            <w:vAlign w:val="center"/>
          </w:tcPr>
          <w:p w14:paraId="2840B1E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第二条【适用范围】 本条例适用于本市行政区域内耕地保护、质量提升、监督管理及相关活动。</w:t>
            </w:r>
          </w:p>
        </w:tc>
        <w:tc>
          <w:tcPr>
            <w:tcW w:w="7284" w:type="dxa"/>
            <w:shd w:val="clear" w:color="auto" w:fill="auto"/>
            <w:vAlign w:val="center"/>
          </w:tcPr>
          <w:p w14:paraId="64FD8C4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参照《黑龙江省耕地保护条例》第二条“在本省行政区域内从事耕地保护和利用等活动，应当遵守本条例。”</w:t>
            </w:r>
          </w:p>
        </w:tc>
      </w:tr>
      <w:tr w14:paraId="160B38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2AF1D7F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第三条【基本原则】 耕地保护坚持科学规划、量质并重、生态优先、用养兼顾、建管结合、综合整治、公众参与的原则。</w:t>
            </w:r>
          </w:p>
        </w:tc>
        <w:tc>
          <w:tcPr>
            <w:tcW w:w="7284" w:type="dxa"/>
            <w:shd w:val="clear" w:color="auto" w:fill="auto"/>
            <w:vAlign w:val="center"/>
          </w:tcPr>
          <w:p w14:paraId="668BBF6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粮食安全保障法》第十四条“国家建立严格的耕地质量保护制度，加强高标准农田建设，按照量质并重、系统推进、永续利用的要求，坚持政府主导与社会参与、统筹规划与分步实施、用养结合与建管并重的原则，健全完善多元投入保障机制，提高建设标准和质量。”</w:t>
            </w:r>
          </w:p>
          <w:p w14:paraId="29A7950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生态环境法典》第六条：“生态环境保护坚持预防为主、系统治理、生态优先、绿色发展、公众参与、损害担责的原则。”及第三百九十六条：“土壤污染防治应当坚持风险管控，保障农产品质量安全、人居环境安全，推动土壤资源永续利用。”</w:t>
            </w:r>
          </w:p>
          <w:p w14:paraId="3415CAB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参考《江苏省耕地质量管理条例》第三条“耕地质量保护坚持政府主导、部门协同、社会参与、用养结合、综合治理、严格监管的原则”；</w:t>
            </w:r>
          </w:p>
          <w:p w14:paraId="2886ED6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参考《黑龙江省耕地保护条例》第四条</w:t>
            </w:r>
            <w:r>
              <w:rPr>
                <w:rFonts w:hint="default" w:ascii="仿宋_GB2312" w:eastAsia="仿宋_GB2312"/>
                <w:b w:val="0"/>
                <w:bCs w:val="0"/>
                <w:color w:val="000000" w:themeColor="text1"/>
                <w:spacing w:val="-4"/>
                <w:szCs w:val="21"/>
                <w:lang w:val="en-US" w:eastAsia="zh-CN"/>
                <w14:textFill>
                  <w14:solidFill>
                    <w14:schemeClr w14:val="tx1"/>
                  </w14:solidFill>
                </w14:textFill>
              </w:rPr>
              <w:t> 耕地保护和利用，应当遵循科学规划、量质并重、用养兼顾、建管结合、综合整治的原则。</w:t>
            </w:r>
          </w:p>
          <w:p w14:paraId="34ADDE9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参考《耕地质量保护和提升行动方案》（农农发〔2016〕2号）中“坚持耕地数量、质量、生态并重”的原则。</w:t>
            </w:r>
          </w:p>
        </w:tc>
      </w:tr>
      <w:tr w14:paraId="5DE0C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773B04A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第四条【党委、政府职责】 实行耕地质量保护党政同责，市、县（区）党委和人民政府对本行政区域内耕地质量保护负总责，其主要负责人是本行政区域耕地质量保护的第一责任人，建立耕地质量保护目标责任制度以及考核评价制度。</w:t>
            </w:r>
          </w:p>
        </w:tc>
        <w:tc>
          <w:tcPr>
            <w:tcW w:w="7284" w:type="dxa"/>
            <w:shd w:val="clear" w:color="auto" w:fill="auto"/>
            <w:vAlign w:val="center"/>
          </w:tcPr>
          <w:p w14:paraId="07440F6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二十七条：“国家实行生态环境保护目标责任制和考核评价制度，将生态环境保护目标完成情况纳入考核评价内容。考核评价工作应当增强针对性、实效性，力戒形式主义。考核结果应当向社会公开。”</w:t>
            </w:r>
          </w:p>
          <w:p w14:paraId="4356504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粮食安全保障法》第十条第二款“县级以上地方人民政府应当确保本行政区域内耕地和永久基本农田总量不减少、质量有提高，按照国家有关规定承担耕地保护责任。”第十七条“国家实行最严格的耕地保护制度，落实耕地保护党政同责，严守耕地保护红线和永久基本农田控制线，确保耕地总量不减少、质量有提高。”</w:t>
            </w:r>
          </w:p>
          <w:p w14:paraId="48DF1C8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依据《甘肃省实施〈中华人民共和国土地管理法〉办法》第十二条第二款“各级人民政府应当建立耕地保护目标责任制度，政府主要负责人为耕地保护第一责任人。</w:t>
            </w:r>
          </w:p>
        </w:tc>
      </w:tr>
      <w:tr w14:paraId="1C2C3F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1B4F9AD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第五条【协同机制】 市、县（区）人民政府应当建立耕地质量保护工作协调机制，统筹协调自然资源、农业农村、生态环境、水务、林草、市场监管等部门，建立信息共享、联合执法、案件移送、立案查处等工作制度，形成监管合力。</w:t>
            </w:r>
          </w:p>
        </w:tc>
        <w:tc>
          <w:tcPr>
            <w:tcW w:w="7284" w:type="dxa"/>
            <w:shd w:val="clear" w:color="auto" w:fill="auto"/>
            <w:vAlign w:val="center"/>
          </w:tcPr>
          <w:p w14:paraId="2CFC682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十七条：“国务院生态环境主管部门在其职责范围内对全国生态环境保护工作实施统一监督管理……地方人民政府生态环境主管部门在其职责范围内对本行政区域生态环境保护工作实施统一监督管理。县级以上人民政府发展改革、工业和信息化、住房城乡建设、交通运输、水行政、农业农村、林业草原等有关部门和军队生态环境保护部门在各自职责范围内对生态环境保护工作实施监督管理。”</w:t>
            </w:r>
          </w:p>
          <w:p w14:paraId="570873F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依据《中华人民共和国粮食安全保障法》第十五条“县级以上人民政府应当建立耕地质量和种植用途监测网络……”</w:t>
            </w:r>
          </w:p>
          <w:p w14:paraId="3DBABC7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甘肃省实施〈中华人民共和国土地管理法〉办法》第四条“县级以上人民政府自然资源主管部门统一负责本行政区域内土地的管理和监督工作。县级以上人民政府发展改革、财政、人社、生态环境、住建、交通运输、水利、农业农村、林草、统计等有关主管部门按照各自职责，做好土地管理相关工作。”</w:t>
            </w:r>
          </w:p>
          <w:p w14:paraId="1CC4C46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甘肃省高标准农田建设管理条例》第四条“高标准农田建设管理工作应当按照省负总责、市县抓落实、公众参与的总体要求，建立健全政府主导、农业农村部门牵头、各有关部门协作、上下联动的工作机制。</w:t>
            </w:r>
          </w:p>
        </w:tc>
      </w:tr>
      <w:tr w14:paraId="71BDBB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5E1D8EB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第六条【工作职责】 市、县（区）农业农村部门负责本行政区域内耕地质量管理工作，其所属的耕地质量工作机构承担耕地质量调查、监测和评价等有关具体工作。</w:t>
            </w:r>
          </w:p>
          <w:p w14:paraId="7A5CD5B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市、县（区）自然资源部门负责本行政区域内耕地总量控制、用途管制，组织实施最严格的耕地保护制度；生态环境、水务、林草、发改、财政、市场监管、畜牧兽医等部门按照各自职责，做好耕地质量保护的相关工作。</w:t>
            </w:r>
          </w:p>
          <w:p w14:paraId="4A38EB2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乡镇人民政府、街道办事处负责本辖区内的耕地质量保护工作。</w:t>
            </w:r>
          </w:p>
          <w:p w14:paraId="3909998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村民委员会、居民委员会、农村集体经济组织应当督促耕地使用者合理使用耕地，保护和提高耕地质量。</w:t>
            </w:r>
          </w:p>
        </w:tc>
        <w:tc>
          <w:tcPr>
            <w:tcW w:w="7284" w:type="dxa"/>
            <w:shd w:val="clear" w:color="auto" w:fill="auto"/>
            <w:vAlign w:val="center"/>
          </w:tcPr>
          <w:p w14:paraId="1FA5928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依据《中华人民共和国土地管理法》第六章“监督检查”相关规定，明确自然资源主管部门的监督管理职责。</w:t>
            </w:r>
          </w:p>
          <w:p w14:paraId="4B0B31F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依据《基本农田保护条例》第六条“县级以上地方各级人民政府土地行政主管部门和农业行政主管部门按照本级人民政府规定的职责分工，负责本行政区域内的基本农田保护管理工作。”</w:t>
            </w:r>
          </w:p>
          <w:p w14:paraId="21A82E3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甘肃省高标准农田建设管理条例》第六条“县级以上人民政府农业农村主管部门负责本行政区域内高标准农田建设管理工作，组织编制高标准农田建设规划，制定年度任务实施方案，对高标准农田建设项目进行管理。县级以上人民政府发展和改革、财政、自然资源、水利、生态环境、交通运输、林业和草原等有关部门在各自职责范围内，做好高标准农田建设管理相关工作。”</w:t>
            </w:r>
          </w:p>
          <w:p w14:paraId="6CF74C8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依据《甘肃省实施〈中华人民共和国土地管理法〉办法》第四条第一款：“县级以上人民政府自然资源主管部门统一负责本行政区域内土地的管理和监督工作。”</w:t>
            </w:r>
          </w:p>
          <w:p w14:paraId="1E1D66F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参考《黑龙江省耕地保护条例》</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第六条</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县级以上农业农村行政主管部门负责本行政区域内耕地的保护、建设、利用以及监督管理工作，承担农田整治项目、农田水利项目和节水灌溉项目管理等工作。县级以上自然资源行政主管部门负责本行政区域内耕地总量控制、用途管制，组织实施最严格的耕地保护制度。县级以上财政、生态环境、林业和草原、水行政等行政主管部门按照各自职责，负责耕地保护、建设、利用的相关工作。</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第八条</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村民委员会、农村集体经济组织和村民小组作为耕地发包方，有权监督承包方、耕地使用者依照承包合同约定的用途合理利用和保护耕地，督促耕地使用者因地制宜采取措施保护耕地，制止损害耕地和耕地基础设施的行为。</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p>
        </w:tc>
      </w:tr>
      <w:tr w14:paraId="7563E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63C8895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第七条【社会参与】 各级人民政府应当加强对耕地保护的宣传教育，增强全社会耕地保护意识。任何单位和个人都有保护耕地的义务，有权对破坏耕地的行为进行检举、控告。</w:t>
            </w:r>
          </w:p>
          <w:p w14:paraId="32FD7C1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市、县（区）人民政府应当鼓励农村集体经济组织、新型农业经营主体、科研机构等参与耕地质量保护，通过技术推广、土壤改良、农田管护、污染防治等方式提升耕地质量。</w:t>
            </w:r>
          </w:p>
          <w:p w14:paraId="21AF02E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对在耕地保护和质量提升中成效显著的单位和个人，市、县（区）人民政府应当给予表彰奖励，具体办法由市人民政府制定。</w:t>
            </w:r>
          </w:p>
          <w:p w14:paraId="678D5922">
            <w:pPr>
              <w:keepNext w:val="0"/>
              <w:keepLines w:val="0"/>
              <w:pageBreakBefore w:val="0"/>
              <w:numPr>
                <w:ilvl w:val="0"/>
                <w:numId w:val="0"/>
              </w:numPr>
              <w:kinsoku/>
              <w:wordWrap/>
              <w:overflowPunct/>
              <w:topLinePunct w:val="0"/>
              <w:autoSpaceDE/>
              <w:autoSpaceDN/>
              <w:bidi w:val="0"/>
              <w:adjustRightInd w:val="0"/>
              <w:snapToGrid w:val="0"/>
              <w:spacing w:line="320" w:lineRule="exact"/>
              <w:ind w:leftChars="0" w:right="0" w:right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p>
        </w:tc>
        <w:tc>
          <w:tcPr>
            <w:tcW w:w="7284" w:type="dxa"/>
            <w:shd w:val="clear" w:color="auto" w:fill="auto"/>
            <w:vAlign w:val="center"/>
          </w:tcPr>
          <w:p w14:paraId="4CBB70B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依据《中华人民共和国土地管理法》第七条“任何单位和个人都有遵守土地管理法律、法规的义务，并有权对违反土地管理法律、法规的行为提出检举和控告。”</w:t>
            </w:r>
          </w:p>
          <w:p w14:paraId="620272D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依据《中华人民共和国生态环境法典》第七条：“任何单位和个人都有保护生态环境的义务。”及第一百四十四条：“国家鼓励公民、法人和其他组织对生态环境保护公共事务进行监督。”</w:t>
            </w:r>
          </w:p>
          <w:p w14:paraId="7B99BA2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依据《中华人民共和国粮食安全保障法》第九条“对在国家粮食安全保障工作中做出突出贡献的单位和个人，按照国家有关规定给予表彰和奖励。</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w:t>
            </w:r>
          </w:p>
          <w:p w14:paraId="6D9DE90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依据《基本农田保护条例》第五条“任何单位和个人都有保护基本农田的义务，并有权检举、控告侵占、破坏基本农田的行为。”</w:t>
            </w:r>
          </w:p>
          <w:p w14:paraId="361B7B6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依据《基本农田保护条例》第七条“在基本农田保护工作中取得显著成绩的单位和个人，由县级以上各级人民政府给予奖励。”</w:t>
            </w:r>
          </w:p>
          <w:p w14:paraId="0673F75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依据《甘肃省高标准农田建设管理条例》第九条“对在高标准农田建设管理工作中取得显著成绩的单位和个人，由县级以上人民政府按照国家有关规定给予表彰奖励。”</w:t>
            </w:r>
          </w:p>
        </w:tc>
      </w:tr>
      <w:tr w14:paraId="0A7CE6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0" w:hRule="atLeast"/>
        </w:trPr>
        <w:tc>
          <w:tcPr>
            <w:tcW w:w="13967" w:type="dxa"/>
            <w:gridSpan w:val="2"/>
            <w:shd w:val="clear" w:color="auto" w:fill="auto"/>
            <w:vAlign w:val="center"/>
          </w:tcPr>
          <w:p w14:paraId="4A429A1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hint="eastAsia" w:ascii="仿宋_GB2312" w:eastAsia="黑体"/>
                <w:b w:val="0"/>
                <w:bCs w:val="0"/>
                <w:color w:val="000000" w:themeColor="text1"/>
                <w:spacing w:val="-4"/>
                <w:szCs w:val="21"/>
                <w:highlight w:val="none"/>
                <w:lang w:val="en-US" w:eastAsia="zh-CN"/>
                <w14:textFill>
                  <w14:solidFill>
                    <w14:schemeClr w14:val="tx1"/>
                  </w14:solidFill>
                </w14:textFill>
              </w:rPr>
            </w:pPr>
            <w:r>
              <w:rPr>
                <w:rFonts w:hint="eastAsia" w:ascii="黑体" w:hAnsi="黑体" w:eastAsia="黑体" w:cs="仿宋_GB2312"/>
                <w:b w:val="0"/>
                <w:bCs w:val="0"/>
                <w:color w:val="000000" w:themeColor="text1"/>
                <w:sz w:val="24"/>
                <w:szCs w:val="24"/>
                <w:highlight w:val="none"/>
                <w14:textFill>
                  <w14:solidFill>
                    <w14:schemeClr w14:val="tx1"/>
                  </w14:solidFill>
                </w14:textFill>
              </w:rPr>
              <w:t>第</w:t>
            </w:r>
            <w:r>
              <w:rPr>
                <w:rFonts w:hint="eastAsia" w:ascii="黑体" w:hAnsi="黑体" w:eastAsia="黑体" w:cs="仿宋_GB2312"/>
                <w:b w:val="0"/>
                <w:bCs w:val="0"/>
                <w:color w:val="000000" w:themeColor="text1"/>
                <w:sz w:val="24"/>
                <w:szCs w:val="24"/>
                <w:highlight w:val="none"/>
                <w:lang w:eastAsia="zh-CN"/>
                <w14:textFill>
                  <w14:solidFill>
                    <w14:schemeClr w14:val="tx1"/>
                  </w14:solidFill>
                </w14:textFill>
              </w:rPr>
              <w:t>二</w:t>
            </w:r>
            <w:r>
              <w:rPr>
                <w:rFonts w:hint="eastAsia" w:ascii="黑体" w:hAnsi="黑体" w:eastAsia="黑体" w:cs="仿宋_GB2312"/>
                <w:b w:val="0"/>
                <w:bCs w:val="0"/>
                <w:color w:val="000000" w:themeColor="text1"/>
                <w:sz w:val="24"/>
                <w:szCs w:val="24"/>
                <w:highlight w:val="none"/>
                <w14:textFill>
                  <w14:solidFill>
                    <w14:schemeClr w14:val="tx1"/>
                  </w14:solidFill>
                </w14:textFill>
              </w:rPr>
              <w:t>章</w:t>
            </w:r>
            <w:r>
              <w:rPr>
                <w:rFonts w:hint="eastAsia" w:ascii="黑体" w:hAnsi="黑体" w:eastAsia="黑体" w:cs="仿宋_GB2312"/>
                <w:b w:val="0"/>
                <w:bCs w:val="0"/>
                <w:color w:val="000000" w:themeColor="text1"/>
                <w:sz w:val="24"/>
                <w:szCs w:val="24"/>
                <w:highlight w:val="none"/>
                <w:lang w:val="en-US" w:eastAsia="zh-CN"/>
                <w14:textFill>
                  <w14:solidFill>
                    <w14:schemeClr w14:val="tx1"/>
                  </w14:solidFill>
                </w14:textFill>
              </w:rPr>
              <w:t xml:space="preserve">  管控与规划</w:t>
            </w:r>
          </w:p>
        </w:tc>
      </w:tr>
      <w:tr w14:paraId="292BF9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07CA67F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第八条【耕地保有量】 市、县（区）人民政府应当严格执行上级下达的耕地保有量和永久基本农田保护任务，确保实有耕地数量不减少、质量不降低。</w:t>
            </w:r>
          </w:p>
        </w:tc>
        <w:tc>
          <w:tcPr>
            <w:tcW w:w="7284" w:type="dxa"/>
            <w:shd w:val="clear" w:color="auto" w:fill="auto"/>
            <w:vAlign w:val="center"/>
          </w:tcPr>
          <w:p w14:paraId="51AADA4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依据《中华人民共和国土地管理法》第三十二条“省、自治区、直辖市人民政府应当严格执行土地利用总体规划和土地利用年度计划，采取措施，确保本行政区域内耕地总量不减少、质量不降低。”</w:t>
            </w:r>
          </w:p>
          <w:p w14:paraId="412C786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依据《中华人民共和国粮食安全保障法》第十条第二款“县级以上地方人民政府应当确保本行政区域内耕地和永久基本农田总量不减少、质量有提高。”</w:t>
            </w:r>
          </w:p>
          <w:p w14:paraId="7296A66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依据《甘肃省实施〈中华人民共和国土地管理法〉办法》第十二条第一款“各级人民政府应当严格执行国土空间规划，有计划地组织实施国土综合整治，确保本行政区域耕地布局稳定、数量不减少、质量不降低。</w:t>
            </w:r>
          </w:p>
        </w:tc>
      </w:tr>
      <w:tr w14:paraId="3FD66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36B5A24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第九条【总体规划】 市、县（区）人民政府应当将耕地质量保护纳入国民经济和社会发展规划，并实行最严格的耕地保护制度,保持耕地数量，提高耕地质量，制止耕地“非农化”、防止耕地“非粮化”，实施“藏粮于地、藏粮于技”战略。</w:t>
            </w:r>
          </w:p>
        </w:tc>
        <w:tc>
          <w:tcPr>
            <w:tcW w:w="7284" w:type="dxa"/>
            <w:shd w:val="clear" w:color="auto" w:fill="auto"/>
            <w:vAlign w:val="center"/>
          </w:tcPr>
          <w:p w14:paraId="267B24E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土地管理法》第十五条“各级人民政府应当依据国民经济和社会发展规划、国土整治和资源环境保护的要求、土地供给能力以及各项建设对土地的需求，组织编制土地利用总体规划。”第十八条“国土空间规划应当包括国土空间开发保护格局和规划用地布局、结构、用途管制要求等内容。经依法批准的国土空间规划是各类开发、保护、建设活动的基本依据。”</w:t>
            </w:r>
          </w:p>
          <w:p w14:paraId="572E18D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依据《基本农田保护条例》第八条“各级人民政府在编制土地利用总体规划时，应当将基本农田保护作为规划的一项内容，明确基本农田保护的布局安排、数量指标和质量要求。”</w:t>
            </w:r>
          </w:p>
          <w:p w14:paraId="248B6AE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粮食安全保障法》第十条第一款“国家实施国土空间规划下的国土空间用途管制，统筹布局农业、生态、城镇等功能空间，划定落实耕地和永久基本农田保护红线、生态保护红线和城镇开发边界，严格保护耕地。</w:t>
            </w:r>
          </w:p>
        </w:tc>
      </w:tr>
      <w:tr w14:paraId="6A4508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2EA1F99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第十条【盐碱地综合利用】  市、县（区）人民政府应当在国土空间规划中明确盐碱地综合利用的区域和措施，将具备条件的盐碱地纳入耕地后备资源进行有序开发，优先用于补充耕地。</w:t>
            </w:r>
          </w:p>
          <w:p w14:paraId="3701229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县（区）人民政府应当制定盐碱耕地改良专项计划，采取工程排盐、生物改良、农艺改良等综合措施，推进盐碱地改良和综合利用。应当统筹中央、省级转移支付资金和本级财政预算，保障耕地质量监测、技术推广、面源污染治理、土壤生态修复、盐碱地改良等基础性、长效性支出需求。</w:t>
            </w:r>
          </w:p>
        </w:tc>
        <w:tc>
          <w:tcPr>
            <w:tcW w:w="7284" w:type="dxa"/>
            <w:shd w:val="clear" w:color="auto" w:fill="auto"/>
            <w:vAlign w:val="center"/>
          </w:tcPr>
          <w:p w14:paraId="636D136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粮食安全保障法》第十七条“国家推动盐碱地综合利用，制定相关规划和支持政策，鼓励和引导社会资本投入，挖掘盐碱地开发利用潜力，分区分类开展盐碱耕地治理改良，加快选育耐盐碱特色品种，推广改良盐碱地有效做法，遏制耕地盐碱化趋势。”</w:t>
            </w:r>
          </w:p>
          <w:p w14:paraId="1F758C8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参考《江苏省耕地保护条例》第二十二条“地方各级人民政府应当采取工程、生物和农艺等措施，对耕地水土流失、次生盐渍化、酸化等进行综合防治，保护和改善耕地生态环境。”</w:t>
            </w:r>
          </w:p>
        </w:tc>
      </w:tr>
      <w:tr w14:paraId="488FAF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2FE0BD1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第十一条【水资源论证】 市、县（区）人民政府应当落实水资源刚性约束制度，建立健全“水地共管”机制，严控新增耕地面积，有序推进违规灌溉面积整治，“管水”与“控地”协同推进。在制定国土空间规划、审批耕地开垦和农业项目时，必须进行水资源论证，确保耕地布局、种植结构与水资源承载能力相匹配。</w:t>
            </w:r>
          </w:p>
          <w:p w14:paraId="63E406F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市、县（区）水务部门应当编制本行政区域农田水利规划，组织制定农田水利工程建设年度实施计划，对农田水利工程建设进行监督管理。水务部门应当配合生态环境部门对农田灌溉用水水质进行检测和监督检查。</w:t>
            </w:r>
          </w:p>
        </w:tc>
        <w:tc>
          <w:tcPr>
            <w:tcW w:w="7284" w:type="dxa"/>
            <w:shd w:val="clear" w:color="auto" w:fill="auto"/>
            <w:vAlign w:val="center"/>
          </w:tcPr>
          <w:p w14:paraId="20F6842E">
            <w:pPr>
              <w:pStyle w:val="19"/>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t>依据《中华人民共和国水法》第二十三条“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w:t>
            </w:r>
          </w:p>
          <w:p w14:paraId="33307633">
            <w:pPr>
              <w:pStyle w:val="19"/>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t>依据 《中华人民共和国农业法》第十九条“各级人民政府和农业生产经营组织应当加强农田水利设施建设，建立健全农田水利设施的管理制度，节约用水，发展节水型农业，提高农业用水效率。”</w:t>
            </w:r>
          </w:p>
          <w:p w14:paraId="3DBA80B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t>依据《中华人民共和国粮食安全保障法》第二十一条“国家加强水资源管理和水利基础设施建设，优化水资源配置，保障粮食生产合理用水需求。各级人民政府应当组织做好农田水利建设和运行维护，保护和完善农田灌溉排水体系，因地制宜发展高效节水农业。县级以上人民政府应当组织开展水土流失综合治理、土壤污染防治和地下水超采治理。”</w:t>
            </w:r>
          </w:p>
          <w:p w14:paraId="6796BEC8">
            <w:pPr>
              <w:pStyle w:val="19"/>
              <w:rPr>
                <w:rFonts w:hint="eastAsia" w:ascii="仿宋_GB2312" w:eastAsia="仿宋_GB2312" w:cstheme="minorBidi"/>
                <w:b w:val="0"/>
                <w:bCs w:val="0"/>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eastAsia="仿宋_GB2312" w:cstheme="minorBidi"/>
                <w:b w:val="0"/>
                <w:bCs w:val="0"/>
                <w:color w:val="000000" w:themeColor="text1"/>
                <w:spacing w:val="-4"/>
                <w:kern w:val="2"/>
                <w:sz w:val="21"/>
                <w:szCs w:val="21"/>
                <w:highlight w:val="none"/>
                <w:lang w:val="en-US" w:eastAsia="zh-CN" w:bidi="ar-SA"/>
                <w14:textFill>
                  <w14:solidFill>
                    <w14:schemeClr w14:val="tx1"/>
                  </w14:solidFill>
                </w14:textFill>
              </w:rPr>
              <w:t>依据《中华人民共和国生态环境法典》第四百二十二条：“地方人民政府生态环境主管部门会同农业农村主管部门、水行政主管部门加强对农田灌溉用水水质的管理，对农田灌溉用水水质进行监测和监督检查。”</w:t>
            </w:r>
          </w:p>
          <w:p w14:paraId="22D455C9">
            <w:pPr>
              <w:pStyle w:val="19"/>
              <w:rPr>
                <w:rFonts w:hint="default"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t>依据《农田水利条例》第四条“县级以上地方人民政府水行政主管部门负责本行政区域农田水利的管理和监督工作”。第六条“县级以上地方人民政府水行政主管部门负责编制本行政区域农田水利规划，征求本级人民政府有关部门意见后，报本级人民政府批准公布”。</w:t>
            </w:r>
          </w:p>
          <w:p w14:paraId="3E7BEDBA">
            <w:pPr>
              <w:pStyle w:val="19"/>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t>参考《中共甘肃省委甘肃省人民政府关于坚持“四水四定”原则全面推动生态保护和高质量发展的意见》(甘发〔2024〕</w:t>
            </w:r>
            <w:r>
              <w:rPr>
                <w:rFonts w:hint="eastAsia" w:ascii="仿宋_GB2312" w:eastAsia="仿宋_GB2312" w:cstheme="minorBidi"/>
                <w:b w:val="0"/>
                <w:bCs w:val="0"/>
                <w:color w:val="000000" w:themeColor="text1"/>
                <w:spacing w:val="-4"/>
                <w:kern w:val="2"/>
                <w:sz w:val="21"/>
                <w:szCs w:val="21"/>
                <w:highlight w:val="none"/>
                <w:lang w:val="en-US" w:eastAsia="zh-CN" w:bidi="ar-SA"/>
                <w14:textFill>
                  <w14:solidFill>
                    <w14:schemeClr w14:val="tx1"/>
                  </w14:solidFill>
                </w14:textFill>
              </w:rPr>
              <w:t>15</w:t>
            </w:r>
            <w:r>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t>号)明确提出“以水定地，促进水土资源协同高效利用。建立健全内陆河流‘地水共管’机制，严控新增耕地面积，有序推进违规灌溉面积整治，推行轮作休耕等措施，‘管水’与‘控地’ 协同推进”。</w:t>
            </w:r>
          </w:p>
          <w:p w14:paraId="60DC71EC">
            <w:pPr>
              <w:rPr>
                <w:rFonts w:hint="eastAsia" w:eastAsia="宋体"/>
                <w:highlight w:val="none"/>
                <w:lang w:val="en-US" w:eastAsia="zh-CN"/>
              </w:rPr>
            </w:pPr>
          </w:p>
        </w:tc>
      </w:tr>
      <w:tr w14:paraId="214B7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4313D07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第十二条【耕地开垦土壤调查】 对未利用地、复垦土地等拟开垦为耕地的地块，农业农村部门应当在开垦前会同生态环境、自然资源部门开展土壤污染状况调查和质量等级评定。经调查存在污染风险的，依法进行分类管理。未经调查的，不得开垦为耕地。</w:t>
            </w:r>
          </w:p>
        </w:tc>
        <w:tc>
          <w:tcPr>
            <w:tcW w:w="7284" w:type="dxa"/>
            <w:shd w:val="clear" w:color="auto" w:fill="auto"/>
            <w:vAlign w:val="center"/>
          </w:tcPr>
          <w:p w14:paraId="31C5DF3B">
            <w:pPr>
              <w:pStyle w:val="19"/>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t>依据《中华人民共和国生态环境法典》第四百四十六条：“未利用地、复垦土地等拟开垦为耕地的，地方人民政府农业农村主管部门会同生态环境主管部门、自然资源主管部门进行土壤污染状况调查，依法进行分类管理。”</w:t>
            </w:r>
          </w:p>
        </w:tc>
      </w:tr>
      <w:tr w14:paraId="07228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00584C9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第十三条【占补平衡】 各类占用耕地行为统一纳入耕地占补平衡管理，建设单位必须依法履行补充耕地义务，补充数量相等、质量相当的耕地，并承担提升费用；无法自行补充的，按照规定缴纳耕地开垦费。但农村村民建住宅确需占用永久基本农田以外的耕地的，由县（区）人民政府落实补充耕地，不得向农村村民收取耕地开垦费。</w:t>
            </w:r>
          </w:p>
          <w:p w14:paraId="5CE4B90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补充耕地质量验收由农业农村部门会同自然资源部门组织实施，验收内容包括土壤质量、灌溉排水条件、耕作层厚度等，验收不合格的，县级自然资源主管部门不得通过占补平衡审核，不得将相应耕地纳入补充耕地储备库。</w:t>
            </w:r>
          </w:p>
          <w:p w14:paraId="5E4CEB6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市、县（区）人民政府应当建立新增建设占用耕地规模与存量建设用地使用效率挂钩制度，从严控制占用耕地。</w:t>
            </w:r>
          </w:p>
        </w:tc>
        <w:tc>
          <w:tcPr>
            <w:tcW w:w="7284" w:type="dxa"/>
            <w:shd w:val="clear" w:color="auto" w:fill="auto"/>
            <w:vAlign w:val="center"/>
          </w:tcPr>
          <w:p w14:paraId="4704A67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依据《中华人民共和国土地管理法》第三十条“国家保护耕地，严格控制耕地转为非耕地。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p>
          <w:p w14:paraId="514C37D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依据《中华人民共和国粮食安全保障法》第十一条“国家实行占用耕地补偿制度，严格控制各类占用耕地行为；确需占用耕地的，应当依法落实补充耕地责任，补充与所占用耕地数量相等、质量相当的耕地。省、自治区、直辖市人民政府应当组织本级人民政府自然资源主管部门、农业农村主管部门对补充耕地的数量进行认定、对补充耕地的质量进行验收，并加强耕地质量跟踪评价。”</w:t>
            </w:r>
          </w:p>
          <w:p w14:paraId="0030EF4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依据《中共中央国务院关于加强耕地保护和改进占补平衡的意见》（中发〔2017〕4号）“强化耕地保护意识，强化依据土地用途管制，强化耕地质量保护与提升，坚决防止耕地占补平衡中补充耕地数量不到位、补充耕地质量不到位的问题，坚决防止占多补少、占优补劣、占水田补旱地的现象。”</w:t>
            </w:r>
          </w:p>
          <w:p w14:paraId="6E8F7F4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依据《补充耕地质量验收办法（试行）》第六条“县级以上地方农业农村主管部门对补充耕地质量开展鉴定，包括农业生产符合性评价和耕地质量等级评价，鉴定结果作为补充耕地质量验收的依据。”</w:t>
            </w:r>
          </w:p>
          <w:p w14:paraId="0453FBF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p>
        </w:tc>
      </w:tr>
      <w:tr w14:paraId="0DBEB3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3DADFF0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第十四条【永久基本农田】 永久基本农田一经划定，任何单位和个人不得擅自占用或者改变用途。国家重大建设项目确需占用的，依法报国务院批准，并按照“先补后占”原则补划，补划的永久基本农田应当符合相关要求，优先从集中连片、质量等级相当的耕地中选取，补划结果需经省级自然资源部门验收确认，并及时更新国土空间规划数据库。严禁通过擅自调整国土空间规划等方式规避永久基本农田审批；严禁在永久基本农田范围内发展林果业、挖塘养鱼、新建建筑物构筑物等行为。</w:t>
            </w:r>
          </w:p>
        </w:tc>
        <w:tc>
          <w:tcPr>
            <w:tcW w:w="7284" w:type="dxa"/>
            <w:shd w:val="clear" w:color="auto" w:fill="auto"/>
            <w:vAlign w:val="center"/>
          </w:tcPr>
          <w:p w14:paraId="4D14975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基本农田保护条例》第十六条“经国务院批准占用基本农田的，当地人民政府应当按照国务院的批准文件修改土地利用总体规划，并补充划入数量和质量相当的基本农田。占用单位应当按照占多少、垦多少的原则，负责开垦与所占基本农田的数量与质量相当的耕地；没有条件开垦或者开垦的耕地不符合要求的，应当按照省、自治区、直辖市的规定缴纳耕地开垦费，专款用于开垦新的耕地。”</w:t>
            </w:r>
          </w:p>
          <w:p w14:paraId="1E4B430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粮食安全保障法》（2024年6月1日施行）第十二条“国家严格控制耕地转为林地、草地、园地等其他农用地。禁止违规占用耕地绿化造林、挖湖造景等行为。禁止在国家批准的退耕还林还草计划外擅自扩大退耕范围。”</w:t>
            </w:r>
          </w:p>
          <w:p w14:paraId="6F731D6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依据《永久基本农田保护红线管理办法》（自然资源部、农业农村部令第17号，2025年10月1日施行）第一条规定了落实最严格的耕地保护制度、守住永久基本农田保护红线的基本原则。</w:t>
            </w:r>
          </w:p>
        </w:tc>
      </w:tr>
      <w:tr w14:paraId="14D886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13967" w:type="dxa"/>
            <w:gridSpan w:val="2"/>
            <w:shd w:val="clear" w:color="auto" w:fill="auto"/>
            <w:vAlign w:val="center"/>
          </w:tcPr>
          <w:p w14:paraId="6517265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黑体" w:hAnsi="黑体" w:eastAsia="黑体" w:cs="仿宋_GB2312"/>
                <w:b w:val="0"/>
                <w:bCs w:val="0"/>
                <w:color w:val="000000" w:themeColor="text1"/>
                <w:sz w:val="24"/>
                <w:szCs w:val="24"/>
                <w:highlight w:val="none"/>
                <w:lang w:val="en-US" w:eastAsia="zh-CN"/>
                <w14:textFill>
                  <w14:solidFill>
                    <w14:schemeClr w14:val="tx1"/>
                  </w14:solidFill>
                </w14:textFill>
              </w:rPr>
              <w:t>第三章  质量提升</w:t>
            </w:r>
          </w:p>
        </w:tc>
      </w:tr>
      <w:tr w14:paraId="4CB78F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620C39E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第十五条【质量调查与档案】 市、县（区）农业农村部门应当每五年组织开展一次耕地质量全面调查与等级评价，建立“一地一档”耕地质量档案，并动态更新。</w:t>
            </w:r>
          </w:p>
        </w:tc>
        <w:tc>
          <w:tcPr>
            <w:tcW w:w="7284" w:type="dxa"/>
            <w:shd w:val="clear" w:color="auto" w:fill="auto"/>
            <w:vAlign w:val="center"/>
          </w:tcPr>
          <w:p w14:paraId="2918B48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《中华人民共和国粮食安全保障法》（2024年6月1日施行）第十五条第一款</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县级以上人民政府应当建立耕地质量和种植用途监测网络，开展耕地质量调查和监测评价，采取土壤改良、地力培肥、治理修复等措施，提高中低产田产能，治理退化耕地，加强大中型灌区建设与改造，提升耕地质量。</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p>
          <w:p w14:paraId="35B33E0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《耕地质量调查监测与评价办法》（农业部令2016年第2号）第四条</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全国耕地质量等级调查评价每5年开展一次。</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p>
          <w:p w14:paraId="63C9A84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参照《中华人民共和国生态环境法典》第四百零一条：“国务院统一领导全国土壤污染状况普查。国务院生态环境主管部门会同国务院农业农村、自然资源、住房城乡建设、林业草原等有关部门，每十年至少组织开展一次全国土壤污染状况普查。”</w:t>
            </w:r>
          </w:p>
        </w:tc>
      </w:tr>
      <w:tr w14:paraId="6752E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00271F0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第十六条【质量提升计划】 县（区）人民政府应当根据调查结果制定耕地质量提升年度计划，明确区域、措施、资金和责任人。</w:t>
            </w:r>
          </w:p>
        </w:tc>
        <w:tc>
          <w:tcPr>
            <w:tcW w:w="7284" w:type="dxa"/>
            <w:shd w:val="clear" w:color="auto" w:fill="auto"/>
            <w:vAlign w:val="center"/>
          </w:tcPr>
          <w:p w14:paraId="52EAEDF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kern w:val="2"/>
                <w:sz w:val="21"/>
                <w:szCs w:val="21"/>
                <w:highlight w:val="none"/>
                <w:lang w:val="en-US" w:eastAsia="zh-CN" w:bidi="ar-SA"/>
                <w14:textFill>
                  <w14:solidFill>
                    <w14:schemeClr w14:val="tx1"/>
                  </w14:solidFill>
                </w14:textFill>
              </w:rPr>
              <w:t>依据《中华人民共和国农业法》第五十八条“农民和农业生产经营组织应当保养耕地，合理使用化肥、农药、农用薄膜，增加使用有机肥料，采用先进技术，保护和提高地力，防止农用地的污染、破坏和地力衰退。”</w:t>
            </w:r>
          </w:p>
        </w:tc>
      </w:tr>
      <w:tr w14:paraId="123A3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7C61BC3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第十七条【高标准农田】 市、县（区）人民政府应当将具备条件的永久基本农田全部建成高标准农田，统筹整合高标准农田建设、农田水利建设、农业科技推广等各类涉农资金，同步实施土壤改良、灌溉排水、田间道路、农田防护与生态环境保护等措施。建立高标准农田建设资金保障机制，明确地方配套资金责任；健全多方参与、责任明确、协调顺畅、保障有力的建后管护机制，多渠道筹措管护经费，确保管护到位。建立高标准农田质量终身责任制，对建设项目的勘察、设计、施工、监理单位实行质量追溯，在高标准农田项目竣工验收时，需同步开展耕地质量等级评定，确保建成后的高标准农田质量达到相应等级标准。</w:t>
            </w:r>
          </w:p>
        </w:tc>
        <w:tc>
          <w:tcPr>
            <w:tcW w:w="7284" w:type="dxa"/>
            <w:shd w:val="clear" w:color="auto" w:fill="auto"/>
            <w:vAlign w:val="center"/>
          </w:tcPr>
          <w:p w14:paraId="32C3D02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4"/>
                <w:kern w:val="2"/>
                <w:sz w:val="21"/>
                <w:szCs w:val="21"/>
                <w:highlight w:val="none"/>
                <w:lang w:val="en-US" w:eastAsia="zh-CN" w:bidi="ar-SA"/>
                <w14:textFill>
                  <w14:solidFill>
                    <w14:schemeClr w14:val="tx1"/>
                  </w14:solidFill>
                </w14:textFill>
              </w:rPr>
              <w:t>依据《中华人民共和国粮食安全保障法》（2024年6月1日施行）第十四条“国家建立严格的耕地质量保护制度，加强高标准农田建设，按照量质并重、系统推进、永续利用的要求，坚持政府主导与社会参与、统筹规划与分步实施、用养结合与建管并重的原则，健全完善多元投入保障机制，提高建设标准和质量。”</w:t>
            </w:r>
          </w:p>
          <w:p w14:paraId="653729E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4"/>
                <w:kern w:val="2"/>
                <w:sz w:val="21"/>
                <w:szCs w:val="21"/>
                <w:highlight w:val="none"/>
                <w:lang w:val="en-US" w:eastAsia="zh-CN" w:bidi="ar-SA"/>
                <w14:textFill>
                  <w14:solidFill>
                    <w14:schemeClr w14:val="tx1"/>
                  </w14:solidFill>
                </w14:textFill>
              </w:rPr>
              <w:t>依据《甘肃省高标准农田建设管理条例》（2024年5月1日施行）第一条“为了加强高标准农田规划、建设、管护工作，提升高标准农田建设质量和管理水平，提高粮食综合生产能力，保障粮食稳定安全供给，根据《中华人民共和国农业法》《中华人民共和国粮食安全保障法》《中华人民共和国土地管理法》和国务院《基本农田保护条例》等法律、行政法规，结合本省实际，制定本条例。”</w:t>
            </w:r>
          </w:p>
          <w:p w14:paraId="6F67110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kern w:val="2"/>
                <w:sz w:val="21"/>
                <w:szCs w:val="21"/>
                <w:highlight w:val="none"/>
                <w:lang w:val="en-US" w:eastAsia="zh-CN" w:bidi="ar-SA"/>
                <w14:textFill>
                  <w14:solidFill>
                    <w14:schemeClr w14:val="tx1"/>
                  </w14:solidFill>
                </w14:textFill>
              </w:rPr>
              <w:t>依据《甘肃省高标准农田建设管理条例》第三条“高标准农田建设管理应当按照量质并重、系统推进、永续利用的要求，坚持政府主导、社会参与，统筹规划、分步实施，用养结合、建管并重，因地制宜、综合治理的原则，健全完善多元投入保障机制，提高建设标准和质量。</w:t>
            </w:r>
          </w:p>
        </w:tc>
      </w:tr>
      <w:tr w14:paraId="68D8D2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59BAE47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第十八条【农田防护林】 市、县（区）人民政府应当将农田防护林建设纳入耕地质量保护体系，作为高标准农田建设的配套措施同步规划、同步实施；应当依据分配的用水指标，统筹安排农田防护林生态用水。</w:t>
            </w:r>
          </w:p>
          <w:p w14:paraId="0B62193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农业农村部门在高标准农田建设过程中同步配套完善农田防护林灌溉系统；水务部门在水资源指标内协调保障其灌溉用水需求。对于林地上的农田防护林，由县级林草主管部门负责更新改造和管护；对于非林地上的农田防护林，由县级人民政府依照有关规定明确管护主体，落实管护责任和经费。所需经费通过财政预算安排、社会资本参与等多渠道筹措，保障管护需求。</w:t>
            </w:r>
          </w:p>
        </w:tc>
        <w:tc>
          <w:tcPr>
            <w:tcW w:w="7284" w:type="dxa"/>
            <w:shd w:val="clear" w:color="auto" w:fill="auto"/>
            <w:vAlign w:val="center"/>
          </w:tcPr>
          <w:p w14:paraId="13CB151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粮食安全保障法》（2024年6月1日施行）第十五条第三款“国家建立健全耕地轮作休耕制度，鼓励农作物秸秆科学还田，加强农田防护林建设；支持推广绿色、高效粮食生产技术，促进生态环境改善和资源永续利用。”</w:t>
            </w:r>
          </w:p>
          <w:p w14:paraId="04E2FB1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张掖市农田防护林建设管理条例》第十条“实施高标准农田建设等项目应当与农田防护林建设同规划、同设计、同报批、同验收。项目建设管理单位应当严格执行国家招投标有关规定；施工单位应当具备相应的资质，严格按照项目技术要求和规程施工；项目建设管理单位应当会同林业和草原等主管部门对项目进行共同验收”；第十六条“市、县（区）人民政府应当依据分配的用水指标，统筹安排农田防护林生态用水。鼓励有条件的区域利用再生水灌溉农田防护林。市、县（区）人民政府应当统筹做好农田防护林灌溉系统建设。农田防护林灌溉系统缺失的，应当恢复渠系或者增设节水管网等灌溉配套设施。任何单位和个人不得擅自占用和破坏农田防护林灌溉渠系、节水管网等配套设施。”</w:t>
            </w:r>
          </w:p>
          <w:p w14:paraId="63B9D9E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国家林草局、自然资源部、农业农村部联合印发的《关于加强农田防护林建设管理工作的通知》（林生发〔2022〕65号）第四条规定，“对于林地上的农田防护林，由县级林业和草原主管部门负责建后管护；对于非林地上的农田防护林，由县级人民政府依照法律法规有关规定，明确管护主体和措施，落实管护责任和经费。</w:t>
            </w:r>
          </w:p>
        </w:tc>
      </w:tr>
      <w:tr w14:paraId="53A7AE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53D3A8B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第十九条【农业投入品管控】 市、县（区）人民政府应当建立农业投入品质量追溯与联防联控机制，强化生产者、经营者主体责任，严把市场准入关。</w:t>
            </w:r>
          </w:p>
          <w:p w14:paraId="695D7F7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市场监管、农业农村部门应当加强对农业投入品（包括滴灌带、地膜、农药、肥料等）的质量监督检查，对生产、销售不符合产品质量标准要求的行为依法查处。</w:t>
            </w:r>
          </w:p>
        </w:tc>
        <w:tc>
          <w:tcPr>
            <w:tcW w:w="7284" w:type="dxa"/>
            <w:shd w:val="clear" w:color="auto" w:fill="auto"/>
            <w:vAlign w:val="center"/>
          </w:tcPr>
          <w:p w14:paraId="5776FB7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《中华人民共和国农产品质量安全法》第二十二条</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国家建立农业投入品质量追溯制度。</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p>
          <w:p w14:paraId="2998F51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四百二十四条：“禁止生产、销售或者使用国家明令禁止的农业投入品。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有关部门制定。”</w:t>
            </w:r>
          </w:p>
        </w:tc>
      </w:tr>
      <w:tr w14:paraId="46512D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065BF16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第二十条【培肥地力与污染防控】 耕地使用者应当采取以下措施提升地力并防控污染：</w:t>
            </w:r>
          </w:p>
          <w:p w14:paraId="761942E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（一）增施有机肥，减少化肥用量，全面推广测土配方施肥与病虫害绿色防控技术；</w:t>
            </w:r>
          </w:p>
          <w:p w14:paraId="2411772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（二）推广秸秆还田、种植绿肥、合理轮作、休耕，防止长期单一种植导致土壤养分失衡；</w:t>
            </w:r>
          </w:p>
          <w:p w14:paraId="3F3CC69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（三）使用高效低毒低残留农药，严格执行农药化肥使用定额；</w:t>
            </w:r>
          </w:p>
          <w:p w14:paraId="7492CF9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（四）回收废旧农膜和农药包装废弃物，农膜处置率达到国家和省规定标准；建立农膜、农药、肥料等包装废弃物回收处理体系，明确回收责任主体和处置流程；</w:t>
            </w:r>
          </w:p>
          <w:p w14:paraId="04C489F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（五）在节水灌溉条件下采取水盐调控措施，预防土壤次生盐渍化；</w:t>
            </w:r>
          </w:p>
          <w:p w14:paraId="65BFA37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（六）其他有利于耕地质量提升的措施。</w:t>
            </w:r>
          </w:p>
        </w:tc>
        <w:tc>
          <w:tcPr>
            <w:tcW w:w="7284" w:type="dxa"/>
            <w:shd w:val="clear" w:color="auto" w:fill="auto"/>
            <w:vAlign w:val="center"/>
          </w:tcPr>
          <w:p w14:paraId="53E1883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中华人民共和国农业法》第五十八条第一款：“农民和农业生产经营组织应当保养耕地，合理使用化肥、农药、农用薄膜，增加使用有机肥料，采用先进技术，保护和提高地力，防止农用地的污染、破坏和地力衰退。”</w:t>
            </w:r>
          </w:p>
          <w:p w14:paraId="5A389DA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四百二十三条：“国家鼓励、支持农业生产经营者采取下列措施：（一）使用高效低毒低残留农药以及先进喷施技术；（二）使用符合标准的有机肥、高效肥；（三）采用测土配方施肥技术、生物防治等病虫害绿色防控技术；（四）使用生物可降解农用薄膜；（五）综合利用秸秆、移出高富集污染物秸秆；（六）按照规定对退化土壤等进行改良。”</w:t>
            </w:r>
          </w:p>
        </w:tc>
      </w:tr>
      <w:tr w14:paraId="7B47B1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236D385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第二十一条【粪污资源化利用】 市、县（区）人民政府应当推进畜禽粪污无害化处理与资源化利用。县（区）农业农村部门应当制定符合本地实际的粪肥还田技术规范，明确无害化处理标准，还田路径和主体责任，防范土壤污染，保障耕地和农产品质量安全。</w:t>
            </w:r>
          </w:p>
          <w:p w14:paraId="728D164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鼓励种养结合，支持建设区域性粪污收集、处理、转运中心，培育粪肥还田社会化服务组织。畜牧兽医部门应当会同农业农村、生态环境部门强化对中小养殖场户的技术指导和监督检查，确保粪肥腐熟达标后还田。</w:t>
            </w:r>
          </w:p>
        </w:tc>
        <w:tc>
          <w:tcPr>
            <w:tcW w:w="7284" w:type="dxa"/>
            <w:shd w:val="clear" w:color="auto" w:fill="auto"/>
            <w:vAlign w:val="center"/>
          </w:tcPr>
          <w:p w14:paraId="3435F17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依据《中华人民共和国畜牧法》第四十六条：“畜禽养殖者应当按照国家有关规定做好畜禽粪污无害化处理，防止污染环境。”</w:t>
            </w:r>
          </w:p>
          <w:p w14:paraId="774820E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依据《中华人民共和国生态环境法典》第四百二十一条：“地方人民政府农业农村主管部门、林业草原主管部门应当在各自职责范围内开展农用地土壤污染防治宣传和技术培训活动，扶持农业生产专业化服务，指导农业生产经营者科学合理安全使用农药、兽药、饲料和饲料添加剂、肥料、农用薄膜等农业投入品，控制农药、兽药、化肥等的使用量。地方人民政府农业农村主管部门应当鼓励农业生产经营者采取有利于防止土壤污染的种养结合、轮作休耕等农业耕作措施；支持采取土壤改良、土壤肥力提升等有利于土壤养护和培育的措施；支持畜禽粪污处理、利用设施的建设。”</w:t>
            </w:r>
          </w:p>
          <w:p w14:paraId="5A9172F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参考《畜禽规模养殖污染防治条例》第二十条“向环境排放经过处理的畜禽养殖废弃物，应当符合国家和地方规定的污染物排放标准和总量控制指标。畜禽养殖废弃物未经处理，不得直接向环境排放。”</w:t>
            </w:r>
          </w:p>
        </w:tc>
      </w:tr>
      <w:tr w14:paraId="22FB34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09D2018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第二十二条【涉重金属企业管控】 市、县（区）人民政府应当严格执行生态环境分区管控，严格涉重金属企业准入管理。对新、改、扩建重点行业建设项目，严格执行重点重金属污染物排放“等量替代”原则，建设单位在提交环境影响评价文件时应当同步提交区域削减方案，明确重点重金属污染物排放总量及来源。</w:t>
            </w:r>
          </w:p>
          <w:p w14:paraId="1E380FB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对无排放来源指标的县（区），生态环境部门不予审批涉重金属项目。涉重金属企业应当定期开展周边耕地土壤环境质量监测，发现污染的，立即采取措施消除风险。</w:t>
            </w:r>
          </w:p>
        </w:tc>
        <w:tc>
          <w:tcPr>
            <w:tcW w:w="7284" w:type="dxa"/>
            <w:shd w:val="clear" w:color="auto" w:fill="auto"/>
            <w:vAlign w:val="center"/>
          </w:tcPr>
          <w:p w14:paraId="5D42EA0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宋体"/>
                <w:b w:val="0"/>
                <w:bCs w:val="0"/>
                <w:color w:val="000000" w:themeColor="text1"/>
                <w:spacing w:val="-4"/>
                <w:szCs w:val="21"/>
                <w:highlight w:val="none"/>
                <w:lang w:val="en-US" w:eastAsia="zh-CN"/>
                <w14:textFill>
                  <w14:solidFill>
                    <w14:schemeClr w14:val="tx1"/>
                  </w14:solidFill>
                </w14:textFill>
              </w:rPr>
            </w:pP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一百七十三条：“国务院生态环境主管部门会同有关部门确定重金属污染防治重点地区和重点行业，报国务院批准。重点地区所在设区的市级以上地方人民政府，应当按照国家规定组织编制并实施重金属污染防治方案。重点行业企业应当定期开展隐患排查整治，采取有效措施防治重金属污染。”及第四百一十四条：“土壤污染重点监管单位应当履行下列义务：（一）严格控制有毒有害物质排放，并按年度向生态环境主管部门报告排放情况；（二）建立土壤、地下水污染隐患排查整治制度，保证持续有效防止有毒有害物质渗漏、流失、扬散；（三）制定、实施自行监测方案，并将监测数据报送生态环境主管部门……”</w:t>
            </w:r>
          </w:p>
        </w:tc>
      </w:tr>
      <w:tr w14:paraId="509C8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2" w:hRule="atLeast"/>
        </w:trPr>
        <w:tc>
          <w:tcPr>
            <w:tcW w:w="6683" w:type="dxa"/>
            <w:shd w:val="clear" w:color="auto" w:fill="auto"/>
            <w:vAlign w:val="center"/>
          </w:tcPr>
          <w:p w14:paraId="32F4F55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第二十三条【污染耕地治理】 对安全利用类农用地地块，县（区）农业农村部门应当会同生态环境部门制定安全利用方案，建立土壤环境监测网络，动态更新监测数据，采取种植结构调整、退耕还林还草、生物修复等措施；对严格管控类农用地地块，严格管控，禁止种植食用农产品。</w:t>
            </w:r>
          </w:p>
          <w:p w14:paraId="186D951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农业农村部门会同生态环境、自然资源等部门落实农用地分类管理制度，动态调整耕地土壤环境类别。定期开展治理进度督查，建立受污染耕地治理修复台账，明确治理主体、治理期限、治理目标。</w:t>
            </w:r>
          </w:p>
          <w:p w14:paraId="39E2108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涉重金属企业、化工企业等土壤污染重点监管单位应当定期对周边耕地开展土壤环境质量监测，发现异常情况的，立即报告生态环境部门并采取措施消除风险。</w:t>
            </w:r>
          </w:p>
        </w:tc>
        <w:tc>
          <w:tcPr>
            <w:tcW w:w="7284" w:type="dxa"/>
            <w:shd w:val="clear" w:color="auto" w:fill="auto"/>
            <w:vAlign w:val="center"/>
          </w:tcPr>
          <w:p w14:paraId="13C29B0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四百四十八条：“对安全利用类农用地地块，地方人民政府农业农村主管部门、林业草原主管部门，应当在各自职责范围内结合主要作物品种和种植习惯等情况，制定并实施安全利用方案。安全利用方案应当包括下列内容：（一）农艺调控、替代种植；（二）定期开展土壤和农产品协同监测与评价；（三）对农民、农民专业合作社及其他农业生产经营主体进行技术指导和培训；（四）其他风险管控措施。”及第四百四十九条：“对严格管控类农用地地块，地方人民政府农业农村主管部门、林业草原主管部门应当在各自职责范围内采取下列风险管控措施：（一）提出划定特定农产品禁止生产区域的建议，报本级人民政府批准后实施；（二）按照规定开展土壤和农产品协同监测与评价；（三）对农民、农民专业合作社及其他农业生产经营主体进行技术指导和培训；（四）其他风险管控措施。”</w:t>
            </w:r>
          </w:p>
        </w:tc>
      </w:tr>
      <w:tr w14:paraId="222256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13967" w:type="dxa"/>
            <w:gridSpan w:val="2"/>
            <w:shd w:val="clear" w:color="auto" w:fill="auto"/>
            <w:vAlign w:val="center"/>
          </w:tcPr>
          <w:p w14:paraId="164DF74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黑体" w:hAnsi="黑体" w:eastAsia="黑体" w:cs="仿宋_GB2312"/>
                <w:b w:val="0"/>
                <w:bCs w:val="0"/>
                <w:color w:val="000000" w:themeColor="text1"/>
                <w:sz w:val="24"/>
                <w:szCs w:val="24"/>
                <w:highlight w:val="none"/>
                <w:lang w:val="en-US" w:eastAsia="zh-CN"/>
                <w14:textFill>
                  <w14:solidFill>
                    <w14:schemeClr w14:val="tx1"/>
                  </w14:solidFill>
                </w14:textFill>
              </w:rPr>
              <w:t>第四章 土地流转与经营</w:t>
            </w:r>
          </w:p>
        </w:tc>
      </w:tr>
      <w:tr w14:paraId="174FBD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60F4A4D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第二十四条【流转原则】 农村土地经营权流转应当坚持农地农用、保护优先、依法自愿、有偿协商的原则，不得降低耕地质量。</w:t>
            </w:r>
          </w:p>
        </w:tc>
        <w:tc>
          <w:tcPr>
            <w:tcW w:w="7284" w:type="dxa"/>
            <w:shd w:val="clear" w:color="auto" w:fill="auto"/>
            <w:vAlign w:val="center"/>
          </w:tcPr>
          <w:p w14:paraId="6BE13B5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依据《中华</w:t>
            </w: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人民共和国农村土地承包法》</w:t>
            </w:r>
            <w:r>
              <w:rPr>
                <w:rFonts w:hint="eastAsia" w:ascii="仿宋_GB2312" w:hAnsi="仿宋_GB2312" w:eastAsia="仿宋_GB2312" w:cs="仿宋_GB2312"/>
                <w:b/>
                <w:bCs/>
                <w:color w:val="000000" w:themeColor="text1"/>
                <w:spacing w:val="-4"/>
                <w:szCs w:val="21"/>
                <w:highlight w:val="none"/>
                <w:lang w:val="en-US" w:eastAsia="zh-CN"/>
                <w14:textFill>
                  <w14:solidFill>
                    <w14:schemeClr w14:val="tx1"/>
                  </w14:solidFill>
                </w14:textFill>
              </w:rPr>
              <w:t>第十一条</w:t>
            </w: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“农村土地承包经营应当遵守法律、法规，保护土地资源的合理开发和可持续利用。”</w:t>
            </w:r>
            <w:r>
              <w:rPr>
                <w:rFonts w:hint="eastAsia" w:ascii="仿宋_GB2312" w:hAnsi="仿宋_GB2312" w:eastAsia="仿宋_GB2312" w:cs="仿宋_GB2312"/>
                <w:b/>
                <w:bCs/>
                <w:color w:val="000000" w:themeColor="text1"/>
                <w:spacing w:val="-4"/>
                <w:szCs w:val="21"/>
                <w:highlight w:val="none"/>
                <w:lang w:val="en-US" w:eastAsia="zh-CN"/>
                <w14:textFill>
                  <w14:solidFill>
                    <w14:schemeClr w14:val="tx1"/>
                  </w14:solidFill>
                </w14:textFill>
              </w:rPr>
              <w:t>第三十八条</w:t>
            </w: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土地经营权流转应当遵循以下原则：（一）依法、自愿、有偿，任何组织和个人不得强迫或者阻碍土地经营权流转；（二）不得改变土地所有权的性质和土地的农业用途，不得破坏农业综合生产能力和农业生态环境；（三）流转期限不得超过承包期的剩余期限；（四）受让方须有农业经营能力或者资质；（五）在同等条件下，本集体经济组织成员享有优先权。”</w:t>
            </w:r>
          </w:p>
        </w:tc>
      </w:tr>
      <w:tr w14:paraId="57E725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31E64FC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第二十五条【流转耕地用途监管】 土地经营权流转后，受让方不得改变耕地的农业用途，不得在耕地上建设非农设施。</w:t>
            </w:r>
          </w:p>
          <w:p w14:paraId="0A5B49D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县（区）人民政府应当加强基层农业农村执法能力建设，配备必要的执法装备和技术人员，保障执法工作正常开展。</w:t>
            </w:r>
          </w:p>
          <w:p w14:paraId="2C6E4A2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县（区）农业农村部门可以依照《中华人民共和国行政处罚法》第二十条、第二十一条的规定，委托乡镇人民政府在法定权限内对下列违法行为实施行政处罚：超过规定标准施用化肥、农药的；不履行农膜、农药包装废弃物回收义务的；其他依法可以委托的耕地质量保护相关违法行为。</w:t>
            </w:r>
          </w:p>
          <w:p w14:paraId="3112D46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县（区）农业农村部门应当会同乡镇人民政府，每年度至少对流转耕地的用途开展一次专项检查，对永久基本农田、高标准农田和整村整组流转区域应当增加检查频次。发现改变耕地农业用途的，应当立即制止并依法查处；涉嫌犯罪的，移送司法机关。</w:t>
            </w:r>
          </w:p>
        </w:tc>
        <w:tc>
          <w:tcPr>
            <w:tcW w:w="7284" w:type="dxa"/>
            <w:shd w:val="clear" w:color="auto" w:fill="auto"/>
            <w:vAlign w:val="center"/>
          </w:tcPr>
          <w:p w14:paraId="2354099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粮食安全保障法》第十三条明确规定，县级以上地方人民政府农业农村主管部门应当加强耕地种植用途管控日常监督；村民委员会、农村集体经济组织发现违反耕地种植用途管控要求行为的，应当及时向乡镇人民政府或者县级人民政府农业农村主管部门报告”</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br w:type="textWrapping"/>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参考《农村土地经营权流转管理办法》第二十条“受让方应当依照有关法律法规保护土地，禁止改变土地的农业用途。禁止闲置、荒芜耕地，禁止占用耕地建窑、建坟或者擅自在耕地上建房、挖砂、采石、采矿、取土等。禁止占用永久基本农田发展林果业和挖塘养鱼。”</w:t>
            </w:r>
          </w:p>
          <w:p w14:paraId="673A50B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Segoe UI" w:hAnsi="Segoe UI" w:eastAsia="Segoe UI" w:cs="Segoe UI"/>
                <w:i w:val="0"/>
                <w:iCs w:val="0"/>
                <w:caps w:val="0"/>
                <w:spacing w:val="0"/>
                <w:sz w:val="16"/>
                <w:szCs w:val="16"/>
                <w:highlight w:val="none"/>
                <w:shd w:val="clear" w:fill="FFFFFF"/>
                <w:lang w:val="en-US" w:eastAsia="zh-CN"/>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甘肃省实施《中华人民共和国土地管理法》办法（2021年11月26日修订，2022年1月1日起施行）第三条规定“各级人民政府应当采取措施，全面规划，严格管理，保护、开发土地资源，落实土地用途管制制度，节约集约用地，对耕地实行特殊保护，制止非法占用土地行为</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w:t>
            </w:r>
          </w:p>
        </w:tc>
      </w:tr>
      <w:tr w14:paraId="7B67E4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3D38295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第二十六条【本底评价】 土地经营权流转前，发包方或者农村集体经济组织应当委托具有相应资质的机构，对拟流转耕地进行质量本底调查与等级评价，评价内容需包含土壤有机质含量、酸碱度、重金属含量、耕层厚度等核心指标。</w:t>
            </w:r>
            <w:bookmarkStart w:id="0" w:name="_GoBack"/>
            <w:bookmarkEnd w:id="0"/>
          </w:p>
          <w:p w14:paraId="65550E4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县（区）农业农村部门收到评价报告后，应当在15个工作日内完成审核确认；审核确认结论应当书面告知当事人。评价报告经审核确认后，作为耕地质量本底档案的法定依据。</w:t>
            </w:r>
          </w:p>
        </w:tc>
        <w:tc>
          <w:tcPr>
            <w:tcW w:w="7284" w:type="dxa"/>
            <w:shd w:val="clear" w:color="auto" w:fill="auto"/>
            <w:vAlign w:val="center"/>
          </w:tcPr>
          <w:p w14:paraId="0FCE50D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依据《耕地质量调查监测与评价办法》（农业部令2016年第2号）第四条：“县级以上地方人民政府农业主管部门应当加强耕地质量调查监测与评价工作。”</w:t>
            </w:r>
          </w:p>
          <w:p w14:paraId="1D55531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参考《江苏省耕地质量管理条例》第二十一条“土地经营权流转合同应当明确耕地质量保护的内容和要求。受让方应当按照合同约定，合理使用耕地，采取措施保护和提升耕地质量。”</w:t>
            </w:r>
          </w:p>
        </w:tc>
      </w:tr>
      <w:tr w14:paraId="34FA36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6D36D34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第二十七条【合同要求】 土地经营权流转合同应当包含耕地保护条款，并明确以下事项：</w:t>
            </w:r>
          </w:p>
          <w:p w14:paraId="1125997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 xml:space="preserve">    （一）耕地质量等级及核心指标参考值；</w:t>
            </w:r>
          </w:p>
          <w:p w14:paraId="6A9ED46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 xml:space="preserve">    （二）化肥、农药使用种类、用量上限、规范以及农药包装废弃物回收责任及安全处置率；</w:t>
            </w:r>
          </w:p>
          <w:p w14:paraId="7E01F19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 xml:space="preserve">    （三）农膜使用标准、回收责任及处置率；</w:t>
            </w:r>
          </w:p>
          <w:p w14:paraId="375F199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 xml:space="preserve">    （四）秸秆还田、有机肥施用数量或者比例；</w:t>
            </w:r>
          </w:p>
          <w:p w14:paraId="6707968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 xml:space="preserve">    （五）禁止破坏耕作层的行为；</w:t>
            </w:r>
          </w:p>
          <w:p w14:paraId="55A569E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 xml:space="preserve">    （六）因不当经营造成质量下降的修复、赔偿及违约责任；</w:t>
            </w:r>
          </w:p>
          <w:p w14:paraId="445391A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 xml:space="preserve">    （七）配合耕地质量监测的义务。</w:t>
            </w:r>
          </w:p>
          <w:p w14:paraId="0F3EF30D">
            <w:pPr>
              <w:keepNext w:val="0"/>
              <w:keepLines w:val="0"/>
              <w:pageBreakBefore w:val="0"/>
              <w:kinsoku/>
              <w:wordWrap/>
              <w:overflowPunct/>
              <w:topLinePunct w:val="0"/>
              <w:autoSpaceDE/>
              <w:autoSpaceDN/>
              <w:bidi w:val="0"/>
              <w:adjustRightInd w:val="0"/>
              <w:snapToGrid w:val="0"/>
              <w:spacing w:line="320" w:lineRule="exact"/>
              <w:ind w:left="0" w:right="0" w:firstLine="404" w:firstLineChars="20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（八）耕地所有权人、承包权人、经营权人的具体保护责任。</w:t>
            </w:r>
          </w:p>
          <w:p w14:paraId="3FFE16B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县（区）农业农村部门应当制定流转合同示范文本，对未包含耕地保护条款的合同不予备案。</w:t>
            </w:r>
          </w:p>
        </w:tc>
        <w:tc>
          <w:tcPr>
            <w:tcW w:w="7284" w:type="dxa"/>
            <w:shd w:val="clear" w:color="auto" w:fill="auto"/>
            <w:vAlign w:val="center"/>
          </w:tcPr>
          <w:p w14:paraId="5259A7C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依据《中华人民共和国农村土地承包法》第四十条“土地经营权流转，当事人双方应当签订书面流转合同。土地经营权流转合同一般包括以下条款：（一）双方当事人的姓名、住所；（二）流转土地的名称、坐落、面积、质量等级；（三）流转期限和起止日期；（四）流转土地的用途；（五）双方当事人的权利和义务；（六）流转价款及支付方式；（七）土地被依法征收、征用、占用时有关补偿费的归属；（八）违约责任。”</w:t>
            </w:r>
          </w:p>
          <w:p w14:paraId="6DD0D7A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Segoe UI" w:hAnsi="Segoe UI" w:eastAsia="Segoe UI" w:cs="Segoe UI"/>
                <w:i w:val="0"/>
                <w:iCs w:val="0"/>
                <w:caps w:val="0"/>
                <w:spacing w:val="0"/>
                <w:sz w:val="16"/>
                <w:szCs w:val="16"/>
                <w:highlight w:val="none"/>
                <w:shd w:val="clear" w:fill="FFFFFF"/>
                <w:lang w:val="en-US" w:eastAsia="zh-CN"/>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 参考</w:t>
            </w:r>
            <w:r>
              <w:rPr>
                <w:rFonts w:hint="default"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《农村土地经营权流转管理办法》第十一条：流转合同应当包括以下内容：（一）双方当事人的姓名或者名称、住所……（五）流转土地的用途……（七）违约责任。 </w:t>
            </w:r>
          </w:p>
        </w:tc>
      </w:tr>
      <w:tr w14:paraId="25CCBE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23BB62C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第二十八条【耕地质量保护和修复资金制度】 流转双方当事人可以协商约定耕地质量保护和修复的资金保障措施。鼓励通过合同约定、保险等方式建立耕地质量保障机制。</w:t>
            </w:r>
          </w:p>
          <w:p w14:paraId="1A81575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耕地质量保护和修复资金实行专户存储、专款专用，任何单位和个人不得挪用。</w:t>
            </w:r>
          </w:p>
        </w:tc>
        <w:tc>
          <w:tcPr>
            <w:tcW w:w="7284" w:type="dxa"/>
            <w:shd w:val="clear" w:color="auto" w:fill="auto"/>
            <w:vAlign w:val="center"/>
          </w:tcPr>
          <w:p w14:paraId="77F2B70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参考《农村土地经营权流转管理办法》第二十条：受让方对流转土地投资改良土壤，提高土地生产能力的，土地流转合同到期或者未到期由承包方依法收回承包土地时，受让方有权获得合理补偿。</w:t>
            </w:r>
          </w:p>
          <w:p w14:paraId="3535650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依据《中华人民共和国民法典》第五百零九条：“当事人应当按照约定全面履行自己的义务。”</w:t>
            </w:r>
          </w:p>
        </w:tc>
      </w:tr>
      <w:tr w14:paraId="19DCD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4E57886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第二十九条【期末评价与追溯】 土地流转合同期满或者提前解除时，乡镇人民政府应当组织耕地质量期末评价。质量等级下降且责任明确的，由受让方限期修复，修复期限一般不超过六个月，具体由乡镇人民政府根据实际情况确定；拒不修复的，由乡镇人民政府代为修复，代为修复的程序和费用标准由县（区）农业农村部门会同财政部门制定，费用从耕地质量保护和修复资金中列支，不足部分依法向受让方追偿。</w:t>
            </w:r>
          </w:p>
        </w:tc>
        <w:tc>
          <w:tcPr>
            <w:tcW w:w="7284" w:type="dxa"/>
            <w:shd w:val="clear" w:color="auto" w:fill="auto"/>
            <w:vAlign w:val="center"/>
          </w:tcPr>
          <w:p w14:paraId="452B781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《中华人民共和</w:t>
            </w: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国民法典》第五百七十七条：“当事人一方不履行合同义务或者履行合同义务不符合约定的，应当承担继续履行、采取补救措施或者赔偿损失等违约责任。”</w:t>
            </w:r>
          </w:p>
          <w:p w14:paraId="558C964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依据《中华人民共和国农村土地承包法》第六十四条：“土地经营权人擅自改变土地的农业用途、弃耕抛荒连续两年以上、给土地造成严重损害或者严重破坏土地生态环境，承包方在合理期限内不解除土地经营权流转合同的，发包方有权要求终止土地经营权流转合同。</w:t>
            </w:r>
          </w:p>
          <w:p w14:paraId="60BAECD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Cs w:val="21"/>
                <w:highlight w:val="none"/>
                <w:lang w:val="en-US" w:eastAsia="zh-CN"/>
                <w14:textFill>
                  <w14:solidFill>
                    <w14:schemeClr w14:val="tx1"/>
                  </w14:solidFill>
                </w14:textFill>
              </w:rPr>
              <w:t>参考《农村土地经营权流转管理办法》第二十七条“承包方不得单方解除土地经营权流转合同，但受让方有下列情形之一的除外：（一）擅自改变土地的农业用途；（二）弃耕抛荒连续两年以上；（三）给土地造成严重损害或者严重破坏土地生态环境；（四）其他严重违约行为。”</w:t>
            </w:r>
          </w:p>
        </w:tc>
      </w:tr>
      <w:tr w14:paraId="7E0183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2" w:hRule="atLeast"/>
        </w:trPr>
        <w:tc>
          <w:tcPr>
            <w:tcW w:w="13967" w:type="dxa"/>
            <w:gridSpan w:val="2"/>
            <w:shd w:val="clear" w:color="auto" w:fill="auto"/>
            <w:vAlign w:val="center"/>
          </w:tcPr>
          <w:p w14:paraId="0C307BAD">
            <w:pPr>
              <w:keepNext w:val="0"/>
              <w:keepLines w:val="0"/>
              <w:pageBreakBefore w:val="0"/>
              <w:kinsoku/>
              <w:wordWrap/>
              <w:overflowPunct/>
              <w:topLinePunct w:val="0"/>
              <w:autoSpaceDE/>
              <w:autoSpaceDN/>
              <w:bidi w:val="0"/>
              <w:adjustRightInd w:val="0"/>
              <w:snapToGrid w:val="0"/>
              <w:spacing w:line="320" w:lineRule="exact"/>
              <w:ind w:right="0"/>
              <w:jc w:val="center"/>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黑体" w:hAnsi="黑体" w:eastAsia="黑体" w:cs="仿宋_GB2312"/>
                <w:b w:val="0"/>
                <w:bCs w:val="0"/>
                <w:color w:val="000000" w:themeColor="text1"/>
                <w:sz w:val="24"/>
                <w:szCs w:val="24"/>
                <w:highlight w:val="none"/>
                <w:lang w:val="en-US" w:eastAsia="zh-CN"/>
                <w14:textFill>
                  <w14:solidFill>
                    <w14:schemeClr w14:val="tx1"/>
                  </w14:solidFill>
                </w14:textFill>
              </w:rPr>
              <w:t>第五章 监测与监管</w:t>
            </w:r>
          </w:p>
        </w:tc>
      </w:tr>
      <w:tr w14:paraId="7D3BF9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160FA02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第三十条【监测网络】 市、县（区）人民政府应当建立“市—县—乡”三级耕地质量长期定位监测网络，在工业园区、矿区周边、高标准农田、规模化流转等重点区域加密监测点位。</w:t>
            </w:r>
          </w:p>
          <w:p w14:paraId="39CDEE1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农业农村、林业和草原主管部门会同生态环境、自然资源主管部门将农产品污染物含量超标区、曾作为污水灌溉区，曾用于规模化养殖、固体废物堆放填埋区域，工矿企业污染区域等作为重点进行监测。</w:t>
            </w:r>
          </w:p>
          <w:p w14:paraId="45F38DF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耕地质量长期定位监测点应当设立永久性标志。任何单位和个人不得损毁、擅自变动耕地质量长期定位监测点的基础设施和永久性标志。确需变动的，应当经设立监测点的耕地质量工作机构同意，所需费用由提出变动的单位或者个人承担。</w:t>
            </w:r>
          </w:p>
        </w:tc>
        <w:tc>
          <w:tcPr>
            <w:tcW w:w="7284" w:type="dxa"/>
            <w:shd w:val="clear" w:color="auto" w:fill="auto"/>
            <w:vAlign w:val="center"/>
          </w:tcPr>
          <w:p w14:paraId="3184868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四百零二条：“国务院生态环境主管部门会同国务院农业农村、自然资源、住房城乡建设、水行政、卫生健康、林业草原等有关部门组织监测网络，统一规划国家土壤环境监测站点的设置。”及第四百零三条：“地方人民政府农业农村主管部门、林业草原主管部门会同生态环境主管部门、自然资源主管部门对下列农用地地块进行重点监测：（一）产出的农产品污染物含量超标的；（二）作为或者曾作为污水灌溉区的；（三）用于或者曾用于规模化养殖，固体废物堆放、填埋的；（四）曾作为工矿用地或者发生过重大、特别重大污染事故的；（五）有毒有害物质生产、贮存、利用、处置设施周边的；（六）国务院农业农村主管部门、林业草原主管部门、生态环境主管部门、自然资源主管部门规定的其他情形。”</w:t>
            </w:r>
          </w:p>
          <w:p w14:paraId="75CA7E0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粮食安全保障法》（2024年6月1日施行）第十五条第一款：“县级以上人民政府应当建立耕地质量和种植用途监测网络，开展耕地质量调查和监测评价，采取土壤改良、地力培肥、治理修复等措施，提高中低产田产能，治理退化耕地，加强大中型灌区建设与改造，提升耕地质量。</w:t>
            </w:r>
          </w:p>
          <w:p w14:paraId="74A16B1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照《江苏省耕地质量管理条例》第二十五条“县级以上地方人民政府农业行政主管部门应当会同环境保护行政主管部门建立耕地质量监测网络和预警体系，对耕地地力和环境状况进行动态监测。耕地质量长期定位监测点应当设立永久性标志。”</w:t>
            </w:r>
          </w:p>
        </w:tc>
      </w:tr>
      <w:tr w14:paraId="53B384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152F195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 xml:space="preserve"> 第三十一条【年度监测】 农业农村部门应当制定年度监测计划，每年采集土壤样品频次不少于1次，监测指标包含土壤养分、重金属、酸碱度、耕层厚度等；监测数据应当同步上传至国家耕地质量监测系统。与自然资源、生态环境、水务等部门实现数据共享；每年向本级人民政府报告耕地质量、数量监测和土地等级评价情况，提出保护建议。</w:t>
            </w:r>
          </w:p>
        </w:tc>
        <w:tc>
          <w:tcPr>
            <w:tcW w:w="7284" w:type="dxa"/>
            <w:shd w:val="clear" w:color="auto" w:fill="auto"/>
            <w:vAlign w:val="center"/>
          </w:tcPr>
          <w:p w14:paraId="4DEC0CA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粮食安全保障法》（2024年6月1日施行）第十五条第一款：“县级以上人民政府应当建立耕地质量和种植用途监测网络，开展耕地质量调查和监测评价，采取土壤改良、地力培肥、治理修复等措施，提高中低产田产能，治理退化耕地，加强大中型灌区建设与改造，提升耕地质量。</w:t>
            </w:r>
          </w:p>
          <w:p w14:paraId="1C14679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土地管理法实施条例》第六条：“县级以上人民政府自然资源主管部门应当加强信息化建设，建立统一的国土空间基础信息平台，实行土地管理全流程信息化管理……县级以上人民政府自然资源主管部门应当与发展改革、住房和城乡建设等有关部门建立土地管理信息共享机制。”</w:t>
            </w:r>
          </w:p>
          <w:p w14:paraId="54D22F8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四百零五条：“国务院生态环境主管部门会同国务院农业农村、自然资源、住房城乡建设、水行政、卫生健康、林业草原等有关部门建立健全土壤环境基础数据库，构建全国土壤环境信息平台，实行数据动态更新和信息共享。”</w:t>
            </w:r>
          </w:p>
          <w:p w14:paraId="05ACDDC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黑龙江省耕地保护条例》第五十一条“县级以上农业农村、自然资源行政主管部门应当完善监测网络体系，按照各自职责，开展耕地质量、数量和土地等级监测；每年向本级人民政府报告耕地质量、数量监测和土地等级评价情况，提出保护建议。县级以上人民政府应当组织有关部门根据耕地质量、数量和土地等级变化情况，采取相应保护措施。”</w:t>
            </w:r>
          </w:p>
        </w:tc>
      </w:tr>
      <w:tr w14:paraId="76D44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3E58593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第三十二条【巡查制度】 县（区）、乡（镇）人民政府应当建立耕地保护网格化动态巡查制度，实行定人员、定区域、定责任、定考核制度。</w:t>
            </w:r>
          </w:p>
        </w:tc>
        <w:tc>
          <w:tcPr>
            <w:tcW w:w="7284" w:type="dxa"/>
            <w:shd w:val="clear" w:color="auto" w:fill="auto"/>
            <w:vAlign w:val="center"/>
          </w:tcPr>
          <w:p w14:paraId="3511AF8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土地管理法》第六十七条“县级以上人民政府自然资源主管部门对违反土地管理法律、法规的行为进行监督检查。县级以上人民政府农业农村主管部门对违反农村土地承包管理法律、法规的行为进行监督检查。”</w:t>
            </w:r>
          </w:p>
          <w:p w14:paraId="3A54346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Segoe UI" w:hAnsi="Segoe UI" w:eastAsia="宋体" w:cs="Segoe UI"/>
                <w:i w:val="0"/>
                <w:iCs w:val="0"/>
                <w:caps w:val="0"/>
                <w:spacing w:val="0"/>
                <w:sz w:val="16"/>
                <w:szCs w:val="16"/>
                <w:highlight w:val="none"/>
                <w:shd w:val="clear" w:fill="FFFFFF"/>
                <w:lang w:val="en-US" w:eastAsia="zh-CN"/>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参考《自然资源部关于完善早发现早制止严查处工作机制的意见》（自然资办发〔2021〕33号），要求建立早发现、早制止、严查处的耕地保护工作机制，推行网格化监管模式。</w:t>
            </w:r>
          </w:p>
        </w:tc>
      </w:tr>
      <w:tr w14:paraId="67CAB9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415EBA2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第三十三条【田长制与网格化管理】 市、县（区）、乡（镇）人民政府应当建立健全耕地保护“田长制”，实行分级负责、属地管理。自然资源主管部门负责具体组织实施，各级田长应当按照规定开展巡查，发现违法占用、破坏耕地行为的，及时制止并上报依法查处。</w:t>
            </w:r>
          </w:p>
        </w:tc>
        <w:tc>
          <w:tcPr>
            <w:tcW w:w="7284" w:type="dxa"/>
            <w:shd w:val="clear" w:color="auto" w:fill="auto"/>
            <w:vAlign w:val="center"/>
          </w:tcPr>
          <w:p w14:paraId="5CA027F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参考自然资源部关于全面推行“田长制”的总体工作部署，以及《自然资源部关于完善早发现早制止严查处工作机制的意见》中关于压实各级耕地保护责任、探索“田长制”的要求。</w:t>
            </w:r>
          </w:p>
        </w:tc>
      </w:tr>
      <w:tr w14:paraId="5E482F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6683" w:type="dxa"/>
            <w:shd w:val="clear" w:color="auto" w:fill="auto"/>
            <w:vAlign w:val="center"/>
          </w:tcPr>
          <w:p w14:paraId="7F252DD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第三十四条【信用管理】 市、县（区）人民政府应当将耕地保护责任履行情况纳入社会信用体系。</w:t>
            </w:r>
          </w:p>
          <w:p w14:paraId="391D596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对履行耕地保护责任良好耕地质量等级保持或提升的单位和个人，在农业补贴、项目审批、信贷支持等方面按照规定给予优先支持。对破坏耕地、造成耕地质量等级下降且拒不修复的，应当依法将相关信息纳入信用记录，并依照国家和本省有关规定实施惩戒。</w:t>
            </w:r>
          </w:p>
        </w:tc>
        <w:tc>
          <w:tcPr>
            <w:tcW w:w="7284" w:type="dxa"/>
            <w:shd w:val="clear" w:color="auto" w:fill="auto"/>
            <w:vAlign w:val="center"/>
          </w:tcPr>
          <w:p w14:paraId="0510879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依据《中华人民共和国土地管理法》第七条“任何单位和个人都有遵守土地管理法律、法规的义务，并有权对违反土地管理法律、法规的行为提出检举和控告。”</w:t>
            </w:r>
          </w:p>
          <w:p w14:paraId="4F9CD1D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国务院关于建立完善守信联合激励和失信联合惩戒制度加快推进社会诚信建设的指导意见》（国发〔2016〕33号）：对重点领域和严重失信行为实施联合惩戒……依法依规限制失信对象参与政府采购、招标投标、行政审批、政府扶持、融资信贷、市场准入、资质认定等。</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 </w:t>
            </w:r>
          </w:p>
          <w:p w14:paraId="4139B73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参考《国务院办公厅关于加快推进社会信用体系建设构建以信用为基础的新型监管机制的指导意见》（国办发〔2019〕35号），要求建立健全失信联合惩戒机制，将信用监管纳入各行业领域。</w:t>
            </w:r>
          </w:p>
        </w:tc>
      </w:tr>
      <w:tr w14:paraId="5A3DFD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45" w:hRule="atLeast"/>
        </w:trPr>
        <w:tc>
          <w:tcPr>
            <w:tcW w:w="6683" w:type="dxa"/>
            <w:shd w:val="clear" w:color="auto" w:fill="auto"/>
            <w:vAlign w:val="center"/>
          </w:tcPr>
          <w:p w14:paraId="439AE1A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第三十五条【考核问责】 市、县（区）人民政府应当将耕地保护纳入年度绩效考核和领导干部自然资源资产离任审计。对履职不力、耕地保护目标未完成的，依法约谈、通报、问责；对造成严重后果的，追究主要负责人和相关责任人责任。</w:t>
            </w:r>
          </w:p>
        </w:tc>
        <w:tc>
          <w:tcPr>
            <w:tcW w:w="7284" w:type="dxa"/>
            <w:shd w:val="clear" w:color="auto" w:fill="auto"/>
            <w:vAlign w:val="center"/>
          </w:tcPr>
          <w:p w14:paraId="54D27EE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ascii="Segoe UI" w:hAnsi="Segoe UI" w:eastAsia="Segoe UI" w:cs="Segoe UI"/>
                <w:i w:val="0"/>
                <w:iCs w:val="0"/>
                <w:caps w:val="0"/>
                <w:spacing w:val="0"/>
                <w:sz w:val="19"/>
                <w:szCs w:val="19"/>
                <w:highlight w:val="none"/>
                <w:shd w:val="clear" w:fill="FFFFFF"/>
              </w:rPr>
              <w:t> </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二十七条：“国家实行生态环境保护目标责任制和考核评价制度，将生态环境保护目标完成情况纳入考核评价内容。考核评价工作应当增强针对性、实效性，力戒形式主义。考核结果应当向社会公开。”</w:t>
            </w:r>
          </w:p>
          <w:p w14:paraId="03322CC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甘肃省实施〈中华人民共和国土地管理法〉办法》（2022年1月1日施行）第十二条第三款：“国土空间规划确定的耕地保有量、耕地质量和永久基本农田保护任务应当列入本级人民政府工作目标考核和政府主要负责人任期目标考核，并由上一级人民政府制定考核办法。</w:t>
            </w:r>
          </w:p>
          <w:p w14:paraId="106C7C9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参考《中华人民共和国耕地保护和质量提升法（草案）》提出的耕地保护和质量提升情况将纳入领导干部自然资源资产离任审计。</w:t>
            </w:r>
          </w:p>
        </w:tc>
      </w:tr>
      <w:tr w14:paraId="70551D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13967" w:type="dxa"/>
            <w:gridSpan w:val="2"/>
            <w:shd w:val="clear" w:color="auto" w:fill="auto"/>
            <w:vAlign w:val="center"/>
          </w:tcPr>
          <w:p w14:paraId="30FD845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黑体" w:hAnsi="黑体" w:eastAsia="黑体" w:cs="仿宋_GB2312"/>
                <w:b w:val="0"/>
                <w:bCs w:val="0"/>
                <w:color w:val="000000" w:themeColor="text1"/>
                <w:sz w:val="24"/>
                <w:szCs w:val="24"/>
                <w:highlight w:val="none"/>
                <w14:textFill>
                  <w14:solidFill>
                    <w14:schemeClr w14:val="tx1"/>
                  </w14:solidFill>
                </w14:textFill>
              </w:rPr>
              <w:t>第</w:t>
            </w:r>
            <w:r>
              <w:rPr>
                <w:rFonts w:hint="eastAsia" w:ascii="黑体" w:hAnsi="黑体" w:eastAsia="黑体" w:cs="仿宋_GB2312"/>
                <w:b w:val="0"/>
                <w:bCs w:val="0"/>
                <w:color w:val="000000" w:themeColor="text1"/>
                <w:sz w:val="24"/>
                <w:szCs w:val="24"/>
                <w:highlight w:val="none"/>
                <w:lang w:val="en-US" w:eastAsia="zh-CN"/>
                <w14:textFill>
                  <w14:solidFill>
                    <w14:schemeClr w14:val="tx1"/>
                  </w14:solidFill>
                </w14:textFill>
              </w:rPr>
              <w:t>六</w:t>
            </w:r>
            <w:r>
              <w:rPr>
                <w:rFonts w:hint="eastAsia" w:ascii="黑体" w:hAnsi="黑体" w:eastAsia="黑体" w:cs="仿宋_GB2312"/>
                <w:b w:val="0"/>
                <w:bCs w:val="0"/>
                <w:color w:val="000000" w:themeColor="text1"/>
                <w:sz w:val="24"/>
                <w:szCs w:val="24"/>
                <w:highlight w:val="none"/>
                <w14:textFill>
                  <w14:solidFill>
                    <w14:schemeClr w14:val="tx1"/>
                  </w14:solidFill>
                </w14:textFill>
              </w:rPr>
              <w:t>章</w:t>
            </w:r>
            <w:r>
              <w:rPr>
                <w:rFonts w:hint="eastAsia" w:ascii="黑体" w:hAnsi="黑体" w:eastAsia="黑体" w:cs="仿宋_GB2312"/>
                <w:b w:val="0"/>
                <w:bCs w:val="0"/>
                <w:color w:val="000000" w:themeColor="text1"/>
                <w:sz w:val="24"/>
                <w:szCs w:val="24"/>
                <w:highlight w:val="none"/>
                <w:lang w:val="en-US" w:eastAsia="zh-CN"/>
                <w14:textFill>
                  <w14:solidFill>
                    <w14:schemeClr w14:val="tx1"/>
                  </w14:solidFill>
                </w14:textFill>
              </w:rPr>
              <w:t xml:space="preserve">  资金与科技保障</w:t>
            </w:r>
          </w:p>
        </w:tc>
      </w:tr>
      <w:tr w14:paraId="4E6402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5680B2A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第三十六条【财政投入】 市、县（区）级人民政府应当将耕地保护和质量提升所需经费列入年度财政预算，严格按照预算管理规定统筹保障耕地质量保护工作必要支出，强化预算刚性约束，确保资金专款专用。加强耕地质量保护资金使用全过程监管，全面实施绩效管理，强化评价结果在预算安排、政策调整中的运用，对绩效差的项目限期整改，对整改不到位的减少或取消资金安排。</w:t>
            </w:r>
          </w:p>
        </w:tc>
        <w:tc>
          <w:tcPr>
            <w:tcW w:w="7284" w:type="dxa"/>
            <w:shd w:val="clear" w:color="auto" w:fill="auto"/>
            <w:vAlign w:val="center"/>
          </w:tcPr>
          <w:p w14:paraId="190726D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i w:val="0"/>
                <w:iCs w:val="0"/>
                <w:caps w:val="0"/>
                <w:color w:val="000000"/>
                <w:spacing w:val="0"/>
                <w:sz w:val="21"/>
                <w:szCs w:val="21"/>
                <w:shd w:val="clear" w:fill="FFFFFF"/>
              </w:rPr>
            </w:pPr>
            <w:r>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t>依据《</w:t>
            </w:r>
            <w:r>
              <w:rPr>
                <w:rFonts w:hint="eastAsia" w:ascii="仿宋_GB2312" w:hAnsi="仿宋_GB2312" w:eastAsia="仿宋_GB2312" w:cs="仿宋_GB2312"/>
                <w:i w:val="0"/>
                <w:iCs w:val="0"/>
                <w:caps w:val="0"/>
                <w:color w:val="0F1115"/>
                <w:spacing w:val="0"/>
                <w:sz w:val="21"/>
                <w:szCs w:val="21"/>
                <w:shd w:val="clear" w:fill="FFFFFF"/>
              </w:rPr>
              <w:t>中华人民共和国粮食安全保障法</w:t>
            </w:r>
            <w:r>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21"/>
                <w:szCs w:val="21"/>
                <w:shd w:val="clear" w:fill="FFFFFF"/>
              </w:rPr>
              <w:t>第十四条 国家建立严格的耕地质量保护制度，加强高标准农田建设，按照量质并重、系统推进、永续利用的要求，坚持政府主导与社会参与、统筹规划与分步实施、用养结合与建管并重的原则，健全完善多元投入保障机制，提高建设标准和质量。</w:t>
            </w:r>
          </w:p>
          <w:p w14:paraId="545380A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t>依据《中华人民共和国土地管理法》第四十三条、《中华人民共和国土地管理法实施条例》第三十二条明确“新增建设用地土地有偿使用费，必须专项用于耕地开发和土地整理”，中央财政已对应设立新增建设用地土地有偿使用费、土地复垦费、耕地开垦费、中低产田改造资金、从土地出让收益中计提的农业土地开发资金和农田水利建设资金等。</w:t>
            </w:r>
          </w:p>
          <w:p w14:paraId="1845AFE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t>依据《中华人民共和国生态环境法典》第一百二十八条：“国务院和县级以上地方人民政府应当按照事权和支出责任划分原则，将生态环境保护工作所需经费纳入本级政府预算，加大生态环境保护的财政投入，优化生态文明建设领域财政资源配置，确保投入规模同建设任务相匹配，提高财政资金的使用效益。”</w:t>
            </w:r>
          </w:p>
          <w:p w14:paraId="57CB240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t>依据</w:t>
            </w:r>
            <w:r>
              <w:rPr>
                <w:rFonts w:hint="eastAsia" w:ascii="仿宋_GB2312" w:hAnsi="仿宋_GB2312" w:eastAsia="仿宋_GB2312" w:cs="仿宋_GB2312"/>
                <w:i w:val="0"/>
                <w:iCs w:val="0"/>
                <w:caps w:val="0"/>
                <w:color w:val="0F1115"/>
                <w:spacing w:val="0"/>
                <w:sz w:val="21"/>
                <w:szCs w:val="21"/>
                <w:shd w:val="clear" w:fill="FFFFFF"/>
              </w:rPr>
              <w:t>《甘肃省高标准农田建设管理条例》第五条：“县级以上人民政府应当加强对高标准农田建设管理工作的组织领导，将其纳入国民经济和社会发展规划，建立健全高标准农田建设管理目标责任制，统筹协调高标准农田建设的规划实施、任务落实、资金保障、建后管护和考核评价等工作。</w:t>
            </w:r>
            <w:r>
              <w:rPr>
                <w:rFonts w:hint="eastAsia" w:ascii="仿宋_GB2312" w:hAnsi="仿宋_GB2312" w:eastAsia="仿宋_GB2312" w:cs="仿宋_GB2312"/>
                <w:i w:val="0"/>
                <w:iCs w:val="0"/>
                <w:caps w:val="0"/>
                <w:color w:val="0F1115"/>
                <w:spacing w:val="0"/>
                <w:sz w:val="21"/>
                <w:szCs w:val="21"/>
                <w:shd w:val="clear" w:fill="FFFFFF"/>
                <w:lang w:eastAsia="zh-CN"/>
              </w:rPr>
              <w:t>”</w:t>
            </w:r>
          </w:p>
          <w:p w14:paraId="386B40F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t>依据</w:t>
            </w:r>
            <w:r>
              <w:rPr>
                <w:rFonts w:hint="eastAsia" w:ascii="仿宋_GB2312" w:hAnsi="仿宋_GB2312" w:eastAsia="仿宋_GB2312" w:cs="仿宋_GB2312"/>
                <w:i w:val="0"/>
                <w:iCs w:val="0"/>
                <w:caps w:val="0"/>
                <w:color w:val="0F1115"/>
                <w:spacing w:val="0"/>
                <w:sz w:val="21"/>
                <w:szCs w:val="21"/>
                <w:highlight w:val="none"/>
                <w:shd w:val="clear" w:fill="FFFFFF"/>
              </w:rPr>
              <w:t>《</w:t>
            </w:r>
            <w:r>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t>中华人民共和国审计法》第十八条、第二十九条规定审计机关可对专项资金进行专项审计调查。</w:t>
            </w:r>
          </w:p>
        </w:tc>
      </w:tr>
      <w:tr w14:paraId="225C34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0E2761F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第三十七条【多元融资】 市、县（区）人民政府应当建立健全多元投入激励机制，通过融资担保、以奖代补、贷款贴息、风险补偿等方式，鼓励金融机构创新耕地保护信贷产品；支持社会资本参与高标准农田建设、耕地质量提升和污染修复项目，依法享受相关优惠政策。</w:t>
            </w:r>
          </w:p>
          <w:p w14:paraId="1369749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支持发展耕地保护相关保险，鼓励保险机构开发耕地质量保险、农产品质量安全保险等产品。</w:t>
            </w:r>
          </w:p>
        </w:tc>
        <w:tc>
          <w:tcPr>
            <w:tcW w:w="7284" w:type="dxa"/>
            <w:shd w:val="clear" w:color="auto" w:fill="auto"/>
            <w:vAlign w:val="center"/>
          </w:tcPr>
          <w:p w14:paraId="53AF2E4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《中华人民共和国粮食安全保障法》第六条：</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国家建立健全粮食安全保障投入机制，采取财政、金融等支持政策加强粮食安全保障……国家引导社会资本投入粮食生产、储备、流通、加工等领域，并保障其合法权益。国家引导金融机构合理推出金融产品和服务，为粮食生产、储备、流通、加工等提供支持。国家完善政策性农业保险制度，鼓励开展商业性保险业务。</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p>
          <w:p w14:paraId="169DD20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《甘肃省高标准农田建设管理条例》第八条：</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各级人民政府及其有关部门应当加强对高标准农田建设管理法律法规和政策的宣传，积极引导农民、新型农业经营主体、农村集体经济组织和各类社会资本参与高标准农田建设和管护。</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p>
          <w:p w14:paraId="6486F1D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国务院办公厅关于鼓励和支持社会资本参与生态保护修复的意见》（国办发〔2021〕40号）：鼓励和支持社会资本参与生态保护修复项目投资、设计、修复、管护等全过程，围绕生态保护修复开展生态产品开发、产业发展、科技创新、技术服务等活动，对区域生态保护修复进行全生命周期运营管护 。</w:t>
            </w:r>
          </w:p>
        </w:tc>
      </w:tr>
      <w:tr w14:paraId="0CC7DB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0113A4B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第三十八条【科技支撑】 市、县（区）人民政府应当加强耕地保护科研和技术推广，建立专家指导组，开展耕地质量提升关键技术研发、集成与示范，推广智能化监测、精准施肥、生物修复等先进技术。</w:t>
            </w:r>
          </w:p>
        </w:tc>
        <w:tc>
          <w:tcPr>
            <w:tcW w:w="7284" w:type="dxa"/>
            <w:shd w:val="clear" w:color="auto" w:fill="auto"/>
            <w:vAlign w:val="center"/>
          </w:tcPr>
          <w:p w14:paraId="1B1C912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农业法》第十条：国家支持农业科学技术研究、开发和应用，推广先进的农业技术，发展农业科技教育事业。第五十八条：“农民和农业生产经营组织应当保养耕地，合理使用化肥、农药、农用薄膜，增加使用有机肥料，采用先进技术，保护和提高地力，防止农用地的污染、破坏和地力衰退。”</w:t>
            </w:r>
          </w:p>
          <w:p w14:paraId="00D237D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十一条：“国家支持生态环境科学技术研究、开发和应用，加强生态环境保护工作的科技支撑和人才培养，在确保安全前提下促进信息技术、数字技术、人工智能技术等的应用，提高生态环境保护的科学技术水平。”</w:t>
            </w:r>
          </w:p>
          <w:p w14:paraId="6201033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依据《中华人民共和国农业技术推广法》第二条：“本法所称农业技术推广，是指通过试验、示范、培训、指导以及咨询服务等，把农业技术普及应用于农业生产产前、产中、产后全过程的活动。”</w:t>
            </w:r>
          </w:p>
        </w:tc>
      </w:tr>
      <w:tr w14:paraId="4271C3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1C94A5E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第三十九条【信息共享】 市、县（区）农业农村部门应当建立耕地质量信息管理平台，实现与自然资源、生态环境、水务等部门数据共享，面向社会提供查询服务。</w:t>
            </w:r>
          </w:p>
        </w:tc>
        <w:tc>
          <w:tcPr>
            <w:tcW w:w="7284" w:type="dxa"/>
            <w:shd w:val="clear" w:color="auto" w:fill="auto"/>
            <w:vAlign w:val="center"/>
          </w:tcPr>
          <w:p w14:paraId="46C0353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二十三条：“国家建立健全生态环境信息共享机制，提升信息共享能力，加强生态环境信息共享。县级以上人民政府应当推进生态环境信息共享平台建设，有关部门应当及时组织上传生态环境信息并动态更新。”</w:t>
            </w:r>
          </w:p>
          <w:p w14:paraId="6A05C12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《甘肃省高标准农田建设管理条例》（2024年5月1日施行）第七条：</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县级以上人民政府应当组织农业农村、自然资源、水利等部门加强高标准农田信息化建设，建立信息互通共享机制，依托国家有关监测监管平台，将高标准农田建设项目立项、实施、验收、使用等各阶段相关信息上图入库，实现高标准农田建设有据可查、全程监控、精准管理、资源共享。</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p>
          <w:p w14:paraId="7C8B906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参考《江苏省耕地质量管理条例》第三十条“县级以上地方人民政府农业农村、自然资源、生态环境等部门应当建立耕地质量保护信息共享机制，及时通报耕地质量保护相关信息。”</w:t>
            </w:r>
          </w:p>
        </w:tc>
      </w:tr>
      <w:tr w14:paraId="446C3F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13967" w:type="dxa"/>
            <w:gridSpan w:val="2"/>
            <w:shd w:val="clear" w:color="auto" w:fill="auto"/>
            <w:vAlign w:val="center"/>
          </w:tcPr>
          <w:p w14:paraId="13C7A77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黑体" w:hAnsi="黑体" w:eastAsia="黑体" w:cs="仿宋_GB2312"/>
                <w:b w:val="0"/>
                <w:bCs w:val="0"/>
                <w:color w:val="000000" w:themeColor="text1"/>
                <w:sz w:val="24"/>
                <w:szCs w:val="24"/>
                <w:highlight w:val="none"/>
                <w:lang w:val="en-US" w:eastAsia="zh-CN"/>
                <w14:textFill>
                  <w14:solidFill>
                    <w14:schemeClr w14:val="tx1"/>
                  </w14:solidFill>
                </w14:textFill>
              </w:rPr>
              <w:t>第七章 法律责任</w:t>
            </w:r>
          </w:p>
        </w:tc>
      </w:tr>
      <w:tr w14:paraId="3CFE08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043E088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第四十条【非法占用责任】 违反本条例规定，未经批准或者采取欺骗手段占用耕地的，由自然资源部门责令退还、恢复原状，可以并处非法占用土地每平方米一百元以上一千元以下罚款；构成犯罪的，依法追究刑事责任。</w:t>
            </w:r>
          </w:p>
        </w:tc>
        <w:tc>
          <w:tcPr>
            <w:tcW w:w="7284" w:type="dxa"/>
            <w:shd w:val="clear" w:color="auto" w:fill="auto"/>
            <w:vAlign w:val="center"/>
          </w:tcPr>
          <w:p w14:paraId="60AF411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土地管理法》第七十七条“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超过批准的数量占用土地，多占的土地以非法占用土地论处。”</w:t>
            </w:r>
          </w:p>
          <w:p w14:paraId="2C2D0E8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依据《土地管理法实施条例》第五十七条第一款规定：依照《土地管理法》第七十七条的规定处以罚款的，罚款额为非法占用土地每平方米100元以上1000元以下</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w:t>
            </w:r>
          </w:p>
          <w:p w14:paraId="6F3A7FC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刑法》第三百四十二条规定，违反土地管理法规，非法占用耕地、林地等农用地，改变被占用土地用途，数量较大，造成耕地、林地等农用地大量毁坏的，处五年以下有期徒刑或者拘役，并处或者单处罚金。</w:t>
            </w:r>
          </w:p>
        </w:tc>
      </w:tr>
      <w:tr w14:paraId="58DDFE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40464B7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第四十一条【破坏永久基本农田责任】  违反本条例规定，占用基本农田建窑、建房、建坟、挖砂、采石、采矿、取土、堆放固体废弃物或者从事其他活动破坏基本农田，毁坏种植条件的，由县级以上人民政府自然资源主管部门责令改正或者治理，恢复原种植条件，处占用基本农田的耕地开垦费一倍以上二倍以下的罚款。构成犯罪的，依法追究刑事责任。</w:t>
            </w:r>
          </w:p>
          <w:p w14:paraId="4466AC0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yellow"/>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非法占用永久基本农田发展林果业或者挖塘养鱼的，由县级以上人民政府自然资源主管部门责令限期改正；逾期不改正的，按占用面积处耕地开垦费二倍以上五倍以下的罚款；构成犯罪的，依法追究刑事责任。</w:t>
            </w:r>
          </w:p>
        </w:tc>
        <w:tc>
          <w:tcPr>
            <w:tcW w:w="7284" w:type="dxa"/>
            <w:shd w:val="clear" w:color="auto" w:fill="auto"/>
            <w:vAlign w:val="center"/>
          </w:tcPr>
          <w:p w14:paraId="58463A3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土地管理法》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br w:type="textWrapping"/>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依据《基本农田保护条例》第三十三条“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p w14:paraId="3F727E8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依据《中华人民共和国土地管理法实施条例》第五十一条　违反《土地管理法》第三十七条的规定，非法占用永久基本农田发展林果业或者挖塘养鱼的，由县级以上人民政府自然资源主管部门责令限期改正；逾期不改正的，按占用面积处耕地开垦费2倍以上5倍以下的罚款；</w:t>
            </w:r>
          </w:p>
          <w:p w14:paraId="4AC3C06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Segoe UI" w:hAnsi="Segoe UI" w:eastAsia="Segoe UI" w:cs="Segoe UI"/>
                <w:i w:val="0"/>
                <w:iCs w:val="0"/>
                <w:caps w:val="0"/>
                <w:spacing w:val="0"/>
                <w:sz w:val="16"/>
                <w:szCs w:val="16"/>
                <w:highlight w:val="yellow"/>
                <w:shd w:val="clear" w:fill="FFFFFF"/>
                <w:lang w:val="en-US" w:eastAsia="zh-CN"/>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《中华人民共和国粮食安全保障法》（2024年6月1日施行）第十二条：“国家严格控制耕地转为林地、草地、园地等其他农用地。禁止违规占用耕地绿化造林、挖湖造景等行为。</w:t>
            </w:r>
          </w:p>
        </w:tc>
      </w:tr>
      <w:tr w14:paraId="44B170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565CC00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第四十二条【破坏质量责任】 耕地使用者有下列行为之一，造成耕地质量等级下降的，由农业农村主管部门、生态环境主管部门按照各自职责责令限期改正；逾期不改正或者造成严重后果的，依照下列规定予以处罚：</w:t>
            </w:r>
          </w:p>
          <w:p w14:paraId="5BB08C1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一）未按照规定及时回收肥料等农业投入品的包装废弃物或者农用薄膜，或者未按照规定及时回收农药包装废弃物交由专门的机构或者组织进行无害化处理的，由农业农村主管部门依照相关规定予以处罚；受让方为单位的，处一万元以上十万元以下罚款；受让方为个人的，处二百元以上二千元以下罚款。</w:t>
            </w:r>
          </w:p>
          <w:p w14:paraId="4EB5AE7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（二）</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排放重金属或者其他有毒有害物质含量超标的污水、污泥，以及可能造成土壤污染的清淤底泥、尾矿、矿渣等</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的，</w:t>
            </w:r>
            <w:r>
              <w:rPr>
                <w:rFonts w:hint="default" w:ascii="仿宋_GB2312" w:eastAsia="仿宋_GB2312"/>
                <w:b w:val="0"/>
                <w:bCs w:val="0"/>
                <w:color w:val="000000" w:themeColor="text1"/>
                <w:spacing w:val="-4"/>
                <w:szCs w:val="21"/>
                <w:highlight w:val="none"/>
                <w:lang w:val="en-US" w:eastAsia="zh-CN"/>
                <w14:textFill>
                  <w14:solidFill>
                    <w14:schemeClr w14:val="tx1"/>
                  </w14:solidFill>
                </w14:textFill>
              </w:rPr>
              <w:t>由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w:t>
            </w:r>
          </w:p>
          <w:p w14:paraId="2EDA390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（三）向耕地排放未经无害化处理或者虽经处理但不符合相关标准的畜禽粪污等养殖废弃物的，由生态环境主管部门责令限期治理，可以处五万元以下的罚款。</w:t>
            </w:r>
          </w:p>
        </w:tc>
        <w:tc>
          <w:tcPr>
            <w:tcW w:w="7284" w:type="dxa"/>
            <w:shd w:val="clear" w:color="auto" w:fill="auto"/>
            <w:vAlign w:val="center"/>
          </w:tcPr>
          <w:p w14:paraId="5EBE9E4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一千一百六十条：“违反本法规定，向农用地排放重金属或者其他有毒有害物质含量超标的污水、污泥，以及可能造成土壤污染的清淤底泥、尾矿、矿渣等的，由生态环境主管部门责令改正，没收违法所得，并处十万元以上五十万元以下的罚款；情节严重的，并处五十万元以上二百万元以下的罚款，并将案件移送公安机关，由公安机关对直接负责的主管人员和其他直接责任人员处五日以上十五日以下拘留。”及第一千一百六十一条：“违反本法规定，农业投入品生产者、销售者、使用者未及时回收农药、肥料等农业投入品的包装废弃物或者农用薄膜，或者未将农药包装废弃物交由专门的机构或者组织进行无害化处理的，由农业农村主管部门责令改正，处一万元以上十万元以下的罚款；农业投入品使用者为个人的，可以处二百元以上二千元以下的罚款。”</w:t>
            </w:r>
          </w:p>
          <w:p w14:paraId="6BFAFA0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依据《畜禽规模养殖污染防治条例》第四十一条“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w:t>
            </w:r>
          </w:p>
        </w:tc>
      </w:tr>
      <w:tr w14:paraId="151BAA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6A4C891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hAnsiTheme="minorHAnsi" w:cstheme="minorBidi"/>
                <w:b w:val="0"/>
                <w:bCs w:val="0"/>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 xml:space="preserve"> 第四十三条【违反流转合同责任】 土地经营权流转受让方违反耕地保护条款，造成耕地质量下降的，应当按照合同约定承担修复、赔偿责任。同时，将其违法信息纳入社会信用体系管理。</w:t>
            </w:r>
          </w:p>
        </w:tc>
        <w:tc>
          <w:tcPr>
            <w:tcW w:w="7284" w:type="dxa"/>
            <w:shd w:val="clear" w:color="auto" w:fill="auto"/>
            <w:vAlign w:val="center"/>
          </w:tcPr>
          <w:p w14:paraId="173E921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农村土地承包法》第六十四条规定，土地经营权人擅自改变土地的农业用途、给土地造成严重损害或者严重破坏土地生态环境的，承包方有权解除合同，发包方有权要求终止土地经营权流转合同。”</w:t>
            </w:r>
          </w:p>
          <w:p w14:paraId="5CE1818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参考《江苏省耕地质量管理条例》第三十五条“违反本条例规定，土地经营权受让方破坏耕地质量的，由农业农村主管部门责令限期改正；逾期不改正的，处一千元以上一万元以下的罚款；造成耕地质量下降的，依法承担赔偿责任”。</w:t>
            </w:r>
          </w:p>
        </w:tc>
      </w:tr>
      <w:tr w14:paraId="2384F0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255814C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第四十四条【基层监管责任】 县（区）、乡（镇）人民政府未履行耕地保护监管职责，有下列情形之一的，由上级人民政府责令限期改正；情节严重的，对直接负责的主管人员和其他直接责任人员依法给予处分：</w:t>
            </w:r>
          </w:p>
          <w:p w14:paraId="3B7C7C4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（一）未按照规定开展耕地质量监测、巡查的；</w:t>
            </w:r>
          </w:p>
          <w:p w14:paraId="5AAD46A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（二）对破坏耕地质量的行为不依法查处的；</w:t>
            </w:r>
          </w:p>
          <w:p w14:paraId="033735B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（三）未按照规定审核确认耕地质量评价报告的；</w:t>
            </w:r>
          </w:p>
          <w:p w14:paraId="4D365B9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（四）挪用耕地质量保护和修复资金的。</w:t>
            </w:r>
          </w:p>
        </w:tc>
        <w:tc>
          <w:tcPr>
            <w:tcW w:w="7284" w:type="dxa"/>
            <w:shd w:val="clear" w:color="auto" w:fill="auto"/>
            <w:vAlign w:val="center"/>
          </w:tcPr>
          <w:p w14:paraId="78F1664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 w:val="21"/>
                <w:szCs w:val="21"/>
                <w:highlight w:val="none"/>
                <w:lang w:val="en-US" w:eastAsia="zh-CN"/>
                <w14:textFill>
                  <w14:solidFill>
                    <w14:schemeClr w14:val="tx1"/>
                  </w14:solidFill>
                </w14:textFill>
              </w:rPr>
              <w:t>依据《中华人民共和国生态环境法典》第一千零六十二条：“地方各级人民政府、负有生态环境保护监督管理职责的部门、机构有下列情形之一的，对负有责任的领导人员和直接责任人员给予记过、记大过或者降级处分；造成严重后果的，给予撤职或者开除处分：……（二）对生态环境违法行为进行包庇；（三）依法应当作出责令停业、关闭的决定而未作出；（四）对未按照许可证规定排放污染物、采用逃避监管的方式排放污染物、造成环境污染或者生态破坏事故以及不落实生态保护措施造成生态破坏等行为，发现或者接到举报未及时依法查处……”</w:t>
            </w:r>
          </w:p>
          <w:p w14:paraId="52E048A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i w:val="0"/>
                <w:iCs w:val="0"/>
                <w:caps w:val="0"/>
                <w:color w:val="0F1115"/>
                <w:spacing w:val="0"/>
                <w:sz w:val="21"/>
                <w:szCs w:val="21"/>
                <w:shd w:val="clear" w:fill="FFFFFF"/>
                <w:lang w:val="en-US" w:eastAsia="zh-CN"/>
              </w:rPr>
              <w:t>依据</w:t>
            </w:r>
            <w:r>
              <w:rPr>
                <w:rFonts w:hint="eastAsia" w:ascii="仿宋_GB2312" w:hAnsi="仿宋_GB2312" w:eastAsia="仿宋_GB2312" w:cs="仿宋_GB2312"/>
                <w:i w:val="0"/>
                <w:iCs w:val="0"/>
                <w:caps w:val="0"/>
                <w:color w:val="0F1115"/>
                <w:spacing w:val="0"/>
                <w:sz w:val="21"/>
                <w:szCs w:val="21"/>
                <w:shd w:val="clear" w:fill="FFFFFF"/>
              </w:rPr>
              <w:t>《基本农田保护条例》第四条“县级以上地方各级人民政府应当采取措施，确保本行政区域内基本农田的数量不减少。</w:t>
            </w:r>
          </w:p>
        </w:tc>
      </w:tr>
      <w:tr w14:paraId="7CA9A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7EED41B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第四十五条【部门协同责任】 自然资源、农业农村、生态环境、水务、林草、市场监管等部门未按照本条例规定履行耕地质量保护职责，有下列情形之一的，由本级人民政府或者上级主管部门责令限期改正；情节严重的，对直接负责的主管人员和其他直接责任人员依法给予处分：</w:t>
            </w:r>
          </w:p>
          <w:p w14:paraId="60C6FBD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（一）未建立或未执行信息共享、联合执法、案件移送等协同工作机制的；</w:t>
            </w:r>
          </w:p>
          <w:p w14:paraId="058CB15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（二）在耕地占补平衡、永久基本农田补划、补充耕地质量验收中弄虚作假的；</w:t>
            </w:r>
          </w:p>
          <w:p w14:paraId="2FE07C6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（三）对涉重金属企业准入把关不严，造成耕地污染的；</w:t>
            </w:r>
          </w:p>
          <w:p w14:paraId="178BC61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（四）未按照规定开展土壤污染状况调查、监测的。</w:t>
            </w:r>
          </w:p>
        </w:tc>
        <w:tc>
          <w:tcPr>
            <w:tcW w:w="7284" w:type="dxa"/>
            <w:shd w:val="clear" w:color="auto" w:fill="auto"/>
            <w:vAlign w:val="center"/>
          </w:tcPr>
          <w:p w14:paraId="5ACFB06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十七条“国务院生态环境主管部门在其职责范围内对全国生态环境保护工作实施统一监督管理，统一政策规划标准制定，统一监测评估，统一监督执法，统一督察问责。地方人民政府生态环境主管部门在其职责范围内对本行政区域生态环境保护工作实施统一监督管理。</w:t>
            </w:r>
          </w:p>
          <w:p w14:paraId="7375347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国务院自然资源主管部门在其职责范围内对全国自然资源开发利用和保护工作实施监督管理，根据国务院授权统一履行全民所有自然资源资产所有者职责，统一履行所有国土空间用途管制和生态的保护与修复职责。地方人民政府自然资源主管部门在其职责范围内对本行政区域自然资源开发利用和保护，以及国土空间开发保护工作实施监督管理。</w:t>
            </w:r>
          </w:p>
          <w:p w14:paraId="16D1F14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县级以上人民政府发展改革、工业和信息化、住房城乡建设、交通运输、水行政、农业农村、林业草原等有关部门和军队生态环境保护部门在各自职责范围内对生态环境保护工作实施监督管理。”</w:t>
            </w:r>
          </w:p>
          <w:p w14:paraId="660DFB4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一千零六十二条：“地方各级人民政府、负有生态环境保护监督管理职责的部门、机构有下列情形之一的，对负有责任的领导人员和直接责任人员给予记过、记大过或者降级处分；造成严重后果的，给予撤职或者开除处分：……（二）对生态环境违法行为进行包庇；（三）依法应当作出责令停业、关闭的决定而未作出；（四）对未按照许可证规定排放污染物、采用逃避监管的方式排放污染物、造成环境污染或者生态破坏事故以及不落实生态保护措施造成生态破坏等行为，发现或者接到举报未及时依法查处……”</w:t>
            </w:r>
          </w:p>
        </w:tc>
      </w:tr>
      <w:tr w14:paraId="54C15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1368584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第四十六条【监管部门责任】 各级人民政府及有关部门工作人员在耕地保护工作中，存在下列情形之一的，依法给予处分；构成犯罪的，依法追究刑事责任：</w:t>
            </w:r>
          </w:p>
          <w:p w14:paraId="08C3517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（一）未落实耕地保护目标责任的；</w:t>
            </w:r>
          </w:p>
          <w:p w14:paraId="4377308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（二）在耕地占补平衡、永久基本农田补划中弄虚作假的；</w:t>
            </w:r>
          </w:p>
          <w:p w14:paraId="2ADC217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（三）对破坏耕地的行为不依法查处的；</w:t>
            </w:r>
          </w:p>
          <w:p w14:paraId="266E6E4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（四）其他玩忽职守、滥用职权、徇私舞弊的行为。</w:t>
            </w:r>
          </w:p>
        </w:tc>
        <w:tc>
          <w:tcPr>
            <w:tcW w:w="7284" w:type="dxa"/>
            <w:shd w:val="clear" w:color="auto" w:fill="auto"/>
            <w:vAlign w:val="center"/>
          </w:tcPr>
          <w:p w14:paraId="54F190D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土地管理法》第七十九条“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第八十四条“自然资源主管部门、农业农村主管部门的工作人员玩忽职守、滥用职权、徇私舞弊，构成犯罪的，依法追究刑事责任；尚不构成犯罪的，依法给予处分。”</w:t>
            </w:r>
          </w:p>
          <w:p w14:paraId="0BA1949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中华人民共和国生态环境法典》第一千零六十二条：“地方各级人民政府、负有生态环境保护监督管理职责的部门、机构有下列情形之一的，对负有责任的领导人员和直接责任人员给予记过、记大过或者降级处分；造成严重后果的，给予撤职或者开除处分：……（二）对生态环境违法行为进行包庇；（三）依法应当作出责令停业、关闭的决定而未作出；（四）对未按照许可证规定排放污染物、采用逃避监管的方式排放污染物、造成环境污染或者生态破坏事故以及不落实生态保护措施造成生态破坏等行为，发现或者接到举报未及时依法查处……”</w:t>
            </w:r>
          </w:p>
        </w:tc>
      </w:tr>
      <w:tr w14:paraId="26C367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3967" w:type="dxa"/>
            <w:gridSpan w:val="2"/>
            <w:shd w:val="clear" w:color="auto" w:fill="auto"/>
            <w:vAlign w:val="center"/>
          </w:tcPr>
          <w:p w14:paraId="545552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baseline"/>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pPr>
            <w:r>
              <w:rPr>
                <w:rFonts w:hint="eastAsia" w:ascii="黑体" w:hAnsi="黑体" w:eastAsia="黑体" w:cs="仿宋_GB2312"/>
                <w:b w:val="0"/>
                <w:bCs w:val="0"/>
                <w:color w:val="000000" w:themeColor="text1"/>
                <w:sz w:val="24"/>
                <w:szCs w:val="24"/>
                <w:highlight w:val="none"/>
                <w:lang w:val="en-US" w:eastAsia="zh-CN"/>
                <w14:textFill>
                  <w14:solidFill>
                    <w14:schemeClr w14:val="tx1"/>
                  </w14:solidFill>
                </w14:textFill>
              </w:rPr>
              <w:t>第八章 附 则</w:t>
            </w:r>
          </w:p>
        </w:tc>
      </w:tr>
      <w:tr w14:paraId="4FDF49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6683" w:type="dxa"/>
            <w:shd w:val="clear" w:color="auto" w:fill="auto"/>
            <w:vAlign w:val="center"/>
          </w:tcPr>
          <w:p w14:paraId="7ABF7EE4">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eastAsia="仿宋_GB2312" w:hAnsiTheme="minorHAnsi" w:cstheme="minorBidi"/>
                <w:b w:val="0"/>
                <w:bCs w:val="0"/>
                <w:color w:val="000000" w:themeColor="text1"/>
                <w:spacing w:val="-4"/>
                <w:kern w:val="2"/>
                <w:sz w:val="21"/>
                <w:szCs w:val="21"/>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spacing w:val="-4"/>
                <w:kern w:val="2"/>
                <w:sz w:val="21"/>
                <w:szCs w:val="21"/>
                <w:lang w:val="en-US" w:eastAsia="zh-CN" w:bidi="ar-SA"/>
                <w14:textFill>
                  <w14:solidFill>
                    <w14:schemeClr w14:val="tx1"/>
                  </w14:solidFill>
                </w14:textFill>
              </w:rPr>
              <w:t>第四十</w:t>
            </w:r>
            <w:r>
              <w:rPr>
                <w:rFonts w:hint="eastAsia" w:ascii="仿宋_GB2312" w:eastAsia="仿宋_GB2312" w:cstheme="minorBidi"/>
                <w:b w:val="0"/>
                <w:bCs w:val="0"/>
                <w:color w:val="000000" w:themeColor="text1"/>
                <w:spacing w:val="-4"/>
                <w:kern w:val="2"/>
                <w:sz w:val="21"/>
                <w:szCs w:val="21"/>
                <w:lang w:val="en-US" w:eastAsia="zh-CN" w:bidi="ar-SA"/>
                <w14:textFill>
                  <w14:solidFill>
                    <w14:schemeClr w14:val="tx1"/>
                  </w14:solidFill>
                </w14:textFill>
              </w:rPr>
              <w:t>七</w:t>
            </w:r>
            <w:r>
              <w:rPr>
                <w:rFonts w:hint="eastAsia" w:ascii="仿宋_GB2312" w:eastAsia="仿宋_GB2312" w:hAnsiTheme="minorHAnsi" w:cstheme="minorBidi"/>
                <w:b w:val="0"/>
                <w:bCs w:val="0"/>
                <w:color w:val="000000" w:themeColor="text1"/>
                <w:spacing w:val="-4"/>
                <w:kern w:val="2"/>
                <w:sz w:val="21"/>
                <w:szCs w:val="21"/>
                <w:lang w:val="en-US" w:eastAsia="zh-CN" w:bidi="ar-SA"/>
                <w14:textFill>
                  <w14:solidFill>
                    <w14:schemeClr w14:val="tx1"/>
                  </w14:solidFill>
                </w14:textFill>
              </w:rPr>
              <w:t>条【配套规定】 市人民政府应当根据本条例制定耕地质量评价、信用管理、多元投入激励、失信惩戒等配套办法，配套办法应当自本条例施行之日起6个月内制定并公布。</w:t>
            </w:r>
          </w:p>
        </w:tc>
        <w:tc>
          <w:tcPr>
            <w:tcW w:w="7284" w:type="dxa"/>
            <w:shd w:val="clear" w:color="auto" w:fill="auto"/>
            <w:vAlign w:val="center"/>
          </w:tcPr>
          <w:p w14:paraId="722C300A">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val="0"/>
                <w:color w:val="000000" w:themeColor="text1"/>
                <w:spacing w:val="-4"/>
                <w:szCs w:val="21"/>
                <w:lang w:val="en-US" w:eastAsia="zh-CN"/>
                <w14:textFill>
                  <w14:solidFill>
                    <w14:schemeClr w14:val="tx1"/>
                  </w14:solidFill>
                </w14:textFill>
              </w:rPr>
            </w:pPr>
            <w:r>
              <w:rPr>
                <w:rFonts w:hint="eastAsia" w:ascii="仿宋_GB2312" w:hAnsi="仿宋_GB2312" w:eastAsia="仿宋_GB2312" w:cs="仿宋_GB2312"/>
                <w:i w:val="0"/>
                <w:iCs w:val="0"/>
                <w:caps w:val="0"/>
                <w:color w:val="0F1115"/>
                <w:spacing w:val="0"/>
                <w:sz w:val="19"/>
                <w:szCs w:val="19"/>
                <w:shd w:val="clear" w:fill="FFFFFF"/>
              </w:rPr>
              <w:t>《中华人民共和国立法法》第八十二条：“设区的市的人民代表大会及其常务委员会根据本市的具体情况和实际需要，在不同宪法、法律、行政法规和本省、自治区的地方性法规相抵触的前提下，可以对城乡建设与管理、生态文明建设、历史文化保护、基层治理等方面的事项制定地方性法规……”</w:t>
            </w:r>
          </w:p>
        </w:tc>
      </w:tr>
      <w:tr w14:paraId="371463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6683" w:type="dxa"/>
            <w:shd w:val="clear" w:color="auto" w:fill="auto"/>
            <w:vAlign w:val="center"/>
          </w:tcPr>
          <w:p w14:paraId="100F1E0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第四十八条【生效时间】 本条例自202*年**月**日起施行。</w:t>
            </w:r>
          </w:p>
        </w:tc>
        <w:tc>
          <w:tcPr>
            <w:tcW w:w="7284" w:type="dxa"/>
            <w:shd w:val="clear" w:color="auto" w:fill="auto"/>
            <w:vAlign w:val="center"/>
          </w:tcPr>
          <w:p w14:paraId="7FDDE39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立法技术规范</w:t>
            </w:r>
          </w:p>
        </w:tc>
      </w:tr>
    </w:tbl>
    <w:p w14:paraId="24108F91">
      <w:pPr>
        <w:spacing w:line="587" w:lineRule="exact"/>
        <w:rPr>
          <w:rFonts w:ascii="方正小标宋简体" w:eastAsia="方正小标宋简体"/>
          <w:color w:val="000000" w:themeColor="text1"/>
          <w:sz w:val="44"/>
          <w:szCs w:val="44"/>
          <w14:textFill>
            <w14:solidFill>
              <w14:schemeClr w14:val="tx1"/>
            </w14:solidFill>
          </w14:textFill>
        </w:rPr>
      </w:pPr>
    </w:p>
    <w:sectPr>
      <w:footerReference r:id="rId3" w:type="default"/>
      <w:pgSz w:w="16838" w:h="11906" w:orient="landscape"/>
      <w:pgMar w:top="1417" w:right="1418" w:bottom="113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10456"/>
      <w:docPartObj>
        <w:docPartGallery w:val="autotext"/>
      </w:docPartObj>
    </w:sdtPr>
    <w:sdtContent>
      <w:p w14:paraId="67E4E751">
        <w:pPr>
          <w:pStyle w:val="6"/>
          <w:jc w:val="cente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13 -</w:t>
        </w:r>
        <w:r>
          <w:rPr>
            <w:rFonts w:asciiTheme="minorEastAsia" w:hAnsiTheme="minorEastAsia"/>
            <w:sz w:val="24"/>
            <w:szCs w:val="24"/>
          </w:rPr>
          <w:fldChar w:fldCharType="end"/>
        </w:r>
      </w:p>
    </w:sdtContent>
  </w:sdt>
  <w:p w14:paraId="09306C3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ZWNjYjkwZjc4OGJjOWIzODM4MzI2ODQ5N2Q1NTUifQ=="/>
  </w:docVars>
  <w:rsids>
    <w:rsidRoot w:val="00F65813"/>
    <w:rsid w:val="00022A88"/>
    <w:rsid w:val="0003541A"/>
    <w:rsid w:val="000566F2"/>
    <w:rsid w:val="00056E46"/>
    <w:rsid w:val="000625D6"/>
    <w:rsid w:val="00066A65"/>
    <w:rsid w:val="000A0250"/>
    <w:rsid w:val="000A589E"/>
    <w:rsid w:val="000B7E5D"/>
    <w:rsid w:val="000C4CF0"/>
    <w:rsid w:val="000D7A08"/>
    <w:rsid w:val="000F2273"/>
    <w:rsid w:val="00107385"/>
    <w:rsid w:val="00114D6F"/>
    <w:rsid w:val="001175AE"/>
    <w:rsid w:val="00133F1A"/>
    <w:rsid w:val="001440AC"/>
    <w:rsid w:val="0015445B"/>
    <w:rsid w:val="00163581"/>
    <w:rsid w:val="001643E3"/>
    <w:rsid w:val="00165428"/>
    <w:rsid w:val="00172B14"/>
    <w:rsid w:val="00184713"/>
    <w:rsid w:val="001858E2"/>
    <w:rsid w:val="00185944"/>
    <w:rsid w:val="00195AB4"/>
    <w:rsid w:val="001C1C31"/>
    <w:rsid w:val="001C7103"/>
    <w:rsid w:val="0020106D"/>
    <w:rsid w:val="00207A0F"/>
    <w:rsid w:val="00240717"/>
    <w:rsid w:val="00246B84"/>
    <w:rsid w:val="002531C4"/>
    <w:rsid w:val="00270B0D"/>
    <w:rsid w:val="00295E34"/>
    <w:rsid w:val="002B5CD1"/>
    <w:rsid w:val="002C77D0"/>
    <w:rsid w:val="002D0991"/>
    <w:rsid w:val="002E5CC7"/>
    <w:rsid w:val="002F0178"/>
    <w:rsid w:val="002F1684"/>
    <w:rsid w:val="003022B2"/>
    <w:rsid w:val="00321678"/>
    <w:rsid w:val="00321B41"/>
    <w:rsid w:val="00331D15"/>
    <w:rsid w:val="00334635"/>
    <w:rsid w:val="00362437"/>
    <w:rsid w:val="0036434F"/>
    <w:rsid w:val="003A23EA"/>
    <w:rsid w:val="003E150B"/>
    <w:rsid w:val="003E44F8"/>
    <w:rsid w:val="00410EFD"/>
    <w:rsid w:val="00414EB1"/>
    <w:rsid w:val="0044302E"/>
    <w:rsid w:val="00446175"/>
    <w:rsid w:val="004537F2"/>
    <w:rsid w:val="00465F45"/>
    <w:rsid w:val="004755FA"/>
    <w:rsid w:val="004A6094"/>
    <w:rsid w:val="004B3E19"/>
    <w:rsid w:val="004B3F2E"/>
    <w:rsid w:val="004D368F"/>
    <w:rsid w:val="004D604E"/>
    <w:rsid w:val="004D6982"/>
    <w:rsid w:val="004F57B2"/>
    <w:rsid w:val="005319FA"/>
    <w:rsid w:val="00535C6B"/>
    <w:rsid w:val="00563C39"/>
    <w:rsid w:val="00572027"/>
    <w:rsid w:val="00574DAC"/>
    <w:rsid w:val="005874BA"/>
    <w:rsid w:val="0059597D"/>
    <w:rsid w:val="005973B5"/>
    <w:rsid w:val="00597EAF"/>
    <w:rsid w:val="005B3EA3"/>
    <w:rsid w:val="005C3FB0"/>
    <w:rsid w:val="005E05DB"/>
    <w:rsid w:val="005E0B91"/>
    <w:rsid w:val="00615EA1"/>
    <w:rsid w:val="00620662"/>
    <w:rsid w:val="00626997"/>
    <w:rsid w:val="006364DF"/>
    <w:rsid w:val="00637C73"/>
    <w:rsid w:val="0064008A"/>
    <w:rsid w:val="0066200A"/>
    <w:rsid w:val="006A5A12"/>
    <w:rsid w:val="006B64C7"/>
    <w:rsid w:val="006B7CEA"/>
    <w:rsid w:val="006C7FEA"/>
    <w:rsid w:val="006D7C13"/>
    <w:rsid w:val="006E6385"/>
    <w:rsid w:val="007036A3"/>
    <w:rsid w:val="00711A9A"/>
    <w:rsid w:val="007541A7"/>
    <w:rsid w:val="00756448"/>
    <w:rsid w:val="007729F2"/>
    <w:rsid w:val="00792DD2"/>
    <w:rsid w:val="007C3883"/>
    <w:rsid w:val="007C3B22"/>
    <w:rsid w:val="007C75AA"/>
    <w:rsid w:val="007D2130"/>
    <w:rsid w:val="007F29C1"/>
    <w:rsid w:val="008016B8"/>
    <w:rsid w:val="00815929"/>
    <w:rsid w:val="00873716"/>
    <w:rsid w:val="00875026"/>
    <w:rsid w:val="008817B2"/>
    <w:rsid w:val="00896EF0"/>
    <w:rsid w:val="008A7DA5"/>
    <w:rsid w:val="008D2D22"/>
    <w:rsid w:val="009155A2"/>
    <w:rsid w:val="00946147"/>
    <w:rsid w:val="009B407F"/>
    <w:rsid w:val="009D224B"/>
    <w:rsid w:val="00A62E6B"/>
    <w:rsid w:val="00A85C7E"/>
    <w:rsid w:val="00AA307A"/>
    <w:rsid w:val="00AA48F8"/>
    <w:rsid w:val="00AA65C3"/>
    <w:rsid w:val="00AD38FB"/>
    <w:rsid w:val="00AF06A5"/>
    <w:rsid w:val="00AF6670"/>
    <w:rsid w:val="00AF7505"/>
    <w:rsid w:val="00B07CC7"/>
    <w:rsid w:val="00B20576"/>
    <w:rsid w:val="00B311C8"/>
    <w:rsid w:val="00B41A84"/>
    <w:rsid w:val="00B632DD"/>
    <w:rsid w:val="00B77321"/>
    <w:rsid w:val="00B80446"/>
    <w:rsid w:val="00BA4D2C"/>
    <w:rsid w:val="00BD3F1B"/>
    <w:rsid w:val="00C13773"/>
    <w:rsid w:val="00C2090E"/>
    <w:rsid w:val="00C406F1"/>
    <w:rsid w:val="00C4308F"/>
    <w:rsid w:val="00C636FD"/>
    <w:rsid w:val="00C64B11"/>
    <w:rsid w:val="00C71AC3"/>
    <w:rsid w:val="00C94673"/>
    <w:rsid w:val="00CF7BC5"/>
    <w:rsid w:val="00D16ECC"/>
    <w:rsid w:val="00D21141"/>
    <w:rsid w:val="00D366BE"/>
    <w:rsid w:val="00D45812"/>
    <w:rsid w:val="00D87D1A"/>
    <w:rsid w:val="00D90A71"/>
    <w:rsid w:val="00D92352"/>
    <w:rsid w:val="00DB283C"/>
    <w:rsid w:val="00DE037C"/>
    <w:rsid w:val="00DE11F8"/>
    <w:rsid w:val="00DE362F"/>
    <w:rsid w:val="00DE418B"/>
    <w:rsid w:val="00DE6EE7"/>
    <w:rsid w:val="00DF7AC9"/>
    <w:rsid w:val="00E1188D"/>
    <w:rsid w:val="00E300E8"/>
    <w:rsid w:val="00E36480"/>
    <w:rsid w:val="00E73FA9"/>
    <w:rsid w:val="00E969D8"/>
    <w:rsid w:val="00EA5200"/>
    <w:rsid w:val="00EB7DEE"/>
    <w:rsid w:val="00EF23D3"/>
    <w:rsid w:val="00EF790A"/>
    <w:rsid w:val="00EF7BC7"/>
    <w:rsid w:val="00F02F90"/>
    <w:rsid w:val="00F14E5B"/>
    <w:rsid w:val="00F23E30"/>
    <w:rsid w:val="00F25316"/>
    <w:rsid w:val="00F56AE8"/>
    <w:rsid w:val="00F65813"/>
    <w:rsid w:val="00F93A7A"/>
    <w:rsid w:val="00FB1E06"/>
    <w:rsid w:val="00FC7240"/>
    <w:rsid w:val="011138F0"/>
    <w:rsid w:val="018C7FE2"/>
    <w:rsid w:val="02536BD2"/>
    <w:rsid w:val="030518BB"/>
    <w:rsid w:val="03E42E9A"/>
    <w:rsid w:val="03F66D0E"/>
    <w:rsid w:val="044116F6"/>
    <w:rsid w:val="04B270C1"/>
    <w:rsid w:val="054020B2"/>
    <w:rsid w:val="055A3B91"/>
    <w:rsid w:val="05F1758E"/>
    <w:rsid w:val="061A7DF9"/>
    <w:rsid w:val="0695100B"/>
    <w:rsid w:val="071F05B5"/>
    <w:rsid w:val="075E2523"/>
    <w:rsid w:val="078B7A03"/>
    <w:rsid w:val="07B64236"/>
    <w:rsid w:val="08A93CEE"/>
    <w:rsid w:val="09BA5B2A"/>
    <w:rsid w:val="09DA4F52"/>
    <w:rsid w:val="09FB12FD"/>
    <w:rsid w:val="0B51102E"/>
    <w:rsid w:val="0B5B05C2"/>
    <w:rsid w:val="0B6D6647"/>
    <w:rsid w:val="0BB664A4"/>
    <w:rsid w:val="0BC85736"/>
    <w:rsid w:val="0BCF17D9"/>
    <w:rsid w:val="0C4F74F5"/>
    <w:rsid w:val="0C552FCB"/>
    <w:rsid w:val="0DD17E03"/>
    <w:rsid w:val="0DD237BC"/>
    <w:rsid w:val="0EF95E3E"/>
    <w:rsid w:val="0EFC1FA5"/>
    <w:rsid w:val="0F403993"/>
    <w:rsid w:val="0F4E3FAD"/>
    <w:rsid w:val="0F8E1513"/>
    <w:rsid w:val="10B96178"/>
    <w:rsid w:val="11234E2D"/>
    <w:rsid w:val="118969A8"/>
    <w:rsid w:val="127C06A1"/>
    <w:rsid w:val="1289719A"/>
    <w:rsid w:val="135C425F"/>
    <w:rsid w:val="13E048D2"/>
    <w:rsid w:val="1430702E"/>
    <w:rsid w:val="14CD263C"/>
    <w:rsid w:val="14F72BCE"/>
    <w:rsid w:val="15E10861"/>
    <w:rsid w:val="164129CA"/>
    <w:rsid w:val="166B7621"/>
    <w:rsid w:val="16A03762"/>
    <w:rsid w:val="177277A3"/>
    <w:rsid w:val="17BB757F"/>
    <w:rsid w:val="18295325"/>
    <w:rsid w:val="185C559A"/>
    <w:rsid w:val="186743B5"/>
    <w:rsid w:val="186B59DF"/>
    <w:rsid w:val="18793543"/>
    <w:rsid w:val="18FE0E90"/>
    <w:rsid w:val="194A79C2"/>
    <w:rsid w:val="1BA02772"/>
    <w:rsid w:val="1BCA303C"/>
    <w:rsid w:val="1CA13D9D"/>
    <w:rsid w:val="1CC9756C"/>
    <w:rsid w:val="1F221592"/>
    <w:rsid w:val="1FE53362"/>
    <w:rsid w:val="1FEFEC51"/>
    <w:rsid w:val="20854C4F"/>
    <w:rsid w:val="20951E81"/>
    <w:rsid w:val="209F02CD"/>
    <w:rsid w:val="21E4596C"/>
    <w:rsid w:val="22834F2F"/>
    <w:rsid w:val="22BF31CF"/>
    <w:rsid w:val="22E80836"/>
    <w:rsid w:val="23990716"/>
    <w:rsid w:val="24031B9D"/>
    <w:rsid w:val="24697450"/>
    <w:rsid w:val="247E617E"/>
    <w:rsid w:val="248A1E01"/>
    <w:rsid w:val="24AF12C8"/>
    <w:rsid w:val="24E355C6"/>
    <w:rsid w:val="25A45C5A"/>
    <w:rsid w:val="25DD03A3"/>
    <w:rsid w:val="263F5861"/>
    <w:rsid w:val="26E2325A"/>
    <w:rsid w:val="26F16050"/>
    <w:rsid w:val="270F17A0"/>
    <w:rsid w:val="28736E14"/>
    <w:rsid w:val="29117CAE"/>
    <w:rsid w:val="29420991"/>
    <w:rsid w:val="2A3D655B"/>
    <w:rsid w:val="2A461AE0"/>
    <w:rsid w:val="2A8342BC"/>
    <w:rsid w:val="2A9F2754"/>
    <w:rsid w:val="2AEE3ED8"/>
    <w:rsid w:val="2B044DC0"/>
    <w:rsid w:val="2B536596"/>
    <w:rsid w:val="2B7C7EE2"/>
    <w:rsid w:val="2BBF5E5B"/>
    <w:rsid w:val="2C3D33B6"/>
    <w:rsid w:val="2CCF5E45"/>
    <w:rsid w:val="2CFB648A"/>
    <w:rsid w:val="2EB85D4C"/>
    <w:rsid w:val="2EC905A9"/>
    <w:rsid w:val="2EE26B1C"/>
    <w:rsid w:val="2EEFAC4D"/>
    <w:rsid w:val="2F660650"/>
    <w:rsid w:val="300A63FA"/>
    <w:rsid w:val="30273E88"/>
    <w:rsid w:val="303C356D"/>
    <w:rsid w:val="312132A7"/>
    <w:rsid w:val="312524A7"/>
    <w:rsid w:val="31432160"/>
    <w:rsid w:val="316D0DA5"/>
    <w:rsid w:val="31AA06B9"/>
    <w:rsid w:val="32013B88"/>
    <w:rsid w:val="324A0061"/>
    <w:rsid w:val="32CC42E1"/>
    <w:rsid w:val="345D21C4"/>
    <w:rsid w:val="34C760A2"/>
    <w:rsid w:val="35316FEE"/>
    <w:rsid w:val="35455B73"/>
    <w:rsid w:val="357A2FAC"/>
    <w:rsid w:val="358414BF"/>
    <w:rsid w:val="3778260F"/>
    <w:rsid w:val="396024B0"/>
    <w:rsid w:val="3A5A39CC"/>
    <w:rsid w:val="3AF439F8"/>
    <w:rsid w:val="3C9157EA"/>
    <w:rsid w:val="3DD50305"/>
    <w:rsid w:val="3EB954B1"/>
    <w:rsid w:val="3FE04752"/>
    <w:rsid w:val="40042C13"/>
    <w:rsid w:val="41297D82"/>
    <w:rsid w:val="42004FD7"/>
    <w:rsid w:val="42012A59"/>
    <w:rsid w:val="422C6789"/>
    <w:rsid w:val="428B67D2"/>
    <w:rsid w:val="429A1453"/>
    <w:rsid w:val="42AD4DDA"/>
    <w:rsid w:val="42D55C9F"/>
    <w:rsid w:val="42E255CA"/>
    <w:rsid w:val="432937C0"/>
    <w:rsid w:val="43474762"/>
    <w:rsid w:val="435D1690"/>
    <w:rsid w:val="44BB100A"/>
    <w:rsid w:val="452224A8"/>
    <w:rsid w:val="453A6A23"/>
    <w:rsid w:val="45B50693"/>
    <w:rsid w:val="46DB3B06"/>
    <w:rsid w:val="479569BC"/>
    <w:rsid w:val="48E267B4"/>
    <w:rsid w:val="48FC278B"/>
    <w:rsid w:val="492A6C99"/>
    <w:rsid w:val="49AD5887"/>
    <w:rsid w:val="49AD5BED"/>
    <w:rsid w:val="49E423B4"/>
    <w:rsid w:val="4A423EE2"/>
    <w:rsid w:val="4A525D6E"/>
    <w:rsid w:val="4A863467"/>
    <w:rsid w:val="4AAC4850"/>
    <w:rsid w:val="4BEFC9CB"/>
    <w:rsid w:val="4CE00837"/>
    <w:rsid w:val="4CE52F83"/>
    <w:rsid w:val="4EC35C45"/>
    <w:rsid w:val="4F323574"/>
    <w:rsid w:val="4FB85D49"/>
    <w:rsid w:val="5010744B"/>
    <w:rsid w:val="504B2249"/>
    <w:rsid w:val="50BC7085"/>
    <w:rsid w:val="50E172E3"/>
    <w:rsid w:val="51A452F8"/>
    <w:rsid w:val="51D814B1"/>
    <w:rsid w:val="5296022B"/>
    <w:rsid w:val="536B7291"/>
    <w:rsid w:val="53F16BC7"/>
    <w:rsid w:val="5455702E"/>
    <w:rsid w:val="54B00DFC"/>
    <w:rsid w:val="55850C4A"/>
    <w:rsid w:val="56545054"/>
    <w:rsid w:val="56625A69"/>
    <w:rsid w:val="5668404C"/>
    <w:rsid w:val="56AD10C8"/>
    <w:rsid w:val="56D133FC"/>
    <w:rsid w:val="56FC33A3"/>
    <w:rsid w:val="56FF4A5D"/>
    <w:rsid w:val="586B78C6"/>
    <w:rsid w:val="596F2BE8"/>
    <w:rsid w:val="59741D06"/>
    <w:rsid w:val="5987ABDA"/>
    <w:rsid w:val="5A684C17"/>
    <w:rsid w:val="5A7308B3"/>
    <w:rsid w:val="5AC60A34"/>
    <w:rsid w:val="5ADE798F"/>
    <w:rsid w:val="5BB573ED"/>
    <w:rsid w:val="5CBA5BAE"/>
    <w:rsid w:val="5D3C3D86"/>
    <w:rsid w:val="5D7673E3"/>
    <w:rsid w:val="5D976E4C"/>
    <w:rsid w:val="5DAA2129"/>
    <w:rsid w:val="5DE7D54E"/>
    <w:rsid w:val="5DFD05EA"/>
    <w:rsid w:val="5E1C2248"/>
    <w:rsid w:val="5E82081A"/>
    <w:rsid w:val="5F436A23"/>
    <w:rsid w:val="5FFF3862"/>
    <w:rsid w:val="600E62D0"/>
    <w:rsid w:val="616642AB"/>
    <w:rsid w:val="61B13C78"/>
    <w:rsid w:val="61C61346"/>
    <w:rsid w:val="621E6E07"/>
    <w:rsid w:val="624A590A"/>
    <w:rsid w:val="631A1780"/>
    <w:rsid w:val="63B95393"/>
    <w:rsid w:val="63C910B3"/>
    <w:rsid w:val="63CC51B9"/>
    <w:rsid w:val="63D0424F"/>
    <w:rsid w:val="63FC04B5"/>
    <w:rsid w:val="64794FF1"/>
    <w:rsid w:val="64944A09"/>
    <w:rsid w:val="655E4D66"/>
    <w:rsid w:val="664A6C45"/>
    <w:rsid w:val="67523C88"/>
    <w:rsid w:val="67694D5A"/>
    <w:rsid w:val="67767967"/>
    <w:rsid w:val="67A64D4F"/>
    <w:rsid w:val="684C260A"/>
    <w:rsid w:val="686739D9"/>
    <w:rsid w:val="68F25ADB"/>
    <w:rsid w:val="69044EE6"/>
    <w:rsid w:val="693C1432"/>
    <w:rsid w:val="69CB17E3"/>
    <w:rsid w:val="6A062180"/>
    <w:rsid w:val="6AB63450"/>
    <w:rsid w:val="6AEFF769"/>
    <w:rsid w:val="6B4F21E3"/>
    <w:rsid w:val="6B580922"/>
    <w:rsid w:val="6BA53BB1"/>
    <w:rsid w:val="6CFA3457"/>
    <w:rsid w:val="6D2A3820"/>
    <w:rsid w:val="6D7762A4"/>
    <w:rsid w:val="6E821B9D"/>
    <w:rsid w:val="6EDE7B06"/>
    <w:rsid w:val="6EE91C12"/>
    <w:rsid w:val="6F977CB5"/>
    <w:rsid w:val="6FBDA577"/>
    <w:rsid w:val="6FD80A33"/>
    <w:rsid w:val="700965DD"/>
    <w:rsid w:val="700A038D"/>
    <w:rsid w:val="705C29FB"/>
    <w:rsid w:val="705C4D63"/>
    <w:rsid w:val="70A01FD4"/>
    <w:rsid w:val="70AF1A0F"/>
    <w:rsid w:val="70B8767B"/>
    <w:rsid w:val="71C33C4E"/>
    <w:rsid w:val="726C7FC6"/>
    <w:rsid w:val="727603A8"/>
    <w:rsid w:val="7420091C"/>
    <w:rsid w:val="7470673D"/>
    <w:rsid w:val="75015B2D"/>
    <w:rsid w:val="752814FA"/>
    <w:rsid w:val="75874AC7"/>
    <w:rsid w:val="75CC668B"/>
    <w:rsid w:val="76171B4F"/>
    <w:rsid w:val="76A93524"/>
    <w:rsid w:val="771A36A5"/>
    <w:rsid w:val="77A25516"/>
    <w:rsid w:val="78762B5D"/>
    <w:rsid w:val="78D42EC5"/>
    <w:rsid w:val="78E73168"/>
    <w:rsid w:val="78FEB2DD"/>
    <w:rsid w:val="791A1C51"/>
    <w:rsid w:val="79375B6F"/>
    <w:rsid w:val="7A543372"/>
    <w:rsid w:val="7A6DC111"/>
    <w:rsid w:val="7B9C3B6D"/>
    <w:rsid w:val="7BD519B1"/>
    <w:rsid w:val="7BE514F9"/>
    <w:rsid w:val="7CA5738C"/>
    <w:rsid w:val="7CE710FA"/>
    <w:rsid w:val="7D206040"/>
    <w:rsid w:val="7D2771C3"/>
    <w:rsid w:val="7D5207A9"/>
    <w:rsid w:val="7DB67EC7"/>
    <w:rsid w:val="7E1B5A61"/>
    <w:rsid w:val="7E532EA4"/>
    <w:rsid w:val="7F466F7C"/>
    <w:rsid w:val="7FC6022D"/>
    <w:rsid w:val="7FFF4305"/>
    <w:rsid w:val="99E770A6"/>
    <w:rsid w:val="9AF78710"/>
    <w:rsid w:val="A722E11B"/>
    <w:rsid w:val="ADDB4D56"/>
    <w:rsid w:val="CD774BDF"/>
    <w:rsid w:val="EE771FB5"/>
    <w:rsid w:val="EF7FD86E"/>
    <w:rsid w:val="EFFF13D3"/>
    <w:rsid w:val="F3BFBCC8"/>
    <w:rsid w:val="FAFF4215"/>
    <w:rsid w:val="FAFFFC0C"/>
    <w:rsid w:val="FB5BA972"/>
    <w:rsid w:val="FBBC3B57"/>
    <w:rsid w:val="FCFD6BEF"/>
    <w:rsid w:val="FE794BF7"/>
    <w:rsid w:val="FE9F2082"/>
    <w:rsid w:val="FEDFD338"/>
    <w:rsid w:val="FEF72C51"/>
    <w:rsid w:val="FF5D2C13"/>
    <w:rsid w:val="FFEEEA40"/>
    <w:rsid w:val="FFEEED7E"/>
    <w:rsid w:val="FFFFA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uppressAutoHyphens/>
      <w:bidi w:val="0"/>
      <w:spacing w:beforeLines="0" w:beforeAutospacing="0" w:afterLines="0" w:afterAutospacing="0" w:line="576" w:lineRule="exact"/>
      <w:jc w:val="center"/>
      <w:outlineLvl w:val="0"/>
    </w:pPr>
    <w:rPr>
      <w:rFonts w:ascii="Times New Roman" w:hAnsi="Times New Roman" w:eastAsia="方正小标宋简体"/>
      <w:kern w:val="44"/>
      <w:sz w:val="44"/>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方正小标宋_GBK" w:hAnsi="方正小标宋_GBK" w:eastAsia="方正小标宋_GBK" w:cs="方正小标宋_GBK"/>
      <w:sz w:val="21"/>
      <w:szCs w:val="21"/>
      <w:lang w:val="en-US" w:eastAsia="en-US" w:bidi="ar-SA"/>
    </w:rPr>
  </w:style>
  <w:style w:type="paragraph" w:styleId="4">
    <w:name w:val="Body Text Indent"/>
    <w:basedOn w:val="1"/>
    <w:qFormat/>
    <w:uiPriority w:val="0"/>
    <w:pPr>
      <w:spacing w:line="520" w:lineRule="exact"/>
      <w:ind w:firstLine="648" w:firstLineChars="200"/>
    </w:pPr>
    <w:rPr>
      <w:rFonts w:ascii="仿宋_GB2312"/>
    </w:rPr>
  </w:style>
  <w:style w:type="paragraph" w:styleId="5">
    <w:name w:val="Plain Text"/>
    <w:basedOn w:val="1"/>
    <w:unhideWhenUsed/>
    <w:qFormat/>
    <w:uiPriority w:val="99"/>
    <w:pPr>
      <w:suppressAutoHyphens/>
      <w:bidi w:val="0"/>
    </w:pPr>
    <w:rPr>
      <w:rFonts w:ascii="宋体" w:hAnsi="Courier New" w:eastAsia="仿宋_GB2312" w:cs="Courier New"/>
      <w:sz w:val="32"/>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qFormat/>
    <w:uiPriority w:val="0"/>
    <w:pPr>
      <w:widowControl/>
      <w:jc w:val="left"/>
    </w:pPr>
    <w:rPr>
      <w:rFonts w:ascii="宋体" w:hAnsi="宋体" w:cs="宋体"/>
      <w:kern w:val="0"/>
      <w:sz w:val="24"/>
      <w:szCs w:val="24"/>
    </w:rPr>
  </w:style>
  <w:style w:type="paragraph" w:styleId="10">
    <w:name w:val="Body Text First Indent 2"/>
    <w:basedOn w:val="4"/>
    <w:qFormat/>
    <w:uiPriority w:val="0"/>
    <w:pPr>
      <w:ind w:firstLine="420" w:firstLineChars="2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basedOn w:val="13"/>
    <w:semiHidden/>
    <w:unhideWhenUsed/>
    <w:qFormat/>
    <w:uiPriority w:val="99"/>
    <w:rPr>
      <w:color w:val="0000FF"/>
      <w:u w:val="single"/>
    </w:rPr>
  </w:style>
  <w:style w:type="character" w:customStyle="1" w:styleId="16">
    <w:name w:val="页眉 Char"/>
    <w:basedOn w:val="13"/>
    <w:link w:val="7"/>
    <w:semiHidden/>
    <w:qFormat/>
    <w:uiPriority w:val="99"/>
    <w:rPr>
      <w:sz w:val="18"/>
      <w:szCs w:val="18"/>
    </w:rPr>
  </w:style>
  <w:style w:type="character" w:customStyle="1" w:styleId="17">
    <w:name w:val="页脚 Char"/>
    <w:basedOn w:val="13"/>
    <w:link w:val="6"/>
    <w:qFormat/>
    <w:uiPriority w:val="99"/>
    <w:rPr>
      <w:sz w:val="18"/>
      <w:szCs w:val="18"/>
    </w:rPr>
  </w:style>
  <w:style w:type="character" w:customStyle="1" w:styleId="18">
    <w:name w:val="HTML 预设格式 Char"/>
    <w:basedOn w:val="13"/>
    <w:link w:val="8"/>
    <w:semiHidden/>
    <w:qFormat/>
    <w:uiPriority w:val="99"/>
    <w:rPr>
      <w:rFonts w:ascii="宋体" w:hAnsi="宋体" w:eastAsia="宋体" w:cs="宋体"/>
      <w:sz w:val="24"/>
      <w:szCs w:val="24"/>
    </w:rPr>
  </w:style>
  <w:style w:type="paragraph" w:customStyle="1" w:styleId="19">
    <w:name w:val="index 61"/>
    <w:basedOn w:val="1"/>
    <w:next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18909</Words>
  <Characters>18986</Characters>
  <Lines>124</Lines>
  <Paragraphs>35</Paragraphs>
  <TotalTime>21</TotalTime>
  <ScaleCrop>false</ScaleCrop>
  <LinksUpToDate>false</LinksUpToDate>
  <CharactersWithSpaces>19070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2024-01-20T02:34:00Z</dcterms:created>
  <dc:creator>xbany</dc:creator>
  <cp:lastModifiedBy>抹茶落季</cp:lastModifiedBy>
  <cp:lastPrinted>2026-06-23T16:53:00Z</cp:lastPrinted>
  <dcterms:modified xsi:type="dcterms:W3CDTF">2026-07-07T05:30:42Z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7187B992828B2B29B6C0AF6952B53C2F_43</vt:lpwstr>
  </property>
  <property fmtid="{D5CDD505-2E9C-101B-9397-08002B2CF9AE}" pid="4" name="KSOTemplateDocerSaveRecord">
    <vt:lpwstr>eyJoZGlkIjoiNjY4ZTZhODdkNWYxMDRlM2Q3OGI1ZmMyZDRiN2YyMzciLCJ1c2VySWQiOiIzMDEwNTkyODIifQ==</vt:lpwstr>
  </property>
</Properties>
</file>