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725A">
      <w:pPr>
        <w:spacing w:line="587"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14:paraId="0D00FF42">
      <w:pPr>
        <w:spacing w:line="587" w:lineRule="exact"/>
        <w:jc w:val="center"/>
        <w:rPr>
          <w:rFonts w:ascii="方正小标宋简体" w:hAnsi="黑体" w:eastAsia="方正小标宋简体" w:cs="仿宋_GB2312"/>
          <w:color w:val="000000" w:themeColor="text1"/>
          <w:sz w:val="44"/>
          <w:szCs w:val="44"/>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《张掖市</w:t>
      </w:r>
      <w:r>
        <w:rPr>
          <w:rFonts w:hint="eastAsia" w:ascii="方正小标宋简体" w:hAnsi="黑体" w:eastAsia="方正小标宋简体" w:cs="仿宋_GB2312"/>
          <w:color w:val="000000" w:themeColor="text1"/>
          <w:sz w:val="44"/>
          <w:szCs w:val="44"/>
          <w:lang w:eastAsia="zh-CN"/>
          <w14:textFill>
            <w14:solidFill>
              <w14:schemeClr w14:val="tx1"/>
            </w14:solidFill>
          </w14:textFill>
        </w:rPr>
        <w:t>城市管理</w:t>
      </w:r>
      <w:r>
        <w:rPr>
          <w:rFonts w:hint="eastAsia" w:ascii="方正小标宋简体" w:hAnsi="黑体" w:eastAsia="方正小标宋简体" w:cs="仿宋_GB2312"/>
          <w:color w:val="000000" w:themeColor="text1"/>
          <w:sz w:val="44"/>
          <w:szCs w:val="44"/>
          <w14:textFill>
            <w14:solidFill>
              <w14:schemeClr w14:val="tx1"/>
            </w14:solidFill>
          </w14:textFill>
        </w:rPr>
        <w:t>条例（草案</w:t>
      </w:r>
      <w:r>
        <w:rPr>
          <w:rFonts w:hint="eastAsia" w:ascii="方正小标宋简体" w:hAnsi="黑体" w:eastAsia="方正小标宋简体" w:cs="仿宋_GB2312"/>
          <w:color w:val="000000" w:themeColor="text1"/>
          <w:sz w:val="44"/>
          <w:szCs w:val="44"/>
          <w:lang w:eastAsia="zh-CN"/>
          <w14:textFill>
            <w14:solidFill>
              <w14:schemeClr w14:val="tx1"/>
            </w14:solidFill>
          </w14:textFill>
        </w:rPr>
        <w:t>送审稿</w:t>
      </w:r>
      <w:r>
        <w:rPr>
          <w:rFonts w:hint="eastAsia" w:ascii="方正小标宋简体" w:hAnsi="黑体" w:eastAsia="方正小标宋简体" w:cs="仿宋_GB2312"/>
          <w:color w:val="000000" w:themeColor="text1"/>
          <w:sz w:val="44"/>
          <w:szCs w:val="44"/>
          <w14:textFill>
            <w14:solidFill>
              <w14:schemeClr w14:val="tx1"/>
            </w14:solidFill>
          </w14:textFill>
        </w:rPr>
        <w:t>）》</w:t>
      </w:r>
      <w:r>
        <w:rPr>
          <w:rFonts w:hint="eastAsia" w:ascii="方正小标宋简体" w:hAnsi="黑体" w:eastAsia="方正小标宋简体" w:cs="仿宋_GB2312"/>
          <w:color w:val="000000" w:themeColor="text1"/>
          <w:sz w:val="44"/>
          <w:szCs w:val="44"/>
          <w:lang w:eastAsia="zh-CN"/>
          <w14:textFill>
            <w14:solidFill>
              <w14:schemeClr w14:val="tx1"/>
            </w14:solidFill>
          </w14:textFill>
        </w:rPr>
        <w:t>法律</w:t>
      </w:r>
      <w:r>
        <w:rPr>
          <w:rFonts w:hint="eastAsia" w:ascii="方正小标宋简体" w:hAnsi="黑体" w:eastAsia="方正小标宋简体" w:cs="仿宋_GB2312"/>
          <w:color w:val="000000" w:themeColor="text1"/>
          <w:sz w:val="44"/>
          <w:szCs w:val="44"/>
          <w14:textFill>
            <w14:solidFill>
              <w14:schemeClr w14:val="tx1"/>
            </w14:solidFill>
          </w14:textFill>
        </w:rPr>
        <w:t>依据对照表</w:t>
      </w:r>
    </w:p>
    <w:p w14:paraId="4909ACF2">
      <w:pPr>
        <w:spacing w:line="587" w:lineRule="exact"/>
        <w:ind w:firstLine="1980" w:firstLineChars="450"/>
        <w:jc w:val="center"/>
        <w:rPr>
          <w:rFonts w:ascii="方正小标宋简体" w:hAnsi="黑体" w:eastAsia="方正小标宋简体" w:cs="仿宋_GB2312"/>
          <w:color w:val="000000" w:themeColor="text1"/>
          <w:sz w:val="44"/>
          <w:szCs w:val="44"/>
          <w14:textFill>
            <w14:solidFill>
              <w14:schemeClr w14:val="tx1"/>
            </w14:solidFill>
          </w14:textFill>
        </w:rPr>
      </w:pPr>
    </w:p>
    <w:tbl>
      <w:tblPr>
        <w:tblStyle w:val="12"/>
        <w:tblW w:w="139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72"/>
        <w:gridCol w:w="6795"/>
      </w:tblGrid>
      <w:tr w14:paraId="5689F6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7172" w:type="dxa"/>
            <w:vAlign w:val="center"/>
          </w:tcPr>
          <w:p w14:paraId="745BB4A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条文</w:t>
            </w:r>
          </w:p>
        </w:tc>
        <w:tc>
          <w:tcPr>
            <w:tcW w:w="6795" w:type="dxa"/>
            <w:vAlign w:val="center"/>
          </w:tcPr>
          <w:p w14:paraId="453E0AB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依据</w:t>
            </w:r>
          </w:p>
        </w:tc>
      </w:tr>
      <w:tr w14:paraId="6A3F4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13967" w:type="dxa"/>
            <w:gridSpan w:val="2"/>
            <w:vAlign w:val="center"/>
          </w:tcPr>
          <w:p w14:paraId="1B738C8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ascii="黑体" w:hAnsi="黑体" w:eastAsia="黑体" w:cs="仿宋_GB2312"/>
                <w:b w:val="0"/>
                <w:bCs w:val="0"/>
                <w:color w:val="000000" w:themeColor="text1"/>
                <w:sz w:val="24"/>
                <w:szCs w:val="24"/>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第一章总则</w:t>
            </w:r>
          </w:p>
        </w:tc>
      </w:tr>
      <w:tr w14:paraId="4247D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A139DB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第一条 为了规范城市管理，提高城市公共服务水平，建设创新、宜居、美丽、韧性、文明、智慧的现代化城市环境，推动城市高质量发展，根据有关法律、法规，结合本市实际，制定本条例。</w:t>
            </w:r>
          </w:p>
        </w:tc>
        <w:tc>
          <w:tcPr>
            <w:tcW w:w="6795" w:type="dxa"/>
            <w:shd w:val="clear" w:color="auto" w:fill="auto"/>
            <w:vAlign w:val="center"/>
          </w:tcPr>
          <w:p w14:paraId="573824B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依据《城市市容和环境卫生管理条例》第一条“为了加强城市市容和环境卫生管理，创造清洁、优美的城市工作、生活环境，促进城市社会主义物质文明和精神文明建设，制定本条例。”</w:t>
            </w:r>
          </w:p>
          <w:p w14:paraId="5E9558C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参考《城市管理执法办法》第一条“为了规范城市管理执法工作，提高执法和服务水平，维护城市管理秩序，保护公民、法人和其他组织的合法权益，根据行政处罚法、行政强制法等法律法规，制定本办法。”</w:t>
            </w:r>
          </w:p>
        </w:tc>
      </w:tr>
      <w:tr w14:paraId="016D34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840B1E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第二条 本条例所称城市管理，是指市、县（区）人民政府及有关部门依法对城市规划建设、市容市貌、环境卫生、园林绿化、市政公用设施、生态环境及城市道路交通等公共事务和秩序实施的管理、服务行为。</w:t>
            </w:r>
          </w:p>
        </w:tc>
        <w:tc>
          <w:tcPr>
            <w:tcW w:w="6795" w:type="dxa"/>
            <w:shd w:val="clear" w:color="auto" w:fill="auto"/>
            <w:vAlign w:val="center"/>
          </w:tcPr>
          <w:p w14:paraId="0181711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二条“城市、县人民政府所在地镇建成区内的城市管理执法活动以及执法监督活动，适用本办法。本办法所称城市管理执法，是指城市管理执法主管部门在城市管理领域根据法律法规规章规定履行行政处罚、行政强制等行政执法职责的行为。”</w:t>
            </w:r>
          </w:p>
          <w:p w14:paraId="64FD8C4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r>
      <w:tr w14:paraId="160B38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AF1D7F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第三条  城市管理应当遵循政府主导、公众参与，以人为本、服务为先，分工协作、权责一致，依法治理、科学高效的原则。</w:t>
            </w:r>
          </w:p>
        </w:tc>
        <w:tc>
          <w:tcPr>
            <w:tcW w:w="6795" w:type="dxa"/>
            <w:shd w:val="clear" w:color="auto" w:fill="auto"/>
            <w:vAlign w:val="center"/>
          </w:tcPr>
          <w:p w14:paraId="09461A5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依据《城市市容和环境卫生管理条例》第三条“城市市容和环境卫生工作，实行统一领导、分区负责、专业人员管理与群众管理相结合的原则。”</w:t>
            </w:r>
          </w:p>
          <w:p w14:paraId="34ADDE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参考《城市管理执法办法》第三条“城市管理执法应当遵循以人为本、依法治理、源头治理、权责一致、协调创新的原则，坚持严格规范公正文明执法。</w:t>
            </w:r>
          </w:p>
        </w:tc>
      </w:tr>
      <w:tr w14:paraId="5DE0C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ACACB0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第四条  市人民政府统一领导全市城市管理工作，实行属地管理，建立以县（区）人民政府为主，乡镇人民政府（街道办事处）为基础，村（居）民委员会为补充，部门联动、权责明晰的管理体制。市住房和城乡建设局（市城市管理行政执法局）为全市城市管理的行政主管部门，负责全市城市管理工作的业务指导、综合协调和行政执法等工作。</w:t>
            </w:r>
          </w:p>
          <w:p w14:paraId="1823462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县（区）人民政府统筹领导政府相关部门和乡镇人民政府（街道办事处）落实城市管理责任，组织开展辖区内城市管理工作。</w:t>
            </w:r>
          </w:p>
          <w:p w14:paraId="7147958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县（区）城市管理行政主管部门依照职责负责城市市容市貌、环境卫生、市政设施、园林绿化等方面的监督管理工作以及公共空间秩序、违法建设治理、环境保护、交通和应急等方面的部分监督管理工作。</w:t>
            </w:r>
          </w:p>
          <w:p w14:paraId="4E84EE1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自然资源、生态环境、公安、交通运输、市场监管等其他城市管理有关主管部门，应当按照法律法规和工作职责，共同做好城市管理工作。</w:t>
            </w:r>
          </w:p>
          <w:p w14:paraId="592042F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对违反城市管理法律法规的行为，村（居）民委员会、业主委员会、物业服务单位等有权进行劝阻；劝阻无效的，及时向相关部门报告，并协助处理。</w:t>
            </w:r>
          </w:p>
        </w:tc>
        <w:tc>
          <w:tcPr>
            <w:tcW w:w="6795" w:type="dxa"/>
            <w:shd w:val="clear" w:color="auto" w:fill="auto"/>
            <w:vAlign w:val="center"/>
          </w:tcPr>
          <w:p w14:paraId="63E2761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四条“国务院城市建设行政主管部门主管全国城市市容和环境卫生工作。省、自治区人民政府城市建设行政主管部门负责本行政区域的城市市容和环境卫生管理工作。城市人民政府市容环境卫生行政主管部门负责本行政区域的城市市容和环境卫生管理工作。”</w:t>
            </w:r>
          </w:p>
          <w:p w14:paraId="2D51F6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条“省人民政府建设行政主管部门负责全省城市市容和环境卫生管理工作。市、州、县（区）人民政府建设行政主管部门或者城市管理综合行政执法部门（以下统称市容环境卫生行政主管部门），负责本行政区域内的城市市容和环境卫生管理工作。其他有关行政主管部门按照各自职责，做好城市市容和环境卫生管理工作。”</w:t>
            </w:r>
          </w:p>
          <w:p w14:paraId="48DF1C8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乐山市城市管理条例》第五条“街道办事处、乡（镇）人民政府负责辖区内城乡环境综合治理的具体工作，行使依法授予的行政处罚权，整合城市管理服务队伍，落实网格化管理，指导、督促居（村）民委员会以及辖区内单位参与城市管理和服务。居（村）民委员会协助街道办事处、乡（镇）人民政府动员社区（村）成员参与城市管理和服务，落实基层自治责任，改善人居环境。对违反城市管理法律法规的行为进行制止；制止无效的，及时向街道办事处、乡（镇）人民政府或者相关部门报告。”</w:t>
            </w:r>
          </w:p>
        </w:tc>
      </w:tr>
      <w:tr w14:paraId="1C2C3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66FCC0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第五条  市、县（区）人民政府应当将城市管理纳入国民经济和社会发展规划，建立健全城市管理统筹协调工作机制，研究解决城市管理中的重大问题。按照事权和支出责任相适应原则，将城市管理所需经费列入同级财政预算。</w:t>
            </w:r>
          </w:p>
        </w:tc>
        <w:tc>
          <w:tcPr>
            <w:tcW w:w="6795" w:type="dxa"/>
            <w:shd w:val="clear" w:color="auto" w:fill="auto"/>
            <w:vAlign w:val="center"/>
          </w:tcPr>
          <w:p w14:paraId="1CC4C46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w:t>
            </w:r>
            <w:r>
              <w:rPr>
                <w:rFonts w:hint="default" w:ascii="仿宋_GB2312" w:eastAsia="仿宋_GB2312"/>
                <w:b w:val="0"/>
                <w:bCs w:val="0"/>
                <w:color w:val="000000" w:themeColor="text1"/>
                <w:spacing w:val="-4"/>
                <w:szCs w:val="21"/>
                <w:lang w:val="en-US" w:eastAsia="zh-CN"/>
                <w14:textFill>
                  <w14:solidFill>
                    <w14:schemeClr w14:val="tx1"/>
                  </w14:solidFill>
                </w14:textFill>
              </w:rPr>
              <w:t>第二十二条</w:t>
            </w:r>
            <w:r>
              <w:rPr>
                <w:rFonts w:hint="eastAsia" w:ascii="仿宋_GB2312" w:eastAsia="仿宋_GB2312"/>
                <w:b w:val="0"/>
                <w:bCs w:val="0"/>
                <w:color w:val="000000" w:themeColor="text1"/>
                <w:spacing w:val="-4"/>
                <w:szCs w:val="21"/>
                <w:lang w:val="en-US" w:eastAsia="zh-CN"/>
                <w14:textFill>
                  <w14:solidFill>
                    <w14:schemeClr w14:val="tx1"/>
                  </w14:solidFill>
                </w14:textFill>
              </w:rPr>
              <w:t>“</w:t>
            </w:r>
            <w:r>
              <w:rPr>
                <w:rFonts w:hint="default" w:ascii="仿宋_GB2312" w:eastAsia="仿宋_GB2312"/>
                <w:b w:val="0"/>
                <w:bCs w:val="0"/>
                <w:color w:val="000000" w:themeColor="text1"/>
                <w:spacing w:val="-4"/>
                <w:szCs w:val="21"/>
                <w:lang w:val="en-US" w:eastAsia="zh-CN"/>
                <w14:textFill>
                  <w14:solidFill>
                    <w14:schemeClr w14:val="tx1"/>
                  </w14:solidFill>
                </w14:textFill>
              </w:rPr>
              <w:t>城市管理执法应当保障必要的工作经费。工作经费按规定已列入同级财政预算，城市管理执法主管部门不得以罚没收入作为经费来源。</w:t>
            </w:r>
            <w:r>
              <w:rPr>
                <w:rFonts w:hint="eastAsia" w:ascii="仿宋_GB2312" w:eastAsia="仿宋_GB2312"/>
                <w:b w:val="0"/>
                <w:bCs w:val="0"/>
                <w:color w:val="000000" w:themeColor="text1"/>
                <w:spacing w:val="-4"/>
                <w:szCs w:val="21"/>
                <w:lang w:val="en-US" w:eastAsia="zh-CN"/>
                <w14:textFill>
                  <w14:solidFill>
                    <w14:schemeClr w14:val="tx1"/>
                  </w14:solidFill>
                </w14:textFill>
              </w:rPr>
              <w:t>”</w:t>
            </w:r>
          </w:p>
        </w:tc>
      </w:tr>
      <w:tr w14:paraId="71BDB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8C822F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第六条　市、县（区）人民政府应当创新制度机制，鼓励和支持社会资本、社会力量服务城市管理工作，推动城市公共服务社会化和市场化。</w:t>
            </w:r>
          </w:p>
          <w:p w14:paraId="0656BB5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市、县（区）人民政府及其有关部门应当畅通公众参与城市管理渠道，鼓励公众参与城市管理志愿服务活动，构建城市管理社会共治格局。</w:t>
            </w:r>
          </w:p>
        </w:tc>
        <w:tc>
          <w:tcPr>
            <w:tcW w:w="6795" w:type="dxa"/>
            <w:shd w:val="clear" w:color="auto" w:fill="auto"/>
            <w:vAlign w:val="center"/>
          </w:tcPr>
          <w:p w14:paraId="64B91BD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参考《海东市城市管理条例》第七条“市、县（区）人民政府应当创新社会资本参与城市管理的运行服务机制，支持社会力量参与城市管理，推动城市公共服务社会化和市场化。”</w:t>
            </w:r>
          </w:p>
          <w:p w14:paraId="53EC7B9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参考《咸宁市城市管理条例》第八条“市、县（市、区）人民政府应当鼓励和支持城市管理志愿服务，建立健全城市管理志愿服务组织协调机制和宣传动员、组织管理、激励扶持等制度。”</w:t>
            </w:r>
          </w:p>
        </w:tc>
      </w:tr>
      <w:tr w14:paraId="7563E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85C3A5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第七条　市、县（区）人民政府应当建立城市运行管理服务平台，实现城市管理的信息采集、指挥调度、督察督办、应急处置、公众参与等功能，建立监督评价机制和信息共享机制，促进公共数据资源的互联互通，提高城市管理智慧化水平。</w:t>
            </w:r>
          </w:p>
        </w:tc>
        <w:tc>
          <w:tcPr>
            <w:tcW w:w="6795" w:type="dxa"/>
            <w:shd w:val="clear" w:color="auto" w:fill="auto"/>
            <w:vAlign w:val="center"/>
          </w:tcPr>
          <w:p w14:paraId="0673F75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参考《城市管理执法办法》第二十三条“</w:t>
            </w:r>
            <w:r>
              <w:rPr>
                <w:rFonts w:hint="default" w:ascii="仿宋_GB2312" w:eastAsia="仿宋_GB2312"/>
                <w:b w:val="0"/>
                <w:bCs w:val="0"/>
                <w:color w:val="000000" w:themeColor="text1"/>
                <w:spacing w:val="-4"/>
                <w:szCs w:val="21"/>
                <w:lang w:val="en-US" w:eastAsia="zh-CN"/>
                <w14:textFill>
                  <w14:solidFill>
                    <w14:schemeClr w14:val="tx1"/>
                  </w14:solidFill>
                </w14:textFill>
              </w:rPr>
              <w:t>城市管理领域应当建立数字化城市管理平台，实现城市管理的信息采集、指挥调度、督察督办、公众参与等功能，并逐步实现与有关部门信息平台的共享。城市管理领域应当整合城市管理相关电话服务平台，建立统一的城市管理服务热线。</w:t>
            </w:r>
            <w:r>
              <w:rPr>
                <w:rFonts w:hint="eastAsia" w:ascii="仿宋_GB2312" w:eastAsia="仿宋_GB2312"/>
                <w:b w:val="0"/>
                <w:bCs w:val="0"/>
                <w:color w:val="000000" w:themeColor="text1"/>
                <w:spacing w:val="-4"/>
                <w:szCs w:val="21"/>
                <w:lang w:val="en-US" w:eastAsia="zh-CN"/>
                <w14:textFill>
                  <w14:solidFill>
                    <w14:schemeClr w14:val="tx1"/>
                  </w14:solidFill>
                </w14:textFill>
              </w:rPr>
              <w:t>”</w:t>
            </w:r>
          </w:p>
        </w:tc>
      </w:tr>
      <w:tr w14:paraId="7CCF3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B2B370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第八条  市、县（区）人民政府及有关部门应当利用报纸、电视、广播、网络等媒体开展城市管理宣传教育，引导公众自觉遵守城市管理相关规定，提升城市文明程度。</w:t>
            </w:r>
          </w:p>
        </w:tc>
        <w:tc>
          <w:tcPr>
            <w:tcW w:w="6795" w:type="dxa"/>
            <w:shd w:val="clear" w:color="auto" w:fill="auto"/>
            <w:vAlign w:val="center"/>
          </w:tcPr>
          <w:p w14:paraId="6F3220C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六条“城市人民政府应当加强城市市容和环境卫生科学知识的宣传，提高公民的环境卫生意识，养成良好的卫生习惯。一切单位和个人，都应当尊重市容和环境卫生工作人员的劳动，不得妨碍、阻挠市容和环境卫生工作人员履行职务。”</w:t>
            </w:r>
          </w:p>
        </w:tc>
      </w:tr>
      <w:tr w14:paraId="032E9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159345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第九条  任何单位和个人依法享有参与城市管理的权利，承担维护城市市容市貌、环境卫生和公共秩序的义务，有权对违反城市管理规定的行为进行劝阻、举报。</w:t>
            </w:r>
          </w:p>
        </w:tc>
        <w:tc>
          <w:tcPr>
            <w:tcW w:w="6795" w:type="dxa"/>
            <w:shd w:val="clear" w:color="auto" w:fill="auto"/>
            <w:vAlign w:val="center"/>
          </w:tcPr>
          <w:p w14:paraId="4EAB37B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八条“对违反本条例规定，损坏城市市容和环境卫生或者阻碍市容和环境卫生行政主管部门工作人员依法执行职务的行为，任何单位和个人都有权劝阻、制止或者举报。”</w:t>
            </w:r>
          </w:p>
        </w:tc>
      </w:tr>
      <w:tr w14:paraId="0A7CE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4A429A1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黑体"/>
                <w:b w:val="0"/>
                <w:bCs w:val="0"/>
                <w:color w:val="000000" w:themeColor="text1"/>
                <w:spacing w:val="-4"/>
                <w:szCs w:val="21"/>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第</w:t>
            </w:r>
            <w:r>
              <w:rPr>
                <w:rFonts w:hint="eastAsia" w:ascii="黑体" w:hAnsi="黑体" w:eastAsia="黑体" w:cs="仿宋_GB2312"/>
                <w:b w:val="0"/>
                <w:bCs w:val="0"/>
                <w:color w:val="000000" w:themeColor="text1"/>
                <w:sz w:val="24"/>
                <w:szCs w:val="24"/>
                <w:lang w:eastAsia="zh-CN"/>
                <w14:textFill>
                  <w14:solidFill>
                    <w14:schemeClr w14:val="tx1"/>
                  </w14:solidFill>
                </w14:textFill>
              </w:rPr>
              <w:t>二</w:t>
            </w:r>
            <w:r>
              <w:rPr>
                <w:rFonts w:hint="eastAsia" w:ascii="黑体" w:hAnsi="黑体" w:eastAsia="黑体" w:cs="仿宋_GB2312"/>
                <w:b w:val="0"/>
                <w:bCs w:val="0"/>
                <w:color w:val="000000" w:themeColor="text1"/>
                <w:sz w:val="24"/>
                <w:szCs w:val="24"/>
                <w14:textFill>
                  <w14:solidFill>
                    <w14:schemeClr w14:val="tx1"/>
                  </w14:solidFill>
                </w14:textFill>
              </w:rPr>
              <w:t>章</w:t>
            </w:r>
            <w:r>
              <w:rPr>
                <w:rFonts w:hint="eastAsia" w:ascii="黑体" w:hAnsi="黑体" w:eastAsia="黑体" w:cs="仿宋_GB2312"/>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仿宋_GB2312"/>
                <w:b w:val="0"/>
                <w:bCs w:val="0"/>
                <w:color w:val="000000" w:themeColor="text1"/>
                <w:sz w:val="24"/>
                <w:szCs w:val="24"/>
                <w:lang w:eastAsia="zh-CN"/>
                <w14:textFill>
                  <w14:solidFill>
                    <w14:schemeClr w14:val="tx1"/>
                  </w14:solidFill>
                </w14:textFill>
              </w:rPr>
              <w:t>城市管理规定</w:t>
            </w:r>
          </w:p>
        </w:tc>
      </w:tr>
      <w:tr w14:paraId="292BF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4E9F31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第十条 市、县（区）人民政府应当</w:t>
            </w: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对违法建设进行有效治理，建立健全违法建设防控和处置机制，及时发现并依法处置违法建设行为和违法建</w:t>
            </w:r>
            <w:r>
              <w:rPr>
                <w:rFonts w:hint="eastAsia" w:ascii="仿宋_GB2312" w:eastAsia="仿宋_GB2312"/>
                <w:b w:val="0"/>
                <w:bCs w:val="0"/>
                <w:color w:val="000000" w:themeColor="text1"/>
                <w:spacing w:val="-4"/>
                <w:szCs w:val="21"/>
                <w:lang w:val="en-US" w:eastAsia="zh-CN"/>
                <w14:textFill>
                  <w14:solidFill>
                    <w14:schemeClr w14:val="tx1"/>
                  </w14:solidFill>
                </w14:textFill>
              </w:rPr>
              <w:t>（构）筑物及设施。</w:t>
            </w:r>
          </w:p>
        </w:tc>
        <w:tc>
          <w:tcPr>
            <w:tcW w:w="6795" w:type="dxa"/>
            <w:shd w:val="clear" w:color="auto" w:fill="auto"/>
            <w:vAlign w:val="center"/>
          </w:tcPr>
          <w:p w14:paraId="27139BF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0" w:name="_Toc934098429"/>
            <w:bookmarkStart w:id="1" w:name="_Toc581144969"/>
            <w:r>
              <w:rPr>
                <w:rFonts w:hint="eastAsia" w:ascii="仿宋_GB2312" w:eastAsia="仿宋_GB2312"/>
                <w:b w:val="0"/>
                <w:bCs w:val="0"/>
                <w:color w:val="000000" w:themeColor="text1"/>
                <w:spacing w:val="-4"/>
                <w:szCs w:val="21"/>
                <w:lang w:val="en-US" w:eastAsia="zh-CN"/>
                <w14:textFill>
                  <w14:solidFill>
                    <w14:schemeClr w14:val="tx1"/>
                  </w14:solidFill>
                </w14:textFill>
              </w:rPr>
              <w:t>延边朝鲜族自治州城市管理条例</w:t>
            </w:r>
            <w:bookmarkEnd w:id="0"/>
            <w:bookmarkEnd w:id="1"/>
            <w:r>
              <w:rPr>
                <w:rFonts w:hint="eastAsia" w:ascii="仿宋_GB2312" w:eastAsia="仿宋_GB2312"/>
                <w:b w:val="0"/>
                <w:bCs w:val="0"/>
                <w:color w:val="000000" w:themeColor="text1"/>
                <w:spacing w:val="-4"/>
                <w:szCs w:val="21"/>
                <w:lang w:val="en-US" w:eastAsia="zh-CN"/>
                <w14:textFill>
                  <w14:solidFill>
                    <w14:schemeClr w14:val="tx1"/>
                  </w14:solidFill>
                </w14:textFill>
              </w:rPr>
              <w:t>》第二十四条第一款“县（市）人民政府应当对违法建设进行有效治理，建立健全违法建设防控和处置机制，并对违法建（构）筑物依法强制拆除。”</w:t>
            </w:r>
          </w:p>
        </w:tc>
      </w:tr>
      <w:tr w14:paraId="3FD66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391A44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第十一条 各类建设活动应当遵守国土空间总体规划、详细规划和相关专项规划，依法办理建设工程规划许可手续，严格按照规划许可的内容进行建设。</w:t>
            </w:r>
          </w:p>
          <w:p w14:paraId="409E364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任何单位和个人不得擅自开挖建（构）筑物内外底层地面和地下室，不得在屋顶乱搭乱建。</w:t>
            </w:r>
          </w:p>
          <w:p w14:paraId="314A137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对正在进行的违法建设，城市管理行政主管部门应当及时制止，责令停止建设，拒不停止建设的，按照法定程序采取强制拆除（回填）措施予以制止。</w:t>
            </w:r>
          </w:p>
          <w:p w14:paraId="6D64AA6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城市管理行政主管部门书面告知供水、供电、供热、供气等企业暂停为违法建设提供相关服务的，有关企业应当予以配合。法律、法规另有规定的除外。</w:t>
            </w:r>
          </w:p>
        </w:tc>
        <w:tc>
          <w:tcPr>
            <w:tcW w:w="6795" w:type="dxa"/>
            <w:shd w:val="clear" w:color="auto" w:fill="auto"/>
            <w:vAlign w:val="center"/>
          </w:tcPr>
          <w:p w14:paraId="5EAAC18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35A2BB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p w14:paraId="1FD7203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2" w:name="_Toc1526345059"/>
            <w:r>
              <w:rPr>
                <w:rFonts w:hint="eastAsia" w:ascii="仿宋_GB2312" w:eastAsia="仿宋_GB2312"/>
                <w:b w:val="0"/>
                <w:bCs w:val="0"/>
                <w:color w:val="000000" w:themeColor="text1"/>
                <w:spacing w:val="-4"/>
                <w:szCs w:val="21"/>
                <w:lang w:val="en-US" w:eastAsia="zh-CN"/>
                <w14:textFill>
                  <w14:solidFill>
                    <w14:schemeClr w14:val="tx1"/>
                  </w14:solidFill>
                </w14:textFill>
              </w:rPr>
              <w:t>《孝感市城市综合管理条例》</w:t>
            </w:r>
            <w:bookmarkEnd w:id="2"/>
            <w:r>
              <w:rPr>
                <w:rFonts w:hint="eastAsia" w:ascii="仿宋_GB2312" w:eastAsia="仿宋_GB2312"/>
                <w:b w:val="0"/>
                <w:bCs w:val="0"/>
                <w:color w:val="000000" w:themeColor="text1"/>
                <w:spacing w:val="-4"/>
                <w:szCs w:val="21"/>
                <w:lang w:val="en-US" w:eastAsia="zh-CN"/>
                <w14:textFill>
                  <w14:solidFill>
                    <w14:schemeClr w14:val="tx1"/>
                  </w14:solidFill>
                </w14:textFill>
              </w:rPr>
              <w:t>第四十一条“修建建（构）筑物应当符合城市规划要求。建（构）筑物建成后，任何单位和个人不得擅自从事下列行为：（一）在外墙面新开门窗或者改变原有门窗的位置和大小；（二）利用道路、阳台、屋顶等部位乱搭乱建；（三）下挖建（构）筑物内底层地面；（四）封堵建（构）筑物公共区域；（五）其他影响建（构）筑物安全的行为。”</w:t>
            </w:r>
          </w:p>
          <w:p w14:paraId="0CF7514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白城市城市管理条例》第三十七条“对正在建设的违法建筑物、构筑物和设施，有关执法部门应当责令违法建设当事人停止建设，限期自行拆除；对不停止建设或者逾期不拆除的，依法查封施工现场，并对违法建设部分依法立即拆除。”</w:t>
            </w:r>
          </w:p>
          <w:p w14:paraId="206D852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兰州市城乡规划条例》第七十三条第一款“市、县城乡规划执法部门作出责令停止违法建设的决定后，可以同时通知供水、供电、供气等管理部门，以上单位应当依据城乡规划执法部门的停工通知停止对违法建设的水电气服务。建设单位和个人仍不停止建设的，城乡规划执法部门应当在停止违法建设决定期满后报告本级人民政府，建设工程所在地县（区）以上人民政府可以责成有关部门采取查封施工现场、强制拆除等措施。”</w:t>
            </w:r>
          </w:p>
          <w:p w14:paraId="15BA17A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咸宁市城市管理条例》第二十八条第三款“违法建筑需要拆除的，拆违实施单位应当书面告知有关部门和供水、供电、供气等公共服务单位，有关部门不得为其办理不动产登记手续或者将其登记为生产经营场所，供水、供电、供气等公共服务单位不得为其办理用水、用电、用气等报装手续。”</w:t>
            </w:r>
          </w:p>
          <w:p w14:paraId="248B6AE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p>
        </w:tc>
      </w:tr>
      <w:tr w14:paraId="6A4508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07AAB4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第十二条 违法建（构）筑物及设施依法需要强制拆除（回填）的，强制拆除（回填）费用由当事人承担。无法确定当事人的违法建（构）筑物及设施，城市管理部门应当依法公告，公告期不少于三十日，公告期满后无人接受处理的，按照法定程序认定财产无主后，依法予以处置。</w:t>
            </w:r>
          </w:p>
        </w:tc>
        <w:tc>
          <w:tcPr>
            <w:tcW w:w="6795" w:type="dxa"/>
            <w:shd w:val="clear" w:color="auto" w:fill="auto"/>
            <w:vAlign w:val="center"/>
          </w:tcPr>
          <w:p w14:paraId="1F758C8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行政强制法》第四十四条“对违法的建筑物、构筑物、设施等需要强制拆除的，应当由行政机关予以公告，限期当事人自行拆除。当事人在法定期限内不申请行政复议或者提起行政诉讼，又不拆除的，行政机关可以依法强制拆除。”</w:t>
            </w:r>
          </w:p>
        </w:tc>
      </w:tr>
      <w:tr w14:paraId="488FA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938CC3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第十三条 城市建（构）筑物的外立面造型、色调、风格应当与周边建筑和环境相协调。任何单位和个人应当保持建（构）筑物及其附属设施的整洁、美观。</w:t>
            </w:r>
          </w:p>
          <w:p w14:paraId="136CAA7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任何单位和个人不得擅自改变建（构）筑物原有外貌的外部装修或者在外墙面新开门窗、改变原门窗位置，不得实施其他改变临街建筑立面影响市容景观的行为。</w:t>
            </w:r>
          </w:p>
        </w:tc>
        <w:tc>
          <w:tcPr>
            <w:tcW w:w="6795" w:type="dxa"/>
            <w:shd w:val="clear" w:color="auto" w:fill="auto"/>
            <w:vAlign w:val="center"/>
          </w:tcPr>
          <w:p w14:paraId="62A6467B">
            <w:pPr>
              <w:pStyle w:val="19"/>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九条“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14:paraId="20F6842E">
            <w:pPr>
              <w:pStyle w:val="19"/>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t>依据《中华人民共和国城乡规划法》第四十条</w:t>
            </w:r>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第一款</w:t>
            </w:r>
            <w:r>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t>“在城市、镇规划区内进行建筑物、构筑物、道路、管线和其他工程建设的，建设单位或者个人应当向城市、县人民政府城乡规划主管部门或者省、自治区、直辖市人民政府确定的镇人民政府申请办理建设工程规划许可证。”</w:t>
            </w:r>
          </w:p>
        </w:tc>
      </w:tr>
      <w:tr w14:paraId="214B7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B42C32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第十四条 城市道路两侧建筑物的顶部、阳台外、窗外，禁止堆放、吊挂或者晾晒影响城市容貌的物品。</w:t>
            </w:r>
          </w:p>
          <w:p w14:paraId="0A0BADA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城市道路两侧的护栏、线杆、树木、绿篱等处，禁止吊挂杂物或者晾晒衣物。</w:t>
            </w:r>
          </w:p>
        </w:tc>
        <w:tc>
          <w:tcPr>
            <w:tcW w:w="6795" w:type="dxa"/>
            <w:shd w:val="clear" w:color="auto" w:fill="auto"/>
            <w:vAlign w:val="center"/>
          </w:tcPr>
          <w:p w14:paraId="30037FD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十条“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p>
          <w:p w14:paraId="27B77467">
            <w:pPr>
              <w:pStyle w:val="19"/>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 xml:space="preserve">参考《甘肃省城市市容和环境卫生管理办法》第十一条 </w:t>
            </w:r>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w:t>
            </w:r>
            <w:r>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t>城市主要道路两侧和景观区域临街建筑物的阳台、门窗、屋面应当保持整洁、美观，不得在阳台和窗外吊挂、晾晒和堆放影响市容的物品。在临街建筑物外墙上安装空调外机、遮阳棚的，应当保持其安全、整洁、完好。</w:t>
            </w:r>
          </w:p>
          <w:p w14:paraId="31C5DF3B">
            <w:pPr>
              <w:pStyle w:val="19"/>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t>城市道路两侧和广场周围建（构）筑物内的经营者不得超出门、窗设摊经营。禁止在城市道路及其他公共场所的护栏、电线杆、树木、绿篱等处晾晒衣物或者吊挂物品。</w:t>
            </w:r>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w:t>
            </w:r>
          </w:p>
        </w:tc>
      </w:tr>
      <w:tr w14:paraId="07228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4C256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第十五条 城市道路范围内的各类井盖、箱罐、杆柱、管线及其附属设施，应当符合城市规划和城市容貌标准，保证公共安全。产权单位应当定期检查维修，对丢失、损坏、标志不清或者影响人身和交通安全的，采取安全防护措施，并及时进行补充、更换、修复或者移除。</w:t>
            </w:r>
          </w:p>
        </w:tc>
        <w:tc>
          <w:tcPr>
            <w:tcW w:w="6795" w:type="dxa"/>
            <w:shd w:val="clear" w:color="auto" w:fill="auto"/>
            <w:vAlign w:val="center"/>
          </w:tcPr>
          <w:p w14:paraId="30C07F74">
            <w:pPr>
              <w:pStyle w:val="19"/>
              <w:rPr>
                <w:rFonts w:hint="default"/>
                <w:lang w:val="en-US" w:eastAsia="zh-CN"/>
              </w:rPr>
            </w:pPr>
            <w:r>
              <w:rPr>
                <w:rFonts w:hint="eastAsia" w:ascii="仿宋_GB2312" w:eastAsia="仿宋_GB2312" w:hAnsiTheme="minorHAnsi" w:cstheme="minorBidi"/>
                <w:b w:val="0"/>
                <w:bCs w:val="0"/>
                <w:color w:val="000000" w:themeColor="text1"/>
                <w:kern w:val="2"/>
                <w:sz w:val="21"/>
                <w:szCs w:val="21"/>
                <w:lang w:val="en-US" w:eastAsia="zh-CN" w:bidi="ar-SA"/>
                <w14:textFill>
                  <w14:solidFill>
                    <w14:schemeClr w14:val="tx1"/>
                  </w14:solidFill>
                </w14:textFill>
              </w:rPr>
              <w:t xml:space="preserve">依据《城市道路管理条例》第二十三条“设在城市道路上的各类管线的检查井、箱盖或者城市道路附属设施，应当符合城市道路养护规范。因缺损影响交通和安全时，有关产权单位应当及时补缺或者修复。” </w:t>
            </w:r>
          </w:p>
          <w:p w14:paraId="4704A67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参考《</w:t>
            </w:r>
            <w:bookmarkStart w:id="3" w:name="_Toc1464423247"/>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海东市城市管理条例</w:t>
            </w:r>
            <w:bookmarkEnd w:id="3"/>
            <w:r>
              <w:rPr>
                <w:rFonts w:hint="eastAsia" w:ascii="仿宋_GB2312" w:eastAsia="仿宋_GB2312" w:cstheme="minorBidi"/>
                <w:b w:val="0"/>
                <w:bCs w:val="0"/>
                <w:color w:val="000000" w:themeColor="text1"/>
                <w:kern w:val="2"/>
                <w:sz w:val="21"/>
                <w:szCs w:val="21"/>
                <w:lang w:val="en-US" w:eastAsia="zh-CN" w:bidi="ar-SA"/>
                <w14:textFill>
                  <w14:solidFill>
                    <w14:schemeClr w14:val="tx1"/>
                  </w14:solidFill>
                </w14:textFill>
              </w:rPr>
              <w:t>》第二十条“城市道路范围内的各类井盖、箱罐、杆柱、管线等公共设施，应当符合城市规划和城市容貌标准，保证公共安全。产权单位应当定期检查维修，对丢失、损坏、标志不清或者影响交通安全的，采取安全防护措施，并及时进行补充、更换、修复或者移除。”</w:t>
            </w:r>
          </w:p>
        </w:tc>
      </w:tr>
      <w:tr w14:paraId="0DBEB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7973EC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第十六条 临街门店不得超出门窗或者外墙摆放物品、设摊经营；不得私拉电线、乱设电源，影响行人通行和用电安全。</w:t>
            </w:r>
          </w:p>
          <w:p w14:paraId="764466B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临街空调外机设置应当符合国家有关标准规范，采取有效降噪措施，落地安装的应当设置装饰围护，确保不影响行人通行和市容整体秩序。</w:t>
            </w:r>
          </w:p>
        </w:tc>
        <w:tc>
          <w:tcPr>
            <w:tcW w:w="6795" w:type="dxa"/>
            <w:shd w:val="clear" w:color="auto" w:fill="auto"/>
            <w:vAlign w:val="center"/>
          </w:tcPr>
          <w:p w14:paraId="72C749AE">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甘肃省城市市容和环境卫生管理办法》第十一条“城市主要道路两侧和景观区域临街建筑物的阳台、门窗、屋面应当保持整洁、美观，不得在阳台和窗外吊挂、晾晒和堆放影响市容的物品。在临街建筑物外墙上安装空调外机、遮阳棚的，应当保持其安全、整洁、完好。城市道路两侧和广场周围建（构）筑物内的经营者不得超出门、窗设摊经营。禁止在城市道路及其他公共场所的护栏、电线杆、树木、绿篱等处晾晒衣物或者吊挂物品。”</w:t>
            </w:r>
          </w:p>
          <w:p w14:paraId="5A8AD65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w:t>
            </w:r>
            <w:bookmarkStart w:id="4" w:name="_Toc1822139549"/>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蚌埠市城市管理条例</w:t>
            </w:r>
            <w:bookmarkEnd w:id="4"/>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》第二十二条　“摊点经营禁止下列行为：（五）私拉电线、乱设电源，影响用电安全。</w:t>
            </w:r>
          </w:p>
          <w:p w14:paraId="6F731D6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违反前款第二项规定的，处一百元以上五百元以下罚款。违反前款第三项规定影响市容的，处五百元以上二千五百元以下罚款。”</w:t>
            </w:r>
          </w:p>
        </w:tc>
      </w:tr>
      <w:tr w14:paraId="4CB78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E4653E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 xml:space="preserve">第十七条 设置大型户外广告的，必须征得城市管理行政主管部门同意，按照有关规定办理审批手续。许可有效期限为二年。到期后需要延期的，在有效期届满30日前向城市管理行政主管部门提出申请，作出是否准予延续的决定。准予延续的，有效期延续二年。 </w:t>
            </w:r>
          </w:p>
          <w:p w14:paraId="620C39E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设置户外广告、门头牌匾应当符合城市容貌标准和有关技术规范，内容健康，文字规范，外形美观，安全牢固。设置者或者经营者应当加强日常维护，在设置期内按照有关标准要求定期安全检测，对破损、脱色、字体残缺等影响城市市容或者存在安全隐患的，应当及时维护、更新或者拆除。</w:t>
            </w:r>
          </w:p>
        </w:tc>
        <w:tc>
          <w:tcPr>
            <w:tcW w:w="6795" w:type="dxa"/>
            <w:shd w:val="clear" w:color="auto" w:fill="auto"/>
            <w:vAlign w:val="center"/>
          </w:tcPr>
          <w:p w14:paraId="04F48E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w:t>
            </w:r>
            <w:bookmarkStart w:id="5" w:name="_Toc147903259"/>
            <w:bookmarkStart w:id="6" w:name="_Toc1263252176"/>
            <w:r>
              <w:rPr>
                <w:rFonts w:hint="eastAsia" w:ascii="仿宋_GB2312" w:eastAsia="仿宋_GB2312"/>
                <w:b w:val="0"/>
                <w:bCs w:val="0"/>
                <w:color w:val="000000" w:themeColor="text1"/>
                <w:spacing w:val="-4"/>
                <w:szCs w:val="21"/>
                <w:lang w:val="en-US" w:eastAsia="zh-CN"/>
                <w14:textFill>
                  <w14:solidFill>
                    <w14:schemeClr w14:val="tx1"/>
                  </w14:solidFill>
                </w14:textFill>
              </w:rPr>
              <w:t>《城市市容和环境卫生管理条例》</w:t>
            </w:r>
            <w:bookmarkEnd w:id="5"/>
            <w:bookmarkEnd w:id="6"/>
            <w:r>
              <w:rPr>
                <w:rFonts w:hint="eastAsia" w:ascii="仿宋_GB2312" w:eastAsia="仿宋_GB2312"/>
                <w:b w:val="0"/>
                <w:bCs w:val="0"/>
                <w:color w:val="000000" w:themeColor="text1"/>
                <w:spacing w:val="-4"/>
                <w:szCs w:val="21"/>
                <w:lang w:val="en-US" w:eastAsia="zh-CN"/>
                <w14:textFill>
                  <w14:solidFill>
                    <w14:schemeClr w14:val="tx1"/>
                  </w14:solidFill>
                </w14:textFill>
              </w:rPr>
              <w:t>第十一条“在城市中设置户外广告、标语牌、画廊、橱窗等，应当内容健康、外型美观，并定期维修、油饰或者拆除。  大型户外广告的设置必须征得城市人民政府市容环境卫生行政主管部门同意后，按照有关规定办理审批手续。”</w:t>
            </w:r>
          </w:p>
          <w:p w14:paraId="6DC4F84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参考《城市户外广告和招牌设施技术标准》10 运行管理 10.1.2 户外广告设施在设置期内，应每年进行安全检测。户外招牌设施在设置期内，宜每年进行安全检测。当发现户外广告和招牌设施有可能存在重大安全隐患时应进行安全检测。安全检测结果不符合规定的，应立即拆除或整改，整改后应重新进行安全检测。达到设计工作年限的，应予以拆除。</w:t>
            </w:r>
          </w:p>
          <w:p w14:paraId="4D6DE09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《天津市户外广告设置管理规定》第二十一条“户外广告设置期限一般不得超过两年。如需继续设置的，应当在期满30日前重新办理行政许可手续；未经准予继续设置的，应当在期满之日起15日内自行撤除。”</w:t>
            </w:r>
          </w:p>
          <w:p w14:paraId="63C9A84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天津市户外广告设置管理规定》第二十三条“本规定施行前已设置的户外广告有下列情形之一的，应当按照城市管理部门规定的期限由设置者自行拆除；逾期不拆除的，由城市管理部门予以强制拆除，拆除费用由设置者承担：（一）未经批准擅自设置的；（二）不符合户外广告设置规划和技术规范的；（三）未明确设置期限且设置时间超过两年的。”</w:t>
            </w:r>
          </w:p>
        </w:tc>
      </w:tr>
      <w:tr w14:paraId="6752E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D0D0B9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第十八条 在建（构）筑物和其他设施上临时张贴、张挂宣传品，应当按照有关规定，经城市管理行政主管部门许可后方可设置，许可期限届满后由设置单位及时拆除。</w:t>
            </w:r>
          </w:p>
          <w:p w14:paraId="45FAD89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经批准设置的宣传品陈旧破损、色彩剥蚀、有安全隐患的，设置单位应当及时更换或者拆除。</w:t>
            </w:r>
          </w:p>
          <w:p w14:paraId="2CE0362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禁止擅自在建（构）筑物和其他设施上涂写刻画或者设置LED广告、灯箱广告、充气式广告装置、霓虹灯和悬挂条幅、旗帜等。</w:t>
            </w:r>
          </w:p>
          <w:p w14:paraId="12D13E9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乡镇人民政府、街道办事处或城市管理行政主管部门应当在城区适当地点设置公共信息栏并负责维护管理，供单位或者个人发布便民信息。</w:t>
            </w:r>
          </w:p>
        </w:tc>
        <w:tc>
          <w:tcPr>
            <w:tcW w:w="6795" w:type="dxa"/>
            <w:shd w:val="clear" w:color="auto" w:fill="auto"/>
            <w:vAlign w:val="center"/>
          </w:tcPr>
          <w:p w14:paraId="0AED44D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十七条“一切单位和个人，都不得在城市建筑物、设施以及树木上涂写、刻画。单位和个人在城市建筑物、设施上张挂、张贴宣传品等，须经城市人民政府市容环境卫生行政主管部门或者其他有关部门批准。”</w:t>
            </w:r>
          </w:p>
          <w:p w14:paraId="5890895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参考《兰州市城市市容和环境卫生管理办法》第十五条  “任何单位和个人不得擅自在城市建（构）筑物和公共设施及公共场所悬挂、张贴、刻画、喷涂、散发宣传标语、告示、招贴等宣传品。因重大庆典、节日或者其他特殊情况确需悬挂、张贴、散发标语、宣传品的，必须经市市容环境卫生行政主管部门批准，按批准要求悬挂、张贴，并按规定期限清除。</w:t>
            </w:r>
          </w:p>
          <w:p w14:paraId="52EAEDF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街道办事处、有关镇人民政府应当选择街巷或者住宅小区等适当地点设置公共信息栏，并负责维护管理。”</w:t>
            </w:r>
          </w:p>
        </w:tc>
      </w:tr>
      <w:tr w14:paraId="123A3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A1BF83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第十九条 禁止擅自占用城市道路及其两侧、公共空地、城市公园绿地摆摊设点、堆放物料或者设置障碍物。</w:t>
            </w:r>
          </w:p>
          <w:p w14:paraId="64DE7E2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确需临时摆设、堆放、设置的，应当取得城市管理行政主管部门同意，按照有关规定办理审批手续，期满后及时清理，恢复原状。</w:t>
            </w:r>
          </w:p>
        </w:tc>
        <w:tc>
          <w:tcPr>
            <w:tcW w:w="6795" w:type="dxa"/>
            <w:shd w:val="clear" w:color="auto" w:fill="auto"/>
            <w:vAlign w:val="center"/>
          </w:tcPr>
          <w:p w14:paraId="53A2599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6F67110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十条“任何单位和个人不得擅自在城市道路及其两侧、公共场所和设施用地范围内堆放物料、搭建建（构）筑物和其他设施、清洗机动车辆、进行屠宰加工和摆摊设点。确因建设等特殊需要，经批准临时堆放物料、搭建临时性建（构）筑物和其他设施的，应当保持周围环境整洁，并在规定期限内清理和拆除。”</w:t>
            </w:r>
          </w:p>
        </w:tc>
      </w:tr>
      <w:tr w14:paraId="68D8D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FAD7C4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第二十条 城市管理行政主管部门在不影响消防安全、市容环境卫生和道路通行的前提下，可以划定临时设摊经营区域并公布。经营者不得超出临时区域和限定时间从事经营活动。</w:t>
            </w:r>
          </w:p>
        </w:tc>
        <w:tc>
          <w:tcPr>
            <w:tcW w:w="6795" w:type="dxa"/>
            <w:shd w:val="clear" w:color="auto" w:fill="auto"/>
            <w:vAlign w:val="center"/>
          </w:tcPr>
          <w:p w14:paraId="537C147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5964069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参考《白城市城市管理条例》第二十五条“第十九条  市、区人民政府在不影响城市交通、环境卫生和居民生活的前提下，可以划定临时设摊经营区域。在临时设摊经营区域内经营，应当达到下列标准和要求：（一）按照规定的时间、地点、范围经营；（二）经营设施和卫生设施齐全，设施整洁完好、摆放有序；（三）及时处理废弃物和污水，保持环境清洁； （四）不使用音响器材招揽生意。”</w:t>
            </w:r>
          </w:p>
        </w:tc>
      </w:tr>
      <w:tr w14:paraId="53A7A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BBCFBB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第二十一条 非机动车应当在非机动车停放区域内规范、有序停放。未停放在非机动车停车区域，影响其他车辆和行人通行且驾驶人不在现场的，城市管理行政主管部门可以将非机动车拖离现场。</w:t>
            </w:r>
          </w:p>
        </w:tc>
        <w:tc>
          <w:tcPr>
            <w:tcW w:w="6795" w:type="dxa"/>
            <w:shd w:val="clear" w:color="auto" w:fill="auto"/>
            <w:vAlign w:val="center"/>
          </w:tcPr>
          <w:p w14:paraId="5F7969B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依据《中华人民共和国道路交通安全法》第五十九条“非机动车应当在规定地点停放。未设停放地点的，非机动车停放不得妨碍其他车辆和行人通行。”</w:t>
            </w:r>
          </w:p>
          <w:p w14:paraId="2998F51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参考《张掖市城市道路交通管理条例》第三十六条“非机动车应当在规定地点有序停放，不得妨碍其他车辆和行人通行。禁止在人行道、车行道、消防通道、盲道等禁止停放的区域停放非机动车。”</w:t>
            </w:r>
          </w:p>
        </w:tc>
      </w:tr>
      <w:tr w14:paraId="46512D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4854BA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第二十二条 在城市广场、公园等公共场所举行活动或者进行广场舞等健身娱乐活动时，应当遵守公共场所管理规定。不得破坏、损坏公共场所设施，活动结束后，应当及时清理现场，恢复原状。</w:t>
            </w:r>
          </w:p>
        </w:tc>
        <w:tc>
          <w:tcPr>
            <w:tcW w:w="6795" w:type="dxa"/>
            <w:shd w:val="clear" w:color="auto" w:fill="auto"/>
            <w:vAlign w:val="center"/>
          </w:tcPr>
          <w:p w14:paraId="387E397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21"/>
                <w:szCs w:val="21"/>
                <w:shd w:val="clear" w:fill="FFFFFF"/>
                <w:lang w:eastAsia="zh-CN"/>
              </w:rPr>
            </w:pPr>
            <w:r>
              <w:rPr>
                <w:rFonts w:hint="eastAsia" w:ascii="仿宋_GB2312" w:hAnsi="仿宋_GB2312" w:eastAsia="仿宋_GB2312" w:cs="仿宋_GB2312"/>
                <w:i w:val="0"/>
                <w:iCs w:val="0"/>
                <w:caps w:val="0"/>
                <w:color w:val="000000"/>
                <w:spacing w:val="0"/>
                <w:sz w:val="21"/>
                <w:szCs w:val="21"/>
                <w:shd w:val="clear" w:fill="FFFFFF"/>
                <w:lang w:val="en-US" w:eastAsia="zh-CN"/>
              </w:rPr>
              <w:t>依据</w:t>
            </w:r>
            <w:r>
              <w:rPr>
                <w:rFonts w:hint="eastAsia" w:ascii="仿宋_GB2312" w:hAnsi="仿宋_GB2312" w:eastAsia="仿宋_GB2312" w:cs="仿宋_GB2312"/>
                <w:i w:val="0"/>
                <w:iCs w:val="0"/>
                <w:caps w:val="0"/>
                <w:color w:val="000000"/>
                <w:spacing w:val="0"/>
                <w:sz w:val="21"/>
                <w:szCs w:val="21"/>
                <w:shd w:val="clear" w:fill="FFFFFF"/>
              </w:rPr>
              <w:t>《甘肃省全民健身条例》第二十二条</w:t>
            </w:r>
            <w:r>
              <w:rPr>
                <w:rFonts w:hint="eastAsia" w:ascii="仿宋_GB2312" w:hAnsi="仿宋_GB2312" w:eastAsia="仿宋_GB2312" w:cs="仿宋_GB2312"/>
                <w:i w:val="0"/>
                <w:iCs w:val="0"/>
                <w:caps w:val="0"/>
                <w:color w:val="000000"/>
                <w:spacing w:val="0"/>
                <w:sz w:val="21"/>
                <w:szCs w:val="21"/>
                <w:shd w:val="clear" w:fill="FFFFFF"/>
                <w:lang w:eastAsia="zh-CN"/>
              </w:rPr>
              <w:t>“</w:t>
            </w:r>
            <w:r>
              <w:rPr>
                <w:rFonts w:hint="eastAsia" w:ascii="仿宋_GB2312" w:hAnsi="仿宋_GB2312" w:eastAsia="仿宋_GB2312" w:cs="仿宋_GB2312"/>
                <w:i w:val="0"/>
                <w:iCs w:val="0"/>
                <w:caps w:val="0"/>
                <w:color w:val="000000"/>
                <w:spacing w:val="0"/>
                <w:sz w:val="21"/>
                <w:szCs w:val="21"/>
                <w:shd w:val="clear" w:fill="FFFFFF"/>
              </w:rPr>
              <w:t>公民参加全民健身活动，应当遵守公共秩序和健身活动场所的规章制度，爱护设施，保护环境，不得影响其他公民的正常工作、学习和生活。</w:t>
            </w:r>
            <w:r>
              <w:rPr>
                <w:rFonts w:hint="eastAsia" w:ascii="仿宋_GB2312" w:hAnsi="仿宋_GB2312" w:eastAsia="仿宋_GB2312" w:cs="仿宋_GB2312"/>
                <w:i w:val="0"/>
                <w:iCs w:val="0"/>
                <w:caps w:val="0"/>
                <w:color w:val="000000"/>
                <w:spacing w:val="0"/>
                <w:sz w:val="21"/>
                <w:szCs w:val="21"/>
                <w:shd w:val="clear" w:fill="FFFFFF"/>
                <w:lang w:eastAsia="zh-CN"/>
              </w:rPr>
              <w:t>”</w:t>
            </w:r>
          </w:p>
          <w:p w14:paraId="0F37D0C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21"/>
                <w:szCs w:val="21"/>
                <w:shd w:val="clear" w:fill="FFFFFF"/>
                <w:lang w:eastAsia="zh-CN"/>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依据《城市市容和环境卫生管理条例》第三十二条“公民应当爱护公共卫生环境，不随地吐痰、便溺，不乱扔果皮、纸屑和烟头等废弃物。”</w:t>
            </w:r>
          </w:p>
          <w:p w14:paraId="5A389DA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参考《张掖市文明行为促进条例》第七条 “ 单位和个人应当维护公共场所秩序，自觉遵守下列规定：（一）文明使用公共设施，不得侵占、损毁或者以不恰当的方式使用公共设施； （二）开展娱乐健身、商业宣传、网络直播等活动时应当合理使用场地、音响器材等设施设备，不得影响他人正常生活、工作和学习；（五）参加集会，观看文艺演出、体育比赛、各类展览等，服从管理，遵守秩序；（十）其他维护公共场所秩序的文明行为规范。”</w:t>
            </w:r>
          </w:p>
        </w:tc>
      </w:tr>
      <w:tr w14:paraId="7B47B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318D94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第二十三条  城市设置的雕塑、植物景观、休闲设施、文化传承、公益宣传等类型景观小品，应当与周围环境相协调，出现污损、破旧的，设置单位或者管理维护单位应当及时清洗和修缮。</w:t>
            </w:r>
          </w:p>
        </w:tc>
        <w:tc>
          <w:tcPr>
            <w:tcW w:w="6795" w:type="dxa"/>
            <w:shd w:val="clear" w:color="auto" w:fill="auto"/>
            <w:vAlign w:val="center"/>
          </w:tcPr>
          <w:p w14:paraId="7F674E6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九条“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14:paraId="5A9172F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十四条““城市设置的建筑小品、雕塑等景观，应当与周围环境相协调，出现污损、破旧的，应当及时清洗和修饰。城市主要道路两侧和景观区域临街建筑物前，应当按照城市容貌标准的要求，选用透景、半透景的围墙、栅栏或者绿篱、花坛(池)、草坪等，并保持整洁、美观。”</w:t>
            </w:r>
          </w:p>
        </w:tc>
      </w:tr>
      <w:tr w14:paraId="22FB3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AB3E1D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第二十四条 城市市容环境卫生管理实行责任区制度。责任区和责任人由县（区）人民政府城市环境卫生行政主管部门根据具体情况确定。责任人应当保证责任区符合国家和本地城市市容环境卫生标准，保持城市市容环境卫生设施整洁完好。</w:t>
            </w:r>
          </w:p>
        </w:tc>
        <w:tc>
          <w:tcPr>
            <w:tcW w:w="6795" w:type="dxa"/>
            <w:shd w:val="clear" w:color="auto" w:fill="auto"/>
            <w:vAlign w:val="center"/>
          </w:tcPr>
          <w:p w14:paraId="6AAD9A9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依据《城市市容和环境卫生管理条例》第二十五条“　机关、团体、部队、企事业单位，应当按照城市人民政府市容环境卫生行政主管部门划分的卫生责任区负责清扫保洁。”</w:t>
            </w:r>
          </w:p>
          <w:p w14:paraId="5D42EA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参考《金昌市城市市容和环境卫生管理条例》第十二条“ 城市市容和环境卫生管理实行责任区制度。县（区）市容和环境卫生管理部门负责制定、实施城市市容和环境卫生责任区和责任人制度。”</w:t>
            </w:r>
          </w:p>
        </w:tc>
      </w:tr>
      <w:tr w14:paraId="509C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3880D7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第二十五条 城市公共厕所应当设置明显、规范、统一的标志，确定专人负责保洁。使用人应当自觉维护公共厕所的清洁卫生，爱护公共厕所的设备。</w:t>
            </w:r>
          </w:p>
          <w:p w14:paraId="7318151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鼓励机关、企业事业单位以及商业服务单位、宾馆饭店附设的内部厕所工作（营业）时间免费对外开放。</w:t>
            </w:r>
          </w:p>
        </w:tc>
        <w:tc>
          <w:tcPr>
            <w:tcW w:w="6795" w:type="dxa"/>
            <w:shd w:val="clear" w:color="auto" w:fill="auto"/>
            <w:vAlign w:val="center"/>
          </w:tcPr>
          <w:p w14:paraId="53FAB35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二十条“城市人民政府市容环境卫生行政主管部门，应当根据城市居住人口密度和流动人口数量以及公共场所等特定地区的需要，制定公共厕所建设规划，并按照规定的标准，建设、改造或者支持有关单位建设、改造公共厕所。城市人民政府市容环境卫生行政主管部门，应当配备专业人员或者委托有关单位和个人负责公共厕所的保洁和管理；有关单位和个人也可以承包公共厕所的保洁和管理。公共厕所的管理者可以适当收费，具体办法由省、自治区、直辖市人民政府制定。对不符合规定标准的公共厕所，城市人民政府应当责令有关单位限期改造。公共厕所的粪便应当排入贮（化）粪池或者城市污水系统。”</w:t>
            </w:r>
          </w:p>
          <w:p w14:paraId="13C29B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7" w:name="_Toc2025720736"/>
            <w:bookmarkStart w:id="8" w:name="_Toc1647491105"/>
            <w:r>
              <w:rPr>
                <w:rFonts w:hint="eastAsia" w:ascii="仿宋_GB2312" w:eastAsia="仿宋_GB2312"/>
                <w:b w:val="0"/>
                <w:bCs w:val="0"/>
                <w:color w:val="000000" w:themeColor="text1"/>
                <w:spacing w:val="-4"/>
                <w:szCs w:val="21"/>
                <w:lang w:val="en-US" w:eastAsia="zh-CN"/>
                <w14:textFill>
                  <w14:solidFill>
                    <w14:schemeClr w14:val="tx1"/>
                  </w14:solidFill>
                </w14:textFill>
              </w:rPr>
              <w:t>日喀则市城市管理条例</w:t>
            </w:r>
            <w:bookmarkEnd w:id="7"/>
            <w:bookmarkEnd w:id="8"/>
            <w:r>
              <w:rPr>
                <w:rFonts w:hint="eastAsia" w:ascii="仿宋_GB2312" w:eastAsia="仿宋_GB2312"/>
                <w:b w:val="0"/>
                <w:bCs w:val="0"/>
                <w:color w:val="000000" w:themeColor="text1"/>
                <w:spacing w:val="-4"/>
                <w:szCs w:val="21"/>
                <w:lang w:val="en-US" w:eastAsia="zh-CN"/>
                <w14:textFill>
                  <w14:solidFill>
                    <w14:schemeClr w14:val="tx1"/>
                  </w14:solidFill>
                </w14:textFill>
              </w:rPr>
              <w:t>》第十五条“　新建、改建、扩建公共厕所，应当符合环境卫生设施建设定额指标的规定和公共厕所建设标准。现有公共厕所不符合建设标准的，所在地人民政府应当制定改造方案。城市管理主管部门应当确定公共厕所维护管理责任人，对公共厕所进行维护和管理。鼓励商场、饭店、旅馆、体育场（馆）、停车场等公共建筑和公共场所的附属公共厕所免费对外开放。”</w:t>
            </w:r>
          </w:p>
        </w:tc>
      </w:tr>
      <w:tr w14:paraId="174FB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8FE3E2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第二十六条 生活垃圾应当按照分类标准和要求进行投放。</w:t>
            </w:r>
          </w:p>
          <w:p w14:paraId="6400C93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单位和个体工商户应当配置密闭式垃圾收集容器。集贸市场的开办单位应当保持场内和周围环境整洁，根据垃圾日产生量设置垃圾收集容器，并做到日产日清。</w:t>
            </w:r>
          </w:p>
          <w:p w14:paraId="1C77AC4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机关、企业事业单位的食堂和餐饮经营单位应当配备符合标准容积及数量的厨余垃圾专用收集容器，并保持收集容器、防治设施清洁完好且正常使用。</w:t>
            </w:r>
          </w:p>
          <w:p w14:paraId="60F4A4D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产生、收集厨余垃圾的单位和其他生产经营者，应当将厨余垃圾交由具备相应资质条件的单位进行无害化处理。</w:t>
            </w:r>
          </w:p>
        </w:tc>
        <w:tc>
          <w:tcPr>
            <w:tcW w:w="6795" w:type="dxa"/>
            <w:shd w:val="clear" w:color="auto" w:fill="auto"/>
            <w:vAlign w:val="center"/>
          </w:tcPr>
          <w:p w14:paraId="30676A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固体废物污染环境防治法》第四十九条“产生生活垃圾的单位、家庭和个人应当依法履行生活垃圾源头减量和分类投放义务，承担生活垃圾产生者责任。任何单位和个人都应当依法在指定的地点分类投放生活垃圾。禁止随意倾倒、抛撒、堆放或者焚烧生活垃圾。机关、事业单位等应当在生活垃圾分类工作中起示范带头作用。已经分类投放的生活垃圾，应当按照规定分类收集、分类运输、分类处理。”</w:t>
            </w:r>
          </w:p>
          <w:p w14:paraId="0EFDBFD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二十八条“城市人民政府市容环境卫生行政主管部门对城市生活废弃物的收集、运输和处理实施监督管理。一切单位和个人，都应当依照城市人民政府市容环境卫生行政主管部门规定的时间、地点、方式，倾倒垃圾、粪便。对垃圾、粪便应当及时清运，并逐步做到垃圾、粪便的无害化处理和综合利用。对城市生活废弃物应当逐步做到分类收集、运输和处理。”</w:t>
            </w:r>
          </w:p>
          <w:p w14:paraId="3D9AB05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参考《甘肃省城市市容和环境卫生管理办法》第二十五条：“城市生活垃圾的处理应当按照无害化、减量化、资源化的原则进行，推行生活垃圾分类收集和综合利用。”</w:t>
            </w:r>
          </w:p>
          <w:p w14:paraId="6BE13B5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二十九条：“单位和个体工商户应当配置密闭式垃圾收集容器。集贸市场的开办单位应当保持场内和周围环境整洁，根据垃圾日产生量设置垃圾收集容器，并做到日产日清。单位和饮食业经营者产生的餐厨垃圾，应当按照有关规定，自行单独收集和处置，或者委托有关作业单位收集和处置，不得排入下水道。”</w:t>
            </w:r>
          </w:p>
        </w:tc>
      </w:tr>
      <w:tr w14:paraId="57E72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2080DB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第二十七条 处置建筑垃圾的单位，应当向城市人民政府市容环境卫生主管部门提出申请，获得城市建筑垃圾处置核准后，方可处置。</w:t>
            </w:r>
          </w:p>
          <w:p w14:paraId="12CFE8A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任何单位和个人不得将建筑垃圾混入生活垃圾。装修人应当将装饰装修房屋过程中产生的建筑垃圾与生活垃圾分别收集，统一堆放至指定暂存点。</w:t>
            </w:r>
          </w:p>
          <w:p w14:paraId="20D2C2B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物业服务企业应当在居住区合适地点设置建筑垃圾暂存点，并将建筑垃圾交由具备建筑垃圾运输资质的单位清运。</w:t>
            </w:r>
          </w:p>
        </w:tc>
        <w:tc>
          <w:tcPr>
            <w:tcW w:w="6795" w:type="dxa"/>
            <w:shd w:val="clear" w:color="auto" w:fill="auto"/>
            <w:vAlign w:val="center"/>
          </w:tcPr>
          <w:p w14:paraId="153CD95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参考《城市建筑垃圾管理规定》第七条第一款“</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处置建筑垃圾的单位，应当向城市人民政府市容环境卫生主管部门提出申请，获得城市建筑垃圾处置核准后，方可处置。</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p w14:paraId="35F163A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参考《城市建筑垃圾管理规定》第九条“</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任何单位和个人不得将建筑垃圾混入生活垃圾，不得将危险废物混入建筑垃圾，不得擅自设立弃置场受纳建筑垃圾。</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p w14:paraId="6558E0E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参考《城市建筑垃圾管理规定》</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第十一条</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第一款“</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居民应当将装饰装修房屋过程中产生的建筑垃圾与生活垃圾分别收集，并堆放到指定地点。建筑垃圾中转站的设置应当方便居民。</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p w14:paraId="2354099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参考《城市建筑垃圾管理规定》</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第十三条</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施工单位不得将建筑垃圾交给个人或者未经核准从事建筑垃圾运输的单位运输。</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tc>
      </w:tr>
      <w:tr w14:paraId="7B67E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9AC88B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第二十八条 城市供水、排水设施建设应当符合城市规划要求，供水、排水设施设备应当定期疏浚维护，保持完好、运行正常，满足居民和单位用水需求和防洪排涝需要。</w:t>
            </w:r>
          </w:p>
          <w:p w14:paraId="69D1235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任何单位和个人不得穿凿、堵塞、损毁排水与污水处理设施，供水、供电、供气、通信、有线电视等管线不得利用雨水、污水管网设置。</w:t>
            </w:r>
          </w:p>
        </w:tc>
        <w:tc>
          <w:tcPr>
            <w:tcW w:w="6795" w:type="dxa"/>
            <w:shd w:val="clear" w:color="auto" w:fill="auto"/>
            <w:vAlign w:val="center"/>
          </w:tcPr>
          <w:p w14:paraId="459A731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依据《城镇污水与排水处理条例》第二十七条第二款“</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城镇排水设施维护运营单位应当按照防汛要求，对城镇排水设施进行全面检查、维护、清疏，确保设施安全运行。</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p w14:paraId="70A11647">
            <w:pPr>
              <w:pStyle w:val="5"/>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第四十二条</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五)建设占压城镇排水与污水处理设施的建筑物、构筑物或者其他设施；(六)其他危及城镇排水与污水处理设施安全的活动。</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w:t>
            </w:r>
          </w:p>
          <w:p w14:paraId="05491A7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参考《咸宁市城市管理条例》第二十六条第二款“城市排水设施维护单位应当定期对排水设施进行全面检查、维护、清疏，确保设施安全运行。”</w:t>
            </w:r>
          </w:p>
          <w:p w14:paraId="1D55531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第三款“任何单位和个人不得穿凿、堵塞、损毁、盗窃排水与污水处理设施，供水、供电、供气、通信、有线电视等管线不得接入雨水、污水管网。”</w:t>
            </w:r>
          </w:p>
        </w:tc>
      </w:tr>
      <w:tr w14:paraId="34FA3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87EE38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第二十九条 市政公用设施养护、维修作业现场应当设置明显、规范的警示标志，采用低噪声、防扬尘等符合安全生产和环境保护要求的施工设备及施工方法。</w:t>
            </w:r>
          </w:p>
          <w:p w14:paraId="7E185A3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市政公用设施养护或者维修作业应当避开交通高峰时段，分段施工，在规定期限内完工；并采取有效措施，保障市容环境卫生整洁和行人车辆交通安全。</w:t>
            </w:r>
          </w:p>
        </w:tc>
        <w:tc>
          <w:tcPr>
            <w:tcW w:w="6795" w:type="dxa"/>
            <w:shd w:val="clear" w:color="auto" w:fill="auto"/>
            <w:vAlign w:val="center"/>
          </w:tcPr>
          <w:p w14:paraId="2B4F288F">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依据《城市市容和环境卫生管理条例》第十二条“城市中的市政公用设施，应当与周围环境相协调，并维护和保持设施完好、整洁。”</w:t>
            </w:r>
          </w:p>
          <w:p w14:paraId="5259A7C7">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参考《嘉峪关市市政设施管理办法》</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第二十三条</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市政设施行政主管部门应当做好对市政设施养护维修的监督检查，防止安全事故发生。</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 xml:space="preserve"> </w:t>
            </w:r>
            <w:r>
              <w:rPr>
                <w:rFonts w:hint="default" w:ascii="仿宋_GB2312" w:hAnsi="黑体" w:eastAsia="仿宋_GB2312" w:cs="仿宋_GB2312"/>
                <w:b w:val="0"/>
                <w:bCs w:val="0"/>
                <w:color w:val="000000" w:themeColor="text1"/>
                <w:szCs w:val="21"/>
                <w:lang w:val="en-US" w:eastAsia="zh-CN"/>
                <w14:textFill>
                  <w14:solidFill>
                    <w14:schemeClr w14:val="tx1"/>
                  </w14:solidFill>
                </w14:textFill>
              </w:rPr>
              <w:t>市政设施养护维修作业时，应当在现场设置规范的安全警示标志，采取安全防护措施，保障行人、车辆及作业人员安全。施工时应当采取低噪声、防扬尘的施工设备和施工方法，符合环境保护要求。</w:t>
            </w: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w:t>
            </w:r>
          </w:p>
        </w:tc>
      </w:tr>
      <w:tr w14:paraId="25CCB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C46079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第三十条 禁止下列损坏城市绿化及其设施的行为“</w:t>
            </w:r>
          </w:p>
          <w:p w14:paraId="416D823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（一）攀折树枝、采摘花果、践踏绿地，损坏树木支架、栏杆、花基、供排水等；</w:t>
            </w:r>
          </w:p>
          <w:p w14:paraId="6A47C2A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（二）在树木上涂、写、刻、画和拴绳挂物及剥、削树皮、挖树根等；</w:t>
            </w:r>
          </w:p>
          <w:p w14:paraId="1D63F30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（三）在城市绿地内摆摊设点、停放车辆；</w:t>
            </w:r>
          </w:p>
          <w:p w14:paraId="3A42134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（四）在非划定区域烧烤、野餐、宿营等；</w:t>
            </w:r>
          </w:p>
          <w:p w14:paraId="5DAFB56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（五）在城市绿地内耕种农作物、饲养家禽家畜；</w:t>
            </w:r>
          </w:p>
          <w:p w14:paraId="37C0DDE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（六）在城市绿地内倾倒有毒有害液体、垃圾、渣土及其他废弃物，堆放、焚烧物料；</w:t>
            </w:r>
          </w:p>
          <w:p w14:paraId="71CC4A7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（七）在城市绿地内取土采石等；</w:t>
            </w:r>
          </w:p>
          <w:p w14:paraId="2838808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（八）其他损坏城市绿化及其设施的行为。</w:t>
            </w:r>
          </w:p>
          <w:p w14:paraId="66280E7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砍伐城市树木，必须经城市人民政府城市绿化行政主管部门批准，并按照国家有关规定补植树木或者采取其他补救措施。</w:t>
            </w:r>
          </w:p>
        </w:tc>
        <w:tc>
          <w:tcPr>
            <w:tcW w:w="6795" w:type="dxa"/>
            <w:shd w:val="clear" w:color="auto" w:fill="auto"/>
            <w:vAlign w:val="center"/>
          </w:tcPr>
          <w:p w14:paraId="2C86600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依据《城市绿化条例》第二十条“任何单位和个人都不得损坏城市树木花草和绿化设施。砍伐城市树木，必须经城市人民政府城市绿化行政主管部门批准，并按照国家有关规定补植树木或者采取其他补救措施。”</w:t>
            </w:r>
          </w:p>
          <w:p w14:paraId="4697F8F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绿化条例》第二十一条“在城市的公共绿地内开设商业、服务摊点的，应当持市场监督管理部门批准的营业执照，在公共绿地管理单位指定的地点从事经营活动，并遵守公共绿地和市场监督管理的规定。”</w:t>
            </w:r>
          </w:p>
          <w:p w14:paraId="3535650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 《城市绿化条例》第二十六条“违反本条例规定，有下列行为之一的，由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tc>
      </w:tr>
      <w:tr w14:paraId="19DCD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29E66F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第三十一条 开展露营活动必须在规定区域进行，不得在公园、广场、绿地、林带、湿地及其他存在安全隐患的区域露营、私搭天幕。停放车辆不得占用绿地或者道路，防止破坏绿地或者影响交通安全。</w:t>
            </w:r>
          </w:p>
        </w:tc>
        <w:tc>
          <w:tcPr>
            <w:tcW w:w="6795" w:type="dxa"/>
            <w:shd w:val="clear" w:color="auto" w:fill="auto"/>
            <w:vAlign w:val="center"/>
          </w:tcPr>
          <w:p w14:paraId="3D2E976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依据《中华人民共和国道路交通安全法》第五十六条“机动车应当在规定地点停放。禁止在人行道上停放机动车；但是，依照本法第三十三条规定施划的停车泊位除外。 在道路上临时停车的，不得妨碍其他车辆和行人通行。”</w:t>
            </w:r>
          </w:p>
          <w:p w14:paraId="1DE3150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绿化条例》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p w14:paraId="7DA4901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参考《张掖市城市绿化管理条例》第二十六条“在城市绿地内禁止下列行为“（三）违规摆摊设点、停放车辆；（四）在非划定区域烧烤、野餐、宿营等；””</w:t>
            </w:r>
          </w:p>
          <w:p w14:paraId="4DC6A0F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文明行为促进条例》第六条“单位和个人应当保护生态环境，自觉遵守下列规定“（二）严格执行黑河湿地国家级自然保护区有关法律法规，不得在湿地区域内露营、野炊、洗车、捕捞、游泳、捡拾鸟蛋、破坏鸟巢等；””</w:t>
            </w:r>
          </w:p>
          <w:p w14:paraId="60BAECD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参考《嘉峪关市市政设施管理办法》</w:t>
            </w:r>
            <w:r>
              <w:rPr>
                <w:rFonts w:hint="default" w:ascii="仿宋_GB2312" w:eastAsia="仿宋_GB2312"/>
                <w:b w:val="0"/>
                <w:bCs w:val="0"/>
                <w:color w:val="000000" w:themeColor="text1"/>
                <w:spacing w:val="-4"/>
                <w:szCs w:val="21"/>
                <w:lang w:val="en-US" w:eastAsia="zh-CN"/>
                <w14:textFill>
                  <w14:solidFill>
                    <w14:schemeClr w14:val="tx1"/>
                  </w14:solidFill>
                </w14:textFill>
              </w:rPr>
              <w:t>第四十九条</w:t>
            </w:r>
            <w:r>
              <w:rPr>
                <w:rFonts w:hint="eastAsia" w:ascii="仿宋_GB2312" w:eastAsia="仿宋_GB2312"/>
                <w:b w:val="0"/>
                <w:bCs w:val="0"/>
                <w:color w:val="000000" w:themeColor="text1"/>
                <w:spacing w:val="-4"/>
                <w:szCs w:val="21"/>
                <w:lang w:val="en-US" w:eastAsia="zh-CN"/>
                <w14:textFill>
                  <w14:solidFill>
                    <w14:schemeClr w14:val="tx1"/>
                  </w14:solidFill>
                </w14:textFill>
              </w:rPr>
              <w:t>“</w:t>
            </w:r>
            <w:r>
              <w:rPr>
                <w:rFonts w:hint="default" w:ascii="仿宋_GB2312" w:eastAsia="仿宋_GB2312"/>
                <w:b w:val="0"/>
                <w:bCs w:val="0"/>
                <w:color w:val="000000" w:themeColor="text1"/>
                <w:spacing w:val="-4"/>
                <w:szCs w:val="21"/>
                <w:lang w:val="en-US" w:eastAsia="zh-CN"/>
                <w14:textFill>
                  <w14:solidFill>
                    <w14:schemeClr w14:val="tx1"/>
                  </w14:solidFill>
                </w14:textFill>
              </w:rPr>
              <w:t>城市广场内禁止从事以下活动</w:t>
            </w:r>
            <w:r>
              <w:rPr>
                <w:rFonts w:hint="eastAsia" w:ascii="仿宋_GB2312" w:eastAsia="仿宋_GB2312"/>
                <w:b w:val="0"/>
                <w:bCs w:val="0"/>
                <w:color w:val="000000" w:themeColor="text1"/>
                <w:spacing w:val="-4"/>
                <w:szCs w:val="21"/>
                <w:lang w:val="en-US" w:eastAsia="zh-CN"/>
                <w14:textFill>
                  <w14:solidFill>
                    <w14:schemeClr w14:val="tx1"/>
                  </w14:solidFill>
                </w14:textFill>
              </w:rPr>
              <w:t>“</w:t>
            </w:r>
            <w:r>
              <w:rPr>
                <w:rFonts w:hint="default" w:ascii="仿宋_GB2312" w:eastAsia="仿宋_GB2312"/>
                <w:b w:val="0"/>
                <w:bCs w:val="0"/>
                <w:color w:val="000000" w:themeColor="text1"/>
                <w:spacing w:val="-4"/>
                <w:szCs w:val="21"/>
                <w:lang w:val="en-US" w:eastAsia="zh-CN"/>
                <w14:textFill>
                  <w14:solidFill>
                    <w14:schemeClr w14:val="tx1"/>
                  </w14:solidFill>
                </w14:textFill>
              </w:rPr>
              <w:t>（八）宿营、野炊、烧烤、攀爬假山等行为；</w:t>
            </w:r>
            <w:r>
              <w:rPr>
                <w:rFonts w:hint="eastAsia" w:ascii="仿宋_GB2312" w:eastAsia="仿宋_GB2312"/>
                <w:b w:val="0"/>
                <w:bCs w:val="0"/>
                <w:color w:val="000000" w:themeColor="text1"/>
                <w:spacing w:val="-4"/>
                <w:szCs w:val="21"/>
                <w:lang w:val="en-US" w:eastAsia="zh-CN"/>
                <w14:textFill>
                  <w14:solidFill>
                    <w14:schemeClr w14:val="tx1"/>
                  </w14:solidFill>
                </w14:textFill>
              </w:rPr>
              <w:t>”</w:t>
            </w:r>
          </w:p>
        </w:tc>
      </w:tr>
      <w:tr w14:paraId="7D3BF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AC046B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第三十二条 县（区）人民政府水行政主管部门应当会同自然资源主管部门划定城市河流、沟渠、水塘等公共水域范围，明确责任单位和责任人，并向社会公告。</w:t>
            </w:r>
          </w:p>
        </w:tc>
        <w:tc>
          <w:tcPr>
            <w:tcW w:w="6795" w:type="dxa"/>
            <w:shd w:val="clear" w:color="auto" w:fill="auto"/>
            <w:vAlign w:val="center"/>
          </w:tcPr>
          <w:p w14:paraId="412EA02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依据《城市市容和环境卫生管理条例》第二十三条第一款“按国家行政建制设立的市的主要街道、广场和公共水域的环境卫生，由环境卫生专业单位负责。”</w:t>
            </w:r>
          </w:p>
          <w:p w14:paraId="253580CD">
            <w:pPr>
              <w:keepNext w:val="0"/>
              <w:keepLines w:val="0"/>
              <w:pageBreakBefore w:val="0"/>
              <w:suppressAutoHyphens/>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t>《中华人民共和国水法》第二条“在中华人民共和国领域内开发、利用、节约、保护、管理水资源，防治水害，适用本法。本法所称水资源，包括地表水和地下水。”</w:t>
            </w:r>
          </w:p>
          <w:p w14:paraId="20279A2F">
            <w:pPr>
              <w:keepNext w:val="0"/>
              <w:keepLines w:val="0"/>
              <w:pageBreakBefore w:val="0"/>
              <w:suppressAutoHyphens/>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w:t>
            </w:r>
            <w:r>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t>第十二条“国家对水资源实行流域管理与行政区域管理相结合的管理体制。国务院水行政主管部门负责全国水资源的统一管理和监督工作。国务院水行政主管部门在国家确定的重要江河、湖泊设立的流域管理机构（以下简称流域管理机构），在所管辖的范围内行使法律、行政法规规定的和国务院水行政主管部门授予的水资源管理和监督职责。县级以上地方人民政府水行政主管部门按照规定的权限，负责本行政区域内水资源的统一管理和监督工作。”</w:t>
            </w:r>
          </w:p>
          <w:p w14:paraId="2898E471">
            <w:pPr>
              <w:keepNext w:val="0"/>
              <w:keepLines w:val="0"/>
              <w:pageBreakBefore w:val="0"/>
              <w:suppressAutoHyphens/>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w:t>
            </w:r>
            <w:r>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t>《甘肃省河道管理条例》第二条“本省行政区域内河道的保护、治理、利用和管理等相关活动，适用本条例。法律、行政法规对河道保护、治理、利用和管理等已有规定的，依照其规定执行。本条例所称河道包括江河、湖泊、水库库区、人工水道，行洪区、蓄洪区、滞洪区。”</w:t>
            </w:r>
          </w:p>
          <w:p w14:paraId="353B55A8">
            <w:pPr>
              <w:keepNext w:val="0"/>
              <w:keepLines w:val="0"/>
              <w:pageBreakBefore w:val="0"/>
              <w:suppressAutoHyphens/>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t>第七条“河道管理实行按水系统一管理和行政区域分级管理相结合的体制。县级以上人民政府水行政主管部门按照规定的权限，负责本行政区域内河道的管理和监督工作，其所属的河道管理机构负责日常工作。</w:t>
            </w:r>
          </w:p>
          <w:p w14:paraId="2E671870">
            <w:pPr>
              <w:keepNext w:val="0"/>
              <w:keepLines w:val="0"/>
              <w:pageBreakBefore w:val="0"/>
              <w:suppressAutoHyphens/>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 w:val="21"/>
                <w:szCs w:val="21"/>
                <w:lang w:val="en-US" w:eastAsia="zh-CN"/>
                <w14:textFill>
                  <w14:solidFill>
                    <w14:schemeClr w14:val="tx1"/>
                  </w14:solidFill>
                </w14:textFill>
              </w:rPr>
              <w:t>县级以上人民政府有关部门按照各自职责，做好河道管理的相关工作。”</w:t>
            </w:r>
          </w:p>
          <w:p w14:paraId="0B31D145">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参考《金昌市城市市容和环境卫生管理条例》第十四条“城市市容和环境卫生责任区及责任人，按照下列规定确定：（六）河道、沟渠、湖泊、水库、湿地等公共水域及沿岸管理范围，由管理单位负责；”</w:t>
            </w:r>
          </w:p>
        </w:tc>
      </w:tr>
      <w:tr w14:paraId="53B384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32A67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第三十三条 市人民政府应当建立养犬检疫、免疫和登记管理制度。县（区）人民政府应当根据实际需要，通过投资建设或者购买服务等方式设置犬只收容场所，负责接收和处理流浪、遗弃、没收的犬只。</w:t>
            </w:r>
          </w:p>
          <w:p w14:paraId="408CDE1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饲养犬只的，应当按照规定办理相关手续。携犬出户时由成年人用束犬链牵领，主动避让他人，及时清理犬只粪便，不得进入禁犬区域。</w:t>
            </w:r>
          </w:p>
        </w:tc>
        <w:tc>
          <w:tcPr>
            <w:tcW w:w="6795" w:type="dxa"/>
            <w:shd w:val="clear" w:color="auto" w:fill="auto"/>
            <w:vAlign w:val="center"/>
          </w:tcPr>
          <w:p w14:paraId="047E13A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动物防疫法》第三十条“单位和个人饲养犬只，应当按照规定定期免疫接种狂犬病疫苗，凭动物诊疗机构出具的免疫证明向所在地养犬登记机关申请登记。携带犬只出户的，应当按照规定佩戴犬牌并采取系犬绳等措施，防止犬只伤人、疫病传播。街道办事处、乡级人民政府组织协调居民委员会、村民委员会，做好本辖区流浪犬、猫的控制和处置，防止疫病传播。县级人民政府和乡级人民政府、街道办事处应当结合本地实际，做好农村地区饲养犬只的防疫管理工作。饲养犬只防疫管理的具体办法，由省、自治区、直辖市制定。”</w:t>
            </w:r>
          </w:p>
          <w:p w14:paraId="03D101E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养犬管理条例》第八条“市（州）、县（市、区）人民政府应当按照合理布局、规范管理的原则，规划建设犬只收容场所，配备无害化处理设施。犬只收容场所负责接收、检验、处置流浪、遗弃、没收的犬只。”</w:t>
            </w:r>
          </w:p>
        </w:tc>
      </w:tr>
      <w:tr w14:paraId="76D44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A0AC6B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第三十四条 除依法从事教学、科研或者其他法律、法规允许的活动外，城市管理区域内禁止饲养鸡、鸭、鹅、兔、羊、猪等家禽家畜。</w:t>
            </w:r>
          </w:p>
          <w:p w14:paraId="2DF1AD1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饲养犬、猫、鸽、仓鼠等宠物应当采取有效措施防止环境污染、动物伤人和疫病传播，不得干扰周边居民正常生活，不得影响公共环境卫生。</w:t>
            </w:r>
          </w:p>
        </w:tc>
        <w:tc>
          <w:tcPr>
            <w:tcW w:w="6795" w:type="dxa"/>
            <w:shd w:val="clear" w:color="auto" w:fill="auto"/>
            <w:vAlign w:val="center"/>
          </w:tcPr>
          <w:p w14:paraId="1DC2C08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依据《城市市容和环境卫生管理条例》第三十三条“按国家行政建制设立的市的市区内，禁止饲养鸡、鸭、鹅、兔、羊、猪等家畜家禽；因教学、科研以及其他特殊需要饲养的除外。”</w:t>
            </w:r>
          </w:p>
          <w:p w14:paraId="706BB00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9" w:name="_Toc1865411069"/>
            <w:bookmarkStart w:id="10" w:name="_Toc176246428"/>
            <w:r>
              <w:rPr>
                <w:rFonts w:hint="eastAsia" w:ascii="仿宋_GB2312" w:eastAsia="仿宋_GB2312"/>
                <w:b w:val="0"/>
                <w:bCs w:val="0"/>
                <w:color w:val="000000" w:themeColor="text1"/>
                <w:spacing w:val="-4"/>
                <w:szCs w:val="21"/>
                <w:lang w:val="en-US" w:eastAsia="zh-CN"/>
                <w14:textFill>
                  <w14:solidFill>
                    <w14:schemeClr w14:val="tx1"/>
                  </w14:solidFill>
                </w14:textFill>
              </w:rPr>
              <w:t>兰州市城市市容和环境卫生管理办法</w:t>
            </w:r>
            <w:bookmarkEnd w:id="9"/>
            <w:bookmarkEnd w:id="10"/>
            <w:r>
              <w:rPr>
                <w:rFonts w:hint="eastAsia" w:ascii="仿宋_GB2312" w:eastAsia="仿宋_GB2312"/>
                <w:b w:val="0"/>
                <w:bCs w:val="0"/>
                <w:color w:val="000000" w:themeColor="text1"/>
                <w:spacing w:val="-4"/>
                <w:szCs w:val="21"/>
                <w:lang w:val="en-US" w:eastAsia="zh-CN"/>
                <w14:textFill>
                  <w14:solidFill>
                    <w14:schemeClr w14:val="tx1"/>
                  </w14:solidFill>
                </w14:textFill>
              </w:rPr>
              <w:t xml:space="preserve">》第二十三条 “市区禁止饲养鸡、鸭、鹅、兔、羊、猪等家禽家畜。因教学、科研以及其他特殊需要饲养的除外。 市区饲养宠物，不得影响公共环境卫生。宠物在道路及其他公共场所产生的粪便，其饲养者、携带者应当及时清除。” </w:t>
            </w:r>
          </w:p>
          <w:p w14:paraId="3511AF8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11" w:name="_Toc1315989772"/>
            <w:bookmarkStart w:id="12" w:name="_Toc1428162525"/>
            <w:r>
              <w:rPr>
                <w:rFonts w:hint="eastAsia" w:ascii="仿宋_GB2312" w:eastAsia="仿宋_GB2312"/>
                <w:b w:val="0"/>
                <w:bCs w:val="0"/>
                <w:color w:val="000000" w:themeColor="text1"/>
                <w:spacing w:val="-4"/>
                <w:szCs w:val="21"/>
                <w:lang w:val="en-US" w:eastAsia="zh-CN"/>
                <w14:textFill>
                  <w14:solidFill>
                    <w14:schemeClr w14:val="tx1"/>
                  </w14:solidFill>
                </w14:textFill>
              </w:rPr>
              <w:t>咸宁市城市管理条例</w:t>
            </w:r>
            <w:bookmarkEnd w:id="11"/>
            <w:bookmarkEnd w:id="12"/>
            <w:r>
              <w:rPr>
                <w:rFonts w:hint="eastAsia" w:ascii="仿宋_GB2312" w:eastAsia="仿宋_GB2312"/>
                <w:b w:val="0"/>
                <w:bCs w:val="0"/>
                <w:color w:val="000000" w:themeColor="text1"/>
                <w:spacing w:val="-4"/>
                <w:szCs w:val="21"/>
                <w:lang w:val="en-US" w:eastAsia="zh-CN"/>
                <w14:textFill>
                  <w14:solidFill>
                    <w14:schemeClr w14:val="tx1"/>
                  </w14:solidFill>
                </w14:textFill>
              </w:rPr>
              <w:t>》第三十七条 “任何单位和个人不得在城市建成区饲养鸡、鸭、鹅、兔、羊、猪、食用鸽等家畜家禽，因教学、科研等特殊需要饲养的，依照有关规定执行。 饲养犬、猫等动物应当避免污染环境，防止动物伤人和疫病传播。 任何单位和个人不得在城市公共区域或者住宅小区业主共有区域种植蔬菜等农作物。”</w:t>
            </w:r>
          </w:p>
        </w:tc>
      </w:tr>
      <w:tr w14:paraId="67CAB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7FD90D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第三十五条 县（区）人民政府应当建立完善城市管理应急响应机制，提高专业队伍素质，建设应急避难场所，保持供水、供电、燃气、交通、通信等系统畅通，提高突发事件处置能力。</w:t>
            </w:r>
          </w:p>
        </w:tc>
        <w:tc>
          <w:tcPr>
            <w:tcW w:w="6795" w:type="dxa"/>
            <w:shd w:val="clear" w:color="auto" w:fill="auto"/>
            <w:vAlign w:val="center"/>
          </w:tcPr>
          <w:p w14:paraId="404C2D0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依据《中华人民共和国突发事件应对法》第四条“国家建立统一领导、综合协调、分类管理、分级负责、属地管理为主的应急管理体制。”</w:t>
            </w:r>
          </w:p>
          <w:p w14:paraId="5D25E9E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突发事件应对法》第十七条“国家建立健全突发事件应急预案体系。国务院制定国家突发事件总体应急预案，组织制定国家突发事件专项应急预案；国务院有关部门根据各自的职责和国务院相关应急预案，制定国家突发事件部门应急预案。地方各级人民政府和县级以上地方各级人民政府有关部门根据有关法律、法规、规章、上级人民政府及其有关部门的应急预案以及本地区的实际情况，制定相应的突发事件应急预案。应急预案制定机关应当根据实际需要和情势变化，适时修订应急预案。应急预案的制定、修订程序由国务院规定。”</w:t>
            </w:r>
          </w:p>
          <w:p w14:paraId="5CA027F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参考《中共中央 国务院关于推动城市高质量发展的意见》核心原文“统筹城市发展和安全，加强城市应急体系建设，完善城市应急管理机制，提升城市防灾减灾能力，建设韧性城市。”</w:t>
            </w:r>
          </w:p>
        </w:tc>
      </w:tr>
      <w:tr w14:paraId="5E482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1BB516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第三十六条 县（区）人民政府应当建立与城市空间承载能力、停放设施资源、公共出行需求等相匹配的共享单车投放调控机制，规范共享单车经营，强化部门监管责任，促进共享单车健康有序发展。</w:t>
            </w:r>
          </w:p>
          <w:p w14:paraId="4387596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共享单车运营企业应当有效履行企业主体责任，合理调度车辆，及时回收故障、破损车辆，清理违规占用道路、广场、绿地等公共场所停放的车辆，维护车辆停放秩序。极端恶劣天气过后，应当采取有效措施，及时清洁维护车辆，确保车辆干净整洁和有序停放。</w:t>
            </w:r>
          </w:p>
        </w:tc>
        <w:tc>
          <w:tcPr>
            <w:tcW w:w="6795" w:type="dxa"/>
            <w:shd w:val="clear" w:color="auto" w:fill="auto"/>
            <w:vAlign w:val="center"/>
          </w:tcPr>
          <w:p w14:paraId="1A744BD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依据《中华人民共和国道路交通安全法》第五十九条“非机动车应当在规定地点停放。未设停放地点的，非机动车停放不得妨碍其他车辆和行人通行。”</w:t>
            </w:r>
          </w:p>
          <w:p w14:paraId="1BBB72D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13" w:name="_Toc1416112064"/>
            <w:bookmarkStart w:id="14" w:name="_Toc674066754"/>
            <w:r>
              <w:rPr>
                <w:rFonts w:hint="eastAsia" w:ascii="仿宋_GB2312" w:eastAsia="仿宋_GB2312"/>
                <w:b w:val="0"/>
                <w:bCs w:val="0"/>
                <w:color w:val="000000" w:themeColor="text1"/>
                <w:spacing w:val="-4"/>
                <w:szCs w:val="21"/>
                <w:lang w:val="en-US" w:eastAsia="zh-CN"/>
                <w14:textFill>
                  <w14:solidFill>
                    <w14:schemeClr w14:val="tx1"/>
                  </w14:solidFill>
                </w14:textFill>
              </w:rPr>
              <w:t>张掖市城市道路交通管理条例</w:t>
            </w:r>
            <w:bookmarkEnd w:id="13"/>
            <w:bookmarkEnd w:id="14"/>
            <w:r>
              <w:rPr>
                <w:rFonts w:hint="eastAsia" w:ascii="仿宋_GB2312" w:eastAsia="仿宋_GB2312"/>
                <w:b w:val="0"/>
                <w:bCs w:val="0"/>
                <w:color w:val="000000" w:themeColor="text1"/>
                <w:spacing w:val="-4"/>
                <w:szCs w:val="21"/>
                <w:lang w:val="en-US" w:eastAsia="zh-CN"/>
                <w14:textFill>
                  <w14:solidFill>
                    <w14:schemeClr w14:val="tx1"/>
                  </w14:solidFill>
                </w14:textFill>
              </w:rPr>
              <w:t>》第二十条“城市管理综合执法部门合理设置共享单车停放区域，经营单位应当规范停放秩序。违法停放的，由城市管理综合执法部门责令经营单位限期改正。”</w:t>
            </w:r>
          </w:p>
          <w:p w14:paraId="4F9CD1D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15" w:name="_Toc1202997356"/>
            <w:bookmarkStart w:id="16" w:name="_Toc1314790604"/>
            <w:r>
              <w:rPr>
                <w:rFonts w:hint="eastAsia" w:ascii="仿宋_GB2312" w:eastAsia="仿宋_GB2312"/>
                <w:b w:val="0"/>
                <w:bCs w:val="0"/>
                <w:color w:val="000000" w:themeColor="text1"/>
                <w:spacing w:val="-4"/>
                <w:szCs w:val="21"/>
                <w:lang w:val="en-US" w:eastAsia="zh-CN"/>
                <w14:textFill>
                  <w14:solidFill>
                    <w14:schemeClr w14:val="tx1"/>
                  </w14:solidFill>
                </w14:textFill>
              </w:rPr>
              <w:t>汕尾市城市管理条例</w:t>
            </w:r>
            <w:bookmarkEnd w:id="15"/>
            <w:bookmarkEnd w:id="16"/>
            <w:r>
              <w:rPr>
                <w:rFonts w:hint="eastAsia" w:ascii="仿宋_GB2312" w:eastAsia="仿宋_GB2312"/>
                <w:b w:val="0"/>
                <w:bCs w:val="0"/>
                <w:color w:val="000000" w:themeColor="text1"/>
                <w:spacing w:val="-4"/>
                <w:szCs w:val="21"/>
                <w:lang w:val="en-US" w:eastAsia="zh-CN"/>
                <w14:textFill>
                  <w14:solidFill>
                    <w14:schemeClr w14:val="tx1"/>
                  </w14:solidFill>
                </w14:textFill>
              </w:rPr>
              <w:t>》第二十五条“市、县级人民政府应当建立与城市空间承载能力、停放设施资源、公共出行需求等相匹配的共享单车投放调控机制，规范共享单车经营，强化部门监管责任，促进共享单车健康有序发展。交通运输部门负责共享单车发展政策制定和统筹协调，城市管理行政主管部门负责辖区内共享单车停放秩序的监督管理。共享单车运营企业应当有效履行企业主体责任，合理调度车辆，维护车辆停放秩序，及时回收故障、破损车辆，确保车辆方便、安全和有序使用。”</w:t>
            </w:r>
          </w:p>
        </w:tc>
      </w:tr>
      <w:tr w14:paraId="5A3DF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5" w:hRule="atLeast"/>
        </w:trPr>
        <w:tc>
          <w:tcPr>
            <w:tcW w:w="7172" w:type="dxa"/>
            <w:shd w:val="clear" w:color="auto" w:fill="auto"/>
            <w:vAlign w:val="center"/>
          </w:tcPr>
          <w:p w14:paraId="439AE1A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第三十七条 大型车辆、工程机械应当停放在施工工地或者经许可的专用停车场等区域，不得在城市主次干道、公共空地以及道路两侧停放。</w:t>
            </w:r>
          </w:p>
        </w:tc>
        <w:tc>
          <w:tcPr>
            <w:tcW w:w="6795" w:type="dxa"/>
            <w:shd w:val="clear" w:color="auto" w:fill="auto"/>
            <w:vAlign w:val="center"/>
          </w:tcPr>
          <w:p w14:paraId="0B612EC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 《中华人民共和国道路交通安全法》第五十六条“机动车应当在规定地点停放。禁止在人行道上停放机动车；但是，依照本法第三十三条规定施划的停车泊位除外。在道路上临时停车的，不得妨碍其他车辆和行人通行。”</w:t>
            </w:r>
          </w:p>
          <w:p w14:paraId="750E851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依据《城市道路管理条例》第二十七条“城市道路范围内禁止下列行为“（一）擅自占用或者挖掘城市道路；”</w:t>
            </w:r>
          </w:p>
          <w:p w14:paraId="03322CC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道路交通安全条例》第五十二条“机动车在道路上临时停放时，应当遵守下列规定“（一）在设有禁停标志、标线的路段，在机动车道与非机动车道、人行道之间设有隔离设施的路段以及人行横道、施工地段，不得停车；（二）交叉路口、铁路道口、急弯路、宽度不足4米的窄路、桥梁、陡坡、隧道以及距离上述地点50米以内的路段，不得停车；（三）公共汽车站、急救站、加油站、消防栓或者消防队（站）门前以及距离上述地点30米以内的路段，除使用上述设施的以外，不得停车。”</w:t>
            </w:r>
          </w:p>
        </w:tc>
      </w:tr>
      <w:tr w14:paraId="267BC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1" w:hRule="atLeast"/>
        </w:trPr>
        <w:tc>
          <w:tcPr>
            <w:tcW w:w="7172" w:type="dxa"/>
            <w:shd w:val="clear" w:color="auto" w:fill="auto"/>
            <w:vAlign w:val="center"/>
          </w:tcPr>
          <w:p w14:paraId="0A7D1FB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第三十八条 市、县（区）人民政府统筹本辖区低空飞行基础设施的规划、建设和管理，并做好与其他基础设施规划的协调与衔接。</w:t>
            </w:r>
          </w:p>
        </w:tc>
        <w:tc>
          <w:tcPr>
            <w:tcW w:w="6795" w:type="dxa"/>
            <w:shd w:val="clear" w:color="auto" w:fill="auto"/>
            <w:vAlign w:val="center"/>
          </w:tcPr>
          <w:p w14:paraId="5FB9E1C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民用航空法》第三条“国务院民用航空主管部门对全国民用航空活动实施统一监督管理；根据法律和国务院的决定，在本部门的权限内，发布有关民用航空活动的规定、决定。国务院民用航空主管部门设立的地区民用航空管理机构依照国务院民用航空主管部门的授权，监督管理各该地区的民用航空活动。”</w:t>
            </w:r>
          </w:p>
          <w:p w14:paraId="564D536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民用航空法》第二十条“本法所称民用机场，是指专供民用航空器起飞、降落、滑行、停放以及进行其他活动使用的划定区域，包括附属的建筑物、装置和设施。本法所称民用机场不包括临时机场。”</w:t>
            </w:r>
          </w:p>
          <w:p w14:paraId="08179E9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参考国家低空空域管理改革相关政策文件核心原文“地方人民政府应当统筹本辖区低空飞行基础设施规划、建设和管理，完善低空飞行服务保障体系，促进通用航空产业健康发展。”</w:t>
            </w:r>
          </w:p>
        </w:tc>
      </w:tr>
      <w:tr w14:paraId="70551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30FD845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default" w:ascii="仿宋_GB2312" w:eastAsia="仿宋_GB2312"/>
                <w:b w:val="0"/>
                <w:bCs w:val="0"/>
                <w:color w:val="000000" w:themeColor="text1"/>
                <w:spacing w:val="-4"/>
                <w:szCs w:val="21"/>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第</w:t>
            </w:r>
            <w:r>
              <w:rPr>
                <w:rFonts w:hint="eastAsia" w:ascii="黑体" w:hAnsi="黑体" w:eastAsia="黑体" w:cs="仿宋_GB2312"/>
                <w:b w:val="0"/>
                <w:bCs w:val="0"/>
                <w:color w:val="000000" w:themeColor="text1"/>
                <w:sz w:val="24"/>
                <w:szCs w:val="24"/>
                <w:lang w:eastAsia="zh-CN"/>
                <w14:textFill>
                  <w14:solidFill>
                    <w14:schemeClr w14:val="tx1"/>
                  </w14:solidFill>
                </w14:textFill>
              </w:rPr>
              <w:t>三</w:t>
            </w:r>
            <w:r>
              <w:rPr>
                <w:rFonts w:hint="eastAsia" w:ascii="黑体" w:hAnsi="黑体" w:eastAsia="黑体" w:cs="仿宋_GB2312"/>
                <w:b w:val="0"/>
                <w:bCs w:val="0"/>
                <w:color w:val="000000" w:themeColor="text1"/>
                <w:sz w:val="24"/>
                <w:szCs w:val="24"/>
                <w14:textFill>
                  <w14:solidFill>
                    <w14:schemeClr w14:val="tx1"/>
                  </w14:solidFill>
                </w14:textFill>
              </w:rPr>
              <w:t>章</w:t>
            </w:r>
            <w:r>
              <w:rPr>
                <w:rFonts w:hint="eastAsia" w:ascii="黑体" w:hAnsi="黑体" w:eastAsia="黑体" w:cs="仿宋_GB2312"/>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仿宋_GB2312"/>
                <w:b w:val="0"/>
                <w:bCs w:val="0"/>
                <w:color w:val="000000" w:themeColor="text1"/>
                <w:sz w:val="24"/>
                <w:szCs w:val="24"/>
                <w:lang w:eastAsia="zh-CN"/>
                <w14:textFill>
                  <w14:solidFill>
                    <w14:schemeClr w14:val="tx1"/>
                  </w14:solidFill>
                </w14:textFill>
              </w:rPr>
              <w:t>城市管理行政执法</w:t>
            </w:r>
          </w:p>
        </w:tc>
      </w:tr>
      <w:tr w14:paraId="4E640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C63186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第三十九条  市、县（区）人民政府应当加强城市管理综合执法队伍建设，根据城市人口数量、管辖区域面积、管理执法任务等因素，合理配置执法人员。</w:t>
            </w:r>
          </w:p>
          <w:p w14:paraId="75EC855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城市管理行政主管部门应当按照相关标准配备执法执勤用车以及调查取证、通讯等装备设备，并规范管理。</w:t>
            </w:r>
          </w:p>
          <w:p w14:paraId="068A33B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城市管理行政主管部门可以配置城市管理执法协管人员，配合执法人员从事执法辅助事务。协管人员从事执法辅助事务产生的法律后果，由本级城市管理行政主管部门承担。</w:t>
            </w:r>
          </w:p>
        </w:tc>
        <w:tc>
          <w:tcPr>
            <w:tcW w:w="6795" w:type="dxa"/>
            <w:shd w:val="clear" w:color="auto" w:fill="auto"/>
            <w:vAlign w:val="center"/>
          </w:tcPr>
          <w:p w14:paraId="4372C1F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参考《城市管理执法办法》第十三条“城市管理执法主管部门按照权责清晰、事权统一、精简效能的原则设置执法队伍。”</w:t>
            </w:r>
          </w:p>
          <w:p w14:paraId="6C28AB2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第十六条“城市管理执法主管部门应当依据国家相关标准，提出确定城市管理执法人员数量的合理意见，并按程序报同级编制主管部门审批。”</w:t>
            </w:r>
          </w:p>
          <w:p w14:paraId="1B5A068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参考《中共中央 国务院关于深入推进城市执法体制改革改进城市管理工作的指导意见》“（九）优化执法力量。各地应当根据执法工作特点合理设置岗位，科学确定城市管理执法人员配备比例标准，统筹解决好执法人员身份编制问题，在核定的行政编制数额内，具备条件的应当使用行政编制。执法力量要向基层倾斜，适度提高一线人员的比例，通过调整结构优化执法力量，确保一线执法工作需要。区域面积大、流动人口多、管理执法任务重的地区，可以适度调高执法人员配备比例。”</w:t>
            </w:r>
          </w:p>
          <w:p w14:paraId="5FCEC27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参考《城市管理执法办法》第二十条“城市管理执法主管部门应当按照规定配置执法执勤用车以及调查取证设施、通讯设施等装备配备，并规范管理。””</w:t>
            </w:r>
          </w:p>
          <w:p w14:paraId="386B40F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十八条“城市管理执法主管部门可以配置城市管理执法协管人员，配合执法人员从事执法辅助事务。协管人员从事执法辅助事务产生的法律后果，由本级城市管理执法主管部门承担。城市管理执法主管部门应当严格协管人员的招录程序、资格条件，规范执法辅助行为，建立退出机制。”</w:t>
            </w:r>
          </w:p>
        </w:tc>
      </w:tr>
      <w:tr w14:paraId="225C3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35FD33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第四十条  城市管理行政主管部门的执法范围依照法律法规和国务院、省人民政府关于在城市管理领域开展相对集中行政处罚权的规定确定，赋权事项清单由同级人民政府按照有关规定确定和公布。</w:t>
            </w:r>
          </w:p>
          <w:p w14:paraId="6DAA5C4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市、县（区）人民政府可以根据城市管理的需要，对城市管理行政主管部门的执法范围进行调整，但应当依照法定程序报请省人民政府批准后实施。</w:t>
            </w:r>
          </w:p>
          <w:p w14:paraId="57CFA64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镇人民政府（街道办事处）依法在赋权范围内承接城市管理领域的执法、审批等事项，赋权事项清单由同级人民政府按照国家和省有关规定确定和公布。</w:t>
            </w:r>
          </w:p>
        </w:tc>
        <w:tc>
          <w:tcPr>
            <w:tcW w:w="6795" w:type="dxa"/>
            <w:shd w:val="clear" w:color="auto" w:fill="auto"/>
            <w:vAlign w:val="center"/>
          </w:tcPr>
          <w:p w14:paraId="4F15E96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14:paraId="2E5F113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九条“需要集中行使的城市管理执法事项，应当同时具备下列条件“（一）与城市管理密切相关；（二）与群众生产生活密切相关、多头执法扰民问题突出；（三）执法频率高、专业技术要求适宜；（四）确实需要集中行使的。””</w:t>
            </w:r>
          </w:p>
          <w:p w14:paraId="2526E0B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第十条“城市管理执法主管部门依法相对集中行使行政处罚权的，可以实施法律法规规定的与行政处罚权相关的行政强制措施。”</w:t>
            </w:r>
          </w:p>
          <w:p w14:paraId="0BEF672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第十一条“城市管理执法事项范围确定后，应当向社会公开。”</w:t>
            </w:r>
          </w:p>
          <w:p w14:paraId="35D3E25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十八条“国家在城市管理、市场监管、生态环境、文化市场、交通运输、应急管理、农业等领域推行建立综合行政执法制度，相对集中行政处罚权。国务院或者省、自治区、直辖市人民政府可以决定一个行政机关行使有关行政机关的行政处罚权。”</w:t>
            </w:r>
          </w:p>
          <w:p w14:paraId="573EDE5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依据《行政许可法》第二十五条“经国务院批准，省、自治区、直辖市人民政府根据精简、统一、效能的原则，可以决定一个行政机关行使有关行政机关的行政许可权。”</w:t>
            </w:r>
          </w:p>
          <w:p w14:paraId="6486F1D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二十四条第一款“省、自治区、直辖市根据当地实际情况，可以决定将基层管理迫切需要的县级人民政府部门的行政处罚权交由能够有效承接的乡镇人民政府、街道办事处行使，并定期组织评估。决定应当公布。”</w:t>
            </w:r>
          </w:p>
        </w:tc>
      </w:tr>
      <w:tr w14:paraId="0CC7D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2DA939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第四十一条  市、县（区）城市管理行政主管部门和有关部门应当对镇人民政府（街道办事处）在赋权事项清单内行使城市管理执法工作进行业务指导。</w:t>
            </w:r>
          </w:p>
        </w:tc>
        <w:tc>
          <w:tcPr>
            <w:tcW w:w="6795" w:type="dxa"/>
            <w:shd w:val="clear" w:color="auto" w:fill="auto"/>
            <w:vAlign w:val="center"/>
          </w:tcPr>
          <w:p w14:paraId="3F4C4D7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依据《行政处罚法》第二十四条第三款“有关地方人民政府及其部门应当加强组织协调、业务指导、执法监督，建立健全行政处罚协调配合机制，完善评议、考核制度。”</w:t>
            </w:r>
          </w:p>
          <w:p w14:paraId="1EB8022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执法监督条例》第二条“县级以上人民政府依法对本级人民政府所属部门、派出机关和下级人民政府以及法律法规授权的具有管理公共事务职能的组织的行政执法工作开展的行政系统内部监督，适用本条例。”</w:t>
            </w:r>
          </w:p>
          <w:p w14:paraId="1B1C912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第四十二条第三款“设区的市级以上人民政府部门在本级人民政府行政执法监督机构的指导下，依照有关法律规定对下级人民政府相应部门的行政执法工作进行督促指导。”</w:t>
            </w:r>
          </w:p>
        </w:tc>
      </w:tr>
      <w:tr w14:paraId="0C009D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5D930E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第四十二条  城市管理行政主管部门与城市管理相关部门应当建立健全执法联动机制，互相通报行政许可、行政强制和行政处罚等有关行政管理信息。</w:t>
            </w:r>
          </w:p>
          <w:p w14:paraId="1655BD1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调查取证需要有关部门认定违法行为，就专业、技术等问题作出解释或者提供意见的，应当出具协助通知书。有关部门应当自收到协助通知书之日起五个工作日内出具书面决定或者意见；情况复杂需要延期的，最长不超过十个工作日。因法定事由不能提供协助的，应当以书面形式告知城市管理行政主管部门并说明理由。</w:t>
            </w:r>
          </w:p>
          <w:p w14:paraId="0ECEC9A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城市管理行政主管部门和城市管理其他有关部门在执法过程中发现违法行为不属于本单位管辖的，应当在五个工作日内移送有权查处的部门。涉及违法行为的材料和查封、扣押的财物等应当一并移送。</w:t>
            </w:r>
          </w:p>
          <w:p w14:paraId="53DC8FC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p>
        </w:tc>
        <w:tc>
          <w:tcPr>
            <w:tcW w:w="6795" w:type="dxa"/>
            <w:shd w:val="clear" w:color="auto" w:fill="auto"/>
            <w:vAlign w:val="center"/>
          </w:tcPr>
          <w:p w14:paraId="44D41F6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依据《政务数据共享条例》第三条第二款“本条例所称政务数据共享，是指政府部门因依法履行职责需要，使用其他政府部门的政务数据或者为其他政府部门提供政务数据的行为。”</w:t>
            </w:r>
          </w:p>
          <w:p w14:paraId="5D8F242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第十条“政府部门应当落实政务数据共享主体责任，建立健全本部门政务数据共享工作制度，组织研究解决政务数据共享工作中的重大问题。””</w:t>
            </w:r>
          </w:p>
          <w:p w14:paraId="56FCFBF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参考《城市管理执法办法》第三十五条“城市管理执法主管部门应当与有关部门建立行政执法信息互通共享机制，及时通报行政执法信息和相关行政管理信息。”</w:t>
            </w:r>
          </w:p>
          <w:p w14:paraId="7A8762C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国务院办公厅关于全面推行行政执法公示制度执法全过程记录制度重大执法决定法制审核制度的指导意见》“（十六）推进信息共享。完善全国行政执法数据汇集和信息共享机制，制定全国统一规范的执法数据标准，明确执法信息共享的种类、范围、流程和使用方式，促进执法数据高效采集、有效整合。充分利用全国一体化在线政务服务平台，在确保信息安全的前提下，加快推进跨地区、跨部门执法信息系统互联互通，已建设并使用的有关执法信息系统要加强业务协同，打通信息壁垒，实现数据共享互通，解决“信息孤岛”等问题。认真梳理涉及各类行政执法的基础数据，建立以行政执法主体信息、权责清单信息、办案信息、监督信息和统计分析信息等为主要内容的全国行政执法信息资源库，逐步形成集数据储存、共享功能于一体的行政执法数据中心。”</w:t>
            </w:r>
          </w:p>
          <w:p w14:paraId="04ABB40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依据《行政处罚法》第二十六条“行政机关因实施行政处罚的需要，可以向有关机关提出协助请求。协助事项属于被请求机关职权范围内的，应当依法予以协助。”</w:t>
            </w:r>
          </w:p>
          <w:p w14:paraId="789C7A0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参考《住房和城乡建设行政处罚程序规定》第六条“执法机关发现案件不属于本机关管辖的，应当将案件移送有管辖权的行政机关。”</w:t>
            </w:r>
          </w:p>
          <w:p w14:paraId="585700B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参考《城市管理执法办法》第三十七条“城市管理执法主管部门在执法活动中发现依法应当由其他部门查处的违法行为，应当及时告知或者移送有关部门。”</w:t>
            </w:r>
          </w:p>
        </w:tc>
      </w:tr>
      <w:tr w14:paraId="4271C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062E98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第四十三条  城市管理行政主管部门开展执法活动，可以依法采取以下措施“</w:t>
            </w:r>
          </w:p>
          <w:p w14:paraId="21052C7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（一）进入被检查单位或者现场进行调查或者依照法律、法规的规定进行检查。</w:t>
            </w:r>
          </w:p>
          <w:p w14:paraId="19AB37F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（二）以勘验、拍照、录音、摄像等方式进行现场取证；</w:t>
            </w:r>
          </w:p>
          <w:p w14:paraId="2D53169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（三）在现场设置警示标志；</w:t>
            </w:r>
          </w:p>
          <w:p w14:paraId="626BB9D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（四）询问案件当事人、证人等；</w:t>
            </w:r>
          </w:p>
          <w:p w14:paraId="5F7357A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（五）查阅、调取、复制有关文件资料等；</w:t>
            </w:r>
          </w:p>
          <w:p w14:paraId="7CAA0EA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（六）查封、扣押与违法行为有关的场所、设施、财物；</w:t>
            </w:r>
          </w:p>
          <w:p w14:paraId="1C94A5E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（七）法律法规规定的其他措施。</w:t>
            </w:r>
          </w:p>
        </w:tc>
        <w:tc>
          <w:tcPr>
            <w:tcW w:w="6795" w:type="dxa"/>
            <w:shd w:val="clear" w:color="auto" w:fill="auto"/>
            <w:vAlign w:val="center"/>
          </w:tcPr>
          <w:p w14:paraId="3356179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依据《行政处罚法》第五十五条第二款“当事人或者有关人员应当如实回答询问，并协助调查或者检查，不得拒绝或者阻挠。询问或者检查应当制作笔录。”</w:t>
            </w:r>
          </w:p>
          <w:p w14:paraId="538E79E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依据《行政强制法》第十七条第二款“依据《中华人民共和国行政处罚法》的规定行使相对集中行政处罚权的行政机关，可以实施法律、法规规定的与行政处罚权有关的行政强制措施。”</w:t>
            </w:r>
          </w:p>
          <w:p w14:paraId="6F6A3B2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参考《城市管理执法办法》第二十七条“城市管理执法人员开展执法活动，可以依法采取以下措施：</w:t>
            </w:r>
          </w:p>
          <w:p w14:paraId="766E913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（一）以勘验、拍照、录音、摄像等方式进行现场取证；</w:t>
            </w:r>
          </w:p>
          <w:p w14:paraId="7E91052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（二）在现场设置警示标志；</w:t>
            </w:r>
          </w:p>
          <w:p w14:paraId="06B5887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（三）询问案件当事人、证人等；</w:t>
            </w:r>
          </w:p>
          <w:p w14:paraId="7C4A756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（四）查阅、调取、复制有关文件资料等；</w:t>
            </w:r>
          </w:p>
          <w:p w14:paraId="7C8B906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（五）法律、法规规定的其他措施。”</w:t>
            </w:r>
          </w:p>
        </w:tc>
      </w:tr>
      <w:tr w14:paraId="446C3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EE3DF7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第四十四条  城市管理行政主管部门及有关行政主管部门查处违法行为时，对先行登记保存或者查封、扣押的财物应当妥善保管，不得使用、截留、损毁或者擅自处置。</w:t>
            </w:r>
          </w:p>
          <w:p w14:paraId="72DBA05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解除先行登记保存或者查封、扣押后，应当通知当事人在规定期限内认领财物；当事人逾期不认领或者难以查明的，应当发布认领公告，自公告发布之日起三十日内无人认领的，可以依法采取拍卖、变卖等方式处置，所得款项上缴国库。</w:t>
            </w:r>
          </w:p>
        </w:tc>
        <w:tc>
          <w:tcPr>
            <w:tcW w:w="6795" w:type="dxa"/>
            <w:shd w:val="clear" w:color="auto" w:fill="auto"/>
            <w:vAlign w:val="center"/>
          </w:tcPr>
          <w:p w14:paraId="76EB7B5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680686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参考《城市管理执法办法》第二十九条“城市管理执法主管部门对查封、扣押的物品，应当妥善保管，不得使用、截留、损毁或者擅自处置。查封、扣押的物品属非法物品的，移送有关部门处理。”</w:t>
            </w:r>
          </w:p>
        </w:tc>
      </w:tr>
      <w:tr w14:paraId="3CFE0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648869D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第四十五条  城市管理相关部门应当将部门职责范围、管理规范、执法依据、执法程序、处罚标准、运行流程以及城市管理动态信息及时向社会公开，方便群众办事和查询，接受社会监督。</w:t>
            </w:r>
          </w:p>
        </w:tc>
        <w:tc>
          <w:tcPr>
            <w:tcW w:w="6795" w:type="dxa"/>
            <w:shd w:val="clear" w:color="auto" w:fill="auto"/>
            <w:vAlign w:val="center"/>
          </w:tcPr>
          <w:p w14:paraId="4720B09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依据《行政处罚法》第三十九条“行政处罚的实施机关、立案依据、实施程序和救济渠道等信息应当公示。”</w:t>
            </w:r>
          </w:p>
          <w:p w14:paraId="4981E86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参考《住房和城乡建设行政处罚程序规定》第八条“执法机关应当将本机关负责实施的行政处罚事项、立案依据、实施程序和救济渠道等信息予以公示。”</w:t>
            </w:r>
          </w:p>
          <w:p w14:paraId="4F8C030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参考《中共中央 国务院关于深入推进城市执法体制改革改进城市管理工作的指导意见》“（十三）制定权责清单。各地要按照转变政府职能、规范行政权力运行的要求，全面清理调整现有城市管理和综合执法职责，优化权力运行流程。依法建立城市管理和综合执法部门的权力和责任清单，向社会公开职能职责、执法依据、处罚标准、运行流程、监督途径和问责机制。制定责任清单与权力清单工作要统筹推进，并实行动态管理和调整。”</w:t>
            </w:r>
          </w:p>
          <w:p w14:paraId="60AF411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照《国务院办公厅关于全面推行行政执法公示制度执法全过程记录制度重大执法决定法制审核制度的指导意见》“（四）强化事前公开。行政执法机关要统筹推进行政执法事前公开与政府信息公开、权责清单公布、“双随机、一公开”监管等工作。全面准确及时主动公开行政执法主体、人员、职责、权限、依据、程序、救济渠道和随机抽查事项清单等信息。根据有关法律法规，结合自身职权职责，编制并公开本机关的服务指南、执法流程图，明确执法事项名称、受理机构、审批机构、受理条件、办理时限等内容。公开的信息要简明扼要、通俗易懂，并及时根据法律法规及机构职能变化情况进行动态调整。”</w:t>
            </w:r>
          </w:p>
        </w:tc>
      </w:tr>
      <w:tr w14:paraId="787DC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3967" w:type="dxa"/>
            <w:gridSpan w:val="2"/>
            <w:shd w:val="clear" w:color="auto" w:fill="auto"/>
            <w:vAlign w:val="center"/>
          </w:tcPr>
          <w:p w14:paraId="6C17006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14:textFill>
                  <w14:solidFill>
                    <w14:schemeClr w14:val="tx1"/>
                  </w14:solidFill>
                </w14:textFill>
              </w:rPr>
              <w:t>第</w:t>
            </w:r>
            <w:r>
              <w:rPr>
                <w:rFonts w:hint="eastAsia" w:ascii="黑体" w:hAnsi="黑体" w:eastAsia="黑体" w:cs="仿宋_GB2312"/>
                <w:b w:val="0"/>
                <w:bCs w:val="0"/>
                <w:color w:val="000000" w:themeColor="text1"/>
                <w:sz w:val="24"/>
                <w:szCs w:val="24"/>
                <w:lang w:eastAsia="zh-CN"/>
                <w14:textFill>
                  <w14:solidFill>
                    <w14:schemeClr w14:val="tx1"/>
                  </w14:solidFill>
                </w14:textFill>
              </w:rPr>
              <w:t>四</w:t>
            </w:r>
            <w:r>
              <w:rPr>
                <w:rFonts w:hint="eastAsia" w:ascii="黑体" w:hAnsi="黑体" w:eastAsia="黑体" w:cs="仿宋_GB2312"/>
                <w:b w:val="0"/>
                <w:bCs w:val="0"/>
                <w:color w:val="000000" w:themeColor="text1"/>
                <w:sz w:val="24"/>
                <w:szCs w:val="24"/>
                <w14:textFill>
                  <w14:solidFill>
                    <w14:schemeClr w14:val="tx1"/>
                  </w14:solidFill>
                </w14:textFill>
              </w:rPr>
              <w:t>章</w:t>
            </w:r>
            <w:r>
              <w:rPr>
                <w:rFonts w:hint="eastAsia" w:ascii="黑体" w:hAnsi="黑体" w:eastAsia="黑体" w:cs="仿宋_GB2312"/>
                <w:b w:val="0"/>
                <w:bCs w:val="0"/>
                <w:color w:val="000000" w:themeColor="text1"/>
                <w:sz w:val="24"/>
                <w:szCs w:val="24"/>
                <w:lang w:val="en-US" w:eastAsia="zh-CN"/>
                <w14:textFill>
                  <w14:solidFill>
                    <w14:schemeClr w14:val="tx1"/>
                  </w14:solidFill>
                </w14:textFill>
              </w:rPr>
              <w:t xml:space="preserve">  </w:t>
            </w:r>
            <w:r>
              <w:rPr>
                <w:rFonts w:hint="eastAsia" w:ascii="黑体" w:hAnsi="黑体" w:eastAsia="黑体" w:cs="仿宋_GB2312"/>
                <w:b w:val="0"/>
                <w:bCs w:val="0"/>
                <w:color w:val="000000" w:themeColor="text1"/>
                <w:sz w:val="24"/>
                <w:szCs w:val="24"/>
                <w:lang w:eastAsia="zh-CN"/>
                <w14:textFill>
                  <w14:solidFill>
                    <w14:schemeClr w14:val="tx1"/>
                  </w14:solidFill>
                </w14:textFill>
              </w:rPr>
              <w:t>法律责任</w:t>
            </w:r>
          </w:p>
        </w:tc>
      </w:tr>
      <w:tr w14:paraId="58DDF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07CAA5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第四十六条  城市管理行政主管部门、城市管理相关部门有下列情形之一的，由市、县（区）人民政府责令改正，并视情节轻重，追究直接负责的主管人员和其他直接责任人员的责任“</w:t>
            </w:r>
          </w:p>
          <w:p w14:paraId="0B704B9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（一）应当移送有权处理部门或者执法机关处理而不及时移送的；</w:t>
            </w:r>
          </w:p>
          <w:p w14:paraId="30D214B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（二）继续行使已经交由城市管理行政主管部门集中行使的行政处罚权的；</w:t>
            </w:r>
          </w:p>
          <w:p w14:paraId="4DCB0BD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（三）拒绝提供或者不按照规定提供资料或者专业意见的；</w:t>
            </w:r>
          </w:p>
          <w:p w14:paraId="5C7088D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（四）不履行或者不正确履行法律法规规定职责的。</w:t>
            </w:r>
          </w:p>
        </w:tc>
        <w:tc>
          <w:tcPr>
            <w:tcW w:w="6795" w:type="dxa"/>
            <w:shd w:val="clear" w:color="auto" w:fill="auto"/>
            <w:vAlign w:val="center"/>
          </w:tcPr>
          <w:p w14:paraId="38DE6B5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处罚法》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58463A3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行政执法监督条例》第二十九条“对涉及重大问题或者行政执法机关未按照行政执法监督督办函要求履职、未按照行政执法监督意见书要求纠正的，由行政执法监督机构提出处理建议，报本级人民政府决定；本级人民政府决定纠正的，制发行政执法监督决定书予以纠正。”</w:t>
            </w:r>
          </w:p>
        </w:tc>
      </w:tr>
      <w:tr w14:paraId="44B17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FD338C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第四十七条 违反本条例第十一条第二款规定的，由城市管理行政主管部门责令停止违法行为，限期拆除、回填，恢复原状；逾期未拆除、回填、恢复原状的，由城市管理行政主管部门按照程序组织强制拆除、回填恢复原状，并处一万元以上五万元以下的罚款。</w:t>
            </w:r>
          </w:p>
          <w:p w14:paraId="6B1FE01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违反本条例第十一条第四款规定的，供水、供电、供气等企业对违法建（构）筑物提供服务的，由供水、供电、供气等相关行政主管部门责令停止服务；拒不停止服务的，可以处一万元以上三万元以下的罚款。</w:t>
            </w:r>
          </w:p>
        </w:tc>
        <w:tc>
          <w:tcPr>
            <w:tcW w:w="6795" w:type="dxa"/>
            <w:shd w:val="clear" w:color="auto" w:fill="auto"/>
            <w:vAlign w:val="center"/>
          </w:tcPr>
          <w:p w14:paraId="08C5255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p w14:paraId="22404A8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 有前款所列行为，造成损失的，依法承担赔偿责任。”</w:t>
            </w:r>
          </w:p>
          <w:p w14:paraId="62093D5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荆门市城市管理条例》第六十六条“违反本条例第二十五条规定，进行违法建设活动的，由城市管理部门或者乡、民族乡、镇人民政府，按照《中华人民共和国城乡规划法》第六十四条、第六十五条、第六十八条的规定进行处罚。”</w:t>
            </w:r>
          </w:p>
          <w:p w14:paraId="5092DE6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兰州市城乡规划条例》第七十一条“执法机关责令违法建设当事人限期拆除或者回填，违法建设当事人逾期不拆除或者回填的，执法机关应当依法催告当事人履行义务。经催告，当事人逾期仍不履行的，执法机关依法实施强制拆除、回填等措施。”</w:t>
            </w:r>
          </w:p>
          <w:p w14:paraId="7EF8670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《海东市城市管理条例》第五十七条“违反本条例第十八条第一款规定的，由城市管理主管部门责令限期改正；逾期未改正的，个人处以二百元以上二千元以下罚款，单位处以二千元以上二万元以下罚款。 违反第二款规定，未取得建设工程规划许可证或者未按照建设工程规划许可证的规定进行建设的，由城乡规划主管部门依照有关规定处罚。”</w:t>
            </w:r>
          </w:p>
          <w:p w14:paraId="6BFAFA0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p>
        </w:tc>
      </w:tr>
      <w:tr w14:paraId="151BA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051DEC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第四十八条 违反本条例第十三条第一款规定的，由城市管理行政主管部门责令限期改正；逾期未改正的，处五百元以上三千元以下罚款。</w:t>
            </w:r>
          </w:p>
          <w:p w14:paraId="6F55A4D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违反本条例第十三条第二款规定的，由城市管理行政主管部门责令限期改正，恢复原貌，并按照改变的外立面面积处每平方米三百元以上三千元以下的罚款。</w:t>
            </w:r>
          </w:p>
        </w:tc>
        <w:tc>
          <w:tcPr>
            <w:tcW w:w="6795" w:type="dxa"/>
            <w:shd w:val="clear" w:color="auto" w:fill="auto"/>
            <w:vAlign w:val="center"/>
          </w:tcPr>
          <w:p w14:paraId="792692A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14:paraId="5DB7B93C">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eastAsia="zh-CN"/>
                <w14:textFill>
                  <w14:solidFill>
                    <w14:schemeClr w14:val="tx1"/>
                  </w14:solidFill>
                </w14:textFill>
              </w:rPr>
            </w:pPr>
            <w:r>
              <w:rPr>
                <w:rFonts w:hint="eastAsia" w:ascii="仿宋_GB2312" w:eastAsia="仿宋_GB2312"/>
                <w:b w:val="0"/>
                <w:bCs w:val="0"/>
                <w:color w:val="000000" w:themeColor="text1"/>
                <w:spacing w:val="-4"/>
                <w:szCs w:val="21"/>
                <w:lang w:eastAsia="zh-CN"/>
                <w14:textFill>
                  <w14:solidFill>
                    <w14:schemeClr w14:val="tx1"/>
                  </w14:solidFill>
                </w14:textFill>
              </w:rPr>
              <w:t>参考《甘肃省城市市容和环境卫生管理办法》第三十二条：违反本办法规定，有下列行为之一的，由城市市容环境卫生行政主管部门责令限期改正；逾期不改正的，可以处以罚款：（一）擅自改变建筑物外立面、搭建构筑物、堆放物料、吊挂物品，影响市容的；第三十三条：擅自开挖、占用城市道路、公共场地，影响市容和公共安全的，责令限期改正、恢复原状，可以并处罚款。</w:t>
            </w:r>
          </w:p>
          <w:p w14:paraId="550C2C61">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eastAsia="zh-CN"/>
                <w14:textFill>
                  <w14:solidFill>
                    <w14:schemeClr w14:val="tx1"/>
                  </w14:solidFill>
                </w14:textFill>
              </w:rPr>
            </w:pPr>
            <w:r>
              <w:rPr>
                <w:rFonts w:hint="eastAsia" w:ascii="仿宋_GB2312" w:eastAsia="仿宋_GB2312"/>
                <w:b w:val="0"/>
                <w:bCs w:val="0"/>
                <w:color w:val="000000" w:themeColor="text1"/>
                <w:spacing w:val="-4"/>
                <w:szCs w:val="21"/>
                <w:lang w:eastAsia="zh-CN"/>
                <w14:textFill>
                  <w14:solidFill>
                    <w14:schemeClr w14:val="tx1"/>
                  </w14:solidFill>
                </w14:textFill>
              </w:rPr>
              <w:t>参考《白银市城市管理综合执法条例》第四十五条：违反本条例规定，擅自改变建筑物外立面、搭建构筑物、违规开挖的，责令限期改正、恢复原状；逾期不改正的，依法强制拆除、恢复原状，并处罚款。第四十六条：对违规设置、搭建、开挖的，按照面积处以罚款；逾期不履行的，经县级以上人民政府批准，依法组织强制拆除。</w:t>
            </w:r>
          </w:p>
          <w:p w14:paraId="5CE1818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eastAsia="zh-CN"/>
                <w14:textFill>
                  <w14:solidFill>
                    <w14:schemeClr w14:val="tx1"/>
                  </w14:solidFill>
                </w14:textFill>
              </w:rPr>
              <w:t>参考《青岛市城市管理综合行政执法条例》第四十八条：擅自改变建筑外立面、违法搭建、违规开挖的，责令限期改正、恢复原状，按面积处以罚款；逾期不履行的，依法强制拆除。第四十九条：强制拆除应当经县级以上人民政府批准，按照法定程序实施。</w:t>
            </w:r>
          </w:p>
        </w:tc>
      </w:tr>
      <w:tr w14:paraId="2384F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796D5A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第四十九条 违反本条例第十四条规定的，由城市管理行政主管部门责令限期改正；逾期未改正的，处五十元以上二百元以下罚款。</w:t>
            </w:r>
          </w:p>
        </w:tc>
        <w:tc>
          <w:tcPr>
            <w:tcW w:w="6795" w:type="dxa"/>
            <w:shd w:val="clear" w:color="auto" w:fill="auto"/>
            <w:vAlign w:val="center"/>
          </w:tcPr>
          <w:p w14:paraId="5110134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四条“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p>
        </w:tc>
      </w:tr>
      <w:tr w14:paraId="7CA9A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CFD3A1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第五十条 违反本条例第十五条规定的，由城市管理行政主管部门责令限期改正；逾期未改正的，处五百元以上三千元以下罚款。</w:t>
            </w:r>
          </w:p>
        </w:tc>
        <w:tc>
          <w:tcPr>
            <w:tcW w:w="6795" w:type="dxa"/>
            <w:shd w:val="clear" w:color="auto" w:fill="auto"/>
            <w:vAlign w:val="center"/>
          </w:tcPr>
          <w:p w14:paraId="660DFB4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道路管理条例》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w:t>
            </w:r>
          </w:p>
        </w:tc>
      </w:tr>
      <w:tr w14:paraId="54C15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646B55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第五十一条 违反本条例第十六条第一款规定的，由城市管理行政主管部门责令限期改正；逾期不改正的，处五百元以上三千元以下的罚款。</w:t>
            </w:r>
          </w:p>
          <w:p w14:paraId="40706E9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违反本条例第十六条第二款规定的，由城市管理行政主管部门责令改正，并处五十元以上二百元以下罚款。</w:t>
            </w:r>
          </w:p>
        </w:tc>
        <w:tc>
          <w:tcPr>
            <w:tcW w:w="6795" w:type="dxa"/>
            <w:shd w:val="clear" w:color="auto" w:fill="auto"/>
            <w:vAlign w:val="center"/>
          </w:tcPr>
          <w:p w14:paraId="23BF7CA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四条“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p>
          <w:p w14:paraId="4B20880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参考《甘肃省城市市容和环境卫生管理办法》第三十四条“违反本办法第十一条第一款规定的，责令改正；拒不改正的，可处以50元以上200元以下罚款。”</w:t>
            </w:r>
          </w:p>
          <w:p w14:paraId="0BA1949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参考《甘肃省城市市容和环境卫生管理办法》第三十五条“违反本办法第十一条第二款规定的，责令改正；拒不改正的，可处以500元以上3000元以下罚款。”</w:t>
            </w:r>
          </w:p>
        </w:tc>
      </w:tr>
      <w:tr w14:paraId="31D64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482754F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第五十二条 违</w:t>
            </w:r>
            <w:r>
              <w:rPr>
                <w:rFonts w:hint="eastAsia" w:ascii="仿宋_GB2312" w:eastAsia="仿宋_GB2312"/>
                <w:b w:val="0"/>
                <w:bCs w:val="0"/>
                <w:color w:val="000000" w:themeColor="text1"/>
                <w:spacing w:val="-4"/>
                <w:szCs w:val="21"/>
                <w:lang w:val="en-US" w:eastAsia="zh-CN"/>
                <w14:textFill>
                  <w14:solidFill>
                    <w14:schemeClr w14:val="tx1"/>
                  </w14:solidFill>
                </w14:textFill>
              </w:rPr>
              <w:t>反本条例第十七条第一款规定的，由城市管理行政主管部门责令改正；拒不改正的，处一千元以上五千元以下罚款。</w:t>
            </w:r>
          </w:p>
          <w:p w14:paraId="0B05C60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十七条第二款规定的，由城市管理行政主管部门责令有关单位和个人限期改造、拆除；逾期未改造或者拆除的，经县级人民政府批准由城市管理行政主管部门组织强制拆除，处一千元以上五千元以下的罚款，强制拆除费用由当事人承担；未定期安全检测的，处一千元以上五千元以下的罚款。</w:t>
            </w:r>
          </w:p>
        </w:tc>
        <w:tc>
          <w:tcPr>
            <w:tcW w:w="6795" w:type="dxa"/>
            <w:shd w:val="clear" w:color="auto" w:fill="auto"/>
            <w:vAlign w:val="center"/>
          </w:tcPr>
          <w:p w14:paraId="0C970A7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p w14:paraId="246A6C4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参考《甘肃省城市市容和环境卫生管理办法》第三十三条“违反本办法第九条、第十条、第十五条第二款规定的，责令改正；拒不改正的，可处以1000元以上5000元以下罚款。”</w:t>
            </w:r>
          </w:p>
          <w:p w14:paraId="20B5C26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孝感市城市综合管理条例》第五十八条“有下列行为之一的，由城市管理主管部门按照下列规定处理：（一）违反本条例第二十三条第三款规定，未经批准设置大型户外广告的，责令限期拆除；逾期未拆除的，依法强制拆除，并处一千元以上五千元以下罚款。”</w:t>
            </w:r>
          </w:p>
          <w:p w14:paraId="07D1563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p>
        </w:tc>
      </w:tr>
      <w:tr w14:paraId="1A976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F35A56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第五十三条 违反本条例第十八条第一、三款规定的，由城市管理行政主管部门责令停止违法行为，限期清理、拆除或者采取其他补救措施；逾期未清理、拆除或者采取其他补救措施的，扣押有关宣传物品，并处二百元以上二千元以下的罚款。</w:t>
            </w:r>
          </w:p>
        </w:tc>
        <w:tc>
          <w:tcPr>
            <w:tcW w:w="6795" w:type="dxa"/>
            <w:shd w:val="clear" w:color="auto" w:fill="auto"/>
            <w:vAlign w:val="center"/>
          </w:tcPr>
          <w:p w14:paraId="230D6D6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四条“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tc>
      </w:tr>
      <w:tr w14:paraId="6958C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45E573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第五十四条 违反本条例第十九条规定占用城市道路的，由城市管理行政主管部门责令限期改正，可以对单位处二万元罚款；对个人处五百元罚款。</w:t>
            </w:r>
          </w:p>
          <w:p w14:paraId="0F68C26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违反本条例第十九条规定占用其他公共区域的，由城市管理行政主管部门责令限期改正，可以对单位处二千元以上一万元以下的罚款；对个人处二百元以下罚款。</w:t>
            </w:r>
          </w:p>
        </w:tc>
        <w:tc>
          <w:tcPr>
            <w:tcW w:w="6795" w:type="dxa"/>
            <w:shd w:val="clear" w:color="auto" w:fill="auto"/>
            <w:vAlign w:val="center"/>
          </w:tcPr>
          <w:p w14:paraId="4D7033F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 《城市道路管理条例》第四十二条“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六）未按照批准的位置、面积、期限占用或者挖掘城市道路，或者需要移动位置、扩大面积、延长时间，未提前办理变更审批手续的。”</w:t>
            </w:r>
          </w:p>
          <w:p w14:paraId="3C9755C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市容和环境卫生管理条例》第三十六条“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w:t>
            </w:r>
          </w:p>
          <w:p w14:paraId="3EA3E91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参考《张掖市城市道路交通管理条例》第五十五条 “违反本条例第十九条规定的，由城市管理综合执法部门责令限期改正，可以对单位处二万元罚款；对个人处五百元罚款。”</w:t>
            </w:r>
          </w:p>
        </w:tc>
      </w:tr>
      <w:tr w14:paraId="3A9AC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CB0BD7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第五十五条 违反本条例第二十条规定的，由城市管理行政主管部门责令改正；拒不改正的，处五百元以上二千元以下的罚款。</w:t>
            </w:r>
          </w:p>
        </w:tc>
        <w:tc>
          <w:tcPr>
            <w:tcW w:w="6795" w:type="dxa"/>
            <w:shd w:val="clear" w:color="auto" w:fill="auto"/>
            <w:vAlign w:val="center"/>
          </w:tcPr>
          <w:p w14:paraId="59F9B77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甘肃省食品小作坊小经营店小摊点监督管理条例》第四十条“违反本条例规定，食品小摊点超出划定的经营区域、经营时段从事经营活动的，由县级人民政府市场监督管理部门责令改正；拒不改正的，处五百元以上二千元以下罚款。”</w:t>
            </w:r>
          </w:p>
        </w:tc>
      </w:tr>
      <w:tr w14:paraId="68F59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D480E7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第五十六条 违反本条例第二十一条规定的，由城市管理行政主管部门处警告或者三十元以上五十元以下罚款；非机动车驾驶人拒绝接受罚款处罚的，依法扣留其非机动车。</w:t>
            </w:r>
          </w:p>
        </w:tc>
        <w:tc>
          <w:tcPr>
            <w:tcW w:w="6795" w:type="dxa"/>
            <w:shd w:val="clear" w:color="auto" w:fill="auto"/>
            <w:vAlign w:val="center"/>
          </w:tcPr>
          <w:p w14:paraId="4016E72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八十九条“行人、乘车人、非机动车驾驶人违反道路交通安全法律、法规关于道路通行规定的，处警告或者五元以上五十元以下罚款；非机动车驾驶人拒绝接受罚款处罚的，可以扣留其非机动车。”</w:t>
            </w:r>
          </w:p>
        </w:tc>
      </w:tr>
      <w:tr w14:paraId="48B53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5007A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第五十七条 违反本条例第二十二条规定的，由城市管理行政主管部门责令改正；拒不改正的，处二百元以上二千元以下罚款；造成损失的，应当承担赔偿责任。</w:t>
            </w:r>
            <w:bookmarkStart w:id="18" w:name="_GoBack"/>
            <w:bookmarkEnd w:id="18"/>
          </w:p>
        </w:tc>
        <w:tc>
          <w:tcPr>
            <w:tcW w:w="6795" w:type="dxa"/>
            <w:shd w:val="clear" w:color="auto" w:fill="auto"/>
            <w:vAlign w:val="center"/>
          </w:tcPr>
          <w:p w14:paraId="143677F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依据《城市市容和环境卫生管理条例》第三十四条“有下列行为之一者，城市人民政府市容环境卫生行政主管部门或者其委托的单位除责令其纠正违法行为、采取补救措施外，可以并处警告、罚款“（五）不履行卫生责任区清扫保洁义务或者不按规定清运、处理垃圾和粪便的；”</w:t>
            </w:r>
          </w:p>
        </w:tc>
      </w:tr>
      <w:tr w14:paraId="269DC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8D610E5">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第五十八条 违反本条例第二十三条规定的，由城市管理行政主管部门责令改正；拒不改正的，处一千元以上五千元以下罚款。</w:t>
            </w:r>
          </w:p>
        </w:tc>
        <w:tc>
          <w:tcPr>
            <w:tcW w:w="6795" w:type="dxa"/>
            <w:shd w:val="clear" w:color="auto" w:fill="auto"/>
            <w:vAlign w:val="center"/>
          </w:tcPr>
          <w:p w14:paraId="5EFD386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11"/>
                <w:sz w:val="21"/>
                <w:szCs w:val="21"/>
                <w:lang w:val="en-US" w:eastAsia="zh-CN"/>
                <w14:textFill>
                  <w14:solidFill>
                    <w14:schemeClr w14:val="tx1"/>
                  </w14:solidFill>
                </w14:textFill>
              </w:rPr>
              <w:t>依据《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r>
      <w:tr w14:paraId="1BD5C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3300E1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第五十九条 违反本条例第二十四条规定，责任区的责任人未履行清扫保洁责任的，由城市市容和环境卫生主管部门予以警告、责令限期改正；逾期不改正的，对单位处五千元以上三万元以下罚款，对个人处五百元以下罚款。</w:t>
            </w:r>
          </w:p>
        </w:tc>
        <w:tc>
          <w:tcPr>
            <w:tcW w:w="6795" w:type="dxa"/>
            <w:shd w:val="clear" w:color="auto" w:fill="auto"/>
            <w:vAlign w:val="center"/>
          </w:tcPr>
          <w:p w14:paraId="3BC3DB7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 《城市市容和环境卫生管理条例》第三十四条“有下列行为之一者，城市人民政府市容环境卫生行政主管部门或者其委托的单位除责令其纠正违法行为、采取补救措施外，可以并处警告、罚款“（五）不履行卫生责任区清扫保洁义务或者不按规定清运、处理垃圾和粪便的；”</w:t>
            </w:r>
          </w:p>
        </w:tc>
      </w:tr>
      <w:tr w14:paraId="2B2F0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33E4B17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第六十条 违反本条例第二十六条第二、三款规定的，由城市管理行政主管部门责令改正；拒不改正的，对单位处一千元以上五千元以下的罚款，对个人处五十元以上二百元以下罚款。</w:t>
            </w:r>
          </w:p>
        </w:tc>
        <w:tc>
          <w:tcPr>
            <w:tcW w:w="6795" w:type="dxa"/>
            <w:shd w:val="clear" w:color="auto" w:fill="auto"/>
            <w:vAlign w:val="center"/>
          </w:tcPr>
          <w:p w14:paraId="317A505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固体废物污染环境防治法》第一百一十一条“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p>
          <w:p w14:paraId="2CB3AFB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三条“ 违反本办法第九条、第十条、第十五条、第二十二条、第二十四条、第二十九条第二、三、四款规定的，责令改正；拒不改正的，可处以1000元以上5000元以下罚款。”</w:t>
            </w:r>
          </w:p>
        </w:tc>
      </w:tr>
      <w:tr w14:paraId="1D315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1A10251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第六十一条 违反本条例第二十七条第二款规定的，由城市管理行政主管部门责令改正，给予警告；拒不改正的，处五千元以上三万元以下罚款。</w:t>
            </w:r>
          </w:p>
          <w:p w14:paraId="260B4010">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p>
        </w:tc>
        <w:tc>
          <w:tcPr>
            <w:tcW w:w="6795" w:type="dxa"/>
            <w:shd w:val="clear" w:color="auto" w:fill="auto"/>
            <w:vAlign w:val="center"/>
          </w:tcPr>
          <w:p w14:paraId="06FC70F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建筑垃圾管理规定》第二十二条“施工单位将建筑垃圾交给个人或者未经核准从事建筑垃圾运输的单位处置的，由城市人民政府市容环境卫生主管部门责令限期改正，给予警告，处1万元以上10万元以下罚款。”</w:t>
            </w:r>
          </w:p>
          <w:p w14:paraId="71F5F53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六条“违反本办法第十二条、第十七条、第十八条、第十九条第二款、第二十条、第二十一条、第二十七条、第二十八条第一款规定的，责令改正；拒不改正的，可处以5000元以上3万元以下罚款。”</w:t>
            </w:r>
          </w:p>
        </w:tc>
      </w:tr>
      <w:tr w14:paraId="5D2C9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723603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第六十二条 违反本条例第二十八条第二款规定的，由城市管理行政主管部门责令停止违法行为，限期恢复原状或者采取其他补救措施；逾期不恢复原状、不采取补救措施的，对单位处十万元以上三十万元以下罚款，对个人处二万元以上十万元以下罚款；造成损失的，依法承担赔偿责任。</w:t>
            </w:r>
          </w:p>
        </w:tc>
        <w:tc>
          <w:tcPr>
            <w:tcW w:w="6795" w:type="dxa"/>
            <w:shd w:val="clear" w:color="auto" w:fill="auto"/>
            <w:vAlign w:val="center"/>
          </w:tcPr>
          <w:p w14:paraId="050ADC28">
            <w:pPr>
              <w:pStyle w:val="5"/>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依据《城镇污水与排水处理条例》第五十六条</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十</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万元以上</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三十</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万元以下罚款，对个人处</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二</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万元以上</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十</w:t>
            </w:r>
            <w:r>
              <w:rPr>
                <w:rFonts w:hint="eastAsia" w:ascii="仿宋_GB2312" w:hAnsi="黑体" w:eastAsia="仿宋_GB2312" w:cs="仿宋_GB2312"/>
                <w:b w:val="0"/>
                <w:bCs w:val="0"/>
                <w:color w:val="000000" w:themeColor="text1"/>
                <w:kern w:val="2"/>
                <w:sz w:val="21"/>
                <w:szCs w:val="21"/>
                <w:lang w:val="en-US" w:eastAsia="zh-CN" w:bidi="ar-SA"/>
                <w14:textFill>
                  <w14:solidFill>
                    <w14:schemeClr w14:val="tx1"/>
                  </w14:solidFill>
                </w14:textFill>
              </w:rPr>
              <w:t>万元以下罚款；造成损失的，依法承担赔偿责任；构成犯罪的，依法追究刑事责任。</w:t>
            </w:r>
            <w:r>
              <w:rPr>
                <w:rFonts w:hint="eastAsia" w:ascii="仿宋_GB2312" w:hAnsi="黑体" w:cs="仿宋_GB2312"/>
                <w:b w:val="0"/>
                <w:bCs w:val="0"/>
                <w:color w:val="000000" w:themeColor="text1"/>
                <w:kern w:val="2"/>
                <w:sz w:val="21"/>
                <w:szCs w:val="21"/>
                <w:lang w:val="en-US" w:eastAsia="zh-CN" w:bidi="ar-SA"/>
                <w14:textFill>
                  <w14:solidFill>
                    <w14:schemeClr w14:val="tx1"/>
                  </w14:solidFill>
                </w14:textFill>
              </w:rPr>
              <w:t>”</w:t>
            </w:r>
          </w:p>
          <w:p w14:paraId="5B192C29">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咸宁市城市管理条例》第五十条“违反本条例第二十六条第三款规定，供水、供电、供气、通信、有线电视等管线接入雨水、污水管网的，由城市管理执法部门责令停止违法行为，限期恢复原状或者采取其他补救措施，处警告；逾期不恢复原状、采取补救措施，或者造成严重后果的，处十万元以上三十万元以下罚款；造成损失的，依法承担赔偿责任。”</w:t>
            </w:r>
          </w:p>
        </w:tc>
      </w:tr>
      <w:tr w14:paraId="13D4B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F1857E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highlight w:val="none"/>
                <w:lang w:val="en-US" w:eastAsia="zh-CN"/>
                <w14:textFill>
                  <w14:solidFill>
                    <w14:schemeClr w14:val="tx1"/>
                  </w14:solidFill>
                </w14:textFill>
              </w:rPr>
              <w:t>第六十三条 违</w:t>
            </w:r>
            <w:r>
              <w:rPr>
                <w:rFonts w:hint="eastAsia" w:ascii="仿宋_GB2312" w:eastAsia="仿宋_GB2312"/>
                <w:b w:val="0"/>
                <w:bCs w:val="0"/>
                <w:color w:val="000000" w:themeColor="text1"/>
                <w:spacing w:val="-4"/>
                <w:szCs w:val="21"/>
                <w:lang w:val="en-US" w:eastAsia="zh-CN"/>
                <w14:textFill>
                  <w14:solidFill>
                    <w14:schemeClr w14:val="tx1"/>
                  </w14:solidFill>
                </w14:textFill>
              </w:rPr>
              <w:t>反本条例第三十条第一款第（一）（二）（三）（四）（五）（八）项规定的，由城市绿化行政主管部门责令停止侵害，限期改正，并对单位处警告或者一千元以上五千元以下的罚款，个人处警告或者五十元以上五百元以下的罚款；造成损失的，应当承担赔偿责任。</w:t>
            </w:r>
          </w:p>
          <w:p w14:paraId="62162B3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违反本条例第三十条第一款第（六）（七）项规定的，由城市绿化行政主管部门责令改正，可以并处一万元以上三万元以下的罚款。</w:t>
            </w:r>
          </w:p>
          <w:p w14:paraId="188717FC">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违反本条例第三十条第二款规定的，由城市绿化行政主管部门责令改正，处三千元以上三万元以下的罚款；造成损失的，应当承担赔偿责任。</w:t>
            </w:r>
          </w:p>
        </w:tc>
        <w:tc>
          <w:tcPr>
            <w:tcW w:w="6795" w:type="dxa"/>
            <w:shd w:val="clear" w:color="auto" w:fill="auto"/>
            <w:vAlign w:val="center"/>
          </w:tcPr>
          <w:p w14:paraId="4742DFA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依据：《城市绿化条例》第二十条“任何单位和个人都不得损坏城市树木花草和绿化设施。  砍伐城市树木，必须经城市人民政府城市绿化行政主管部门批准，并按照国家有关规定补植树木或者采取其他补救措施。”</w:t>
            </w:r>
          </w:p>
          <w:p w14:paraId="49D0E7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14:paraId="1397F5C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《城市绿化条例》第二十七条 “未经同意擅自占用城市绿化用地的，由城市人民政府城市绿化行政主管部门责令限期退还、恢复原状，可以并处罚款；造成损失的，应当负赔偿责任。”</w:t>
            </w:r>
          </w:p>
          <w:p w14:paraId="5638243E">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参考《张掖市城市绿化管理条例》第二十六条</w:t>
            </w:r>
          </w:p>
        </w:tc>
      </w:tr>
      <w:tr w14:paraId="70336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31764BA">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第六十四条 违反本条例第三十一条规定的，由城市管理行政主管部门责令改正；拒不改正的，处二百元以上一千元以下罚款。</w:t>
            </w:r>
          </w:p>
        </w:tc>
        <w:tc>
          <w:tcPr>
            <w:tcW w:w="6795" w:type="dxa"/>
            <w:shd w:val="clear" w:color="auto" w:fill="auto"/>
            <w:vAlign w:val="center"/>
          </w:tcPr>
          <w:p w14:paraId="149D2289">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依据《中华人民共和国道路交通安全法》第九十三条“对违反道路交通安全法律、法规关于机动车停放、临时停车规定的，可以指出违法行为，并予以口头警告，令其立即驶离。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 因采取不正确的方法拖车造成机动车损坏的，应当依法承担补偿责任。”</w:t>
            </w:r>
          </w:p>
          <w:p w14:paraId="3615AA44">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张掖市城市绿化管理条例》第三十二条“违反本条例第二十二条规定，擅自占用城市绿化用地的，由城市绿化行政主管部门责令限期退还、恢复原状，可以按照占用面积处以每平方米五百元以上二千元以下的罚款；造成损失的，应当承担赔偿责任。”</w:t>
            </w:r>
          </w:p>
          <w:p w14:paraId="0364775E">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参考《张掖市城市道路交通管理条例》第五十一条 “违反本条例第十二条第一款规定，未经批准擅自占用、挖掘城市道路的，由城市管理综合执法部门责令限期改正，恢复原状，可以并处二万元罚款；影响道路通行的，由公安机关交通管理部门处二千元罚款。”</w:t>
            </w:r>
          </w:p>
        </w:tc>
      </w:tr>
      <w:tr w14:paraId="1319F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1F47E0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第六十五条 违反本条例第三十三条第二款规定的，由公安部门责令改正，拒不改正的，处五十元以上二百元以下罚款。</w:t>
            </w:r>
          </w:p>
        </w:tc>
        <w:tc>
          <w:tcPr>
            <w:tcW w:w="6795" w:type="dxa"/>
            <w:shd w:val="clear" w:color="auto" w:fill="auto"/>
            <w:vAlign w:val="center"/>
          </w:tcPr>
          <w:p w14:paraId="26123A5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甘肃省文明行为促进条例》第四十八条“违反本条例第二十条规定，携带犬只外出进入禁犬区域，未按规定使用束犬链，未及时清理犬只粪便的，由相应行政主管部门责令改正，拒不改正的，处五十元以上二百元以下罚款。不听劝阻，携带宠物强行进入宾馆、饭店等公共场所，处一百元以上五百元以下罚款。”</w:t>
            </w:r>
          </w:p>
        </w:tc>
      </w:tr>
      <w:tr w14:paraId="281FD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519B993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第六十六条 违反本条例第三十四条规定的，由城市管理行政主管部门、公安部门按照职责责令限期处理；逾期未处理的，予以没收，并按每只禽二十元、每头畜五十元的标准处以罚款。</w:t>
            </w:r>
          </w:p>
        </w:tc>
        <w:tc>
          <w:tcPr>
            <w:tcW w:w="6795" w:type="dxa"/>
            <w:shd w:val="clear" w:color="auto" w:fill="auto"/>
            <w:vAlign w:val="center"/>
          </w:tcPr>
          <w:p w14:paraId="38857817">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依据《城市市容和环境卫生管理条例》第三十五条“饲养家畜家禽影响市容和环境卫生的，由城市人民政府市容环境卫生行政主管部门或者其委托的单位，责令其限期处理或者予以没收，并可处以罚款。”</w:t>
            </w:r>
          </w:p>
          <w:p w14:paraId="13F17443">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依据《中华人民共和国治安管理处罚法》第八十九条第一款“饲养动物，干扰他人正常生活的，处警告；警告后不改正的，或者放任动物恐吓他人的，处一千元以下罚款。”</w:t>
            </w:r>
          </w:p>
          <w:p w14:paraId="20DA6557">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hAnsi="黑体" w:eastAsia="仿宋_GB2312" w:cs="仿宋_GB2312"/>
                <w:b w:val="0"/>
                <w:bCs w:val="0"/>
                <w:color w:val="000000" w:themeColor="text1"/>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参考《兰州市城市市容和环境卫生管理办法》第三十八条“违反本办法第二十三条第一款规定的，由市容环境卫生行政主管部门责令其限期处理或者予以没收，并可处以每只（头）三十元以上二百元以下罚款。”</w:t>
            </w:r>
          </w:p>
          <w:p w14:paraId="3993DACC">
            <w:pPr>
              <w:keepNext w:val="0"/>
              <w:keepLines w:val="0"/>
              <w:pageBreakBefore w:val="0"/>
              <w:kinsoku/>
              <w:wordWrap/>
              <w:overflowPunct/>
              <w:topLinePunct w:val="0"/>
              <w:autoSpaceDE/>
              <w:autoSpaceDN/>
              <w:bidi w:val="0"/>
              <w:adjustRightInd w:val="0"/>
              <w:snapToGrid w:val="0"/>
              <w:spacing w:line="320" w:lineRule="exact"/>
              <w:ind w:right="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hAnsi="黑体" w:eastAsia="仿宋_GB2312" w:cs="仿宋_GB2312"/>
                <w:b w:val="0"/>
                <w:bCs w:val="0"/>
                <w:color w:val="000000" w:themeColor="text1"/>
                <w:szCs w:val="21"/>
                <w:lang w:val="en-US" w:eastAsia="zh-CN"/>
                <w14:textFill>
                  <w14:solidFill>
                    <w14:schemeClr w14:val="tx1"/>
                  </w14:solidFill>
                </w14:textFill>
              </w:rPr>
              <w:t>参考《咸宁市城市管理条例》第四十九条“有下列行为之一的，由城市管理执法部门或者有行政处罚权的街道办事处、乡镇人民政府按照下列规定处理：（四）违反本条例第三十七条第一款规定，在城市建成区饲养鸡、鸭、鹅、兔、羊、猪、食用鸽等家畜家禽的，责令限期处理；逾期不处理的，没收家畜家禽；”</w:t>
            </w:r>
          </w:p>
        </w:tc>
      </w:tr>
      <w:tr w14:paraId="2F397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12DCE7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第六十七条 违反本条例第三十六条第二款，由城市管理行政主管部门责令限期改正；逾期不改正的，由城市管理行政主管部门将共享单车拖离现场,并对经营单位处二万元罚款。</w:t>
            </w:r>
          </w:p>
        </w:tc>
        <w:tc>
          <w:tcPr>
            <w:tcW w:w="6795" w:type="dxa"/>
            <w:shd w:val="clear" w:color="auto" w:fill="auto"/>
            <w:vAlign w:val="center"/>
          </w:tcPr>
          <w:p w14:paraId="55C8223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参考《张掖市城市道路交通管理条例》第五十六条“违反本条例第二十条规定，经营单位拒不改正的，由城市管理综合执法部门将共享单车拖离现场，并可以对经营单位处二万元罚款。”</w:t>
            </w:r>
          </w:p>
        </w:tc>
      </w:tr>
      <w:tr w14:paraId="55CF8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77FACC7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第六十八条 违反本条例第三十七条规定的，由公安交通管理部门责令改正，可以对单位处二万元罚款；对个人处五百元罚款。</w:t>
            </w:r>
          </w:p>
        </w:tc>
        <w:tc>
          <w:tcPr>
            <w:tcW w:w="6795" w:type="dxa"/>
            <w:shd w:val="clear" w:color="auto" w:fill="auto"/>
            <w:vAlign w:val="center"/>
          </w:tcPr>
          <w:p w14:paraId="3664FD1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依据《中华人民共和国道路交通安全法》第五十六条“机动车应当在规定地点停放。禁止在人行道上停放机动车；但是，依照本法第三十三条规定施划的停车泊位除外。 在道路上临时停车的，不得妨碍其他车辆和行人通行。”</w:t>
            </w:r>
          </w:p>
          <w:p w14:paraId="2D781B47">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依据《中华人民共和国道路交通安全法》第一百一十九条“（三）“机动车”，是指以动力装置驱动或者牵引，上道路行驶的供人员乘用或者用于运送物品以及进行工程专项作业的轮式车辆。”</w:t>
            </w:r>
          </w:p>
          <w:p w14:paraId="63B13BE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依据《中华人民共和国道路交通安全法》第九十三条 对违反道路交通安全法律、法规关于机动车停放、临时停车规定的，可以指出违法行为，并予以口头警告，令其立即驶离。</w:t>
            </w:r>
          </w:p>
          <w:p w14:paraId="6581169B">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p>
          <w:p w14:paraId="12EF0D31">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依据《中华人民共和国道路交通安全法》第一百零四条 未经批准，擅自挖掘道路、占用道路施工或者从事其他影响道路交通安全活动的，由道路主管部门责令停止违法行为，并恢复原状，可以依法给予罚款；致使通行的人员、车辆及其他财产遭受损失的，依法承担赔偿责任。 有前款行为，影响道路交通安全活动的，公安机关交通管理部门可以责令停止违法行为，迅速恢复交通。</w:t>
            </w:r>
          </w:p>
          <w:p w14:paraId="6AE7A17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十条“任何单位和个人不得在城市道路及其两侧、公共场所和设施用地范围内堆放物料、搭建建（构）筑物或者其他设施。确因建设等特殊需要，经批准临时堆放物料、搭建临时性建（构）筑物或者其他设施的，应当保持周围环境整洁，并在规定期限内清理和拆除。”</w:t>
            </w:r>
          </w:p>
          <w:p w14:paraId="6D25E06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参考《甘肃省城市市容和环境卫生管理办法》第三十三条“违反本办法第九条、第十条、第十五条第二款规定的，责令改正；拒不改正的，可处以1000元以上5000元以下罚款。</w:t>
            </w:r>
          </w:p>
          <w:p w14:paraId="2AC95B7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张掖市城市道路交通管理条例》第十九条“未经城市管理综合执法部门许可，任何单位和个人不得擅自占用城市道路摆摊设点、店外经营、商品推销、广告宣传、堆放杂物或从事生产、维修、加工等非交通活动。”</w:t>
            </w:r>
          </w:p>
          <w:p w14:paraId="3D4F7FA2">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《张掖市城市道路交通管理条例》第五十五条“违反本条例第十九条规定的，由城市管理综合执法部门责令限期改正，可以对单位处二万元罚款；对个人处五百元罚款。”</w:t>
            </w:r>
          </w:p>
        </w:tc>
      </w:tr>
      <w:tr w14:paraId="1CF669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172" w:type="dxa"/>
            <w:shd w:val="clear" w:color="auto" w:fill="auto"/>
            <w:vAlign w:val="center"/>
          </w:tcPr>
          <w:p w14:paraId="7E923EB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第六十九条 违反本条例规定的行为，本条例未作出处罚规定的，依照有关法律、法规处罚。</w:t>
            </w:r>
          </w:p>
        </w:tc>
        <w:tc>
          <w:tcPr>
            <w:tcW w:w="6795" w:type="dxa"/>
            <w:shd w:val="clear" w:color="auto" w:fill="auto"/>
            <w:vAlign w:val="center"/>
          </w:tcPr>
          <w:p w14:paraId="49BAE8BF">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立法技术规范</w:t>
            </w:r>
          </w:p>
        </w:tc>
      </w:tr>
      <w:tr w14:paraId="26C36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3967" w:type="dxa"/>
            <w:gridSpan w:val="2"/>
            <w:shd w:val="clear" w:color="auto" w:fill="auto"/>
            <w:vAlign w:val="center"/>
          </w:tcPr>
          <w:p w14:paraId="1E01C786">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center"/>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黑体" w:hAnsi="黑体" w:eastAsia="黑体" w:cs="仿宋_GB2312"/>
                <w:b w:val="0"/>
                <w:bCs w:val="0"/>
                <w:color w:val="000000" w:themeColor="text1"/>
                <w:sz w:val="24"/>
                <w:szCs w:val="24"/>
                <w:lang w:val="en-US" w:eastAsia="zh-CN"/>
                <w14:textFill>
                  <w14:solidFill>
                    <w14:schemeClr w14:val="tx1"/>
                  </w14:solidFill>
                </w14:textFill>
              </w:rPr>
              <w:t>第五章 附则</w:t>
            </w:r>
          </w:p>
        </w:tc>
      </w:tr>
      <w:tr w14:paraId="4FDF4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2B92BCD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eastAsia="仿宋_GB2312" w:hAnsiTheme="minorHAnsi" w:cstheme="minorBidi"/>
                <w:b w:val="0"/>
                <w:bCs w:val="0"/>
                <w:color w:val="000000" w:themeColor="text1"/>
                <w:spacing w:val="-4"/>
                <w:kern w:val="2"/>
                <w:sz w:val="21"/>
                <w:szCs w:val="21"/>
                <w:lang w:val="en-US" w:eastAsia="zh-CN" w:bidi="ar-SA"/>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第七十条 本市实行城市化管理区域内的城市管理活动，适用本条例。实行城市化管理区域的具体范围，由县（区）人民政府依法确定并报市人民政府备案后，向社会公开发布。</w:t>
            </w:r>
          </w:p>
        </w:tc>
        <w:tc>
          <w:tcPr>
            <w:tcW w:w="6795" w:type="dxa"/>
            <w:shd w:val="clear" w:color="auto" w:fill="auto"/>
            <w:vAlign w:val="center"/>
          </w:tcPr>
          <w:p w14:paraId="5F759AC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参考《兰州市城市市容和环境卫生管理办法》第二条“本办法适用于本市市区、县（区）人民政府所在地城区及其他实行城市化管理的区域。”</w:t>
            </w:r>
          </w:p>
          <w:p w14:paraId="722C300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w:t>
            </w:r>
            <w:bookmarkStart w:id="17" w:name="_Toc1104945821"/>
            <w:r>
              <w:rPr>
                <w:rFonts w:hint="eastAsia" w:ascii="仿宋_GB2312" w:eastAsia="仿宋_GB2312"/>
                <w:b w:val="0"/>
                <w:bCs w:val="0"/>
                <w:color w:val="000000" w:themeColor="text1"/>
                <w:spacing w:val="-4"/>
                <w:szCs w:val="21"/>
                <w:lang w:val="en-US" w:eastAsia="zh-CN"/>
                <w14:textFill>
                  <w14:solidFill>
                    <w14:schemeClr w14:val="tx1"/>
                  </w14:solidFill>
                </w14:textFill>
              </w:rPr>
              <w:t>海东市城市管理条例</w:t>
            </w:r>
            <w:bookmarkEnd w:id="17"/>
            <w:r>
              <w:rPr>
                <w:rFonts w:hint="eastAsia" w:ascii="仿宋_GB2312" w:eastAsia="仿宋_GB2312"/>
                <w:b w:val="0"/>
                <w:bCs w:val="0"/>
                <w:color w:val="000000" w:themeColor="text1"/>
                <w:spacing w:val="-4"/>
                <w:szCs w:val="21"/>
                <w:lang w:val="en-US" w:eastAsia="zh-CN"/>
                <w14:textFill>
                  <w14:solidFill>
                    <w14:schemeClr w14:val="tx1"/>
                  </w14:solidFill>
                </w14:textFill>
              </w:rPr>
              <w:t>》第二条“本市实行城市化管理区域内的城市管理活动，适用本条例。实行城市化管理区域的具体范围，由县（区）人民政府确定并向社会公布，报市人民政府备案。”</w:t>
            </w:r>
          </w:p>
        </w:tc>
      </w:tr>
      <w:tr w14:paraId="5CB0F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7172" w:type="dxa"/>
            <w:shd w:val="clear" w:color="auto" w:fill="auto"/>
            <w:vAlign w:val="center"/>
          </w:tcPr>
          <w:p w14:paraId="056AB2E3">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第七十一条 市、县（区）人民政府根据实际需要，可以根据本条例制定城市管理具体管理办法。</w:t>
            </w:r>
          </w:p>
        </w:tc>
        <w:tc>
          <w:tcPr>
            <w:tcW w:w="6795" w:type="dxa"/>
            <w:shd w:val="clear" w:color="auto" w:fill="auto"/>
            <w:vAlign w:val="center"/>
          </w:tcPr>
          <w:p w14:paraId="66276784">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参考《延边朝鲜族自治州城市管理条例》第四十四条“自治州人民政府可以根据本条例制定具体管理办法。”</w:t>
            </w:r>
          </w:p>
        </w:tc>
      </w:tr>
      <w:tr w14:paraId="371463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7172" w:type="dxa"/>
            <w:shd w:val="clear" w:color="auto" w:fill="auto"/>
            <w:vAlign w:val="center"/>
          </w:tcPr>
          <w:p w14:paraId="14F5BCED">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第七十二条 本条例自 年 月 日起施行。</w:t>
            </w:r>
          </w:p>
        </w:tc>
        <w:tc>
          <w:tcPr>
            <w:tcW w:w="6795" w:type="dxa"/>
            <w:shd w:val="clear" w:color="auto" w:fill="auto"/>
            <w:vAlign w:val="center"/>
          </w:tcPr>
          <w:p w14:paraId="7FDDE398">
            <w:pPr>
              <w:keepNext w:val="0"/>
              <w:keepLines w:val="0"/>
              <w:pageBreakBefore w:val="0"/>
              <w:kinsoku/>
              <w:wordWrap/>
              <w:overflowPunct/>
              <w:topLinePunct w:val="0"/>
              <w:autoSpaceDE/>
              <w:autoSpaceDN/>
              <w:bidi w:val="0"/>
              <w:adjustRightInd w:val="0"/>
              <w:snapToGrid w:val="0"/>
              <w:spacing w:line="320" w:lineRule="exact"/>
              <w:ind w:left="0" w:right="0" w:firstLine="0" w:firstLineChars="0"/>
              <w:jc w:val="left"/>
              <w:textAlignment w:val="auto"/>
              <w:rPr>
                <w:rFonts w:hint="eastAsia" w:ascii="仿宋_GB2312" w:eastAsia="仿宋_GB2312"/>
                <w:b w:val="0"/>
                <w:bCs w:val="0"/>
                <w:color w:val="000000" w:themeColor="text1"/>
                <w:spacing w:val="-4"/>
                <w:szCs w:val="21"/>
                <w:lang w:val="en-US" w:eastAsia="zh-CN"/>
                <w14:textFill>
                  <w14:solidFill>
                    <w14:schemeClr w14:val="tx1"/>
                  </w14:solidFill>
                </w14:textFill>
              </w:rPr>
            </w:pPr>
            <w:r>
              <w:rPr>
                <w:rFonts w:hint="eastAsia" w:ascii="仿宋_GB2312" w:eastAsia="仿宋_GB2312"/>
                <w:b w:val="0"/>
                <w:bCs w:val="0"/>
                <w:color w:val="000000" w:themeColor="text1"/>
                <w:spacing w:val="-4"/>
                <w:szCs w:val="21"/>
                <w:lang w:val="en-US" w:eastAsia="zh-CN"/>
                <w14:textFill>
                  <w14:solidFill>
                    <w14:schemeClr w14:val="tx1"/>
                  </w14:solidFill>
                </w14:textFill>
              </w:rPr>
              <w:t>立法技术规范</w:t>
            </w:r>
          </w:p>
        </w:tc>
      </w:tr>
    </w:tbl>
    <w:p w14:paraId="1AC8CFCE">
      <w:pPr>
        <w:spacing w:line="587" w:lineRule="exact"/>
        <w:rPr>
          <w:rFonts w:ascii="方正小标宋简体" w:eastAsia="方正小标宋简体"/>
          <w:color w:val="000000" w:themeColor="text1"/>
          <w:sz w:val="44"/>
          <w:szCs w:val="44"/>
          <w14:textFill>
            <w14:solidFill>
              <w14:schemeClr w14:val="tx1"/>
            </w14:solidFill>
          </w14:textFill>
        </w:rPr>
      </w:pPr>
    </w:p>
    <w:sectPr>
      <w:footerReference r:id="rId3" w:type="default"/>
      <w:pgSz w:w="16838" w:h="11906" w:orient="landscape"/>
      <w:pgMar w:top="1417" w:right="1418" w:bottom="113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0456"/>
      <w:docPartObj>
        <w:docPartGallery w:val="autotext"/>
      </w:docPartObj>
    </w:sdtPr>
    <w:sdtContent>
      <w:p w14:paraId="67E4E751">
        <w:pPr>
          <w:pStyle w:val="6"/>
          <w:jc w:val="cente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13 -</w:t>
        </w:r>
        <w:r>
          <w:rPr>
            <w:rFonts w:asciiTheme="minorEastAsia" w:hAnsiTheme="minorEastAsia"/>
            <w:sz w:val="24"/>
            <w:szCs w:val="24"/>
          </w:rPr>
          <w:fldChar w:fldCharType="end"/>
        </w:r>
      </w:p>
    </w:sdtContent>
  </w:sdt>
  <w:p w14:paraId="09306C3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ZWNjYjkwZjc4OGJjOWIzODM4MzI2ODQ5N2Q1NTUifQ=="/>
  </w:docVars>
  <w:rsids>
    <w:rsidRoot w:val="00F65813"/>
    <w:rsid w:val="00022A88"/>
    <w:rsid w:val="0003541A"/>
    <w:rsid w:val="000566F2"/>
    <w:rsid w:val="00056E46"/>
    <w:rsid w:val="000625D6"/>
    <w:rsid w:val="00066A65"/>
    <w:rsid w:val="000A0250"/>
    <w:rsid w:val="000A589E"/>
    <w:rsid w:val="000B7E5D"/>
    <w:rsid w:val="000C4CF0"/>
    <w:rsid w:val="000D7A08"/>
    <w:rsid w:val="000F2273"/>
    <w:rsid w:val="00107385"/>
    <w:rsid w:val="00114D6F"/>
    <w:rsid w:val="001175AE"/>
    <w:rsid w:val="00133F1A"/>
    <w:rsid w:val="001440AC"/>
    <w:rsid w:val="0015445B"/>
    <w:rsid w:val="00163581"/>
    <w:rsid w:val="001643E3"/>
    <w:rsid w:val="00165428"/>
    <w:rsid w:val="00172B14"/>
    <w:rsid w:val="00184713"/>
    <w:rsid w:val="001858E2"/>
    <w:rsid w:val="00185944"/>
    <w:rsid w:val="00195AB4"/>
    <w:rsid w:val="001C1C31"/>
    <w:rsid w:val="001C7103"/>
    <w:rsid w:val="0020106D"/>
    <w:rsid w:val="00207A0F"/>
    <w:rsid w:val="00240717"/>
    <w:rsid w:val="00246B84"/>
    <w:rsid w:val="002531C4"/>
    <w:rsid w:val="00270B0D"/>
    <w:rsid w:val="00295E34"/>
    <w:rsid w:val="002B5CD1"/>
    <w:rsid w:val="002C77D0"/>
    <w:rsid w:val="002D0991"/>
    <w:rsid w:val="002E5CC7"/>
    <w:rsid w:val="002F0178"/>
    <w:rsid w:val="002F1684"/>
    <w:rsid w:val="003022B2"/>
    <w:rsid w:val="00321678"/>
    <w:rsid w:val="00321B41"/>
    <w:rsid w:val="00331D15"/>
    <w:rsid w:val="00334635"/>
    <w:rsid w:val="00362437"/>
    <w:rsid w:val="0036434F"/>
    <w:rsid w:val="003A23EA"/>
    <w:rsid w:val="003E150B"/>
    <w:rsid w:val="003E44F8"/>
    <w:rsid w:val="00410EFD"/>
    <w:rsid w:val="00414EB1"/>
    <w:rsid w:val="0044302E"/>
    <w:rsid w:val="00446175"/>
    <w:rsid w:val="004537F2"/>
    <w:rsid w:val="00465F45"/>
    <w:rsid w:val="004755FA"/>
    <w:rsid w:val="004A6094"/>
    <w:rsid w:val="004B3E19"/>
    <w:rsid w:val="004B3F2E"/>
    <w:rsid w:val="004D368F"/>
    <w:rsid w:val="004D604E"/>
    <w:rsid w:val="004D6982"/>
    <w:rsid w:val="004F57B2"/>
    <w:rsid w:val="005319FA"/>
    <w:rsid w:val="00535C6B"/>
    <w:rsid w:val="00563C39"/>
    <w:rsid w:val="00572027"/>
    <w:rsid w:val="00574DAC"/>
    <w:rsid w:val="005874BA"/>
    <w:rsid w:val="0059597D"/>
    <w:rsid w:val="005973B5"/>
    <w:rsid w:val="00597EAF"/>
    <w:rsid w:val="005B3EA3"/>
    <w:rsid w:val="005C3FB0"/>
    <w:rsid w:val="005E05DB"/>
    <w:rsid w:val="005E0B91"/>
    <w:rsid w:val="00620662"/>
    <w:rsid w:val="00626997"/>
    <w:rsid w:val="006364DF"/>
    <w:rsid w:val="00637C73"/>
    <w:rsid w:val="0064008A"/>
    <w:rsid w:val="0066200A"/>
    <w:rsid w:val="006A5A12"/>
    <w:rsid w:val="006B64C7"/>
    <w:rsid w:val="006B7CEA"/>
    <w:rsid w:val="006C7FEA"/>
    <w:rsid w:val="006D7C13"/>
    <w:rsid w:val="006E6385"/>
    <w:rsid w:val="007036A3"/>
    <w:rsid w:val="00711A9A"/>
    <w:rsid w:val="007541A7"/>
    <w:rsid w:val="00756448"/>
    <w:rsid w:val="007729F2"/>
    <w:rsid w:val="00792DD2"/>
    <w:rsid w:val="007C3883"/>
    <w:rsid w:val="007C3B22"/>
    <w:rsid w:val="007C75AA"/>
    <w:rsid w:val="007D2130"/>
    <w:rsid w:val="007F29C1"/>
    <w:rsid w:val="008016B8"/>
    <w:rsid w:val="00815929"/>
    <w:rsid w:val="00873716"/>
    <w:rsid w:val="00875026"/>
    <w:rsid w:val="008817B2"/>
    <w:rsid w:val="00896EF0"/>
    <w:rsid w:val="008A7DA5"/>
    <w:rsid w:val="008D2D22"/>
    <w:rsid w:val="009155A2"/>
    <w:rsid w:val="00946147"/>
    <w:rsid w:val="009B407F"/>
    <w:rsid w:val="009D224B"/>
    <w:rsid w:val="00A62E6B"/>
    <w:rsid w:val="00A85C7E"/>
    <w:rsid w:val="00AA307A"/>
    <w:rsid w:val="00AA48F8"/>
    <w:rsid w:val="00AA65C3"/>
    <w:rsid w:val="00AD38FB"/>
    <w:rsid w:val="00AF06A5"/>
    <w:rsid w:val="00AF6670"/>
    <w:rsid w:val="00AF7505"/>
    <w:rsid w:val="00B07CC7"/>
    <w:rsid w:val="00B20576"/>
    <w:rsid w:val="00B311C8"/>
    <w:rsid w:val="00B41A84"/>
    <w:rsid w:val="00B632DD"/>
    <w:rsid w:val="00B77321"/>
    <w:rsid w:val="00B80446"/>
    <w:rsid w:val="00BA4D2C"/>
    <w:rsid w:val="00BD3F1B"/>
    <w:rsid w:val="00C13773"/>
    <w:rsid w:val="00C2090E"/>
    <w:rsid w:val="00C406F1"/>
    <w:rsid w:val="00C4308F"/>
    <w:rsid w:val="00C636FD"/>
    <w:rsid w:val="00C64B11"/>
    <w:rsid w:val="00C71AC3"/>
    <w:rsid w:val="00C94673"/>
    <w:rsid w:val="00CF7BC5"/>
    <w:rsid w:val="00D16ECC"/>
    <w:rsid w:val="00D21141"/>
    <w:rsid w:val="00D366BE"/>
    <w:rsid w:val="00D45812"/>
    <w:rsid w:val="00D87D1A"/>
    <w:rsid w:val="00D90A71"/>
    <w:rsid w:val="00D92352"/>
    <w:rsid w:val="00DB283C"/>
    <w:rsid w:val="00DE037C"/>
    <w:rsid w:val="00DE11F8"/>
    <w:rsid w:val="00DE362F"/>
    <w:rsid w:val="00DE418B"/>
    <w:rsid w:val="00DE6EE7"/>
    <w:rsid w:val="00DF7AC9"/>
    <w:rsid w:val="00E1188D"/>
    <w:rsid w:val="00E300E8"/>
    <w:rsid w:val="00E36480"/>
    <w:rsid w:val="00E73FA9"/>
    <w:rsid w:val="00E969D8"/>
    <w:rsid w:val="00EA5200"/>
    <w:rsid w:val="00EB7DEE"/>
    <w:rsid w:val="00EF23D3"/>
    <w:rsid w:val="00EF790A"/>
    <w:rsid w:val="00EF7BC7"/>
    <w:rsid w:val="00F02F90"/>
    <w:rsid w:val="00F14E5B"/>
    <w:rsid w:val="00F23E30"/>
    <w:rsid w:val="00F25316"/>
    <w:rsid w:val="00F56AE8"/>
    <w:rsid w:val="00F65813"/>
    <w:rsid w:val="00F93A7A"/>
    <w:rsid w:val="00FB1E06"/>
    <w:rsid w:val="00FC7240"/>
    <w:rsid w:val="10B96178"/>
    <w:rsid w:val="1FEFEC51"/>
    <w:rsid w:val="2EEFAC4D"/>
    <w:rsid w:val="479569BC"/>
    <w:rsid w:val="4BEFC9CB"/>
    <w:rsid w:val="5987ABDA"/>
    <w:rsid w:val="5DE7D54E"/>
    <w:rsid w:val="5FFF3862"/>
    <w:rsid w:val="6FBDA577"/>
    <w:rsid w:val="7420091C"/>
    <w:rsid w:val="75CC668B"/>
    <w:rsid w:val="78FEB2DD"/>
    <w:rsid w:val="79375B6F"/>
    <w:rsid w:val="7A6DC111"/>
    <w:rsid w:val="7FFF4305"/>
    <w:rsid w:val="99E770A6"/>
    <w:rsid w:val="9AF78710"/>
    <w:rsid w:val="A722E11B"/>
    <w:rsid w:val="ADDB4D56"/>
    <w:rsid w:val="CD774BDF"/>
    <w:rsid w:val="EF7FD86E"/>
    <w:rsid w:val="EFFF13D3"/>
    <w:rsid w:val="F3BFBCC8"/>
    <w:rsid w:val="FAFF4215"/>
    <w:rsid w:val="FAFFFC0C"/>
    <w:rsid w:val="FB5BA972"/>
    <w:rsid w:val="FBBC3B57"/>
    <w:rsid w:val="FCFD6BEF"/>
    <w:rsid w:val="FE794BF7"/>
    <w:rsid w:val="FE9F2082"/>
    <w:rsid w:val="FEDFD338"/>
    <w:rsid w:val="FEF72C51"/>
    <w:rsid w:val="FF5D2C13"/>
    <w:rsid w:val="FFEEEA40"/>
    <w:rsid w:val="FFEEED7E"/>
    <w:rsid w:val="FFFFA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uppressAutoHyphens/>
      <w:bidi w:val="0"/>
      <w:spacing w:beforeLines="0" w:beforeAutospacing="0" w:afterLines="0" w:afterAutospacing="0" w:line="576" w:lineRule="exact"/>
      <w:jc w:val="center"/>
      <w:outlineLvl w:val="0"/>
    </w:pPr>
    <w:rPr>
      <w:rFonts w:ascii="Times New Roman" w:hAnsi="Times New Roman" w:eastAsia="方正小标宋简体"/>
      <w:kern w:val="44"/>
      <w:sz w:val="44"/>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方正小标宋_GBK" w:hAnsi="方正小标宋_GBK" w:eastAsia="方正小标宋_GBK" w:cs="方正小标宋_GBK"/>
      <w:sz w:val="21"/>
      <w:szCs w:val="21"/>
      <w:lang w:val="en-US" w:eastAsia="en-US" w:bidi="ar-SA"/>
    </w:rPr>
  </w:style>
  <w:style w:type="paragraph" w:styleId="4">
    <w:name w:val="Body Text Indent"/>
    <w:basedOn w:val="1"/>
    <w:qFormat/>
    <w:uiPriority w:val="0"/>
    <w:pPr>
      <w:spacing w:line="520" w:lineRule="exact"/>
      <w:ind w:firstLine="648" w:firstLineChars="200"/>
    </w:pPr>
    <w:rPr>
      <w:rFonts w:ascii="仿宋_GB2312"/>
    </w:rPr>
  </w:style>
  <w:style w:type="paragraph" w:styleId="5">
    <w:name w:val="Plain Text"/>
    <w:basedOn w:val="1"/>
    <w:unhideWhenUsed/>
    <w:qFormat/>
    <w:uiPriority w:val="99"/>
    <w:pPr>
      <w:suppressAutoHyphens/>
      <w:bidi w:val="0"/>
    </w:pPr>
    <w:rPr>
      <w:rFonts w:ascii="宋体" w:hAnsi="Courier New" w:eastAsia="仿宋_GB2312" w:cs="Courier New"/>
      <w:sz w:val="32"/>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0"/>
    <w:pPr>
      <w:widowControl/>
      <w:jc w:val="left"/>
    </w:pPr>
    <w:rPr>
      <w:rFonts w:ascii="宋体" w:hAnsi="宋体" w:cs="宋体"/>
      <w:kern w:val="0"/>
      <w:sz w:val="24"/>
      <w:szCs w:val="24"/>
    </w:rPr>
  </w:style>
  <w:style w:type="paragraph" w:styleId="10">
    <w:name w:val="Body Text First Indent 2"/>
    <w:basedOn w:val="4"/>
    <w:qFormat/>
    <w:uiPriority w:val="0"/>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页眉 Char"/>
    <w:basedOn w:val="13"/>
    <w:link w:val="7"/>
    <w:semiHidden/>
    <w:qFormat/>
    <w:uiPriority w:val="99"/>
    <w:rPr>
      <w:sz w:val="18"/>
      <w:szCs w:val="18"/>
    </w:rPr>
  </w:style>
  <w:style w:type="character" w:customStyle="1" w:styleId="17">
    <w:name w:val="页脚 Char"/>
    <w:basedOn w:val="13"/>
    <w:link w:val="6"/>
    <w:qFormat/>
    <w:uiPriority w:val="99"/>
    <w:rPr>
      <w:sz w:val="18"/>
      <w:szCs w:val="18"/>
    </w:rPr>
  </w:style>
  <w:style w:type="character" w:customStyle="1" w:styleId="18">
    <w:name w:val="HTML 预设格式 Char"/>
    <w:basedOn w:val="13"/>
    <w:link w:val="8"/>
    <w:semiHidden/>
    <w:qFormat/>
    <w:uiPriority w:val="99"/>
    <w:rPr>
      <w:rFonts w:ascii="宋体" w:hAnsi="宋体" w:eastAsia="宋体" w:cs="宋体"/>
      <w:sz w:val="24"/>
      <w:szCs w:val="24"/>
    </w:rPr>
  </w:style>
  <w:style w:type="paragraph" w:customStyle="1" w:styleId="19">
    <w:name w:val="index 61"/>
    <w:basedOn w:val="1"/>
    <w:next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30781</Words>
  <Characters>30828</Characters>
  <Lines>124</Lines>
  <Paragraphs>35</Paragraphs>
  <TotalTime>6</TotalTime>
  <ScaleCrop>false</ScaleCrop>
  <LinksUpToDate>false</LinksUpToDate>
  <CharactersWithSpaces>30973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2024-01-19T10:34:00Z</dcterms:created>
  <dc:creator>xbany</dc:creator>
  <cp:lastModifiedBy>市司法局文档员</cp:lastModifiedBy>
  <cp:lastPrinted>2026-03-18T11:11:00Z</cp:lastPrinted>
  <dcterms:modified xsi:type="dcterms:W3CDTF">2026-03-19T02:48:57Z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7187B992828B2B29B6C0AF6952B53C2F_43</vt:lpwstr>
  </property>
  <property fmtid="{D5CDD505-2E9C-101B-9397-08002B2CF9AE}" pid="4" name="KSOTemplateDocerSaveRecord">
    <vt:lpwstr>eyJoZGlkIjoiNWRlODVkYzhmMWJjNWU2ZWZmZTZmZDcwYzRjZjljN2MifQ==</vt:lpwstr>
  </property>
</Properties>
</file>