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6590" w14:textId="77777777" w:rsidR="00F3534A" w:rsidRDefault="00F3534A" w:rsidP="00F3534A">
      <w:pPr>
        <w:adjustRightInd w:val="0"/>
        <w:snapToGrid w:val="0"/>
        <w:spacing w:line="60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14:paraId="7CE12584" w14:textId="77777777" w:rsidR="00F3534A" w:rsidRDefault="00F3534A" w:rsidP="00F3534A">
      <w:pPr>
        <w:adjustRightInd w:val="0"/>
        <w:snapToGrid w:val="0"/>
        <w:spacing w:line="600" w:lineRule="exac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646941D8" w14:textId="77777777" w:rsidR="00F3534A" w:rsidRDefault="00F3534A" w:rsidP="00F3534A">
      <w:pPr>
        <w:spacing w:line="600" w:lineRule="exact"/>
        <w:jc w:val="center"/>
        <w:rPr>
          <w:rFonts w:ascii="方正小标宋简体" w:eastAsia="方正小标宋简体" w:hAnsi="Batang" w:hint="eastAsia"/>
          <w:sz w:val="44"/>
          <w:szCs w:val="44"/>
        </w:rPr>
      </w:pPr>
      <w:r w:rsidRPr="004906FB">
        <w:rPr>
          <w:rFonts w:ascii="方正小标宋简体" w:eastAsia="方正小标宋简体" w:hAnsi="Batang" w:hint="eastAsia"/>
          <w:sz w:val="44"/>
          <w:szCs w:val="44"/>
        </w:rPr>
        <w:t>全市“平安</w:t>
      </w:r>
      <w:r w:rsidRPr="004906FB">
        <w:rPr>
          <w:rFonts w:ascii="方正小标宋简体" w:eastAsia="方正小标宋简体" w:hAnsi="仿宋" w:hint="eastAsia"/>
          <w:sz w:val="44"/>
          <w:szCs w:val="44"/>
        </w:rPr>
        <w:t>农</w:t>
      </w:r>
      <w:r w:rsidRPr="004906FB">
        <w:rPr>
          <w:rFonts w:ascii="方正小标宋简体" w:eastAsia="方正小标宋简体" w:hAnsi="Batang" w:hint="eastAsia"/>
          <w:sz w:val="44"/>
          <w:szCs w:val="44"/>
        </w:rPr>
        <w:t>机”示范</w:t>
      </w:r>
      <w:r w:rsidRPr="004906FB">
        <w:rPr>
          <w:rFonts w:ascii="方正小标宋简体" w:eastAsia="方正小标宋简体" w:hAnsi="仿宋" w:hint="eastAsia"/>
          <w:sz w:val="44"/>
          <w:szCs w:val="44"/>
        </w:rPr>
        <w:t>县</w:t>
      </w:r>
      <w:r w:rsidRPr="004906FB">
        <w:rPr>
          <w:rFonts w:ascii="方正小标宋简体" w:eastAsia="方正小标宋简体" w:hAnsi="Batang" w:hint="eastAsia"/>
          <w:sz w:val="44"/>
          <w:szCs w:val="44"/>
        </w:rPr>
        <w:t>（</w:t>
      </w:r>
      <w:r w:rsidRPr="004906FB">
        <w:rPr>
          <w:rFonts w:ascii="方正小标宋简体" w:eastAsia="方正小标宋简体" w:hAnsi="仿宋" w:hint="eastAsia"/>
          <w:sz w:val="44"/>
          <w:szCs w:val="44"/>
        </w:rPr>
        <w:t>区</w:t>
      </w:r>
      <w:r>
        <w:rPr>
          <w:rFonts w:ascii="方正小标宋简体" w:eastAsia="方正小标宋简体" w:hAnsi="Batang" w:hint="eastAsia"/>
          <w:sz w:val="44"/>
          <w:szCs w:val="44"/>
        </w:rPr>
        <w:t>）</w:t>
      </w:r>
    </w:p>
    <w:p w14:paraId="350FF647" w14:textId="77777777" w:rsidR="00F3534A" w:rsidRPr="004906FB" w:rsidRDefault="00F3534A" w:rsidP="00F3534A">
      <w:pPr>
        <w:spacing w:line="600" w:lineRule="exact"/>
        <w:jc w:val="center"/>
        <w:rPr>
          <w:rFonts w:ascii="方正小标宋简体" w:eastAsia="方正小标宋简体" w:hAnsi="Batang" w:cs="仿宋" w:hint="eastAsia"/>
          <w:bCs/>
          <w:color w:val="000000"/>
          <w:kern w:val="0"/>
          <w:sz w:val="36"/>
          <w:szCs w:val="32"/>
        </w:rPr>
      </w:pPr>
      <w:r w:rsidRPr="004906FB">
        <w:rPr>
          <w:rFonts w:ascii="方正小标宋简体" w:eastAsia="方正小标宋简体" w:hAnsi="Batang" w:hint="eastAsia"/>
          <w:sz w:val="44"/>
          <w:szCs w:val="44"/>
        </w:rPr>
        <w:t>示范</w:t>
      </w:r>
      <w:r w:rsidRPr="004906FB">
        <w:rPr>
          <w:rFonts w:ascii="方正小标宋简体" w:eastAsia="方正小标宋简体" w:hAnsi="仿宋" w:hint="eastAsia"/>
          <w:sz w:val="44"/>
          <w:szCs w:val="44"/>
        </w:rPr>
        <w:t>乡</w:t>
      </w:r>
      <w:r w:rsidRPr="004906FB">
        <w:rPr>
          <w:rFonts w:ascii="方正小标宋简体" w:eastAsia="方正小标宋简体" w:hAnsi="Batang" w:hint="eastAsia"/>
          <w:sz w:val="44"/>
          <w:szCs w:val="44"/>
        </w:rPr>
        <w:t>（</w:t>
      </w:r>
      <w:r w:rsidRPr="004906FB">
        <w:rPr>
          <w:rFonts w:ascii="方正小标宋简体" w:eastAsia="方正小标宋简体" w:hAnsi="仿宋" w:hint="eastAsia"/>
          <w:sz w:val="44"/>
          <w:szCs w:val="44"/>
        </w:rPr>
        <w:t>镇</w:t>
      </w:r>
      <w:r w:rsidRPr="004906FB">
        <w:rPr>
          <w:rFonts w:ascii="方正小标宋简体" w:eastAsia="方正小标宋简体" w:hAnsi="Batang" w:hint="eastAsia"/>
          <w:sz w:val="44"/>
          <w:szCs w:val="44"/>
        </w:rPr>
        <w:t>）</w:t>
      </w:r>
      <w:r w:rsidRPr="004906FB">
        <w:rPr>
          <w:rFonts w:ascii="方正小标宋简体" w:eastAsia="方正小标宋简体" w:hAnsi="仿宋" w:hint="eastAsia"/>
          <w:sz w:val="44"/>
          <w:szCs w:val="44"/>
        </w:rPr>
        <w:t>创</w:t>
      </w:r>
      <w:r w:rsidRPr="004906FB">
        <w:rPr>
          <w:rFonts w:ascii="方正小标宋简体" w:eastAsia="方正小标宋简体" w:hAnsi="Batang" w:hint="eastAsia"/>
          <w:sz w:val="44"/>
          <w:szCs w:val="44"/>
        </w:rPr>
        <w:t>建</w:t>
      </w:r>
      <w:r w:rsidRPr="004906FB">
        <w:rPr>
          <w:rFonts w:ascii="方正小标宋简体" w:eastAsia="方正小标宋简体" w:hAnsi="仿宋" w:hint="eastAsia"/>
          <w:sz w:val="44"/>
          <w:szCs w:val="44"/>
        </w:rPr>
        <w:t>条</w:t>
      </w:r>
      <w:r w:rsidRPr="004906FB">
        <w:rPr>
          <w:rFonts w:ascii="方正小标宋简体" w:eastAsia="方正小标宋简体" w:hAnsi="Batang" w:hint="eastAsia"/>
          <w:sz w:val="44"/>
          <w:szCs w:val="44"/>
        </w:rPr>
        <w:t>件</w:t>
      </w:r>
    </w:p>
    <w:p w14:paraId="4067D078" w14:textId="77777777" w:rsidR="00F3534A" w:rsidRDefault="00F3534A" w:rsidP="00F3534A">
      <w:pPr>
        <w:spacing w:line="360" w:lineRule="auto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</w:p>
    <w:p w14:paraId="69B55ACA" w14:textId="77777777" w:rsidR="00F3534A" w:rsidRDefault="00F3534A" w:rsidP="00F3534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/>
          <w:sz w:val="32"/>
          <w:szCs w:val="32"/>
        </w:rPr>
        <w:t>政府重视</w:t>
      </w:r>
      <w:r>
        <w:rPr>
          <w:rFonts w:ascii="黑体" w:eastAsia="黑体" w:hAnsi="黑体" w:cs="黑体" w:hint="eastAsia"/>
          <w:sz w:val="32"/>
          <w:szCs w:val="32"/>
        </w:rPr>
        <w:t>，部门配合</w:t>
      </w:r>
    </w:p>
    <w:p w14:paraId="6D68F75C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.地方政府重视农机安全生产工作，将农机安全生产列入当地政府安全生产总体规划，把农机安全生产和“平安农机”创建纳入政府安全生产目标考核；成立“平安农机”创建工作领导机构，印发促进农机安全生产工作的政府文件，积极争取农机惠农政策支持，充分调动各部门、各方面管理资源，为抓实农机安全生产工作提供组织保障和政策支持。</w:t>
      </w:r>
    </w:p>
    <w:p w14:paraId="6EE6678D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FF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.农业农村、应急管理部门负责本地区“十四五”时期“平安农机”创建工作，制定创建工作方案，层层落实责任、精心组织、周密部署。切实加强对辖区创建工作的业务指导，做到创建工作有目标、有措施、有检查、有成效。</w:t>
      </w:r>
      <w:r w:rsidRPr="004906FB">
        <w:rPr>
          <w:rFonts w:ascii="仿宋_GB2312" w:eastAsia="仿宋_GB2312" w:hAnsi="仿宋" w:cs="仿宋_GB2312" w:hint="eastAsia"/>
          <w:kern w:val="0"/>
          <w:sz w:val="32"/>
          <w:szCs w:val="32"/>
        </w:rPr>
        <w:t>申报 “平安农机”示范县（区）的辖区内“平安农机”乡（镇）达到60%以上。</w:t>
      </w:r>
    </w:p>
    <w:p w14:paraId="181F720E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3.建立农机安全生产财政投入保障和增长机制，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保障农机安全生产投入，加强农机安全监管装备和基础设施建设，将农机安全生产工作经费、国务院规定免征的农机安全监理行政事业性收费纳入政府财政预算，</w:t>
      </w:r>
      <w:r w:rsidRPr="004906FB">
        <w:rPr>
          <w:rFonts w:ascii="仿宋_GB2312" w:eastAsia="仿宋_GB2312" w:hAnsi="仿宋" w:cs="仿宋_GB2312" w:hint="eastAsia"/>
          <w:kern w:val="0"/>
          <w:sz w:val="32"/>
          <w:szCs w:val="32"/>
        </w:rPr>
        <w:t>足额落实农机监理省补</w:t>
      </w:r>
      <w:r w:rsidRPr="004906FB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资金（低速载货汽车、三轮汽车</w:t>
      </w:r>
      <w:proofErr w:type="gramStart"/>
      <w:r w:rsidRPr="004906FB">
        <w:rPr>
          <w:rFonts w:ascii="仿宋_GB2312" w:eastAsia="仿宋_GB2312" w:hAnsi="仿宋" w:cs="仿宋_GB2312" w:hint="eastAsia"/>
          <w:kern w:val="0"/>
          <w:sz w:val="32"/>
          <w:szCs w:val="32"/>
        </w:rPr>
        <w:t>规</w:t>
      </w:r>
      <w:proofErr w:type="gramEnd"/>
      <w:r w:rsidRPr="004906FB">
        <w:rPr>
          <w:rFonts w:ascii="仿宋_GB2312" w:eastAsia="仿宋_GB2312" w:hAnsi="仿宋" w:cs="仿宋_GB2312" w:hint="eastAsia"/>
          <w:kern w:val="0"/>
          <w:sz w:val="32"/>
          <w:szCs w:val="32"/>
        </w:rPr>
        <w:t>费返还补助）并确保专款专用，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保障农机安全生产工作高效有序开展。</w:t>
      </w:r>
      <w:r w:rsidRPr="004906FB">
        <w:rPr>
          <w:rFonts w:ascii="仿宋_GB2312" w:eastAsia="仿宋_GB2312" w:hAnsi="仿宋" w:cs="仿宋_GB2312" w:hint="eastAsia"/>
          <w:kern w:val="0"/>
          <w:sz w:val="32"/>
          <w:szCs w:val="32"/>
        </w:rPr>
        <w:t>辖区出台农机燃油补贴、保险补贴等惠农政策促进农机安全监管的予以优先考虑。</w:t>
      </w:r>
    </w:p>
    <w:p w14:paraId="096730DF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4.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建立农业农村、应急管理、公安等部门联合工作机制，</w:t>
      </w:r>
      <w:r w:rsidRPr="004906FB">
        <w:rPr>
          <w:rFonts w:ascii="仿宋_GB2312" w:eastAsia="仿宋_GB2312" w:hAnsi="仿宋" w:cs="仿宋_GB2312" w:hint="eastAsia"/>
          <w:kern w:val="0"/>
          <w:sz w:val="32"/>
          <w:szCs w:val="32"/>
        </w:rPr>
        <w:t>每年至少召开1次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联席会议，切实强化综合治理，共同维护农机安全生产和农村道路交通安全。</w:t>
      </w:r>
    </w:p>
    <w:p w14:paraId="56CA8DD0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5.建立农业农村、公安等部门之间的信息通报机制并有效运行，农机部门定期向公安部门通报拖拉机登记、安全检验和驾驶证发放等情况，公安部门定期向农机部门通报农机道路交通违法和事故情况，实现信息共享。</w:t>
      </w:r>
    </w:p>
    <w:p w14:paraId="33AF443F" w14:textId="77777777" w:rsidR="00F3534A" w:rsidRDefault="00F3534A" w:rsidP="00F3534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二、靠实责任，创新机制</w:t>
      </w:r>
    </w:p>
    <w:p w14:paraId="65D9FD00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6.进一步</w:t>
      </w:r>
      <w:r w:rsidRPr="004906FB">
        <w:rPr>
          <w:rFonts w:ascii="仿宋_GB2312" w:eastAsia="仿宋_GB2312" w:hAnsi="仿宋" w:hint="eastAsia"/>
          <w:sz w:val="32"/>
          <w:szCs w:val="32"/>
        </w:rPr>
        <w:t>压实党政领导责任，按照“管行业必须管安全，管业务必须管安全，管生产必须管安全”的安全生产工作要求，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“党政同责、一岗双责、齐抓共管、失职追责”的农机安全生产责任机制得到落实</w:t>
      </w:r>
      <w:r w:rsidRPr="004906FB">
        <w:rPr>
          <w:rFonts w:ascii="仿宋_GB2312" w:eastAsia="仿宋_GB2312" w:hAnsi="仿宋" w:hint="eastAsia"/>
          <w:sz w:val="32"/>
          <w:szCs w:val="32"/>
        </w:rPr>
        <w:t>。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 </w:t>
      </w:r>
    </w:p>
    <w:p w14:paraId="76CBDA37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7.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全面落实农机安全生产监管职责，积极应对</w:t>
      </w:r>
      <w:r w:rsidRPr="004906FB">
        <w:rPr>
          <w:rFonts w:ascii="仿宋_GB2312" w:eastAsia="仿宋_GB2312" w:hAnsi="仿宋" w:hint="eastAsia"/>
          <w:sz w:val="32"/>
          <w:szCs w:val="32"/>
        </w:rPr>
        <w:t>农机安全监管体制改革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后的新形势，努力探索构建新阶段农机安全生产监督管理工作机制，形成农业农村部门负责，农机安全监理、农业综合行政执法等相关机构分工承担、协调联动的工作机制。</w:t>
      </w:r>
    </w:p>
    <w:p w14:paraId="057F5B6E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8.强化落实农机生产经营单位主体责任，农机监管部门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与农机合作社等农机生产经营组织签订农机安全责任书达到100%，农机</w:t>
      </w:r>
      <w:proofErr w:type="gramStart"/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手签订</w:t>
      </w:r>
      <w:proofErr w:type="gramEnd"/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农机安全承诺</w:t>
      </w:r>
      <w:proofErr w:type="gramStart"/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书达到</w:t>
      </w:r>
      <w:proofErr w:type="gramEnd"/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90%以上。</w:t>
      </w:r>
    </w:p>
    <w:p w14:paraId="01E350B9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kern w:val="0"/>
          <w:sz w:val="32"/>
          <w:szCs w:val="32"/>
        </w:rPr>
        <w:t>9.基层农机安全监管体系健全。因地制宜努力构建基层农机安全生产网格化监管长效机制，落实乡（镇）、村和农机服务组织安全监管责任制，做到底数清晰，设置农机安全生产监管职责岗位人员的乡（镇）以及行政村比例不低于70%，设置安全生产管理人员的农机服务组织比例达到100%。</w:t>
      </w:r>
    </w:p>
    <w:p w14:paraId="089C80CF" w14:textId="77777777" w:rsidR="00F3534A" w:rsidRDefault="00F3534A" w:rsidP="00F3534A">
      <w:pPr>
        <w:spacing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、排查隐患，防控风险</w:t>
      </w:r>
    </w:p>
    <w:p w14:paraId="77063022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10.</w:t>
      </w:r>
      <w:r w:rsidRPr="004906FB">
        <w:rPr>
          <w:rFonts w:ascii="仿宋_GB2312" w:eastAsia="仿宋_GB2312" w:hAnsi="仿宋" w:cs="仿宋_GB2312" w:hint="eastAsia"/>
          <w:kern w:val="0"/>
          <w:sz w:val="32"/>
          <w:szCs w:val="32"/>
        </w:rPr>
        <w:t>全面推进落实农机安全风险分级管控和隐患排查治理双重预防机制，聚焦本辖区重点地区、关键节点和薄弱环节，持续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深入开展农机安全生产隐患排查治理，建立问题隐患和制度措施清单，实行动态跟踪，确保隐患整改闭环管理并规范制作</w:t>
      </w:r>
      <w:proofErr w:type="gramStart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相关台</w:t>
      </w:r>
      <w:proofErr w:type="gramEnd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账记录。</w:t>
      </w:r>
    </w:p>
    <w:p w14:paraId="43717C42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FF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11.深化农机安全生产专项治理，开展大排查大整治，组织集中攻坚，强化巩固提升，方案具体，措施有力，成效明显。</w:t>
      </w:r>
    </w:p>
    <w:p w14:paraId="73B8BA87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12.</w:t>
      </w:r>
      <w:r w:rsidRPr="004906FB">
        <w:rPr>
          <w:rFonts w:ascii="仿宋_GB2312" w:eastAsia="仿宋_GB2312" w:hAnsi="仿宋" w:hint="eastAsia"/>
          <w:color w:val="000000"/>
          <w:spacing w:val="-6"/>
          <w:kern w:val="0"/>
          <w:sz w:val="32"/>
          <w:szCs w:val="32"/>
        </w:rPr>
        <w:t>开展多部门联合执法，</w:t>
      </w:r>
      <w:r w:rsidRPr="004906F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紧密结合春耕、“三夏”、“三秋”、节假日等重点时段，深入农田、场院开展农机安全生产执法检查，</w:t>
      </w:r>
      <w:r w:rsidRPr="004906FB">
        <w:rPr>
          <w:rFonts w:ascii="仿宋_GB2312" w:eastAsia="仿宋_GB2312" w:hAnsi="仿宋" w:cs="仿宋_GB2312" w:hint="eastAsia"/>
          <w:spacing w:val="-6"/>
          <w:kern w:val="0"/>
          <w:sz w:val="32"/>
          <w:szCs w:val="32"/>
        </w:rPr>
        <w:t>加强对跨区作业联合收割机等农机重点机具以及农机合作社、农机大户等重点主体的安全监管，</w:t>
      </w:r>
      <w:r w:rsidRPr="004906F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及时纠正违反安全操作规程的作业行为以及无牌行驶、无证驾驶、未检验使用等违法行为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10D8C2FC" w14:textId="77777777" w:rsidR="00F3534A" w:rsidRDefault="00F3534A" w:rsidP="00F3534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四、广泛宣传，营造环境</w:t>
      </w:r>
    </w:p>
    <w:p w14:paraId="66BCED6D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13.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紧紧围绕学习贯彻习近平总书记关于安全生产重要论述，围绕贯彻落实党中央、国务院关于安全生产工作决策部署，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制定年度宣传工作要点、计划，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认真组织开展农机“安全生产月”“安全咨询日”等主题安全宣传教育活动，注重发挥“平安农机”示范引领和安全宣传阵地作用，创新宣传方式，丰富宣传内容，提升宣传效果，增强安全意识，营造农机安全生产良好氛围。</w:t>
      </w:r>
    </w:p>
    <w:p w14:paraId="78ED4B0E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14.</w:t>
      </w:r>
      <w:r w:rsidRPr="004906FB">
        <w:rPr>
          <w:rFonts w:ascii="仿宋_GB2312" w:eastAsia="仿宋_GB2312" w:hAnsi="仿宋" w:hint="eastAsia"/>
          <w:color w:val="000000"/>
          <w:spacing w:val="-6"/>
          <w:kern w:val="0"/>
          <w:sz w:val="32"/>
          <w:szCs w:val="32"/>
        </w:rPr>
        <w:t>落实农机安全宣传“五进”工作要求，</w:t>
      </w:r>
      <w:r w:rsidRPr="004906F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经常性、系统性开展宣贯活动。结合重要农时，每年有针对性地集中开展农机安全生产宣传和技术指导培训不少于</w:t>
      </w:r>
      <w:r w:rsidRPr="004906FB">
        <w:rPr>
          <w:rFonts w:ascii="仿宋_GB2312" w:eastAsia="仿宋_GB2312" w:hAnsi="仿宋" w:hint="eastAsia"/>
          <w:color w:val="000000"/>
          <w:spacing w:val="-6"/>
          <w:kern w:val="0"/>
          <w:sz w:val="32"/>
          <w:szCs w:val="32"/>
        </w:rPr>
        <w:t>2</w:t>
      </w:r>
      <w:r w:rsidRPr="004906F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次，普及农机安全生产法律法规知识和安全生产技能，农机驾驶操作人员的参训率达到</w:t>
      </w:r>
      <w:r w:rsidRPr="004906FB">
        <w:rPr>
          <w:rFonts w:ascii="仿宋_GB2312" w:eastAsia="仿宋_GB2312" w:hAnsi="仿宋" w:hint="eastAsia"/>
          <w:color w:val="000000"/>
          <w:spacing w:val="-6"/>
          <w:kern w:val="0"/>
          <w:sz w:val="32"/>
          <w:szCs w:val="32"/>
        </w:rPr>
        <w:t>80%</w:t>
      </w:r>
      <w:r w:rsidRPr="004906F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以上。</w:t>
      </w:r>
    </w:p>
    <w:p w14:paraId="42655DD5" w14:textId="77777777" w:rsidR="00F3534A" w:rsidRDefault="00F3534A" w:rsidP="00F3534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、强化源头，治理有效</w:t>
      </w:r>
    </w:p>
    <w:p w14:paraId="45CD970F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15.努力提升农业机械管理水平，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强化拖拉机、联合收割机注册登记及驾驶人考试发证工作，辖区拖拉机和联合收割机上牌率达到</w:t>
      </w:r>
      <w:r w:rsidRPr="004906FB">
        <w:rPr>
          <w:rFonts w:ascii="仿宋_GB2312" w:eastAsia="仿宋_GB2312" w:hAnsi="仿宋" w:hint="eastAsia"/>
          <w:kern w:val="0"/>
          <w:sz w:val="32"/>
          <w:szCs w:val="32"/>
        </w:rPr>
        <w:t>80%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以上，驾驶人持证率达到</w:t>
      </w:r>
      <w:r w:rsidRPr="004906FB">
        <w:rPr>
          <w:rFonts w:ascii="仿宋_GB2312" w:eastAsia="仿宋_GB2312" w:hAnsi="仿宋" w:cs="仿宋_GB2312" w:hint="eastAsia"/>
          <w:kern w:val="0"/>
          <w:sz w:val="32"/>
          <w:szCs w:val="32"/>
        </w:rPr>
        <w:t>70%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以上；确保享受国家购置补贴购买的农业机械100%纳入牌证管理，其驾驶人100%持证；按规定开展危及人身财产安全其他农业机械安全监管。</w:t>
      </w:r>
    </w:p>
    <w:p w14:paraId="7B28FCC0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16.</w:t>
      </w:r>
      <w:r w:rsidRPr="004906F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加大拖拉机、联合收割机安全技术检验和驾驶人到期换证审验工作力度，严格执行检验标准，积极推进检验方式创</w:t>
      </w:r>
      <w:r w:rsidRPr="004906F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lastRenderedPageBreak/>
        <w:t>新，结合实际采取政府购买服务等方式努力提高检验覆盖度。辖区拖拉机和联合收割机检验率达到</w:t>
      </w:r>
      <w:r w:rsidRPr="004906FB">
        <w:rPr>
          <w:rFonts w:ascii="仿宋_GB2312" w:eastAsia="仿宋_GB2312" w:hAnsi="仿宋" w:hint="eastAsia"/>
          <w:color w:val="000000"/>
          <w:spacing w:val="-6"/>
          <w:kern w:val="0"/>
          <w:sz w:val="32"/>
          <w:szCs w:val="32"/>
        </w:rPr>
        <w:t>85%</w:t>
      </w:r>
      <w:r w:rsidRPr="004906F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以上，驾驶人</w:t>
      </w:r>
      <w:proofErr w:type="gramStart"/>
      <w:r w:rsidRPr="004906F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审验率</w:t>
      </w:r>
      <w:proofErr w:type="gramEnd"/>
      <w:r w:rsidRPr="004906F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达到85%以上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6E755DF0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17.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加快存量变型拖拉机淘汰清理，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严查假牌套牌变型拖拉机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，建立</w:t>
      </w:r>
      <w:proofErr w:type="gramStart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纯运输</w:t>
      </w:r>
      <w:proofErr w:type="gramEnd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拖拉机退出机制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，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按照本地区变型拖拉机淘汰进度要求逐台对标销号，确保按时实现清零。</w:t>
      </w:r>
    </w:p>
    <w:p w14:paraId="27A1BAB2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18.</w:t>
      </w:r>
      <w:r w:rsidRPr="004906FB">
        <w:rPr>
          <w:rFonts w:ascii="仿宋_GB2312" w:eastAsia="仿宋_GB2312" w:hAnsi="仿宋" w:cs="仿宋_GB2312" w:hint="eastAsia"/>
          <w:kern w:val="0"/>
          <w:sz w:val="32"/>
          <w:szCs w:val="32"/>
        </w:rPr>
        <w:t>全面推进落实农机报废更新补贴政策，制定并公开实施方案，推行“一站式”服务、网上办理等便民措施，按时进行实施进度统计分析，做好工作总结。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未开展农机报废更新补贴工作的</w:t>
      </w:r>
      <w:proofErr w:type="gramStart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县不得</w:t>
      </w:r>
      <w:proofErr w:type="gramEnd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申报。 </w:t>
      </w:r>
    </w:p>
    <w:p w14:paraId="028417E8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19.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实施“亮尾工程”，确保拖拉机运输机组灯光齐全并100%粘贴反光标识，积极推行其他</w:t>
      </w:r>
      <w:proofErr w:type="gramStart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上道路</w:t>
      </w:r>
      <w:proofErr w:type="gramEnd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行驶的农业机械粘贴反光标识或插挂反光警示旗。</w:t>
      </w:r>
    </w:p>
    <w:p w14:paraId="2095DF92" w14:textId="77777777" w:rsidR="00F3534A" w:rsidRDefault="00F3534A" w:rsidP="00F3534A">
      <w:pPr>
        <w:spacing w:line="360" w:lineRule="auto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依法行政、管理规范</w:t>
      </w:r>
    </w:p>
    <w:p w14:paraId="30AEB80A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20.严格规范牌证管理，按照农业农村部牌证管理规定和规范，做到档案内容齐全规范，牌证制发管理合</w:t>
      </w:r>
      <w:proofErr w:type="gramStart"/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规</w:t>
      </w:r>
      <w:proofErr w:type="gramEnd"/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，电子档案、纸质档案、证件记载信息实现“三个一致”；及时报送各类农机监理业务统计报表，数据真实；加强对农机驾驶培训监督管理，确保培训质量。</w:t>
      </w:r>
    </w:p>
    <w:p w14:paraId="39D71380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FF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21.积极开展业务培训，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农机安全生产监管人员积极参加岗位知识和技能培训，农机考试员、检验员、事故处理员、执法人员持证上岗。</w:t>
      </w:r>
    </w:p>
    <w:p w14:paraId="0B13F45D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22.推进“放管服”改革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强化服务意识。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公开法律依据、办事程序、免征收费项目、办事人员和办事结果，公布农机行政许可、安全执法、安全检查、事故责任认定等权力清单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，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积极推行便民服务措施。</w:t>
      </w:r>
    </w:p>
    <w:p w14:paraId="1792459E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23.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按照农业行政执法程序，规范执法行为。落实“三项制度”（行政执法公示制度、执法全过程记录制度、重大执法决定法制审核制度），规范执法文书的制作，严格执法、文明执法；辖区</w:t>
      </w:r>
      <w:r w:rsidRPr="004906F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发生农机安全生产严重的违法、违规案件的不得申报。</w:t>
      </w:r>
    </w:p>
    <w:p w14:paraId="618569DB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24.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及时修订完善辖区农机事故应急救援预案并向社会公布，公开事故报告电话，严格落实应急值班值守制度；每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年至少开展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次农机事故应急演练。</w:t>
      </w:r>
    </w:p>
    <w:p w14:paraId="563ADDE2" w14:textId="77777777" w:rsidR="00F3534A" w:rsidRPr="004906FB" w:rsidRDefault="00F3534A" w:rsidP="00F3534A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25.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规范开展农机事故应急处置和统计报告工作，不存在事故迟报、漏报、谎报或瞒报等行为。</w:t>
      </w:r>
      <w:proofErr w:type="gramStart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申报申报</w:t>
      </w:r>
      <w:proofErr w:type="gramEnd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示范县（区）的1年内未发生农机死亡事故，农机安全生产形势持续稳定向好。</w:t>
      </w:r>
    </w:p>
    <w:p w14:paraId="2B5F1373" w14:textId="77777777" w:rsidR="00F3534A" w:rsidRDefault="00F3534A" w:rsidP="00F3534A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7979EF47" w14:textId="77777777" w:rsidR="00F3534A" w:rsidRDefault="00F3534A" w:rsidP="00F3534A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55DD6217" w14:textId="77777777" w:rsidR="00F3534A" w:rsidRDefault="00F3534A" w:rsidP="00F3534A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2908EA64" w14:textId="77777777" w:rsidR="00F3534A" w:rsidRDefault="00F3534A" w:rsidP="00F3534A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5614D698" w14:textId="77777777" w:rsidR="00F3534A" w:rsidRDefault="00F3534A" w:rsidP="00F3534A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78795E01" w14:textId="77777777" w:rsidR="00F3534A" w:rsidRDefault="00F3534A" w:rsidP="00F3534A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4A33AFBE" w14:textId="77777777" w:rsidR="0073681F" w:rsidRPr="00F3534A" w:rsidRDefault="0073681F"/>
    <w:sectPr w:rsidR="0073681F" w:rsidRPr="00F35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4A"/>
    <w:rsid w:val="0073681F"/>
    <w:rsid w:val="00F3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75F8"/>
  <w15:chartTrackingRefBased/>
  <w15:docId w15:val="{05F7BBD1-41BA-46D5-B1E2-58272B5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F3534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34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F3534A"/>
    <w:pPr>
      <w:tabs>
        <w:tab w:val="left" w:pos="840"/>
      </w:tabs>
      <w:ind w:left="840" w:hanging="420"/>
    </w:pPr>
    <w:rPr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F3534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xxzx</cp:lastModifiedBy>
  <cp:revision>1</cp:revision>
  <dcterms:created xsi:type="dcterms:W3CDTF">2022-11-24T01:23:00Z</dcterms:created>
  <dcterms:modified xsi:type="dcterms:W3CDTF">2022-11-24T01:24:00Z</dcterms:modified>
</cp:coreProperties>
</file>