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B1" w:rsidRDefault="001E0BB1" w:rsidP="004103E8">
      <w:pPr>
        <w:tabs>
          <w:tab w:val="left" w:pos="6971"/>
        </w:tabs>
        <w:spacing w:line="560" w:lineRule="exact"/>
        <w:rPr>
          <w:rFonts w:ascii="方正小标宋简体" w:eastAsia="方正小标宋简体" w:hAnsi="宋体"/>
          <w:b/>
          <w:bCs/>
          <w:sz w:val="36"/>
          <w:szCs w:val="36"/>
        </w:rPr>
      </w:pPr>
    </w:p>
    <w:p w:rsidR="001E0BB1" w:rsidRDefault="001E0BB1" w:rsidP="004103E8">
      <w:pPr>
        <w:tabs>
          <w:tab w:val="left" w:pos="6971"/>
        </w:tabs>
        <w:spacing w:line="560" w:lineRule="exact"/>
        <w:rPr>
          <w:rFonts w:ascii="方正小标宋简体" w:eastAsia="方正小标宋简体" w:hAnsi="宋体"/>
          <w:b/>
          <w:bCs/>
          <w:sz w:val="36"/>
          <w:szCs w:val="36"/>
        </w:rPr>
      </w:pPr>
    </w:p>
    <w:p w:rsidR="001E0BB1" w:rsidRDefault="004103E8" w:rsidP="004103E8">
      <w:pPr>
        <w:tabs>
          <w:tab w:val="left" w:pos="6971"/>
        </w:tabs>
        <w:spacing w:line="560" w:lineRule="exact"/>
        <w:jc w:val="center"/>
        <w:rPr>
          <w:rFonts w:ascii="方正小标宋简体" w:eastAsia="方正小标宋简体" w:hAnsi="仿宋"/>
          <w:spacing w:val="-8"/>
          <w:sz w:val="44"/>
          <w:szCs w:val="44"/>
        </w:rPr>
      </w:pPr>
      <w:r>
        <w:rPr>
          <w:rFonts w:ascii="方正小标宋简体" w:eastAsia="方正小标宋简体" w:hAnsi="仿宋" w:cs="方正小标宋简体"/>
          <w:spacing w:val="-8"/>
          <w:sz w:val="44"/>
          <w:szCs w:val="44"/>
        </w:rPr>
        <w:t>202</w:t>
      </w:r>
      <w:r>
        <w:rPr>
          <w:rFonts w:ascii="方正小标宋简体" w:eastAsia="方正小标宋简体" w:hAnsi="仿宋" w:cs="方正小标宋简体" w:hint="eastAsia"/>
          <w:spacing w:val="-8"/>
          <w:sz w:val="44"/>
          <w:szCs w:val="44"/>
        </w:rPr>
        <w:t>3年张掖经济技术开发区预算（草案）说明</w:t>
      </w:r>
    </w:p>
    <w:p w:rsidR="001E0BB1" w:rsidRDefault="001E0BB1" w:rsidP="004103E8">
      <w:pPr>
        <w:spacing w:line="560" w:lineRule="exact"/>
        <w:rPr>
          <w:rFonts w:ascii="仿宋" w:eastAsia="仿宋" w:hAnsi="仿宋"/>
          <w:sz w:val="32"/>
          <w:szCs w:val="32"/>
        </w:rPr>
      </w:pPr>
    </w:p>
    <w:p w:rsidR="004103E8" w:rsidRDefault="004103E8" w:rsidP="004103E8">
      <w:pPr>
        <w:pStyle w:val="2"/>
        <w:spacing w:after="0" w:line="56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2023年，张掖经开区将</w:t>
      </w:r>
      <w:r>
        <w:rPr>
          <w:rFonts w:ascii="仿宋_GB2312" w:eastAsia="仿宋_GB2312" w:hAnsi="仿宋_GB2312" w:cs="仿宋_GB2312" w:hint="eastAsia"/>
          <w:snapToGrid w:val="0"/>
          <w:sz w:val="32"/>
          <w:szCs w:val="32"/>
        </w:rPr>
        <w:t>以习近平新时代中国</w:t>
      </w:r>
      <w:r>
        <w:rPr>
          <w:rFonts w:ascii="仿宋_GB2312" w:eastAsia="仿宋_GB2312" w:hAnsi="仿宋_GB2312" w:cs="仿宋_GB2312" w:hint="eastAsia"/>
          <w:color w:val="000000"/>
          <w:sz w:val="32"/>
          <w:szCs w:val="32"/>
          <w:shd w:val="clear" w:color="auto" w:fill="FFFFFF"/>
        </w:rPr>
        <w:t>特色社会主义思想为指导，深入贯彻党的二十大精神</w:t>
      </w:r>
      <w:r w:rsidR="005E22AE">
        <w:rPr>
          <w:rFonts w:ascii="仿宋_GB2312" w:eastAsia="仿宋_GB2312" w:hAnsi="仿宋_GB2312" w:cs="仿宋_GB2312" w:hint="eastAsia"/>
          <w:color w:val="000000"/>
          <w:sz w:val="32"/>
          <w:szCs w:val="32"/>
          <w:shd w:val="clear" w:color="auto" w:fill="FFFFFF"/>
        </w:rPr>
        <w:t>及</w:t>
      </w:r>
      <w:r>
        <w:rPr>
          <w:rFonts w:ascii="仿宋_GB2312" w:eastAsia="仿宋_GB2312" w:hAnsi="仿宋_GB2312" w:cs="仿宋_GB2312" w:hint="eastAsia"/>
          <w:color w:val="000000"/>
          <w:sz w:val="32"/>
          <w:szCs w:val="32"/>
          <w:shd w:val="clear" w:color="auto" w:fill="FFFFFF"/>
        </w:rPr>
        <w:t>习近平总书记对甘肃重要讲话和指示精神，</w:t>
      </w:r>
      <w:r>
        <w:rPr>
          <w:rFonts w:ascii="仿宋_GB2312" w:eastAsia="仿宋_GB2312" w:hAnsi="仿宋_GB2312" w:cs="仿宋_GB2312" w:hint="eastAsia"/>
          <w:sz w:val="32"/>
          <w:szCs w:val="32"/>
        </w:rPr>
        <w:t>坚持以高质量发展为主题，</w:t>
      </w:r>
      <w:r>
        <w:rPr>
          <w:rFonts w:ascii="仿宋_GB2312" w:eastAsia="仿宋_GB2312" w:hAnsi="仿宋_GB2312" w:cs="仿宋_GB2312" w:hint="eastAsia"/>
          <w:color w:val="000000"/>
          <w:sz w:val="32"/>
          <w:szCs w:val="32"/>
          <w:shd w:val="clear" w:color="auto" w:fill="FFFFFF"/>
        </w:rPr>
        <w:t>完整、准确、全面贯彻新发展理念，积极融入全省“一核三带”区域发展格局，围绕全市“一屏四城五区”发展定位和“两个突破、两个高于、三个大幅提升”目标，</w:t>
      </w:r>
      <w:r>
        <w:rPr>
          <w:rFonts w:ascii="仿宋_GB2312" w:eastAsia="仿宋_GB2312" w:hAnsi="仿宋_GB2312" w:cs="仿宋_GB2312" w:hint="eastAsia"/>
          <w:sz w:val="32"/>
          <w:szCs w:val="32"/>
        </w:rPr>
        <w:t>深入推进工业突破发展行动，以发展壮大“六大”产业【</w:t>
      </w:r>
      <w:r>
        <w:rPr>
          <w:rFonts w:ascii="楷体_GB2312" w:eastAsia="楷体_GB2312" w:hAnsi="楷体_GB2312" w:cs="楷体_GB2312" w:hint="eastAsia"/>
          <w:sz w:val="32"/>
          <w:szCs w:val="32"/>
        </w:rPr>
        <w:t>综合能源、新材料、农畜产品精深加工、精细化工、智能制造和数据信息产业</w:t>
      </w:r>
      <w:r>
        <w:rPr>
          <w:rFonts w:ascii="仿宋_GB2312" w:eastAsia="仿宋_GB2312" w:hAnsi="仿宋_GB2312" w:cs="仿宋_GB2312" w:hint="eastAsia"/>
          <w:sz w:val="32"/>
          <w:szCs w:val="32"/>
        </w:rPr>
        <w:t>】为目标，以统筹县级园区发展为抓手，以打造全省代表性开发区为重点【</w:t>
      </w:r>
      <w:r>
        <w:rPr>
          <w:rFonts w:ascii="楷体_GB2312" w:eastAsia="楷体_GB2312" w:hAnsi="楷体_GB2312" w:cs="楷体_GB2312" w:hint="eastAsia"/>
          <w:sz w:val="32"/>
          <w:szCs w:val="32"/>
        </w:rPr>
        <w:t>农副产品加工、生物制药、有色冶金、氢能零碳产业特色精品园中园</w:t>
      </w:r>
      <w:r>
        <w:rPr>
          <w:rFonts w:ascii="仿宋_GB2312" w:eastAsia="仿宋_GB2312" w:hAnsi="仿宋_GB2312" w:cs="仿宋_GB2312" w:hint="eastAsia"/>
          <w:sz w:val="32"/>
          <w:szCs w:val="32"/>
        </w:rPr>
        <w:t>】，加速经开区及各园区产业布局优化和产业集群培育，加快形成布局合理、错位发展、产业链条完整的园区发展新局面，确保2022年国家级经开区综评考核名次有大幅提升，为“十四五”时期经开区高质量赶超发展奠定坚实基础。</w:t>
      </w:r>
    </w:p>
    <w:p w:rsidR="004103E8" w:rsidRPr="004103E8" w:rsidRDefault="004103E8" w:rsidP="004103E8">
      <w:pPr>
        <w:spacing w:line="560" w:lineRule="exact"/>
        <w:ind w:left="643"/>
        <w:rPr>
          <w:rFonts w:ascii="黑体" w:eastAsia="黑体" w:hAnsi="黑体" w:cs="仿宋_GB2312"/>
          <w:kern w:val="0"/>
          <w:sz w:val="32"/>
          <w:szCs w:val="32"/>
        </w:rPr>
      </w:pPr>
      <w:r w:rsidRPr="004103E8">
        <w:rPr>
          <w:rFonts w:ascii="黑体" w:eastAsia="黑体" w:hAnsi="黑体" w:cs="仿宋_GB2312" w:hint="eastAsia"/>
          <w:kern w:val="0"/>
          <w:sz w:val="32"/>
          <w:szCs w:val="32"/>
        </w:rPr>
        <w:t>一、预算编制的指导思想</w:t>
      </w:r>
    </w:p>
    <w:p w:rsidR="004103E8" w:rsidRDefault="004103E8" w:rsidP="004103E8">
      <w:pPr>
        <w:pStyle w:val="6"/>
        <w:spacing w:line="56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kern w:val="0"/>
          <w:sz w:val="32"/>
          <w:szCs w:val="32"/>
        </w:rPr>
        <w:t>坚持以习近平新时代中国特色社会主义思想为指导，全面贯彻党的二十大</w:t>
      </w:r>
      <w:r>
        <w:rPr>
          <w:rFonts w:ascii="仿宋_GB2312" w:eastAsia="仿宋_GB2312" w:hAnsi="宋体" w:cs="仿宋_GB2312" w:hint="eastAsia"/>
          <w:spacing w:val="4"/>
          <w:kern w:val="0"/>
          <w:sz w:val="32"/>
          <w:szCs w:val="32"/>
        </w:rPr>
        <w:t>精神</w:t>
      </w:r>
      <w:r>
        <w:rPr>
          <w:rFonts w:ascii="仿宋_GB2312" w:eastAsia="仿宋_GB2312" w:hAnsi="仿宋_GB2312" w:cs="仿宋_GB2312" w:hint="eastAsia"/>
          <w:sz w:val="32"/>
          <w:szCs w:val="32"/>
        </w:rPr>
        <w:t>，深入贯彻落实习近平总书记视察甘肃重要讲话和指示精神及中央和省委、市委一系列决策部署，充分发挥国</w:t>
      </w:r>
      <w:r>
        <w:rPr>
          <w:rFonts w:ascii="仿宋_GB2312" w:eastAsia="仿宋_GB2312" w:hAnsi="仿宋_GB2312" w:cs="仿宋_GB2312" w:hint="eastAsia"/>
          <w:sz w:val="32"/>
          <w:szCs w:val="32"/>
        </w:rPr>
        <w:lastRenderedPageBreak/>
        <w:t>家级经开区的优势，</w:t>
      </w:r>
      <w:r>
        <w:rPr>
          <w:rFonts w:ascii="仿宋_GB2312" w:eastAsia="仿宋_GB2312" w:hAnsi="宋体" w:cs="仿宋_GB2312" w:hint="eastAsia"/>
          <w:spacing w:val="4"/>
          <w:kern w:val="0"/>
          <w:sz w:val="32"/>
          <w:szCs w:val="32"/>
        </w:rPr>
        <w:t>坚持稳中求进工作总基调</w:t>
      </w:r>
      <w:r>
        <w:rPr>
          <w:rFonts w:ascii="仿宋_GB2312" w:eastAsia="仿宋_GB2312" w:hAnsi="仿宋_GB2312" w:cs="仿宋_GB2312" w:hint="eastAsia"/>
          <w:sz w:val="32"/>
          <w:szCs w:val="32"/>
        </w:rPr>
        <w:t>，扎实做好“六稳”工作，全面落实“六保”任务，</w:t>
      </w:r>
      <w:r>
        <w:rPr>
          <w:rFonts w:ascii="仿宋_GB2312" w:eastAsia="仿宋_GB2312" w:hAnsi="仿宋_GB2312" w:cs="仿宋_GB2312" w:hint="eastAsia"/>
          <w:color w:val="000000"/>
          <w:sz w:val="32"/>
          <w:szCs w:val="32"/>
          <w:shd w:val="clear" w:color="auto" w:fill="FFFFFF"/>
        </w:rPr>
        <w:t>严格贯彻预算法，细化预算编制，硬化预算约束，加快预算执行，推进预算公开，提高资金使用效益，</w:t>
      </w:r>
      <w:r>
        <w:rPr>
          <w:rFonts w:ascii="仿宋_GB2312" w:eastAsia="仿宋_GB2312" w:hAnsi="仿宋_GB2312" w:cs="仿宋_GB2312" w:hint="eastAsia"/>
          <w:sz w:val="32"/>
          <w:szCs w:val="32"/>
        </w:rPr>
        <w:t>统筹推进疫情防控和招商引资、项目建设、基础设施配套等重点工作，提升开发区综评考核位次，</w:t>
      </w:r>
      <w:r>
        <w:rPr>
          <w:rFonts w:ascii="仿宋_GB2312" w:eastAsia="仿宋_GB2312" w:hAnsi="仿宋_GB2312" w:cs="仿宋_GB2312" w:hint="eastAsia"/>
          <w:color w:val="333333"/>
          <w:sz w:val="32"/>
          <w:szCs w:val="32"/>
          <w:shd w:val="clear" w:color="auto" w:fill="FFFFFF"/>
        </w:rPr>
        <w:t>为</w:t>
      </w:r>
      <w:r>
        <w:rPr>
          <w:rFonts w:ascii="仿宋_GB2312" w:eastAsia="仿宋_GB2312" w:hAnsi="仿宋_GB2312" w:cs="仿宋_GB2312" w:hint="eastAsia"/>
          <w:sz w:val="32"/>
          <w:szCs w:val="32"/>
        </w:rPr>
        <w:t>推动经开区经济高质量发展</w:t>
      </w:r>
      <w:r>
        <w:rPr>
          <w:rFonts w:ascii="仿宋_GB2312" w:eastAsia="仿宋_GB2312" w:hAnsi="仿宋_GB2312" w:cs="仿宋_GB2312" w:hint="eastAsia"/>
          <w:color w:val="333333"/>
          <w:sz w:val="32"/>
          <w:szCs w:val="32"/>
          <w:shd w:val="clear" w:color="auto" w:fill="FFFFFF"/>
        </w:rPr>
        <w:t>提供坚实财政保障。</w:t>
      </w:r>
    </w:p>
    <w:p w:rsidR="004103E8" w:rsidRPr="004103E8" w:rsidRDefault="004103E8" w:rsidP="004103E8">
      <w:pPr>
        <w:spacing w:line="560" w:lineRule="exact"/>
        <w:ind w:firstLineChars="200" w:firstLine="640"/>
        <w:rPr>
          <w:rFonts w:ascii="黑体" w:eastAsia="黑体" w:hAnsi="黑体" w:cs="仿宋_GB2312"/>
          <w:kern w:val="0"/>
          <w:sz w:val="32"/>
          <w:szCs w:val="32"/>
        </w:rPr>
      </w:pPr>
      <w:r w:rsidRPr="004103E8">
        <w:rPr>
          <w:rFonts w:ascii="黑体" w:eastAsia="黑体" w:hAnsi="黑体" w:cs="仿宋_GB2312" w:hint="eastAsia"/>
          <w:kern w:val="0"/>
          <w:sz w:val="32"/>
          <w:szCs w:val="32"/>
        </w:rPr>
        <w:t>二、预算编制的基本原则</w:t>
      </w:r>
    </w:p>
    <w:p w:rsidR="004103E8" w:rsidRDefault="004103E8" w:rsidP="004103E8">
      <w:pPr>
        <w:spacing w:line="560" w:lineRule="exact"/>
        <w:ind w:firstLineChars="196" w:firstLine="627"/>
        <w:rPr>
          <w:rFonts w:ascii="仿宋_GB2312" w:eastAsia="仿宋_GB2312" w:hAnsi="楷体" w:cs="仿宋_GB2312"/>
          <w:bCs/>
          <w:kern w:val="0"/>
          <w:sz w:val="32"/>
          <w:szCs w:val="32"/>
        </w:rPr>
      </w:pPr>
      <w:r>
        <w:rPr>
          <w:rFonts w:ascii="仿宋_GB2312" w:eastAsia="仿宋_GB2312" w:hAnsi="楷体" w:cs="仿宋_GB2312" w:hint="eastAsia"/>
          <w:bCs/>
          <w:kern w:val="0"/>
          <w:sz w:val="32"/>
          <w:szCs w:val="32"/>
        </w:rPr>
        <w:t>一是依法依规。严格按照《预算法》及其实施条例编制预算，硬化预算约束，严格执行人大批准的法定预算，严控政府债务风险。二是收支平衡。实事求是、科学研判编制收入预算，量力而行编制支出预算，既体现实际需要，又兼顾财力状况，确保收支平衡。三是有保有压。坚持把做好“六稳”工作、落实“六保”任务放在财政支出的优先保障位置，加大对园区提升改造及重点项目的保障力度；严控一般性支出，压缩“三公”经费。四是全面绩效。强化绩效目标评审，完善绩效评价机制，推进绩效结果公开，加强评价结果应用。</w:t>
      </w:r>
    </w:p>
    <w:p w:rsidR="004103E8" w:rsidRPr="004103E8" w:rsidRDefault="004103E8" w:rsidP="004103E8">
      <w:pPr>
        <w:spacing w:line="560" w:lineRule="exact"/>
        <w:ind w:firstLineChars="196" w:firstLine="627"/>
        <w:rPr>
          <w:rFonts w:ascii="黑体" w:eastAsia="黑体" w:hAnsi="黑体" w:cs="仿宋_GB2312"/>
          <w:sz w:val="32"/>
          <w:szCs w:val="32"/>
        </w:rPr>
      </w:pPr>
      <w:r w:rsidRPr="004103E8">
        <w:rPr>
          <w:rFonts w:ascii="黑体" w:eastAsia="黑体" w:hAnsi="黑体" w:cs="仿宋_GB2312" w:hint="eastAsia"/>
          <w:sz w:val="32"/>
          <w:szCs w:val="32"/>
        </w:rPr>
        <w:t>三、经开区财政收支预算（草案）</w:t>
      </w:r>
    </w:p>
    <w:p w:rsidR="005E22AE" w:rsidRDefault="005E22AE" w:rsidP="005E22AE">
      <w:pPr>
        <w:spacing w:line="560" w:lineRule="exact"/>
        <w:ind w:firstLineChars="200" w:firstLine="643"/>
        <w:rPr>
          <w:rFonts w:ascii="仿宋_GB2312" w:eastAsia="仿宋_GB2312" w:hAnsi="仿宋_GB2312" w:cs="仿宋_GB2312"/>
          <w:sz w:val="32"/>
          <w:szCs w:val="32"/>
        </w:rPr>
      </w:pPr>
      <w:r w:rsidRPr="005E22AE">
        <w:rPr>
          <w:rFonts w:ascii="楷体_GB2312" w:eastAsia="楷体_GB2312" w:hAnsi="仿宋_GB2312" w:cs="仿宋_GB2312" w:hint="eastAsia"/>
          <w:b/>
          <w:sz w:val="32"/>
          <w:szCs w:val="32"/>
        </w:rPr>
        <w:t>（一）一般公共预算。</w:t>
      </w:r>
      <w:r w:rsidR="004103E8">
        <w:rPr>
          <w:rFonts w:ascii="仿宋_GB2312" w:eastAsia="仿宋_GB2312" w:hAnsi="仿宋_GB2312" w:cs="仿宋_GB2312" w:hint="eastAsia"/>
          <w:kern w:val="0"/>
          <w:sz w:val="32"/>
          <w:szCs w:val="32"/>
        </w:rPr>
        <w:t>经测算</w:t>
      </w:r>
      <w:r w:rsidR="004103E8">
        <w:rPr>
          <w:rFonts w:ascii="仿宋_GB2312" w:eastAsia="仿宋_GB2312" w:hAnsi="仿宋_GB2312" w:cs="仿宋_GB2312" w:hint="eastAsia"/>
          <w:sz w:val="32"/>
          <w:szCs w:val="32"/>
        </w:rPr>
        <w:t>2023年一般公共预算可用财力为8928万元，比上年预算数增加748万元</w:t>
      </w:r>
      <w:r>
        <w:rPr>
          <w:rFonts w:ascii="仿宋_GB2312" w:eastAsia="仿宋_GB2312" w:hAnsi="仿宋_GB2312" w:cs="仿宋_GB2312" w:hint="eastAsia"/>
          <w:sz w:val="32"/>
          <w:szCs w:val="32"/>
        </w:rPr>
        <w:t>，</w:t>
      </w:r>
      <w:r w:rsidR="004103E8">
        <w:rPr>
          <w:rFonts w:ascii="仿宋_GB2312" w:eastAsia="仿宋_GB2312" w:hAnsi="仿宋_GB2312" w:cs="仿宋_GB2312" w:hint="eastAsia"/>
          <w:sz w:val="32"/>
          <w:szCs w:val="32"/>
        </w:rPr>
        <w:t>增长9.14%</w:t>
      </w:r>
      <w:r>
        <w:rPr>
          <w:rFonts w:ascii="仿宋_GB2312" w:eastAsia="仿宋_GB2312" w:hAnsi="仿宋_GB2312" w:cs="仿宋_GB2312" w:hint="eastAsia"/>
          <w:sz w:val="32"/>
          <w:szCs w:val="32"/>
        </w:rPr>
        <w:t>，具体构成是：</w:t>
      </w:r>
      <w:r w:rsidR="004103E8">
        <w:rPr>
          <w:rFonts w:ascii="仿宋_GB2312" w:eastAsia="仿宋_GB2312" w:hAnsi="仿宋_GB2312" w:cs="仿宋_GB2312" w:hint="eastAsia"/>
          <w:sz w:val="32"/>
          <w:szCs w:val="32"/>
        </w:rPr>
        <w:t>一般公共预算收入4580万元同比增长</w:t>
      </w:r>
      <w:r w:rsidR="004103E8">
        <w:rPr>
          <w:rFonts w:ascii="仿宋_GB2312" w:eastAsia="仿宋_GB2312" w:hAnsi="仿宋_GB2312" w:cs="仿宋_GB2312"/>
          <w:sz w:val="32"/>
          <w:szCs w:val="32"/>
        </w:rPr>
        <w:t>8.15</w:t>
      </w:r>
      <w:r w:rsidR="004103E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sidR="004103E8">
        <w:rPr>
          <w:rFonts w:ascii="仿宋_GB2312" w:eastAsia="仿宋_GB2312" w:hAnsi="仿宋_GB2312" w:cs="仿宋_GB2312" w:hint="eastAsia"/>
          <w:sz w:val="32"/>
          <w:szCs w:val="32"/>
        </w:rPr>
        <w:t>调入政府性基金预算收入4000万元；动用预算稳定调节基金98万元；从其他资金调入250万元。按照收支平衡原则，相应安排经开区</w:t>
      </w:r>
      <w:r w:rsidR="004103E8">
        <w:rPr>
          <w:rFonts w:ascii="仿宋_GB2312" w:eastAsia="仿宋_GB2312" w:hAnsi="仿宋_GB2312" w:cs="仿宋_GB2312" w:hint="eastAsia"/>
          <w:sz w:val="32"/>
          <w:szCs w:val="32"/>
        </w:rPr>
        <w:lastRenderedPageBreak/>
        <w:t>一般公共预算支出8928万元。其中:</w:t>
      </w:r>
      <w:r w:rsidR="004103E8" w:rsidRPr="005E22AE">
        <w:rPr>
          <w:rFonts w:ascii="仿宋_GB2312" w:eastAsia="仿宋_GB2312" w:hAnsi="仿宋_GB2312" w:cs="仿宋_GB2312" w:hint="eastAsia"/>
          <w:bCs/>
          <w:sz w:val="32"/>
          <w:szCs w:val="32"/>
        </w:rPr>
        <w:t>基本支出1260万元</w:t>
      </w:r>
      <w:r w:rsidRPr="005E22AE">
        <w:rPr>
          <w:rFonts w:ascii="仿宋_GB2312" w:eastAsia="仿宋_GB2312" w:hAnsi="仿宋_GB2312" w:cs="仿宋_GB2312" w:hint="eastAsia"/>
          <w:bCs/>
          <w:sz w:val="32"/>
          <w:szCs w:val="32"/>
        </w:rPr>
        <w:t>（</w:t>
      </w:r>
      <w:r w:rsidRPr="005E22AE">
        <w:rPr>
          <w:rFonts w:ascii="仿宋_GB2312" w:eastAsia="仿宋_GB2312" w:hAnsi="仿宋_GB2312" w:cs="仿宋_GB2312" w:hint="eastAsia"/>
          <w:sz w:val="32"/>
          <w:szCs w:val="32"/>
        </w:rPr>
        <w:t>人员经费1137万元，公用支出123万元</w:t>
      </w:r>
      <w:r w:rsidRPr="005E22AE">
        <w:rPr>
          <w:rFonts w:ascii="仿宋_GB2312" w:eastAsia="仿宋_GB2312" w:hAnsi="仿宋_GB2312" w:cs="仿宋_GB2312" w:hint="eastAsia"/>
          <w:bCs/>
          <w:sz w:val="32"/>
          <w:szCs w:val="32"/>
        </w:rPr>
        <w:t>）</w:t>
      </w:r>
      <w:r w:rsidR="004103E8" w:rsidRPr="005E22AE">
        <w:rPr>
          <w:rFonts w:ascii="仿宋_GB2312" w:eastAsia="仿宋_GB2312" w:hAnsi="仿宋_GB2312" w:cs="仿宋_GB2312" w:hint="eastAsia"/>
          <w:bCs/>
          <w:sz w:val="32"/>
          <w:szCs w:val="32"/>
        </w:rPr>
        <w:t>,占支出总额的14.11%</w:t>
      </w:r>
      <w:r w:rsidRPr="005E22AE">
        <w:rPr>
          <w:rFonts w:ascii="仿宋_GB2312" w:eastAsia="仿宋_GB2312" w:hAnsi="仿宋_GB2312" w:cs="仿宋_GB2312" w:hint="eastAsia"/>
          <w:bCs/>
          <w:sz w:val="32"/>
          <w:szCs w:val="32"/>
        </w:rPr>
        <w:t>；</w:t>
      </w:r>
      <w:r w:rsidR="004103E8" w:rsidRPr="005E22AE">
        <w:rPr>
          <w:rFonts w:ascii="仿宋_GB2312" w:eastAsia="仿宋_GB2312" w:hAnsi="仿宋_GB2312" w:cs="仿宋_GB2312" w:hint="eastAsia"/>
          <w:sz w:val="32"/>
          <w:szCs w:val="32"/>
        </w:rPr>
        <w:t>项目支出7668万元,占支出总额的85.89%，</w:t>
      </w:r>
      <w:r>
        <w:rPr>
          <w:rFonts w:ascii="仿宋_GB2312" w:eastAsia="仿宋_GB2312" w:hAnsi="仿宋_GB2312" w:cs="仿宋_GB2312" w:hint="eastAsia"/>
          <w:sz w:val="32"/>
          <w:szCs w:val="32"/>
        </w:rPr>
        <w:t>具体是：</w:t>
      </w:r>
    </w:p>
    <w:p w:rsidR="005E22AE" w:rsidRDefault="005E22AE" w:rsidP="005E22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103E8">
        <w:rPr>
          <w:rFonts w:ascii="仿宋_GB2312" w:eastAsia="仿宋_GB2312" w:hAnsi="仿宋_GB2312" w:cs="仿宋_GB2312" w:hint="eastAsia"/>
          <w:sz w:val="32"/>
          <w:szCs w:val="32"/>
        </w:rPr>
        <w:t>招商引资及项目前期、规划方面。安排资金545万元，重点用于项目前期费、规划编制、评估、招商引资等支出。</w:t>
      </w:r>
    </w:p>
    <w:p w:rsidR="005E22AE" w:rsidRDefault="005E22AE" w:rsidP="005E22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4103E8">
        <w:rPr>
          <w:rFonts w:ascii="仿宋_GB2312" w:eastAsia="仿宋_GB2312" w:hAnsi="仿宋_GB2312" w:cs="仿宋_GB2312" w:hint="eastAsia"/>
          <w:sz w:val="32"/>
          <w:szCs w:val="32"/>
        </w:rPr>
        <w:t>工业发展及企业科技创新方面。安排资金1111万元，重点用于企业转型升级、外资外贸企业补助、项目落地扶持奖励、供气管网补助、科技创新奖补等支出。</w:t>
      </w:r>
    </w:p>
    <w:p w:rsidR="005E22AE" w:rsidRPr="005E22AE" w:rsidRDefault="005E22AE" w:rsidP="005E22AE">
      <w:pPr>
        <w:spacing w:line="560" w:lineRule="exact"/>
        <w:ind w:firstLineChars="200" w:firstLine="640"/>
        <w:rPr>
          <w:rFonts w:ascii="仿宋_GB2312" w:eastAsia="仿宋_GB2312" w:hAnsi="仿宋_GB2312" w:cs="仿宋_GB2312"/>
          <w:spacing w:val="-8"/>
          <w:sz w:val="32"/>
          <w:szCs w:val="32"/>
        </w:rPr>
      </w:pPr>
      <w:r>
        <w:rPr>
          <w:rFonts w:ascii="仿宋_GB2312" w:eastAsia="仿宋_GB2312" w:hAnsi="仿宋_GB2312" w:cs="仿宋_GB2312" w:hint="eastAsia"/>
          <w:sz w:val="32"/>
          <w:szCs w:val="32"/>
        </w:rPr>
        <w:t>3.</w:t>
      </w:r>
      <w:r w:rsidR="004103E8">
        <w:rPr>
          <w:rFonts w:ascii="仿宋_GB2312" w:eastAsia="仿宋_GB2312" w:hAnsi="仿宋_GB2312" w:cs="仿宋_GB2312" w:hint="eastAsia"/>
          <w:sz w:val="32"/>
          <w:szCs w:val="32"/>
        </w:rPr>
        <w:t>生态环保及污染治理方面。安排资金1649万元，重点用于环境安全平台建设、环境监测、应急预案、开发区循环园和农</w:t>
      </w:r>
      <w:r w:rsidR="004103E8" w:rsidRPr="005E22AE">
        <w:rPr>
          <w:rFonts w:ascii="仿宋_GB2312" w:eastAsia="仿宋_GB2312" w:hAnsi="仿宋_GB2312" w:cs="仿宋_GB2312" w:hint="eastAsia"/>
          <w:spacing w:val="-6"/>
          <w:sz w:val="32"/>
          <w:szCs w:val="32"/>
        </w:rPr>
        <w:t>产品产业园工业污水处理厂运营补贴及5户企业拆迁补偿等支出。</w:t>
      </w:r>
    </w:p>
    <w:p w:rsidR="004103E8" w:rsidRDefault="005E22AE" w:rsidP="005E22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4103E8">
        <w:rPr>
          <w:rFonts w:ascii="仿宋_GB2312" w:eastAsia="仿宋_GB2312" w:hAnsi="仿宋_GB2312" w:cs="仿宋_GB2312" w:hint="eastAsia"/>
          <w:sz w:val="32"/>
          <w:szCs w:val="32"/>
        </w:rPr>
        <w:t>基础设施建设方面。安排支出3048万元，重点用于经开区提升改造、园区道路建设、基础设施维护、维修等支出。</w:t>
      </w:r>
    </w:p>
    <w:p w:rsidR="004103E8" w:rsidRDefault="005E22AE" w:rsidP="004103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4103E8">
        <w:rPr>
          <w:rFonts w:ascii="仿宋_GB2312" w:eastAsia="仿宋_GB2312" w:hAnsi="仿宋_GB2312" w:cs="仿宋_GB2312" w:hint="eastAsia"/>
          <w:sz w:val="32"/>
          <w:szCs w:val="32"/>
        </w:rPr>
        <w:t>园林绿化管理方面。安排支出301万元, 重点用于园林绿化管护。</w:t>
      </w:r>
    </w:p>
    <w:p w:rsidR="004103E8" w:rsidRDefault="005E22AE" w:rsidP="004103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4103E8">
        <w:rPr>
          <w:rFonts w:ascii="仿宋_GB2312" w:eastAsia="仿宋_GB2312" w:hAnsi="仿宋_GB2312" w:cs="仿宋_GB2312" w:hint="eastAsia"/>
          <w:sz w:val="32"/>
          <w:szCs w:val="32"/>
        </w:rPr>
        <w:t>安排税收事业费210万元，主要用于支付临聘人员工资、社保费、取暖费、税收征管办案费。</w:t>
      </w:r>
    </w:p>
    <w:p w:rsidR="004103E8" w:rsidRDefault="005E22AE" w:rsidP="004103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4103E8">
        <w:rPr>
          <w:rFonts w:ascii="仿宋_GB2312" w:eastAsia="仿宋_GB2312" w:hAnsi="仿宋_GB2312" w:cs="仿宋_GB2312" w:hint="eastAsia"/>
          <w:sz w:val="32"/>
          <w:szCs w:val="32"/>
        </w:rPr>
        <w:t>应急管理方面，安排支出292万元，主要用于化工集中区安全平台建设、安全监管、应急预案、应急救援服务等支出。</w:t>
      </w:r>
    </w:p>
    <w:p w:rsidR="004103E8" w:rsidRDefault="005E22AE" w:rsidP="004103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4103E8">
        <w:rPr>
          <w:rFonts w:ascii="仿宋_GB2312" w:eastAsia="仿宋_GB2312" w:hAnsi="仿宋_GB2312" w:cs="仿宋_GB2312" w:hint="eastAsia"/>
          <w:sz w:val="32"/>
          <w:szCs w:val="32"/>
        </w:rPr>
        <w:t>教育费附加支出安排312万元。</w:t>
      </w:r>
    </w:p>
    <w:p w:rsidR="004103E8" w:rsidRDefault="005E22AE" w:rsidP="004103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sidR="004103E8">
        <w:rPr>
          <w:rFonts w:ascii="仿宋_GB2312" w:eastAsia="仿宋_GB2312" w:hAnsi="仿宋_GB2312" w:cs="仿宋_GB2312" w:hint="eastAsia"/>
          <w:sz w:val="32"/>
          <w:szCs w:val="32"/>
        </w:rPr>
        <w:t>残疾人保障金支出安排50万元。</w:t>
      </w:r>
    </w:p>
    <w:p w:rsidR="004103E8" w:rsidRDefault="005E22AE" w:rsidP="004103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sidR="004103E8">
        <w:rPr>
          <w:rFonts w:ascii="仿宋_GB2312" w:eastAsia="仿宋_GB2312" w:hAnsi="仿宋_GB2312" w:cs="仿宋_GB2312" w:hint="eastAsia"/>
          <w:sz w:val="32"/>
          <w:szCs w:val="32"/>
        </w:rPr>
        <w:t>安排预备费150万元。</w:t>
      </w:r>
    </w:p>
    <w:p w:rsidR="00CA7271" w:rsidRPr="00CA7271" w:rsidRDefault="005E22AE" w:rsidP="00CA7271">
      <w:pPr>
        <w:pStyle w:val="6"/>
        <w:ind w:firstLineChars="200" w:firstLine="643"/>
        <w:rPr>
          <w:rFonts w:ascii="仿宋_GB2312" w:eastAsia="仿宋_GB2312" w:hAnsi="仿宋_GB2312" w:cs="仿宋_GB2312"/>
          <w:sz w:val="32"/>
          <w:szCs w:val="32"/>
        </w:rPr>
      </w:pPr>
      <w:r w:rsidRPr="005E22AE">
        <w:rPr>
          <w:rFonts w:ascii="楷体_GB2312" w:eastAsia="楷体_GB2312" w:hAnsi="仿宋_GB2312" w:cs="仿宋_GB2312" w:hint="eastAsia"/>
          <w:b/>
          <w:sz w:val="32"/>
          <w:szCs w:val="32"/>
        </w:rPr>
        <w:t>（二）</w:t>
      </w:r>
      <w:r w:rsidR="004103E8" w:rsidRPr="005E22AE">
        <w:rPr>
          <w:rFonts w:ascii="楷体_GB2312" w:eastAsia="楷体_GB2312" w:hAnsi="仿宋_GB2312" w:cs="仿宋_GB2312" w:hint="eastAsia"/>
          <w:b/>
          <w:sz w:val="32"/>
          <w:szCs w:val="32"/>
        </w:rPr>
        <w:t>政府性基金预算</w:t>
      </w:r>
      <w:r w:rsidRPr="005E22AE">
        <w:rPr>
          <w:rFonts w:ascii="楷体_GB2312" w:eastAsia="楷体_GB2312" w:hAnsi="仿宋_GB2312" w:cs="仿宋_GB2312" w:hint="eastAsia"/>
          <w:b/>
          <w:sz w:val="32"/>
          <w:szCs w:val="32"/>
        </w:rPr>
        <w:t>。</w:t>
      </w:r>
      <w:r w:rsidR="00CA7271" w:rsidRPr="00CA7271">
        <w:rPr>
          <w:rFonts w:ascii="仿宋_GB2312" w:eastAsia="仿宋_GB2312" w:hAnsi="仿宋_GB2312" w:cs="仿宋_GB2312" w:hint="eastAsia"/>
          <w:sz w:val="32"/>
          <w:szCs w:val="32"/>
        </w:rPr>
        <w:t>预计收入6218</w:t>
      </w:r>
      <w:r w:rsidR="006168A4">
        <w:rPr>
          <w:rFonts w:ascii="仿宋_GB2312" w:eastAsia="仿宋_GB2312" w:hAnsi="仿宋_GB2312" w:cs="仿宋_GB2312" w:hint="eastAsia"/>
          <w:sz w:val="32"/>
          <w:szCs w:val="32"/>
        </w:rPr>
        <w:t>万</w:t>
      </w:r>
      <w:r w:rsidR="00CA7271" w:rsidRPr="00CA7271">
        <w:rPr>
          <w:rFonts w:ascii="仿宋_GB2312" w:eastAsia="仿宋_GB2312" w:hAnsi="仿宋_GB2312" w:cs="仿宋_GB2312" w:hint="eastAsia"/>
          <w:sz w:val="32"/>
          <w:szCs w:val="32"/>
        </w:rPr>
        <w:t>元，加稳定调节</w:t>
      </w:r>
      <w:r w:rsidR="00CA7271" w:rsidRPr="00CA7271">
        <w:rPr>
          <w:rFonts w:ascii="仿宋_GB2312" w:eastAsia="仿宋_GB2312" w:hAnsi="仿宋_GB2312" w:cs="仿宋_GB2312" w:hint="eastAsia"/>
          <w:sz w:val="32"/>
          <w:szCs w:val="32"/>
        </w:rPr>
        <w:lastRenderedPageBreak/>
        <w:t>基金1357万元，减去调入一般公共预算收入4000万元后，政府性基金预算可安排支出3575万元。按照收支平衡的原则，相应安排支出3575万元，主要用于支付地方政府专项债券利息、园区基础设施建设及征地补偿等。</w:t>
      </w:r>
    </w:p>
    <w:p w:rsidR="004103E8" w:rsidRPr="004103E8" w:rsidRDefault="004103E8" w:rsidP="00CA7271">
      <w:pPr>
        <w:pStyle w:val="6"/>
        <w:spacing w:line="560" w:lineRule="exact"/>
        <w:ind w:firstLineChars="200" w:firstLine="640"/>
        <w:rPr>
          <w:rFonts w:ascii="黑体" w:eastAsia="黑体" w:hAnsi="黑体" w:cs="仿宋_GB2312"/>
          <w:sz w:val="32"/>
          <w:szCs w:val="32"/>
        </w:rPr>
      </w:pPr>
      <w:r w:rsidRPr="004103E8">
        <w:rPr>
          <w:rFonts w:ascii="黑体" w:eastAsia="黑体" w:hAnsi="黑体" w:cs="仿宋_GB2312" w:hint="eastAsia"/>
          <w:sz w:val="32"/>
          <w:szCs w:val="32"/>
        </w:rPr>
        <w:t>四、2023年重点工作</w:t>
      </w:r>
    </w:p>
    <w:p w:rsidR="004103E8" w:rsidRDefault="004103E8" w:rsidP="004103E8">
      <w:pPr>
        <w:pStyle w:val="a5"/>
        <w:widowControl/>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年，全年力争完成地区生产总值180亿元、同比增长16%，工业总产值203亿元、同比增长13%，工业增加值60亿元、同比增长12%（统筹园区发展数据）。其中，经开区力争完成地区生产总值达到138亿元、同比增长20%，工业总产值152亿元、同比增长13.5%，工业增加值24.5亿元、同比增长18%，税收6.4亿元、同比增长9%，固定资产投资33亿元、同比增长61%。</w:t>
      </w:r>
      <w:r>
        <w:rPr>
          <w:rFonts w:ascii="仿宋_GB2312" w:eastAsia="仿宋_GB2312" w:hAnsi="仿宋_GB2312" w:cs="仿宋_GB2312"/>
          <w:sz w:val="32"/>
          <w:szCs w:val="32"/>
        </w:rPr>
        <w:t>围绕以上</w:t>
      </w:r>
      <w:r>
        <w:rPr>
          <w:rFonts w:ascii="仿宋_GB2312" w:eastAsia="仿宋_GB2312" w:hAnsi="仿宋_GB2312" w:cs="仿宋_GB2312" w:hint="eastAsia"/>
          <w:sz w:val="32"/>
          <w:szCs w:val="32"/>
        </w:rPr>
        <w:t>思路和</w:t>
      </w:r>
      <w:r>
        <w:rPr>
          <w:rFonts w:ascii="仿宋_GB2312" w:eastAsia="仿宋_GB2312" w:hAnsi="仿宋_GB2312" w:cs="仿宋_GB2312"/>
          <w:sz w:val="32"/>
          <w:szCs w:val="32"/>
        </w:rPr>
        <w:t>目标，</w:t>
      </w:r>
      <w:r>
        <w:rPr>
          <w:rFonts w:ascii="仿宋_GB2312" w:eastAsia="仿宋_GB2312" w:hAnsi="仿宋_GB2312" w:cs="仿宋_GB2312" w:hint="eastAsia"/>
          <w:sz w:val="32"/>
          <w:szCs w:val="32"/>
        </w:rPr>
        <w:t>重点做好</w:t>
      </w:r>
      <w:r>
        <w:rPr>
          <w:rFonts w:ascii="仿宋_GB2312" w:eastAsia="仿宋_GB2312" w:hAnsi="仿宋_GB2312" w:cs="仿宋_GB2312"/>
          <w:sz w:val="32"/>
          <w:szCs w:val="32"/>
        </w:rPr>
        <w:t>以下具体工作。</w:t>
      </w:r>
    </w:p>
    <w:p w:rsidR="004103E8" w:rsidRDefault="004103E8" w:rsidP="004103E8">
      <w:pPr>
        <w:spacing w:line="560" w:lineRule="exact"/>
        <w:ind w:firstLineChars="200" w:firstLine="643"/>
        <w:rPr>
          <w:rFonts w:ascii="仿宋_GB2312" w:eastAsia="仿宋_GB2312" w:hAnsi="仿宋_GB2312" w:cs="仿宋_GB2312"/>
          <w:sz w:val="32"/>
          <w:szCs w:val="32"/>
        </w:rPr>
      </w:pPr>
      <w:r w:rsidRPr="004103E8">
        <w:rPr>
          <w:rFonts w:ascii="楷体_GB2312" w:eastAsia="楷体_GB2312" w:hAnsi="楷体_GB2312" w:cs="楷体_GB2312" w:hint="eastAsia"/>
          <w:b/>
          <w:bCs/>
          <w:sz w:val="32"/>
          <w:szCs w:val="32"/>
        </w:rPr>
        <w:t>一是抓好招商引资，增强发展后劲。</w:t>
      </w:r>
      <w:r>
        <w:rPr>
          <w:rFonts w:ascii="仿宋_GB2312" w:eastAsia="仿宋_GB2312" w:hAnsi="仿宋_GB2312" w:cs="仿宋_GB2312" w:hint="eastAsia"/>
          <w:sz w:val="32"/>
          <w:szCs w:val="32"/>
        </w:rPr>
        <w:t>围绕全省打造河西走廊新能源新材料产业集聚带及全市创建全国氢能示范城市工作部署，加快推进新能源和氢能零碳产业园协同项目建设进度，加强园区间合作共建，全力做好“兰洽会、投洽会”签约项目的对接落地，紧盯投资60亿元龙源电力张掖碳中和产业基地一期、投资71亿元甘电投张掖发电公司燃煤机组扩建工程、投资20亿元上海电气风电集团碳纤维基地、投资6.4亿元甘电投张掖中央政府煤炭储备基地、投资3.35亿元中昕城市智能制造及环保装备产业园、投资3亿元锐利新能源</w:t>
      </w:r>
      <w:r>
        <w:rPr>
          <w:rFonts w:ascii="仿宋_GB2312" w:eastAsia="仿宋_GB2312" w:hAnsi="仿宋_GB2312" w:cs="仿宋_GB2312"/>
          <w:sz w:val="32"/>
          <w:szCs w:val="32"/>
        </w:rPr>
        <w:t>平山湖风电制氢合成氨一体化</w:t>
      </w:r>
      <w:r>
        <w:rPr>
          <w:rFonts w:ascii="仿宋_GB2312" w:eastAsia="仿宋_GB2312" w:hAnsi="仿宋_GB2312" w:cs="仿宋_GB2312" w:hint="eastAsia"/>
          <w:sz w:val="32"/>
          <w:szCs w:val="32"/>
        </w:rPr>
        <w:t>等重点项目，确保全年引进项目28个以上，完成到位资金26.5亿</w:t>
      </w:r>
      <w:r>
        <w:rPr>
          <w:rFonts w:ascii="仿宋_GB2312" w:eastAsia="仿宋_GB2312" w:hAnsi="仿宋_GB2312" w:cs="仿宋_GB2312" w:hint="eastAsia"/>
          <w:sz w:val="32"/>
          <w:szCs w:val="32"/>
        </w:rPr>
        <w:lastRenderedPageBreak/>
        <w:t>元。</w:t>
      </w:r>
    </w:p>
    <w:p w:rsidR="004103E8" w:rsidRDefault="004103E8" w:rsidP="004103E8">
      <w:pPr>
        <w:spacing w:line="560" w:lineRule="exact"/>
        <w:ind w:firstLineChars="200" w:firstLine="643"/>
        <w:rPr>
          <w:rFonts w:ascii="仿宋_GB2312" w:eastAsia="仿宋_GB2312" w:hAnsi="仿宋_GB2312" w:cs="仿宋_GB2312"/>
          <w:sz w:val="32"/>
          <w:szCs w:val="32"/>
        </w:rPr>
      </w:pPr>
      <w:r w:rsidRPr="004103E8">
        <w:rPr>
          <w:rFonts w:ascii="楷体_GB2312" w:eastAsia="楷体_GB2312" w:hAnsi="楷体_GB2312" w:cs="楷体_GB2312" w:hint="eastAsia"/>
          <w:b/>
          <w:bCs/>
          <w:sz w:val="32"/>
          <w:szCs w:val="32"/>
        </w:rPr>
        <w:t>二是抓好项目建设，增强发展动能。</w:t>
      </w:r>
      <w:r>
        <w:rPr>
          <w:rFonts w:ascii="仿宋_GB2312" w:eastAsia="仿宋_GB2312" w:hAnsi="仿宋_GB2312" w:cs="仿宋_GB2312" w:hint="eastAsia"/>
          <w:sz w:val="32"/>
          <w:szCs w:val="32"/>
        </w:rPr>
        <w:t>扎实落实重大项目领导挂项责任制度和项目专班服务工作制度，加大项目储备力度，编制完善“三个清单”，2023年计划投资项目110项。其中，新建项目28项，总投资113亿元，2023年计划完成投资20亿元；续建项目21项，总投资73.45亿元，2023年计划完成投资13.04亿元；前期项目14项，预计总投资192亿元。2023年谋划储备项目47项，预计总投资630亿元。</w:t>
      </w:r>
    </w:p>
    <w:p w:rsidR="004103E8" w:rsidRDefault="004103E8" w:rsidP="004103E8">
      <w:pPr>
        <w:spacing w:line="560" w:lineRule="exact"/>
        <w:ind w:firstLineChars="200" w:firstLine="643"/>
        <w:rPr>
          <w:rFonts w:ascii="仿宋_GB2312" w:eastAsia="仿宋_GB2312" w:hAnsi="仿宋_GB2312" w:cs="仿宋_GB2312"/>
          <w:sz w:val="32"/>
          <w:szCs w:val="32"/>
        </w:rPr>
      </w:pPr>
      <w:r w:rsidRPr="004103E8">
        <w:rPr>
          <w:rFonts w:ascii="楷体_GB2312" w:eastAsia="楷体_GB2312" w:hAnsi="楷体_GB2312" w:cs="楷体_GB2312" w:hint="eastAsia"/>
          <w:b/>
          <w:bCs/>
          <w:sz w:val="32"/>
          <w:szCs w:val="32"/>
        </w:rPr>
        <w:t>三是抓好设施配套，增强要素保障。</w:t>
      </w:r>
      <w:r>
        <w:rPr>
          <w:rFonts w:ascii="仿宋_GB2312" w:eastAsia="仿宋_GB2312" w:hAnsi="仿宋_GB2312" w:cs="仿宋_GB2312" w:hint="eastAsia"/>
          <w:sz w:val="32"/>
          <w:szCs w:val="32"/>
        </w:rPr>
        <w:t>计划投资4205万元实施生态科技产业园甘绿路、北二路、科技路等7条道路提升改造工程；投资2630万元完成循环经济示范园经六西路、经三路、经四路跨平易河中桥及经三路、经四路断头路新建工程；投资2000万元实施生态科技产业园焉支西路东段和农产品产业园苏水路、泽弯路10.4公里道路绿化工程；协调市水投公司完成投资2.76亿元的循环经济示范园供水厂项目，协调区水务局实施农产品产业园供水厂扩建工程项目，争取投资5863万元的生态科技产业园供汽管道工程、投资1.16亿元的循环经济示范园供热项目投入运行。</w:t>
      </w:r>
    </w:p>
    <w:p w:rsidR="004103E8" w:rsidRDefault="004103E8" w:rsidP="004103E8">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四是抓好产业培育，增强发展基础。</w:t>
      </w:r>
      <w:r>
        <w:rPr>
          <w:rFonts w:ascii="仿宋_GB2312" w:eastAsia="仿宋_GB2312" w:hAnsi="仿宋_GB2312" w:cs="仿宋_GB2312" w:hint="eastAsia"/>
          <w:sz w:val="32"/>
          <w:szCs w:val="32"/>
        </w:rPr>
        <w:t>有序推进园区循环化改造，一对一精准帮助企业解决产品销售、原材料采购、生产经营等方面困难和问题，全面激发企业内生动能，争取培育产值超10亿元企业1户、超5亿元企业2户、超2亿元企业5户、超1</w:t>
      </w:r>
      <w:r>
        <w:rPr>
          <w:rFonts w:ascii="仿宋_GB2312" w:eastAsia="仿宋_GB2312" w:hAnsi="仿宋_GB2312" w:cs="仿宋_GB2312" w:hint="eastAsia"/>
          <w:sz w:val="32"/>
          <w:szCs w:val="32"/>
        </w:rPr>
        <w:lastRenderedPageBreak/>
        <w:t>亿元企业5户、规上企业6户、高新技术企业7户、专精特新“小巨人”企业2户。</w:t>
      </w:r>
    </w:p>
    <w:p w:rsidR="004103E8" w:rsidRDefault="004103E8" w:rsidP="004103E8">
      <w:pPr>
        <w:autoSpaceDE w:val="0"/>
        <w:autoSpaceDN w:val="0"/>
        <w:adjustRightInd w:val="0"/>
        <w:spacing w:line="560" w:lineRule="exact"/>
        <w:ind w:firstLineChars="196" w:firstLine="630"/>
        <w:rPr>
          <w:rFonts w:ascii="仿宋_GB2312" w:eastAsia="仿宋_GB2312" w:hAnsiTheme="minorHAnsi" w:cstheme="minorBidi"/>
          <w:spacing w:val="4"/>
          <w:sz w:val="32"/>
          <w:szCs w:val="32"/>
        </w:rPr>
      </w:pPr>
      <w:r w:rsidRPr="004103E8">
        <w:rPr>
          <w:rFonts w:ascii="楷体_GB2312" w:eastAsia="楷体_GB2312" w:hAnsi="楷体_GB2312" w:cs="楷体_GB2312" w:hint="eastAsia"/>
          <w:b/>
          <w:bCs/>
          <w:sz w:val="32"/>
          <w:szCs w:val="32"/>
        </w:rPr>
        <w:t>五是抓好改革创新，增强发展质效。</w:t>
      </w:r>
      <w:r>
        <w:rPr>
          <w:rFonts w:ascii="仿宋_GB2312" w:eastAsia="仿宋_GB2312" w:hAnsi="楷体_GB2312" w:cs="楷体_GB2312" w:hint="eastAsia"/>
          <w:snapToGrid w:val="0"/>
          <w:kern w:val="0"/>
          <w:sz w:val="32"/>
          <w:szCs w:val="32"/>
        </w:rPr>
        <w:t>持续深化“一张蓝图把控+区域评估”“标准地”“承诺制”“亩均效益”综合评价及“保姆式”全过程帮办代办制联合服务新模式，完善提前介入机制，及时解决项目落地要素保障问题，简化审批流程，缩减审批时限，提升“一站式”政务服务水平，千方百计惠企纾困。抓好国家级经开区综评考核，全力擦亮“国家级”经开区金字招牌，引领带动全市工业经济加速突破发展。</w:t>
      </w:r>
    </w:p>
    <w:p w:rsidR="001E0BB1" w:rsidRPr="004103E8" w:rsidRDefault="001E0BB1" w:rsidP="004103E8">
      <w:pPr>
        <w:pStyle w:val="2"/>
        <w:spacing w:after="0" w:line="560" w:lineRule="exact"/>
        <w:ind w:leftChars="0" w:left="0" w:firstLineChars="200" w:firstLine="656"/>
        <w:rPr>
          <w:rFonts w:ascii="仿宋_GB2312" w:eastAsia="仿宋_GB2312" w:hAnsi="Calibri"/>
          <w:spacing w:val="4"/>
          <w:sz w:val="32"/>
          <w:szCs w:val="32"/>
        </w:rPr>
      </w:pPr>
    </w:p>
    <w:sectPr w:rsidR="001E0BB1" w:rsidRPr="004103E8" w:rsidSect="004103E8">
      <w:headerReference w:type="default" r:id="rId8"/>
      <w:footerReference w:type="default" r:id="rId9"/>
      <w:pgSz w:w="11906" w:h="16838"/>
      <w:pgMar w:top="2098" w:right="1474" w:bottom="1814" w:left="1588" w:header="851" w:footer="1304" w:gutter="0"/>
      <w:pgNumType w:fmt="numberInDash" w:start="4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92B" w:rsidRDefault="008B592B" w:rsidP="001E0BB1">
      <w:r>
        <w:separator/>
      </w:r>
    </w:p>
  </w:endnote>
  <w:endnote w:type="continuationSeparator" w:id="1">
    <w:p w:rsidR="008B592B" w:rsidRDefault="008B592B" w:rsidP="001E0B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3E8" w:rsidRPr="004103E8" w:rsidRDefault="00DF3262">
    <w:pPr>
      <w:pStyle w:val="a3"/>
      <w:jc w:val="center"/>
      <w:rPr>
        <w:rFonts w:asciiTheme="majorEastAsia" w:eastAsiaTheme="majorEastAsia" w:hAnsiTheme="majorEastAsia"/>
        <w:sz w:val="28"/>
        <w:szCs w:val="28"/>
      </w:rPr>
    </w:pPr>
    <w:r w:rsidRPr="004103E8">
      <w:rPr>
        <w:rFonts w:asciiTheme="majorEastAsia" w:eastAsiaTheme="majorEastAsia" w:hAnsiTheme="majorEastAsia"/>
        <w:sz w:val="28"/>
        <w:szCs w:val="28"/>
      </w:rPr>
      <w:fldChar w:fldCharType="begin"/>
    </w:r>
    <w:r w:rsidR="004103E8" w:rsidRPr="004103E8">
      <w:rPr>
        <w:rFonts w:asciiTheme="majorEastAsia" w:eastAsiaTheme="majorEastAsia" w:hAnsiTheme="majorEastAsia"/>
        <w:sz w:val="28"/>
        <w:szCs w:val="28"/>
      </w:rPr>
      <w:instrText xml:space="preserve"> PAGE   \* MERGEFORMAT </w:instrText>
    </w:r>
    <w:r w:rsidRPr="004103E8">
      <w:rPr>
        <w:rFonts w:asciiTheme="majorEastAsia" w:eastAsiaTheme="majorEastAsia" w:hAnsiTheme="majorEastAsia"/>
        <w:sz w:val="28"/>
        <w:szCs w:val="28"/>
      </w:rPr>
      <w:fldChar w:fldCharType="separate"/>
    </w:r>
    <w:r w:rsidR="006168A4" w:rsidRPr="006168A4">
      <w:rPr>
        <w:rFonts w:asciiTheme="majorEastAsia" w:eastAsiaTheme="majorEastAsia" w:hAnsiTheme="majorEastAsia"/>
        <w:noProof/>
        <w:sz w:val="28"/>
        <w:szCs w:val="28"/>
        <w:lang w:val="zh-CN"/>
      </w:rPr>
      <w:t>-</w:t>
    </w:r>
    <w:r w:rsidR="006168A4">
      <w:rPr>
        <w:rFonts w:asciiTheme="majorEastAsia" w:eastAsiaTheme="majorEastAsia" w:hAnsiTheme="majorEastAsia"/>
        <w:noProof/>
        <w:sz w:val="28"/>
        <w:szCs w:val="28"/>
      </w:rPr>
      <w:t xml:space="preserve"> 45 -</w:t>
    </w:r>
    <w:r w:rsidRPr="004103E8">
      <w:rPr>
        <w:rFonts w:asciiTheme="majorEastAsia" w:eastAsiaTheme="majorEastAsia" w:hAnsiTheme="majorEastAsia"/>
        <w:sz w:val="28"/>
        <w:szCs w:val="28"/>
      </w:rPr>
      <w:fldChar w:fldCharType="end"/>
    </w:r>
  </w:p>
  <w:p w:rsidR="001E0BB1" w:rsidRDefault="001E0BB1">
    <w:pPr>
      <w:pStyle w:val="a3"/>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92B" w:rsidRDefault="008B592B" w:rsidP="001E0BB1">
      <w:r>
        <w:separator/>
      </w:r>
    </w:p>
  </w:footnote>
  <w:footnote w:type="continuationSeparator" w:id="1">
    <w:p w:rsidR="008B592B" w:rsidRDefault="008B592B" w:rsidP="001E0B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BB1" w:rsidRDefault="001E0BB1">
    <w:pPr>
      <w:pStyle w:val="a4"/>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69C3A"/>
    <w:multiLevelType w:val="singleLevel"/>
    <w:tmpl w:val="99069C3A"/>
    <w:lvl w:ilvl="0">
      <w:start w:val="1"/>
      <w:numFmt w:val="chineseCounting"/>
      <w:suff w:val="nothing"/>
      <w:lvlText w:val="%1、"/>
      <w:lvlJc w:val="left"/>
      <w:rPr>
        <w:rFonts w:hint="eastAsia"/>
      </w:rPr>
    </w:lvl>
  </w:abstractNum>
  <w:abstractNum w:abstractNumId="1">
    <w:nsid w:val="42570E4F"/>
    <w:multiLevelType w:val="singleLevel"/>
    <w:tmpl w:val="42570E4F"/>
    <w:lvl w:ilvl="0">
      <w:start w:val="1"/>
      <w:numFmt w:val="decimal"/>
      <w:lvlText w:val="%1."/>
      <w:lvlJc w:val="left"/>
      <w:pPr>
        <w:tabs>
          <w:tab w:val="left" w:pos="312"/>
        </w:tabs>
        <w:ind w:left="80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E89"/>
    <w:rsid w:val="000002DC"/>
    <w:rsid w:val="00002931"/>
    <w:rsid w:val="00016DCB"/>
    <w:rsid w:val="00020DF7"/>
    <w:rsid w:val="000237DF"/>
    <w:rsid w:val="00053586"/>
    <w:rsid w:val="000928FA"/>
    <w:rsid w:val="000A24D6"/>
    <w:rsid w:val="000E3341"/>
    <w:rsid w:val="000F0527"/>
    <w:rsid w:val="000F628B"/>
    <w:rsid w:val="000F76E4"/>
    <w:rsid w:val="0010455A"/>
    <w:rsid w:val="00174A33"/>
    <w:rsid w:val="00177D62"/>
    <w:rsid w:val="00180F5A"/>
    <w:rsid w:val="00190748"/>
    <w:rsid w:val="001C63E9"/>
    <w:rsid w:val="001E0BB1"/>
    <w:rsid w:val="001E40FE"/>
    <w:rsid w:val="001F124C"/>
    <w:rsid w:val="001F1CCE"/>
    <w:rsid w:val="00216ED9"/>
    <w:rsid w:val="00251FE6"/>
    <w:rsid w:val="002539EE"/>
    <w:rsid w:val="00260E4D"/>
    <w:rsid w:val="00280E59"/>
    <w:rsid w:val="002E2800"/>
    <w:rsid w:val="00324503"/>
    <w:rsid w:val="0032541E"/>
    <w:rsid w:val="00347733"/>
    <w:rsid w:val="00365FCD"/>
    <w:rsid w:val="00396FEE"/>
    <w:rsid w:val="003970FF"/>
    <w:rsid w:val="003B33C2"/>
    <w:rsid w:val="00402479"/>
    <w:rsid w:val="004103E8"/>
    <w:rsid w:val="00414D59"/>
    <w:rsid w:val="004220BD"/>
    <w:rsid w:val="004635E5"/>
    <w:rsid w:val="00473D9E"/>
    <w:rsid w:val="00496FE0"/>
    <w:rsid w:val="004C1125"/>
    <w:rsid w:val="00512169"/>
    <w:rsid w:val="00513E9E"/>
    <w:rsid w:val="005369A1"/>
    <w:rsid w:val="005A3C82"/>
    <w:rsid w:val="005A7A31"/>
    <w:rsid w:val="005D295A"/>
    <w:rsid w:val="005E22AE"/>
    <w:rsid w:val="006168A4"/>
    <w:rsid w:val="00620193"/>
    <w:rsid w:val="00690C55"/>
    <w:rsid w:val="006B3183"/>
    <w:rsid w:val="006B57EF"/>
    <w:rsid w:val="006C35C1"/>
    <w:rsid w:val="006C38BA"/>
    <w:rsid w:val="006E2CF1"/>
    <w:rsid w:val="006F045A"/>
    <w:rsid w:val="00740DE0"/>
    <w:rsid w:val="00754E89"/>
    <w:rsid w:val="00775AFC"/>
    <w:rsid w:val="007775AF"/>
    <w:rsid w:val="007C42C7"/>
    <w:rsid w:val="007D17AF"/>
    <w:rsid w:val="007D7D42"/>
    <w:rsid w:val="00801F58"/>
    <w:rsid w:val="00826659"/>
    <w:rsid w:val="00826A7C"/>
    <w:rsid w:val="00850E66"/>
    <w:rsid w:val="00852E29"/>
    <w:rsid w:val="0087182E"/>
    <w:rsid w:val="00871ADA"/>
    <w:rsid w:val="008B592B"/>
    <w:rsid w:val="008C70FD"/>
    <w:rsid w:val="008C7A48"/>
    <w:rsid w:val="008E2F9E"/>
    <w:rsid w:val="00941111"/>
    <w:rsid w:val="00960C98"/>
    <w:rsid w:val="009750D1"/>
    <w:rsid w:val="00987E89"/>
    <w:rsid w:val="009A09CE"/>
    <w:rsid w:val="009E2F6D"/>
    <w:rsid w:val="009F0D71"/>
    <w:rsid w:val="00A132CB"/>
    <w:rsid w:val="00A31CFD"/>
    <w:rsid w:val="00A372C7"/>
    <w:rsid w:val="00A83B0F"/>
    <w:rsid w:val="00AB6579"/>
    <w:rsid w:val="00AB6E28"/>
    <w:rsid w:val="00B05B35"/>
    <w:rsid w:val="00B05B91"/>
    <w:rsid w:val="00B13963"/>
    <w:rsid w:val="00B36C0E"/>
    <w:rsid w:val="00B56323"/>
    <w:rsid w:val="00BD61F2"/>
    <w:rsid w:val="00C154F2"/>
    <w:rsid w:val="00C301A5"/>
    <w:rsid w:val="00C31678"/>
    <w:rsid w:val="00C36E5B"/>
    <w:rsid w:val="00C5161A"/>
    <w:rsid w:val="00C72DD9"/>
    <w:rsid w:val="00C92A4B"/>
    <w:rsid w:val="00C93CAB"/>
    <w:rsid w:val="00C940E1"/>
    <w:rsid w:val="00CA5BA0"/>
    <w:rsid w:val="00CA7271"/>
    <w:rsid w:val="00CE19E0"/>
    <w:rsid w:val="00CE5765"/>
    <w:rsid w:val="00D3315E"/>
    <w:rsid w:val="00D64329"/>
    <w:rsid w:val="00D735E2"/>
    <w:rsid w:val="00DD5465"/>
    <w:rsid w:val="00DF3262"/>
    <w:rsid w:val="00DF7D7A"/>
    <w:rsid w:val="00F1536E"/>
    <w:rsid w:val="00F325C0"/>
    <w:rsid w:val="00F51087"/>
    <w:rsid w:val="00F774A2"/>
    <w:rsid w:val="00F87229"/>
    <w:rsid w:val="00F943EC"/>
    <w:rsid w:val="00FA16E5"/>
    <w:rsid w:val="00FC51E2"/>
    <w:rsid w:val="00FD1ABB"/>
    <w:rsid w:val="00FF262C"/>
    <w:rsid w:val="022D3CD0"/>
    <w:rsid w:val="0BE932E7"/>
    <w:rsid w:val="0DEA0479"/>
    <w:rsid w:val="0E420E0E"/>
    <w:rsid w:val="0EED03C3"/>
    <w:rsid w:val="20A37613"/>
    <w:rsid w:val="266C303E"/>
    <w:rsid w:val="2E412E03"/>
    <w:rsid w:val="30ED4EF1"/>
    <w:rsid w:val="32192170"/>
    <w:rsid w:val="34056102"/>
    <w:rsid w:val="34E6283D"/>
    <w:rsid w:val="35795D1F"/>
    <w:rsid w:val="394910A9"/>
    <w:rsid w:val="3BA46AC3"/>
    <w:rsid w:val="3FFB7510"/>
    <w:rsid w:val="40B3491A"/>
    <w:rsid w:val="41300C9D"/>
    <w:rsid w:val="422F5A9D"/>
    <w:rsid w:val="43DE6A6B"/>
    <w:rsid w:val="43FD725B"/>
    <w:rsid w:val="478704A5"/>
    <w:rsid w:val="4C0D42BA"/>
    <w:rsid w:val="4CBB35AF"/>
    <w:rsid w:val="4E9F0F35"/>
    <w:rsid w:val="4EC37A96"/>
    <w:rsid w:val="50CB2C50"/>
    <w:rsid w:val="5A626588"/>
    <w:rsid w:val="5DC5365C"/>
    <w:rsid w:val="5EE90C6B"/>
    <w:rsid w:val="650A7F98"/>
    <w:rsid w:val="66693125"/>
    <w:rsid w:val="7BFD5CBE"/>
    <w:rsid w:val="7F0867D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locked="1"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uiPriority="0" w:unhideWhenUsed="0" w:qFormat="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unhideWhenUsed="0"/>
    <w:lsdException w:name="footer"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unhideWhenUsed="0"/>
    <w:lsdException w:name="FollowedHyperlink" w:unhideWhenUsed="0"/>
    <w:lsdException w:name="Strong" w:semiHidden="0" w:uiPriority="0" w:unhideWhenUsed="0" w:qFormat="1"/>
    <w:lsdException w:name="Emphasis" w:locked="1" w:semiHidden="0" w:unhideWhenUsed="0" w:qFormat="1"/>
    <w:lsdException w:name="Document Map" w:locked="1"/>
    <w:lsdException w:name="Plain Text" w:locked="1"/>
    <w:lsdException w:name="E-mail Signature" w:locked="1"/>
    <w:lsdException w:name="Normal (Web)"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E0BB1"/>
    <w:pPr>
      <w:widowControl w:val="0"/>
      <w:jc w:val="both"/>
    </w:pPr>
    <w:rPr>
      <w:kern w:val="2"/>
      <w:sz w:val="21"/>
      <w:szCs w:val="21"/>
    </w:rPr>
  </w:style>
  <w:style w:type="paragraph" w:styleId="3">
    <w:name w:val="heading 3"/>
    <w:basedOn w:val="a"/>
    <w:next w:val="a"/>
    <w:link w:val="3Char"/>
    <w:uiPriority w:val="99"/>
    <w:qFormat/>
    <w:locked/>
    <w:rsid w:val="001E0BB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link w:val="2Char"/>
    <w:uiPriority w:val="99"/>
    <w:qFormat/>
    <w:rsid w:val="001E0BB1"/>
    <w:pPr>
      <w:spacing w:after="120" w:line="480" w:lineRule="auto"/>
      <w:ind w:leftChars="200" w:left="420"/>
    </w:pPr>
  </w:style>
  <w:style w:type="paragraph" w:styleId="6">
    <w:name w:val="index 6"/>
    <w:basedOn w:val="a"/>
    <w:next w:val="a"/>
    <w:qFormat/>
    <w:rsid w:val="001E0BB1"/>
  </w:style>
  <w:style w:type="paragraph" w:styleId="a3">
    <w:name w:val="footer"/>
    <w:basedOn w:val="a"/>
    <w:link w:val="Char"/>
    <w:uiPriority w:val="99"/>
    <w:rsid w:val="001E0BB1"/>
    <w:pPr>
      <w:tabs>
        <w:tab w:val="center" w:pos="4153"/>
        <w:tab w:val="right" w:pos="8306"/>
      </w:tabs>
      <w:snapToGrid w:val="0"/>
      <w:jc w:val="left"/>
    </w:pPr>
    <w:rPr>
      <w:rFonts w:ascii="Calibri" w:hAnsi="Calibri" w:cs="Calibri"/>
      <w:sz w:val="18"/>
      <w:szCs w:val="18"/>
    </w:rPr>
  </w:style>
  <w:style w:type="paragraph" w:styleId="a4">
    <w:name w:val="header"/>
    <w:basedOn w:val="a"/>
    <w:link w:val="Char0"/>
    <w:uiPriority w:val="99"/>
    <w:semiHidden/>
    <w:rsid w:val="001E0BB1"/>
    <w:pPr>
      <w:pBdr>
        <w:bottom w:val="single" w:sz="6" w:space="1" w:color="auto"/>
      </w:pBdr>
      <w:tabs>
        <w:tab w:val="center" w:pos="4153"/>
        <w:tab w:val="right" w:pos="8306"/>
      </w:tabs>
      <w:snapToGrid w:val="0"/>
      <w:jc w:val="center"/>
    </w:pPr>
    <w:rPr>
      <w:rFonts w:ascii="Calibri" w:hAnsi="Calibri" w:cs="Calibri"/>
      <w:sz w:val="18"/>
      <w:szCs w:val="18"/>
    </w:rPr>
  </w:style>
  <w:style w:type="paragraph" w:styleId="a5">
    <w:name w:val="Normal (Web)"/>
    <w:basedOn w:val="a"/>
    <w:uiPriority w:val="99"/>
    <w:semiHidden/>
    <w:qFormat/>
    <w:rsid w:val="001E0BB1"/>
    <w:pPr>
      <w:jc w:val="left"/>
    </w:pPr>
    <w:rPr>
      <w:kern w:val="0"/>
      <w:sz w:val="24"/>
      <w:szCs w:val="24"/>
    </w:rPr>
  </w:style>
  <w:style w:type="character" w:styleId="a6">
    <w:name w:val="page number"/>
    <w:basedOn w:val="a0"/>
    <w:uiPriority w:val="99"/>
    <w:locked/>
    <w:rsid w:val="001E0BB1"/>
  </w:style>
  <w:style w:type="character" w:styleId="a7">
    <w:name w:val="FollowedHyperlink"/>
    <w:basedOn w:val="a0"/>
    <w:uiPriority w:val="99"/>
    <w:semiHidden/>
    <w:rsid w:val="001E0BB1"/>
    <w:rPr>
      <w:color w:val="333333"/>
      <w:sz w:val="24"/>
      <w:szCs w:val="24"/>
      <w:u w:val="none"/>
    </w:rPr>
  </w:style>
  <w:style w:type="character" w:styleId="a8">
    <w:name w:val="Emphasis"/>
    <w:basedOn w:val="a0"/>
    <w:uiPriority w:val="99"/>
    <w:qFormat/>
    <w:locked/>
    <w:rsid w:val="001E0BB1"/>
    <w:rPr>
      <w:color w:val="333333"/>
      <w:sz w:val="24"/>
      <w:szCs w:val="24"/>
    </w:rPr>
  </w:style>
  <w:style w:type="character" w:styleId="a9">
    <w:name w:val="Hyperlink"/>
    <w:basedOn w:val="a0"/>
    <w:uiPriority w:val="99"/>
    <w:semiHidden/>
    <w:rsid w:val="001E0BB1"/>
    <w:rPr>
      <w:color w:val="333333"/>
      <w:u w:val="none"/>
    </w:rPr>
  </w:style>
  <w:style w:type="character" w:customStyle="1" w:styleId="3Char">
    <w:name w:val="标题 3 Char"/>
    <w:basedOn w:val="a0"/>
    <w:link w:val="3"/>
    <w:uiPriority w:val="99"/>
    <w:semiHidden/>
    <w:locked/>
    <w:rsid w:val="001E0BB1"/>
    <w:rPr>
      <w:rFonts w:ascii="Times New Roman" w:hAnsi="Times New Roman" w:cs="Times New Roman"/>
      <w:b/>
      <w:bCs/>
      <w:sz w:val="32"/>
      <w:szCs w:val="32"/>
    </w:rPr>
  </w:style>
  <w:style w:type="character" w:customStyle="1" w:styleId="2Char">
    <w:name w:val="正文文本缩进 2 Char"/>
    <w:basedOn w:val="a0"/>
    <w:link w:val="2"/>
    <w:uiPriority w:val="99"/>
    <w:semiHidden/>
    <w:locked/>
    <w:rsid w:val="001E0BB1"/>
    <w:rPr>
      <w:sz w:val="21"/>
      <w:szCs w:val="21"/>
    </w:rPr>
  </w:style>
  <w:style w:type="character" w:customStyle="1" w:styleId="Char">
    <w:name w:val="页脚 Char"/>
    <w:basedOn w:val="a0"/>
    <w:link w:val="a3"/>
    <w:uiPriority w:val="99"/>
    <w:locked/>
    <w:rsid w:val="001E0BB1"/>
    <w:rPr>
      <w:sz w:val="18"/>
      <w:szCs w:val="18"/>
    </w:rPr>
  </w:style>
  <w:style w:type="character" w:customStyle="1" w:styleId="Char0">
    <w:name w:val="页眉 Char"/>
    <w:basedOn w:val="a0"/>
    <w:link w:val="a4"/>
    <w:uiPriority w:val="99"/>
    <w:semiHidden/>
    <w:locked/>
    <w:rsid w:val="001E0BB1"/>
    <w:rPr>
      <w:sz w:val="18"/>
      <w:szCs w:val="18"/>
    </w:rPr>
  </w:style>
  <w:style w:type="paragraph" w:styleId="aa">
    <w:name w:val="List Paragraph"/>
    <w:basedOn w:val="a"/>
    <w:uiPriority w:val="99"/>
    <w:qFormat/>
    <w:rsid w:val="001E0BB1"/>
    <w:pPr>
      <w:ind w:firstLineChars="200" w:firstLine="420"/>
    </w:pPr>
  </w:style>
  <w:style w:type="character" w:customStyle="1" w:styleId="last-child1">
    <w:name w:val="last-child1"/>
    <w:basedOn w:val="a0"/>
    <w:uiPriority w:val="99"/>
    <w:rsid w:val="001E0BB1"/>
  </w:style>
  <w:style w:type="character" w:customStyle="1" w:styleId="hover18">
    <w:name w:val="hover18"/>
    <w:basedOn w:val="a0"/>
    <w:uiPriority w:val="99"/>
    <w:rsid w:val="001E0BB1"/>
  </w:style>
  <w:style w:type="character" w:customStyle="1" w:styleId="hover19">
    <w:name w:val="hover19"/>
    <w:basedOn w:val="a0"/>
    <w:uiPriority w:val="99"/>
    <w:qFormat/>
    <w:rsid w:val="001E0BB1"/>
    <w:rPr>
      <w:shd w:val="clear" w:color="auto" w:fill="auto"/>
    </w:rPr>
  </w:style>
  <w:style w:type="character" w:customStyle="1" w:styleId="hover20">
    <w:name w:val="hover20"/>
    <w:basedOn w:val="a0"/>
    <w:uiPriority w:val="99"/>
    <w:qFormat/>
    <w:rsid w:val="001E0BB1"/>
  </w:style>
  <w:style w:type="character" w:customStyle="1" w:styleId="not-follow">
    <w:name w:val="not-follow"/>
    <w:basedOn w:val="a0"/>
    <w:uiPriority w:val="99"/>
    <w:rsid w:val="001E0BB1"/>
    <w:rPr>
      <w:color w:val="FFFFFF"/>
      <w:shd w:val="clear" w:color="auto" w:fill="auto"/>
    </w:rPr>
  </w:style>
  <w:style w:type="character" w:customStyle="1" w:styleId="bg-gg-text">
    <w:name w:val="bg-gg-text"/>
    <w:basedOn w:val="a0"/>
    <w:uiPriority w:val="99"/>
    <w:rsid w:val="001E0BB1"/>
    <w:rPr>
      <w:color w:val="FFFFFF"/>
    </w:rPr>
  </w:style>
  <w:style w:type="character" w:customStyle="1" w:styleId="bg-gg-close">
    <w:name w:val="bg-gg-close"/>
    <w:basedOn w:val="a0"/>
    <w:uiPriority w:val="99"/>
    <w:rsid w:val="001E0BB1"/>
  </w:style>
  <w:style w:type="character" w:customStyle="1" w:styleId="before15">
    <w:name w:val="before15"/>
    <w:basedOn w:val="a0"/>
    <w:uiPriority w:val="99"/>
    <w:qFormat/>
    <w:rsid w:val="001E0BB1"/>
  </w:style>
  <w:style w:type="character" w:customStyle="1" w:styleId="after3">
    <w:name w:val="after3"/>
    <w:basedOn w:val="a0"/>
    <w:uiPriority w:val="99"/>
    <w:rsid w:val="001E0BB1"/>
  </w:style>
  <w:style w:type="character" w:customStyle="1" w:styleId="NormalCharacter">
    <w:name w:val="NormalCharacter"/>
    <w:uiPriority w:val="99"/>
    <w:semiHidden/>
    <w:rsid w:val="001E0BB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454</Words>
  <Characters>2592</Characters>
  <Application>Microsoft Office Word</Application>
  <DocSecurity>0</DocSecurity>
  <Lines>21</Lines>
  <Paragraphs>6</Paragraphs>
  <ScaleCrop>false</ScaleCrop>
  <Company>微软中国</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58</cp:revision>
  <cp:lastPrinted>2021-12-02T12:50:00Z</cp:lastPrinted>
  <dcterms:created xsi:type="dcterms:W3CDTF">2020-01-03T00:26:00Z</dcterms:created>
  <dcterms:modified xsi:type="dcterms:W3CDTF">2022-12-08T11:45:00Z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30E2386AC9B54D5490901A5B4991F1CD</vt:lpwstr>
  </property>
</Properties>
</file>