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70B" w:rsidRDefault="00A6470B" w:rsidP="00EB16D2">
      <w:pPr>
        <w:tabs>
          <w:tab w:val="left" w:pos="6971"/>
        </w:tabs>
        <w:spacing w:line="552" w:lineRule="exact"/>
        <w:jc w:val="center"/>
        <w:rPr>
          <w:rFonts w:ascii="方正小标宋简体" w:eastAsia="方正小标宋简体" w:hAnsi="宋体"/>
          <w:b/>
          <w:bCs/>
          <w:sz w:val="36"/>
          <w:szCs w:val="36"/>
        </w:rPr>
      </w:pPr>
    </w:p>
    <w:p w:rsidR="00F6769B" w:rsidRPr="00F6769B" w:rsidRDefault="00F6769B" w:rsidP="00EB16D2">
      <w:pPr>
        <w:pStyle w:val="6"/>
        <w:spacing w:line="552" w:lineRule="exact"/>
      </w:pPr>
    </w:p>
    <w:p w:rsidR="00A6470B" w:rsidRPr="001B6230" w:rsidRDefault="00F6769B" w:rsidP="00EB16D2">
      <w:pPr>
        <w:tabs>
          <w:tab w:val="left" w:pos="6971"/>
        </w:tabs>
        <w:spacing w:line="552" w:lineRule="exact"/>
        <w:jc w:val="center"/>
        <w:rPr>
          <w:rFonts w:ascii="方正小标宋简体" w:eastAsia="方正小标宋简体" w:hAnsi="仿宋" w:cs="方正小标宋简体"/>
          <w:bCs/>
          <w:sz w:val="36"/>
          <w:szCs w:val="36"/>
        </w:rPr>
      </w:pPr>
      <w:r w:rsidRPr="001B6230">
        <w:rPr>
          <w:rFonts w:ascii="方正小标宋简体" w:eastAsia="方正小标宋简体" w:hAnsi="仿宋" w:cs="方正小标宋简体" w:hint="eastAsia"/>
          <w:bCs/>
          <w:sz w:val="36"/>
          <w:szCs w:val="36"/>
        </w:rPr>
        <w:t>202</w:t>
      </w:r>
      <w:r w:rsidR="00A333E6" w:rsidRPr="001B6230">
        <w:rPr>
          <w:rFonts w:ascii="方正小标宋简体" w:eastAsia="方正小标宋简体" w:hAnsi="仿宋" w:cs="方正小标宋简体" w:hint="eastAsia"/>
          <w:bCs/>
          <w:sz w:val="36"/>
          <w:szCs w:val="36"/>
        </w:rPr>
        <w:t>1</w:t>
      </w:r>
      <w:r w:rsidRPr="001B6230">
        <w:rPr>
          <w:rFonts w:ascii="方正小标宋简体" w:eastAsia="方正小标宋简体" w:hAnsi="仿宋" w:cs="方正小标宋简体" w:hint="eastAsia"/>
          <w:bCs/>
          <w:sz w:val="36"/>
          <w:szCs w:val="36"/>
        </w:rPr>
        <w:t>年张掖经济技术开发区预算草案说明</w:t>
      </w:r>
    </w:p>
    <w:p w:rsidR="00A6470B" w:rsidRPr="00F6769B" w:rsidRDefault="00A6470B" w:rsidP="00EB16D2">
      <w:pPr>
        <w:spacing w:line="552" w:lineRule="exact"/>
        <w:rPr>
          <w:rFonts w:ascii="仿宋" w:eastAsia="仿宋" w:hAnsi="仿宋"/>
          <w:sz w:val="32"/>
          <w:szCs w:val="32"/>
        </w:rPr>
      </w:pPr>
    </w:p>
    <w:p w:rsidR="00A6470B" w:rsidRDefault="00F6769B" w:rsidP="00EB16D2">
      <w:pPr>
        <w:spacing w:line="552"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年是“十四五”规划开局之年,也是开启全面建设社会主义现代化国家新征程历史起点。深入贯彻新发展理念，加快构建新发展格局，推动“十四五”时期高质量发展，确保全面建设社会主义现代化国家开好局、起好步的关键之年，同时也是推动经开区经济社会高质量发展的关键之年，做好财政预算编制和财政工作十分重要。现将预算编制的指导思想、基本原则、安排建议等情况做简要说明。</w:t>
      </w:r>
    </w:p>
    <w:p w:rsidR="00A6470B" w:rsidRPr="00F6769B" w:rsidRDefault="00F6769B" w:rsidP="00EB16D2">
      <w:pPr>
        <w:spacing w:line="552" w:lineRule="exact"/>
        <w:ind w:firstLineChars="200" w:firstLine="640"/>
        <w:rPr>
          <w:rFonts w:ascii="黑体" w:eastAsia="黑体" w:hAnsi="黑体" w:cs="仿宋_GB2312"/>
          <w:kern w:val="0"/>
          <w:sz w:val="32"/>
          <w:szCs w:val="32"/>
        </w:rPr>
      </w:pPr>
      <w:r w:rsidRPr="00F6769B">
        <w:rPr>
          <w:rFonts w:ascii="黑体" w:eastAsia="黑体" w:hAnsi="黑体" w:cs="仿宋_GB2312" w:hint="eastAsia"/>
          <w:kern w:val="0"/>
          <w:sz w:val="32"/>
          <w:szCs w:val="32"/>
        </w:rPr>
        <w:t>一、预算编制的指导思想</w:t>
      </w:r>
    </w:p>
    <w:p w:rsidR="00A6470B" w:rsidRDefault="00F6769B" w:rsidP="00EB16D2">
      <w:pPr>
        <w:pStyle w:val="6"/>
        <w:spacing w:line="552"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以习近平新时代中国特色社会主义思想为指导，全面学习贯彻党的十九大和十九届二中、三中、四中全会精神，深入贯彻落实习近平总书记视察甘肃重要讲话和指示精神及中央和省委、市委一系列决策部署，充分发挥国家级经开区的优势，坚持新发展理念，扎实做好“六稳”工作，全面落实“六保”任务，</w:t>
      </w:r>
      <w:r>
        <w:rPr>
          <w:rFonts w:ascii="仿宋_GB2312" w:eastAsia="仿宋_GB2312" w:hAnsi="仿宋_GB2312" w:cs="仿宋_GB2312" w:hint="eastAsia"/>
          <w:color w:val="000000"/>
          <w:sz w:val="32"/>
          <w:szCs w:val="32"/>
          <w:shd w:val="clear" w:color="auto" w:fill="FFFFFF"/>
        </w:rPr>
        <w:t>严格贯彻预算法，细化预算编制，硬化预算约束，加快预算执行，推进预算公开，提高资金使用效益，</w:t>
      </w:r>
      <w:r>
        <w:rPr>
          <w:rFonts w:ascii="仿宋_GB2312" w:eastAsia="仿宋_GB2312" w:hAnsi="仿宋_GB2312" w:cs="仿宋_GB2312" w:hint="eastAsia"/>
          <w:sz w:val="32"/>
          <w:szCs w:val="32"/>
        </w:rPr>
        <w:t>统筹推进疫情防控和招商引资、项目建设、基础设施配套等重点工作，提升开发区综评考核位次，</w:t>
      </w:r>
      <w:r>
        <w:rPr>
          <w:rFonts w:ascii="仿宋_GB2312" w:eastAsia="仿宋_GB2312" w:hAnsi="仿宋_GB2312" w:cs="仿宋_GB2312" w:hint="eastAsia"/>
          <w:color w:val="333333"/>
          <w:sz w:val="32"/>
          <w:szCs w:val="32"/>
          <w:shd w:val="clear" w:color="auto" w:fill="FFFFFF"/>
        </w:rPr>
        <w:t>为</w:t>
      </w:r>
      <w:r>
        <w:rPr>
          <w:rFonts w:ascii="仿宋_GB2312" w:eastAsia="仿宋_GB2312" w:hAnsi="仿宋_GB2312" w:cs="仿宋_GB2312" w:hint="eastAsia"/>
          <w:sz w:val="32"/>
          <w:szCs w:val="32"/>
        </w:rPr>
        <w:t>推动经开区经济高质量发展</w:t>
      </w:r>
      <w:r>
        <w:rPr>
          <w:rFonts w:ascii="仿宋_GB2312" w:eastAsia="仿宋_GB2312" w:hAnsi="仿宋_GB2312" w:cs="仿宋_GB2312" w:hint="eastAsia"/>
          <w:color w:val="333333"/>
          <w:sz w:val="32"/>
          <w:szCs w:val="32"/>
          <w:shd w:val="clear" w:color="auto" w:fill="FFFFFF"/>
        </w:rPr>
        <w:t>提供坚实财政保障。</w:t>
      </w:r>
    </w:p>
    <w:p w:rsidR="00A6470B" w:rsidRPr="00F6769B" w:rsidRDefault="00F6769B" w:rsidP="00EB16D2">
      <w:pPr>
        <w:spacing w:line="552" w:lineRule="exact"/>
        <w:ind w:firstLineChars="200" w:firstLine="640"/>
        <w:rPr>
          <w:rFonts w:ascii="黑体" w:eastAsia="黑体" w:hAnsi="黑体" w:cs="仿宋_GB2312"/>
          <w:kern w:val="0"/>
          <w:sz w:val="32"/>
          <w:szCs w:val="32"/>
        </w:rPr>
      </w:pPr>
      <w:r w:rsidRPr="00F6769B">
        <w:rPr>
          <w:rFonts w:ascii="黑体" w:eastAsia="黑体" w:hAnsi="黑体" w:cs="仿宋_GB2312" w:hint="eastAsia"/>
          <w:kern w:val="0"/>
          <w:sz w:val="32"/>
          <w:szCs w:val="32"/>
        </w:rPr>
        <w:t>二、预算编制的基本原则</w:t>
      </w:r>
    </w:p>
    <w:p w:rsidR="00A6470B" w:rsidRDefault="00F6769B" w:rsidP="00EB16D2">
      <w:pPr>
        <w:shd w:val="clear" w:color="auto" w:fill="FFFFFF"/>
        <w:spacing w:line="552" w:lineRule="exact"/>
        <w:ind w:firstLineChars="150" w:firstLine="482"/>
        <w:rPr>
          <w:rFonts w:ascii="仿宋_GB2312" w:eastAsia="仿宋_GB2312" w:hAnsi="仿宋_GB2312" w:cs="仿宋_GB2312"/>
          <w:sz w:val="32"/>
          <w:szCs w:val="32"/>
        </w:rPr>
      </w:pPr>
      <w:r w:rsidRPr="00F6769B">
        <w:rPr>
          <w:rFonts w:ascii="楷体_GB2312" w:eastAsia="楷体_GB2312" w:hAnsi="仿宋_GB2312" w:cs="仿宋_GB2312" w:hint="eastAsia"/>
          <w:b/>
          <w:bCs/>
          <w:sz w:val="32"/>
          <w:szCs w:val="32"/>
        </w:rPr>
        <w:t>（一）坚持有保有压、厉行节约原则。</w:t>
      </w:r>
      <w:r>
        <w:rPr>
          <w:rFonts w:ascii="仿宋_GB2312" w:eastAsia="仿宋_GB2312" w:hAnsi="仿宋_GB2312" w:cs="仿宋_GB2312" w:hint="eastAsia"/>
          <w:sz w:val="32"/>
          <w:szCs w:val="32"/>
        </w:rPr>
        <w:t>紧紧围绕中央和省、</w:t>
      </w:r>
      <w:r>
        <w:rPr>
          <w:rFonts w:ascii="仿宋_GB2312" w:eastAsia="仿宋_GB2312" w:hAnsi="仿宋_GB2312" w:cs="仿宋_GB2312" w:hint="eastAsia"/>
          <w:sz w:val="32"/>
          <w:szCs w:val="32"/>
        </w:rPr>
        <w:lastRenderedPageBreak/>
        <w:t>市重大决策部署，牢固树立过紧日子思想，在保障行政运行必要的经费支出和国家出台的基本民生支出前提下，坚持精打细算、厉行节约，大力精简会议、差旅、培训等公务活动，努力节约日常经费开支，除省、市委、政府确定的疫情防控等必须保障的外，部门会议费、培训费预算总规模原则上不超过上年预算的90%。“三公”经费预算总规模不超过上年预算的95%。</w:t>
      </w:r>
    </w:p>
    <w:p w:rsidR="00A6470B" w:rsidRDefault="00F6769B" w:rsidP="00EB16D2">
      <w:pPr>
        <w:widowControl/>
        <w:shd w:val="clear" w:color="auto" w:fill="FFFFFF"/>
        <w:spacing w:line="552" w:lineRule="exact"/>
        <w:ind w:firstLineChars="200" w:firstLine="643"/>
        <w:rPr>
          <w:rFonts w:ascii="仿宋_GB2312" w:eastAsia="仿宋_GB2312" w:hAnsi="仿宋_GB2312" w:cs="仿宋_GB2312"/>
          <w:sz w:val="32"/>
          <w:szCs w:val="32"/>
        </w:rPr>
      </w:pPr>
      <w:r w:rsidRPr="00F6769B">
        <w:rPr>
          <w:rFonts w:ascii="楷体_GB2312" w:eastAsia="楷体_GB2312" w:hAnsi="仿宋_GB2312" w:cs="仿宋_GB2312" w:hint="eastAsia"/>
          <w:b/>
          <w:bCs/>
          <w:sz w:val="32"/>
          <w:szCs w:val="32"/>
        </w:rPr>
        <w:t>（二）硬化预算约束原则。</w:t>
      </w:r>
      <w:r>
        <w:rPr>
          <w:rFonts w:ascii="仿宋_GB2312" w:eastAsia="仿宋_GB2312" w:hAnsi="仿宋_GB2312" w:cs="仿宋_GB2312" w:hint="eastAsia"/>
          <w:sz w:val="32"/>
          <w:szCs w:val="32"/>
        </w:rPr>
        <w:t>先有预算后有支出，无预算不支出。年初预算一经批复，执行中原则上不再追加。执行中各单位新增的临时性、应急性支出原则上通过本部门年初预算调剂解决。切实维护预算的严肃性。</w:t>
      </w:r>
    </w:p>
    <w:p w:rsidR="00A6470B" w:rsidRDefault="00F6769B" w:rsidP="00EB16D2">
      <w:pPr>
        <w:widowControl/>
        <w:shd w:val="clear" w:color="auto" w:fill="FFFFFF"/>
        <w:spacing w:line="552" w:lineRule="exact"/>
        <w:ind w:firstLineChars="200" w:firstLine="643"/>
        <w:rPr>
          <w:rFonts w:ascii="仿宋_GB2312" w:eastAsia="仿宋_GB2312" w:hAnsi="仿宋_GB2312" w:cs="仿宋_GB2312"/>
          <w:sz w:val="32"/>
          <w:szCs w:val="32"/>
        </w:rPr>
      </w:pPr>
      <w:r w:rsidRPr="00F6769B">
        <w:rPr>
          <w:rFonts w:ascii="楷体_GB2312" w:eastAsia="楷体_GB2312" w:hAnsi="仿宋_GB2312" w:cs="仿宋_GB2312" w:hint="eastAsia"/>
          <w:b/>
          <w:bCs/>
          <w:sz w:val="32"/>
          <w:szCs w:val="32"/>
        </w:rPr>
        <w:t>（三）全面实施绩效管理原则。</w:t>
      </w:r>
      <w:r>
        <w:rPr>
          <w:rFonts w:ascii="仿宋_GB2312" w:eastAsia="仿宋_GB2312" w:hAnsi="仿宋_GB2312" w:cs="仿宋_GB2312" w:hint="eastAsia"/>
          <w:sz w:val="32"/>
          <w:szCs w:val="32"/>
        </w:rPr>
        <w:t>所有项目都要确立预算绩效目标，将绩效目标设置作为预算安排的前置条件。加强绩效目标审核。强化绩效评价结果运用，将上一年实施的绩效监控和评价结果，作为下一年预算编制的重要依据。</w:t>
      </w:r>
    </w:p>
    <w:p w:rsidR="00A6470B" w:rsidRPr="00F6769B" w:rsidRDefault="00F6769B" w:rsidP="00EB16D2">
      <w:pPr>
        <w:spacing w:line="552" w:lineRule="exact"/>
        <w:ind w:firstLineChars="196" w:firstLine="627"/>
        <w:rPr>
          <w:rFonts w:ascii="黑体" w:eastAsia="黑体" w:hAnsi="黑体" w:cs="仿宋_GB2312"/>
          <w:sz w:val="32"/>
          <w:szCs w:val="32"/>
        </w:rPr>
      </w:pPr>
      <w:r w:rsidRPr="00F6769B">
        <w:rPr>
          <w:rFonts w:ascii="黑体" w:eastAsia="黑体" w:hAnsi="黑体" w:cs="仿宋_GB2312" w:hint="eastAsia"/>
          <w:sz w:val="32"/>
          <w:szCs w:val="32"/>
        </w:rPr>
        <w:t>三、经开区财政收支预算</w:t>
      </w:r>
      <w:r>
        <w:rPr>
          <w:rFonts w:ascii="黑体" w:eastAsia="黑体" w:hAnsi="黑体" w:cs="仿宋_GB2312" w:hint="eastAsia"/>
          <w:sz w:val="32"/>
          <w:szCs w:val="32"/>
        </w:rPr>
        <w:t>安排建议</w:t>
      </w:r>
    </w:p>
    <w:p w:rsidR="00A6470B" w:rsidRDefault="00F6769B" w:rsidP="00EB16D2">
      <w:pPr>
        <w:spacing w:line="552" w:lineRule="exact"/>
        <w:ind w:firstLineChars="200" w:firstLine="643"/>
        <w:rPr>
          <w:rFonts w:ascii="仿宋_GB2312" w:eastAsia="仿宋_GB2312" w:hAnsi="仿宋_GB2312" w:cs="仿宋_GB2312"/>
          <w:sz w:val="32"/>
          <w:szCs w:val="32"/>
        </w:rPr>
      </w:pPr>
      <w:r w:rsidRPr="00F6769B">
        <w:rPr>
          <w:rFonts w:ascii="楷体_GB2312" w:eastAsia="楷体_GB2312" w:hAnsi="仿宋_GB2312" w:cs="仿宋_GB2312" w:hint="eastAsia"/>
          <w:b/>
          <w:sz w:val="32"/>
          <w:szCs w:val="32"/>
        </w:rPr>
        <w:t>1.一般公共预算：</w:t>
      </w:r>
      <w:r>
        <w:rPr>
          <w:rFonts w:ascii="仿宋_GB2312" w:eastAsia="仿宋_GB2312" w:hAnsi="仿宋_GB2312" w:cs="仿宋_GB2312" w:hint="eastAsia"/>
          <w:kern w:val="0"/>
          <w:sz w:val="32"/>
          <w:szCs w:val="32"/>
        </w:rPr>
        <w:t>经测算</w:t>
      </w:r>
      <w:r>
        <w:rPr>
          <w:rFonts w:ascii="仿宋_GB2312" w:eastAsia="仿宋_GB2312" w:hAnsi="仿宋_GB2312" w:cs="仿宋_GB2312" w:hint="eastAsia"/>
          <w:sz w:val="32"/>
          <w:szCs w:val="32"/>
        </w:rPr>
        <w:t>2021年一般公共预算可用财力为7210万元，比上年实际增加808万元、增长12.6%，具体构成是：</w:t>
      </w:r>
      <w:bookmarkStart w:id="0" w:name="_GoBack"/>
      <w:bookmarkEnd w:id="0"/>
    </w:p>
    <w:p w:rsidR="00A6470B" w:rsidRDefault="00F6769B" w:rsidP="00EB16D2">
      <w:pPr>
        <w:numPr>
          <w:ilvl w:val="0"/>
          <w:numId w:val="2"/>
        </w:numPr>
        <w:spacing w:line="552"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一般公共预算收入5502万元同比增长3.6%；</w:t>
      </w:r>
    </w:p>
    <w:p w:rsidR="00A6470B" w:rsidRDefault="00F6769B" w:rsidP="00EB16D2">
      <w:pPr>
        <w:numPr>
          <w:ilvl w:val="0"/>
          <w:numId w:val="2"/>
        </w:numPr>
        <w:spacing w:line="552"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调入政府性基金预算收入1021万元；</w:t>
      </w:r>
    </w:p>
    <w:p w:rsidR="00A6470B" w:rsidRDefault="00F6769B" w:rsidP="00EB16D2">
      <w:pPr>
        <w:numPr>
          <w:ilvl w:val="0"/>
          <w:numId w:val="2"/>
        </w:numPr>
        <w:spacing w:line="552"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调入国有资本经营预算收入600万元；</w:t>
      </w:r>
    </w:p>
    <w:p w:rsidR="00A6470B" w:rsidRDefault="00F6769B" w:rsidP="00EB16D2">
      <w:pPr>
        <w:numPr>
          <w:ilvl w:val="0"/>
          <w:numId w:val="2"/>
        </w:numPr>
        <w:spacing w:line="552"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调入预算稳定调节基金87万元；</w:t>
      </w:r>
    </w:p>
    <w:p w:rsidR="00A6470B" w:rsidRDefault="00F6769B" w:rsidP="00EB16D2">
      <w:pPr>
        <w:spacing w:line="552"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按照收支平衡原则，相应安排经开区一般公共预算支出7210万元。其中:</w:t>
      </w:r>
    </w:p>
    <w:p w:rsidR="00A6470B" w:rsidRDefault="00F6769B" w:rsidP="00EB16D2">
      <w:pPr>
        <w:spacing w:line="552"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（一）基本支出1178万元,占支出总额的16.34%，</w:t>
      </w:r>
      <w:r>
        <w:rPr>
          <w:rFonts w:ascii="仿宋_GB2312" w:eastAsia="仿宋_GB2312" w:hAnsi="仿宋_GB2312" w:cs="仿宋_GB2312" w:hint="eastAsia"/>
          <w:sz w:val="32"/>
          <w:szCs w:val="32"/>
        </w:rPr>
        <w:t>其中：人员经费1048万元；公用支出115万元、对家庭和个人补助支出等15万元。</w:t>
      </w:r>
    </w:p>
    <w:p w:rsidR="00A6470B" w:rsidRDefault="00F6769B" w:rsidP="00EB16D2">
      <w:pPr>
        <w:spacing w:line="552"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（二）项目支出6032万元,占支出总额的83.66%，其中</w:t>
      </w:r>
      <w:r>
        <w:rPr>
          <w:rFonts w:ascii="仿宋_GB2312" w:eastAsia="仿宋_GB2312" w:hAnsi="仿宋_GB2312" w:cs="仿宋_GB2312" w:hint="eastAsia"/>
          <w:sz w:val="32"/>
          <w:szCs w:val="32"/>
        </w:rPr>
        <w:t>：</w:t>
      </w:r>
    </w:p>
    <w:p w:rsidR="00F6769B" w:rsidRPr="00F6769B" w:rsidRDefault="00F6769B" w:rsidP="00EB16D2">
      <w:pPr>
        <w:spacing w:line="552" w:lineRule="exact"/>
        <w:ind w:firstLineChars="200" w:firstLine="643"/>
        <w:rPr>
          <w:rFonts w:ascii="仿宋_GB2312" w:eastAsia="仿宋_GB2312" w:hAnsi="仿宋_GB2312" w:cs="仿宋_GB2312"/>
          <w:bCs/>
          <w:sz w:val="32"/>
          <w:szCs w:val="32"/>
        </w:rPr>
      </w:pPr>
      <w:r w:rsidRPr="00F6769B">
        <w:rPr>
          <w:rFonts w:ascii="仿宋_GB2312" w:eastAsia="仿宋_GB2312" w:hAnsi="仿宋_GB2312" w:cs="仿宋_GB2312" w:hint="eastAsia"/>
          <w:b/>
          <w:bCs/>
          <w:sz w:val="32"/>
          <w:szCs w:val="32"/>
        </w:rPr>
        <w:t>一是</w:t>
      </w:r>
      <w:r w:rsidRPr="00F6769B">
        <w:rPr>
          <w:rFonts w:ascii="仿宋_GB2312" w:eastAsia="仿宋_GB2312" w:hAnsi="仿宋_GB2312" w:cs="仿宋_GB2312" w:hint="eastAsia"/>
          <w:bCs/>
          <w:sz w:val="32"/>
          <w:szCs w:val="32"/>
        </w:rPr>
        <w:t>工业发展及企业科技创新方面。安排资金1610万元，重点用于企业转型升级、招商孵化小微企业补助、项目落地扶持奖励、供气管网补助、科技创新奖补等支出。</w:t>
      </w:r>
    </w:p>
    <w:p w:rsidR="00F6769B" w:rsidRPr="00F6769B" w:rsidRDefault="00F6769B" w:rsidP="00EB16D2">
      <w:pPr>
        <w:spacing w:line="552" w:lineRule="exact"/>
        <w:ind w:firstLineChars="200" w:firstLine="643"/>
        <w:rPr>
          <w:rFonts w:ascii="仿宋_GB2312" w:eastAsia="仿宋_GB2312" w:hAnsi="仿宋_GB2312" w:cs="仿宋_GB2312"/>
          <w:bCs/>
          <w:sz w:val="32"/>
          <w:szCs w:val="32"/>
        </w:rPr>
      </w:pPr>
      <w:r w:rsidRPr="00F6769B">
        <w:rPr>
          <w:rFonts w:ascii="仿宋_GB2312" w:eastAsia="仿宋_GB2312" w:hAnsi="仿宋_GB2312" w:cs="仿宋_GB2312" w:hint="eastAsia"/>
          <w:b/>
          <w:bCs/>
          <w:sz w:val="32"/>
          <w:szCs w:val="32"/>
        </w:rPr>
        <w:t>二是</w:t>
      </w:r>
      <w:r w:rsidRPr="00F6769B">
        <w:rPr>
          <w:rFonts w:ascii="仿宋_GB2312" w:eastAsia="仿宋_GB2312" w:hAnsi="仿宋_GB2312" w:cs="仿宋_GB2312" w:hint="eastAsia"/>
          <w:bCs/>
          <w:sz w:val="32"/>
          <w:szCs w:val="32"/>
        </w:rPr>
        <w:t>生态环保及污染治理方面。安排资金830万元，重点用于开发区循环园和农产品产业园工业污水处理厂运营补贴及企业拆迁补偿等支出。</w:t>
      </w:r>
    </w:p>
    <w:p w:rsidR="00F6769B" w:rsidRPr="00F6769B" w:rsidRDefault="00F6769B" w:rsidP="00EB16D2">
      <w:pPr>
        <w:spacing w:line="552" w:lineRule="exact"/>
        <w:ind w:firstLineChars="200" w:firstLine="643"/>
        <w:rPr>
          <w:rFonts w:ascii="仿宋_GB2312" w:eastAsia="仿宋_GB2312" w:hAnsi="仿宋_GB2312" w:cs="仿宋_GB2312"/>
          <w:bCs/>
          <w:sz w:val="32"/>
          <w:szCs w:val="32"/>
        </w:rPr>
      </w:pPr>
      <w:r w:rsidRPr="00F6769B">
        <w:rPr>
          <w:rFonts w:ascii="仿宋_GB2312" w:eastAsia="仿宋_GB2312" w:hAnsi="仿宋_GB2312" w:cs="仿宋_GB2312" w:hint="eastAsia"/>
          <w:b/>
          <w:bCs/>
          <w:sz w:val="32"/>
          <w:szCs w:val="32"/>
        </w:rPr>
        <w:t>三是</w:t>
      </w:r>
      <w:r w:rsidRPr="00F6769B">
        <w:rPr>
          <w:rFonts w:ascii="仿宋_GB2312" w:eastAsia="仿宋_GB2312" w:hAnsi="仿宋_GB2312" w:cs="仿宋_GB2312" w:hint="eastAsia"/>
          <w:bCs/>
          <w:sz w:val="32"/>
          <w:szCs w:val="32"/>
        </w:rPr>
        <w:t>招商引资及项目前期、规划方面。安排资金467万元，重点用于项目前期费、规划编制、评估、招商引资等支出。</w:t>
      </w:r>
    </w:p>
    <w:p w:rsidR="00F6769B" w:rsidRPr="00F6769B" w:rsidRDefault="00F6769B" w:rsidP="00EB16D2">
      <w:pPr>
        <w:spacing w:line="552" w:lineRule="exact"/>
        <w:ind w:firstLineChars="200" w:firstLine="643"/>
        <w:rPr>
          <w:rFonts w:ascii="仿宋_GB2312" w:eastAsia="仿宋_GB2312" w:hAnsi="仿宋_GB2312" w:cs="仿宋_GB2312"/>
          <w:bCs/>
          <w:sz w:val="32"/>
          <w:szCs w:val="32"/>
        </w:rPr>
      </w:pPr>
      <w:r w:rsidRPr="00F6769B">
        <w:rPr>
          <w:rFonts w:ascii="仿宋_GB2312" w:eastAsia="仿宋_GB2312" w:hAnsi="仿宋_GB2312" w:cs="仿宋_GB2312" w:hint="eastAsia"/>
          <w:b/>
          <w:bCs/>
          <w:sz w:val="32"/>
          <w:szCs w:val="32"/>
        </w:rPr>
        <w:t>四是</w:t>
      </w:r>
      <w:r w:rsidRPr="00F6769B">
        <w:rPr>
          <w:rFonts w:ascii="仿宋_GB2312" w:eastAsia="仿宋_GB2312" w:hAnsi="仿宋_GB2312" w:cs="仿宋_GB2312" w:hint="eastAsia"/>
          <w:bCs/>
          <w:sz w:val="32"/>
          <w:szCs w:val="32"/>
        </w:rPr>
        <w:t>基础设施建设方面。安排资金1055万元，重点用于经开区提升改造、基础设施维护、维修等支出。</w:t>
      </w:r>
    </w:p>
    <w:p w:rsidR="00F6769B" w:rsidRPr="00F6769B" w:rsidRDefault="00F6769B" w:rsidP="00EB16D2">
      <w:pPr>
        <w:spacing w:line="552" w:lineRule="exact"/>
        <w:ind w:firstLineChars="200" w:firstLine="643"/>
        <w:rPr>
          <w:rFonts w:ascii="仿宋_GB2312" w:eastAsia="仿宋_GB2312" w:hAnsi="仿宋_GB2312" w:cs="仿宋_GB2312"/>
          <w:b/>
          <w:bCs/>
          <w:sz w:val="32"/>
          <w:szCs w:val="32"/>
        </w:rPr>
      </w:pPr>
      <w:r w:rsidRPr="00F6769B">
        <w:rPr>
          <w:rFonts w:ascii="仿宋_GB2312" w:eastAsia="仿宋_GB2312" w:hAnsi="仿宋_GB2312" w:cs="仿宋_GB2312" w:hint="eastAsia"/>
          <w:b/>
          <w:bCs/>
          <w:sz w:val="32"/>
          <w:szCs w:val="32"/>
        </w:rPr>
        <w:t>五是</w:t>
      </w:r>
      <w:r w:rsidRPr="00F6769B">
        <w:rPr>
          <w:rFonts w:ascii="仿宋_GB2312" w:eastAsia="仿宋_GB2312" w:hAnsi="仿宋_GB2312" w:cs="仿宋_GB2312" w:hint="eastAsia"/>
          <w:bCs/>
          <w:sz w:val="32"/>
          <w:szCs w:val="32"/>
        </w:rPr>
        <w:t>安排资金1920万元，重点用于园林绿化管理、债务还本付息、税收事业发展、应急管理、教育费附加及残疾人保障金等支出。</w:t>
      </w:r>
    </w:p>
    <w:p w:rsidR="00F6769B" w:rsidRPr="00F6769B" w:rsidRDefault="00F6769B" w:rsidP="00EB16D2">
      <w:pPr>
        <w:spacing w:line="552" w:lineRule="exact"/>
        <w:ind w:firstLineChars="200" w:firstLine="643"/>
        <w:rPr>
          <w:rFonts w:ascii="仿宋_GB2312" w:eastAsia="仿宋_GB2312" w:hAnsi="仿宋_GB2312" w:cs="仿宋_GB2312"/>
          <w:bCs/>
          <w:sz w:val="32"/>
          <w:szCs w:val="32"/>
        </w:rPr>
      </w:pPr>
      <w:r w:rsidRPr="00F6769B">
        <w:rPr>
          <w:rFonts w:ascii="仿宋_GB2312" w:eastAsia="仿宋_GB2312" w:hAnsi="仿宋_GB2312" w:cs="仿宋_GB2312" w:hint="eastAsia"/>
          <w:b/>
          <w:bCs/>
          <w:sz w:val="32"/>
          <w:szCs w:val="32"/>
        </w:rPr>
        <w:t>六是</w:t>
      </w:r>
      <w:r w:rsidRPr="00F6769B">
        <w:rPr>
          <w:rFonts w:ascii="仿宋_GB2312" w:eastAsia="仿宋_GB2312" w:hAnsi="仿宋_GB2312" w:cs="仿宋_GB2312" w:hint="eastAsia"/>
          <w:bCs/>
          <w:sz w:val="32"/>
          <w:szCs w:val="32"/>
        </w:rPr>
        <w:t>安排预备费150万元。</w:t>
      </w:r>
    </w:p>
    <w:p w:rsidR="00A6470B" w:rsidRDefault="00F6769B" w:rsidP="00EB16D2">
      <w:pPr>
        <w:spacing w:line="552" w:lineRule="exact"/>
        <w:ind w:firstLineChars="200" w:firstLine="643"/>
        <w:rPr>
          <w:rFonts w:ascii="仿宋_GB2312" w:eastAsia="仿宋_GB2312" w:hAnsi="仿宋_GB2312" w:cs="仿宋_GB2312"/>
          <w:sz w:val="32"/>
          <w:szCs w:val="32"/>
        </w:rPr>
      </w:pPr>
      <w:r w:rsidRPr="00F6769B">
        <w:rPr>
          <w:rFonts w:ascii="楷体_GB2312" w:eastAsia="楷体_GB2312" w:hAnsi="仿宋_GB2312" w:cs="仿宋_GB2312" w:hint="eastAsia"/>
          <w:b/>
          <w:sz w:val="32"/>
          <w:szCs w:val="32"/>
        </w:rPr>
        <w:t>2.政府性基金预算：</w:t>
      </w:r>
      <w:r>
        <w:rPr>
          <w:rFonts w:ascii="仿宋_GB2312" w:eastAsia="仿宋_GB2312" w:hAnsi="仿宋_GB2312" w:cs="仿宋_GB2312" w:hint="eastAsia"/>
          <w:sz w:val="32"/>
          <w:szCs w:val="32"/>
        </w:rPr>
        <w:t>2021年政府性基金预算收入1021万元，全部调入一般公共预算，当年不安排支出。</w:t>
      </w:r>
    </w:p>
    <w:p w:rsidR="00A6470B" w:rsidRDefault="00F6769B" w:rsidP="00EB16D2">
      <w:pPr>
        <w:spacing w:line="552" w:lineRule="exact"/>
        <w:ind w:firstLineChars="200" w:firstLine="643"/>
        <w:rPr>
          <w:rFonts w:ascii="仿宋_GB2312" w:eastAsia="仿宋_GB2312" w:hAnsi="仿宋_GB2312" w:cs="仿宋_GB2312"/>
          <w:sz w:val="32"/>
          <w:szCs w:val="32"/>
        </w:rPr>
      </w:pPr>
      <w:r w:rsidRPr="00F6769B">
        <w:rPr>
          <w:rFonts w:ascii="楷体_GB2312" w:eastAsia="楷体_GB2312" w:hAnsi="仿宋_GB2312" w:cs="仿宋_GB2312" w:hint="eastAsia"/>
          <w:b/>
          <w:sz w:val="32"/>
          <w:szCs w:val="32"/>
        </w:rPr>
        <w:t>3.国有资本经营预算：</w:t>
      </w:r>
      <w:r>
        <w:rPr>
          <w:rFonts w:ascii="仿宋_GB2312" w:eastAsia="仿宋_GB2312" w:hAnsi="仿宋_GB2312" w:cs="仿宋_GB2312" w:hint="eastAsia"/>
          <w:sz w:val="32"/>
          <w:szCs w:val="32"/>
        </w:rPr>
        <w:t>2021年国有资本经营预算收入600万元，全部调入一般公共预算，当年不安排支出。</w:t>
      </w:r>
    </w:p>
    <w:sectPr w:rsidR="00A6470B" w:rsidSect="001B6230">
      <w:headerReference w:type="default" r:id="rId9"/>
      <w:footerReference w:type="default" r:id="rId10"/>
      <w:pgSz w:w="11906" w:h="16838"/>
      <w:pgMar w:top="2098" w:right="1474" w:bottom="1985" w:left="1588"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A13" w:rsidRDefault="00430A13" w:rsidP="00A6470B">
      <w:r>
        <w:separator/>
      </w:r>
    </w:p>
  </w:endnote>
  <w:endnote w:type="continuationSeparator" w:id="1">
    <w:p w:rsidR="00430A13" w:rsidRDefault="00430A13" w:rsidP="00A647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831" w:rsidRDefault="009A034B">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024831" w:rsidRPr="003558AA" w:rsidRDefault="009A034B">
                <w:pPr>
                  <w:pStyle w:val="a3"/>
                  <w:rPr>
                    <w:rFonts w:ascii="Times New Roman" w:hAnsi="Times New Roman" w:cs="Times New Roman"/>
                    <w:sz w:val="28"/>
                    <w:szCs w:val="28"/>
                  </w:rPr>
                </w:pPr>
                <w:r w:rsidRPr="003558AA">
                  <w:rPr>
                    <w:rFonts w:ascii="Times New Roman" w:hAnsi="Times New Roman" w:cs="Times New Roman"/>
                    <w:sz w:val="28"/>
                    <w:szCs w:val="28"/>
                  </w:rPr>
                  <w:fldChar w:fldCharType="begin"/>
                </w:r>
                <w:r w:rsidR="003000D8" w:rsidRPr="003558AA">
                  <w:rPr>
                    <w:rFonts w:ascii="Times New Roman" w:hAnsi="Times New Roman" w:cs="Times New Roman"/>
                    <w:sz w:val="28"/>
                    <w:szCs w:val="28"/>
                  </w:rPr>
                  <w:instrText xml:space="preserve"> PAGE  \* MERGEFORMAT </w:instrText>
                </w:r>
                <w:r w:rsidRPr="003558AA">
                  <w:rPr>
                    <w:rFonts w:ascii="Times New Roman" w:hAnsi="Times New Roman" w:cs="Times New Roman"/>
                    <w:sz w:val="28"/>
                    <w:szCs w:val="28"/>
                  </w:rPr>
                  <w:fldChar w:fldCharType="separate"/>
                </w:r>
                <w:r w:rsidR="001B6230">
                  <w:rPr>
                    <w:rFonts w:ascii="Times New Roman" w:hAnsi="Times New Roman" w:cs="Times New Roman"/>
                    <w:noProof/>
                    <w:sz w:val="28"/>
                    <w:szCs w:val="28"/>
                  </w:rPr>
                  <w:t>- 3 -</w:t>
                </w:r>
                <w:r w:rsidRPr="003558AA">
                  <w:rPr>
                    <w:rFonts w:ascii="Times New Roman" w:hAnsi="Times New Roman" w:cs="Times New Roman"/>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A13" w:rsidRDefault="00430A13" w:rsidP="00A6470B">
      <w:r>
        <w:separator/>
      </w:r>
    </w:p>
  </w:footnote>
  <w:footnote w:type="continuationSeparator" w:id="1">
    <w:p w:rsidR="00430A13" w:rsidRDefault="00430A13" w:rsidP="00A647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831" w:rsidRDefault="00024831">
    <w:pPr>
      <w:pStyle w:val="a4"/>
      <w:pBdr>
        <w:bottom w:val="none" w:sz="0" w:space="0" w:color="auto"/>
      </w:pBd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69C3A"/>
    <w:multiLevelType w:val="singleLevel"/>
    <w:tmpl w:val="99069C3A"/>
    <w:lvl w:ilvl="0">
      <w:start w:val="1"/>
      <w:numFmt w:val="chineseCounting"/>
      <w:suff w:val="nothing"/>
      <w:lvlText w:val="%1、"/>
      <w:lvlJc w:val="left"/>
      <w:rPr>
        <w:rFonts w:hint="eastAsia"/>
      </w:rPr>
    </w:lvl>
  </w:abstractNum>
  <w:abstractNum w:abstractNumId="1">
    <w:nsid w:val="42570E4F"/>
    <w:multiLevelType w:val="singleLevel"/>
    <w:tmpl w:val="42570E4F"/>
    <w:lvl w:ilvl="0">
      <w:start w:val="1"/>
      <w:numFmt w:val="decimal"/>
      <w:lvlText w:val="%1."/>
      <w:lvlJc w:val="left"/>
      <w:pPr>
        <w:tabs>
          <w:tab w:val="left" w:pos="312"/>
        </w:tabs>
        <w:ind w:left="80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7170"/>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54E89"/>
    <w:rsid w:val="000002DC"/>
    <w:rsid w:val="00002931"/>
    <w:rsid w:val="00016DCB"/>
    <w:rsid w:val="00020DF7"/>
    <w:rsid w:val="000237DF"/>
    <w:rsid w:val="00024831"/>
    <w:rsid w:val="000928FA"/>
    <w:rsid w:val="000A24D6"/>
    <w:rsid w:val="000F628B"/>
    <w:rsid w:val="000F76E4"/>
    <w:rsid w:val="0010455A"/>
    <w:rsid w:val="001244D4"/>
    <w:rsid w:val="00174A33"/>
    <w:rsid w:val="00177D62"/>
    <w:rsid w:val="00180F5A"/>
    <w:rsid w:val="00190748"/>
    <w:rsid w:val="001B6230"/>
    <w:rsid w:val="001C63E9"/>
    <w:rsid w:val="001E40FE"/>
    <w:rsid w:val="00216ED9"/>
    <w:rsid w:val="00221EED"/>
    <w:rsid w:val="00251FE6"/>
    <w:rsid w:val="002539EE"/>
    <w:rsid w:val="00260E4D"/>
    <w:rsid w:val="00280E59"/>
    <w:rsid w:val="002E2800"/>
    <w:rsid w:val="003000D8"/>
    <w:rsid w:val="00324503"/>
    <w:rsid w:val="003318FA"/>
    <w:rsid w:val="00347733"/>
    <w:rsid w:val="003558AA"/>
    <w:rsid w:val="003970FF"/>
    <w:rsid w:val="00414D59"/>
    <w:rsid w:val="004220BD"/>
    <w:rsid w:val="00430A13"/>
    <w:rsid w:val="004635E5"/>
    <w:rsid w:val="00473D9E"/>
    <w:rsid w:val="00496FE0"/>
    <w:rsid w:val="004C1125"/>
    <w:rsid w:val="00512169"/>
    <w:rsid w:val="00513E9E"/>
    <w:rsid w:val="00533818"/>
    <w:rsid w:val="005A3C82"/>
    <w:rsid w:val="005D295A"/>
    <w:rsid w:val="00690C55"/>
    <w:rsid w:val="006B57EF"/>
    <w:rsid w:val="006C35C1"/>
    <w:rsid w:val="006C38BA"/>
    <w:rsid w:val="006E2CF1"/>
    <w:rsid w:val="00740DE0"/>
    <w:rsid w:val="00754E89"/>
    <w:rsid w:val="00775AFC"/>
    <w:rsid w:val="007775AF"/>
    <w:rsid w:val="007C42C7"/>
    <w:rsid w:val="007D17AF"/>
    <w:rsid w:val="007D7D42"/>
    <w:rsid w:val="00801F58"/>
    <w:rsid w:val="0080653D"/>
    <w:rsid w:val="00826659"/>
    <w:rsid w:val="00826A7C"/>
    <w:rsid w:val="00850E66"/>
    <w:rsid w:val="00852E29"/>
    <w:rsid w:val="0087182E"/>
    <w:rsid w:val="008C70FD"/>
    <w:rsid w:val="008E2F9E"/>
    <w:rsid w:val="009750D1"/>
    <w:rsid w:val="00987E89"/>
    <w:rsid w:val="009A034B"/>
    <w:rsid w:val="009A09CE"/>
    <w:rsid w:val="009E2F6D"/>
    <w:rsid w:val="009F0D71"/>
    <w:rsid w:val="00A01B4A"/>
    <w:rsid w:val="00A132CB"/>
    <w:rsid w:val="00A31CFD"/>
    <w:rsid w:val="00A333E6"/>
    <w:rsid w:val="00A372C7"/>
    <w:rsid w:val="00A6470B"/>
    <w:rsid w:val="00A83B0F"/>
    <w:rsid w:val="00AB6579"/>
    <w:rsid w:val="00AB6E28"/>
    <w:rsid w:val="00B05B35"/>
    <w:rsid w:val="00B05B91"/>
    <w:rsid w:val="00B13963"/>
    <w:rsid w:val="00B36C0E"/>
    <w:rsid w:val="00B56323"/>
    <w:rsid w:val="00C154F2"/>
    <w:rsid w:val="00C301A5"/>
    <w:rsid w:val="00C31678"/>
    <w:rsid w:val="00C36E5B"/>
    <w:rsid w:val="00C5161A"/>
    <w:rsid w:val="00C92A4B"/>
    <w:rsid w:val="00C93CAB"/>
    <w:rsid w:val="00C940E1"/>
    <w:rsid w:val="00CA5BA0"/>
    <w:rsid w:val="00CC1DF2"/>
    <w:rsid w:val="00CD4C19"/>
    <w:rsid w:val="00CE5765"/>
    <w:rsid w:val="00D64329"/>
    <w:rsid w:val="00DF7D7A"/>
    <w:rsid w:val="00EB16D2"/>
    <w:rsid w:val="00F325C0"/>
    <w:rsid w:val="00F6769B"/>
    <w:rsid w:val="00F87229"/>
    <w:rsid w:val="00F943EC"/>
    <w:rsid w:val="00FA16E5"/>
    <w:rsid w:val="00FC51E2"/>
    <w:rsid w:val="00FF262C"/>
    <w:rsid w:val="0BE932E7"/>
    <w:rsid w:val="20A37613"/>
    <w:rsid w:val="2E412E03"/>
    <w:rsid w:val="34056102"/>
    <w:rsid w:val="35795D1F"/>
    <w:rsid w:val="3FFB7510"/>
    <w:rsid w:val="422F5A9D"/>
    <w:rsid w:val="43DE6A6B"/>
    <w:rsid w:val="4C0D42BA"/>
    <w:rsid w:val="4E9F0F35"/>
    <w:rsid w:val="4EC37A96"/>
    <w:rsid w:val="5A626588"/>
    <w:rsid w:val="5DC5365C"/>
    <w:rsid w:val="5EE90C6B"/>
    <w:rsid w:val="66693125"/>
    <w:rsid w:val="7BFD5C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6"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qFormat="1"/>
    <w:lsdException w:name="FollowedHyperlink"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6"/>
    <w:qFormat/>
    <w:rsid w:val="00A6470B"/>
    <w:pPr>
      <w:widowControl w:val="0"/>
      <w:jc w:val="both"/>
    </w:pPr>
    <w:rPr>
      <w:kern w:val="2"/>
      <w:sz w:val="21"/>
      <w:szCs w:val="21"/>
    </w:rPr>
  </w:style>
  <w:style w:type="paragraph" w:styleId="3">
    <w:name w:val="heading 3"/>
    <w:basedOn w:val="a"/>
    <w:next w:val="a"/>
    <w:link w:val="3Char"/>
    <w:uiPriority w:val="99"/>
    <w:qFormat/>
    <w:locked/>
    <w:rsid w:val="00A6470B"/>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6">
    <w:name w:val="index 6"/>
    <w:basedOn w:val="a"/>
    <w:next w:val="a"/>
    <w:qFormat/>
    <w:rsid w:val="00A6470B"/>
  </w:style>
  <w:style w:type="paragraph" w:styleId="a3">
    <w:name w:val="footer"/>
    <w:basedOn w:val="a"/>
    <w:link w:val="Char"/>
    <w:uiPriority w:val="99"/>
    <w:semiHidden/>
    <w:qFormat/>
    <w:rsid w:val="00A6470B"/>
    <w:pPr>
      <w:tabs>
        <w:tab w:val="center" w:pos="4153"/>
        <w:tab w:val="right" w:pos="8306"/>
      </w:tabs>
      <w:snapToGrid w:val="0"/>
      <w:jc w:val="left"/>
    </w:pPr>
    <w:rPr>
      <w:rFonts w:ascii="Calibri" w:hAnsi="Calibri" w:cs="Calibri"/>
      <w:sz w:val="18"/>
      <w:szCs w:val="18"/>
    </w:rPr>
  </w:style>
  <w:style w:type="paragraph" w:styleId="a4">
    <w:name w:val="header"/>
    <w:basedOn w:val="a"/>
    <w:link w:val="Char0"/>
    <w:uiPriority w:val="99"/>
    <w:semiHidden/>
    <w:qFormat/>
    <w:rsid w:val="00A6470B"/>
    <w:pPr>
      <w:pBdr>
        <w:bottom w:val="single" w:sz="6" w:space="1" w:color="auto"/>
      </w:pBdr>
      <w:tabs>
        <w:tab w:val="center" w:pos="4153"/>
        <w:tab w:val="right" w:pos="8306"/>
      </w:tabs>
      <w:snapToGrid w:val="0"/>
      <w:jc w:val="center"/>
    </w:pPr>
    <w:rPr>
      <w:rFonts w:ascii="Calibri" w:hAnsi="Calibri" w:cs="Calibri"/>
      <w:sz w:val="18"/>
      <w:szCs w:val="18"/>
    </w:rPr>
  </w:style>
  <w:style w:type="paragraph" w:styleId="a5">
    <w:name w:val="Normal (Web)"/>
    <w:basedOn w:val="a"/>
    <w:uiPriority w:val="99"/>
    <w:semiHidden/>
    <w:unhideWhenUsed/>
    <w:qFormat/>
    <w:rsid w:val="00A6470B"/>
    <w:pPr>
      <w:jc w:val="left"/>
    </w:pPr>
    <w:rPr>
      <w:kern w:val="0"/>
      <w:sz w:val="24"/>
    </w:rPr>
  </w:style>
  <w:style w:type="character" w:styleId="a6">
    <w:name w:val="FollowedHyperlink"/>
    <w:basedOn w:val="a0"/>
    <w:uiPriority w:val="99"/>
    <w:semiHidden/>
    <w:unhideWhenUsed/>
    <w:qFormat/>
    <w:rsid w:val="00A6470B"/>
    <w:rPr>
      <w:color w:val="333333"/>
      <w:sz w:val="24"/>
      <w:szCs w:val="24"/>
      <w:u w:val="none"/>
    </w:rPr>
  </w:style>
  <w:style w:type="character" w:styleId="a7">
    <w:name w:val="Emphasis"/>
    <w:basedOn w:val="a0"/>
    <w:qFormat/>
    <w:locked/>
    <w:rsid w:val="00A6470B"/>
    <w:rPr>
      <w:color w:val="333333"/>
      <w:sz w:val="24"/>
      <w:szCs w:val="24"/>
    </w:rPr>
  </w:style>
  <w:style w:type="character" w:styleId="a8">
    <w:name w:val="Hyperlink"/>
    <w:basedOn w:val="a0"/>
    <w:uiPriority w:val="99"/>
    <w:semiHidden/>
    <w:unhideWhenUsed/>
    <w:qFormat/>
    <w:rsid w:val="00A6470B"/>
    <w:rPr>
      <w:color w:val="333333"/>
      <w:u w:val="none"/>
    </w:rPr>
  </w:style>
  <w:style w:type="character" w:customStyle="1" w:styleId="3Char">
    <w:name w:val="标题 3 Char"/>
    <w:basedOn w:val="a0"/>
    <w:link w:val="3"/>
    <w:uiPriority w:val="99"/>
    <w:semiHidden/>
    <w:qFormat/>
    <w:locked/>
    <w:rsid w:val="00A6470B"/>
    <w:rPr>
      <w:rFonts w:ascii="Times New Roman" w:hAnsi="Times New Roman" w:cs="Times New Roman"/>
      <w:b/>
      <w:bCs/>
      <w:sz w:val="32"/>
      <w:szCs w:val="32"/>
    </w:rPr>
  </w:style>
  <w:style w:type="character" w:customStyle="1" w:styleId="Char0">
    <w:name w:val="页眉 Char"/>
    <w:basedOn w:val="a0"/>
    <w:link w:val="a4"/>
    <w:uiPriority w:val="99"/>
    <w:semiHidden/>
    <w:qFormat/>
    <w:locked/>
    <w:rsid w:val="00A6470B"/>
    <w:rPr>
      <w:sz w:val="18"/>
      <w:szCs w:val="18"/>
    </w:rPr>
  </w:style>
  <w:style w:type="character" w:customStyle="1" w:styleId="Char">
    <w:name w:val="页脚 Char"/>
    <w:basedOn w:val="a0"/>
    <w:link w:val="a3"/>
    <w:uiPriority w:val="99"/>
    <w:semiHidden/>
    <w:qFormat/>
    <w:locked/>
    <w:rsid w:val="00A6470B"/>
    <w:rPr>
      <w:sz w:val="18"/>
      <w:szCs w:val="18"/>
    </w:rPr>
  </w:style>
  <w:style w:type="paragraph" w:styleId="a9">
    <w:name w:val="List Paragraph"/>
    <w:basedOn w:val="a"/>
    <w:uiPriority w:val="99"/>
    <w:qFormat/>
    <w:rsid w:val="00A6470B"/>
    <w:pPr>
      <w:ind w:firstLineChars="200" w:firstLine="420"/>
    </w:pPr>
  </w:style>
  <w:style w:type="character" w:customStyle="1" w:styleId="last-child1">
    <w:name w:val="last-child1"/>
    <w:basedOn w:val="a0"/>
    <w:qFormat/>
    <w:rsid w:val="00A6470B"/>
  </w:style>
  <w:style w:type="character" w:customStyle="1" w:styleId="hover18">
    <w:name w:val="hover18"/>
    <w:basedOn w:val="a0"/>
    <w:qFormat/>
    <w:rsid w:val="00A6470B"/>
  </w:style>
  <w:style w:type="character" w:customStyle="1" w:styleId="hover19">
    <w:name w:val="hover19"/>
    <w:basedOn w:val="a0"/>
    <w:qFormat/>
    <w:rsid w:val="00A6470B"/>
    <w:rPr>
      <w:shd w:val="clear" w:color="auto" w:fill="D43D3D"/>
    </w:rPr>
  </w:style>
  <w:style w:type="character" w:customStyle="1" w:styleId="hover20">
    <w:name w:val="hover20"/>
    <w:basedOn w:val="a0"/>
    <w:qFormat/>
    <w:rsid w:val="00A6470B"/>
  </w:style>
  <w:style w:type="character" w:customStyle="1" w:styleId="not-follow">
    <w:name w:val="not-follow"/>
    <w:basedOn w:val="a0"/>
    <w:qFormat/>
    <w:rsid w:val="00A6470B"/>
    <w:rPr>
      <w:color w:val="FFFFFF"/>
      <w:shd w:val="clear" w:color="auto" w:fill="FA3939"/>
    </w:rPr>
  </w:style>
  <w:style w:type="character" w:customStyle="1" w:styleId="bg-gg-text">
    <w:name w:val="bg-gg-text"/>
    <w:basedOn w:val="a0"/>
    <w:qFormat/>
    <w:rsid w:val="00A6470B"/>
    <w:rPr>
      <w:color w:val="FFFFFF"/>
    </w:rPr>
  </w:style>
  <w:style w:type="character" w:customStyle="1" w:styleId="bg-gg-close">
    <w:name w:val="bg-gg-close"/>
    <w:basedOn w:val="a0"/>
    <w:qFormat/>
    <w:rsid w:val="00A6470B"/>
  </w:style>
  <w:style w:type="character" w:customStyle="1" w:styleId="before15">
    <w:name w:val="before15"/>
    <w:basedOn w:val="a0"/>
    <w:qFormat/>
    <w:rsid w:val="00A6470B"/>
  </w:style>
  <w:style w:type="character" w:customStyle="1" w:styleId="after3">
    <w:name w:val="after3"/>
    <w:basedOn w:val="a0"/>
    <w:qFormat/>
    <w:rsid w:val="00A6470B"/>
  </w:style>
  <w:style w:type="character" w:customStyle="1" w:styleId="NormalCharacter">
    <w:name w:val="NormalCharacter"/>
    <w:uiPriority w:val="99"/>
    <w:semiHidden/>
    <w:qFormat/>
    <w:rsid w:val="00A6470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97121ED0-C8C1-4598-AE48-FF2E63E1025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234</Words>
  <Characters>1337</Characters>
  <Application>Microsoft Office Word</Application>
  <DocSecurity>0</DocSecurity>
  <Lines>11</Lines>
  <Paragraphs>3</Paragraphs>
  <ScaleCrop>false</ScaleCrop>
  <Company>微软中国</Company>
  <LinksUpToDate>false</LinksUpToDate>
  <CharactersWithSpaces>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User</cp:lastModifiedBy>
  <cp:revision>6</cp:revision>
  <cp:lastPrinted>2020-01-14T01:01:00Z</cp:lastPrinted>
  <dcterms:created xsi:type="dcterms:W3CDTF">2021-01-29T09:43:00Z</dcterms:created>
  <dcterms:modified xsi:type="dcterms:W3CDTF">2022-08-31T01:53:00Z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