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A19A3">
      <w:pPr>
        <w:pStyle w:val="2"/>
        <w:adjustRightInd w:val="0"/>
        <w:snapToGrid w:val="0"/>
        <w:spacing w:before="0" w:after="0" w:line="600" w:lineRule="exact"/>
        <w:jc w:val="center"/>
        <w:rPr>
          <w:rFonts w:hint="eastAsia" w:ascii="方正小标宋简体" w:hAnsi="Times New Roman" w:eastAsia="方正小标宋简体"/>
          <w:b w:val="0"/>
          <w:sz w:val="44"/>
          <w:szCs w:val="44"/>
          <w:lang w:val="en-US" w:eastAsia="zh-CN"/>
        </w:rPr>
      </w:pPr>
    </w:p>
    <w:p w14:paraId="168DD729">
      <w:pPr>
        <w:rPr>
          <w:rFonts w:hint="eastAsia"/>
          <w:lang w:val="en-US" w:eastAsia="zh-CN"/>
        </w:rPr>
      </w:pPr>
    </w:p>
    <w:p w14:paraId="1422AB51">
      <w:pPr>
        <w:pStyle w:val="2"/>
        <w:adjustRightInd w:val="0"/>
        <w:snapToGrid w:val="0"/>
        <w:spacing w:before="0" w:after="0" w:line="600" w:lineRule="exact"/>
        <w:jc w:val="both"/>
        <w:rPr>
          <w:rFonts w:hint="eastAsia" w:ascii="方正小标宋简体" w:hAnsi="Times New Roman" w:eastAsia="方正小标宋简体"/>
          <w:b w:val="0"/>
          <w:sz w:val="44"/>
          <w:szCs w:val="44"/>
          <w:lang w:val="en-US" w:eastAsia="zh-CN"/>
        </w:rPr>
      </w:pPr>
    </w:p>
    <w:p w14:paraId="2CD42FAF">
      <w:pPr>
        <w:pStyle w:val="2"/>
        <w:adjustRightInd w:val="0"/>
        <w:snapToGrid w:val="0"/>
        <w:spacing w:before="0" w:after="0" w:line="600" w:lineRule="exact"/>
        <w:jc w:val="center"/>
        <w:rPr>
          <w:rFonts w:hint="eastAsia" w:ascii="方正小标宋简体" w:hAnsi="Times New Roman" w:eastAsia="方正小标宋简体"/>
          <w:b w:val="0"/>
          <w:sz w:val="44"/>
          <w:szCs w:val="44"/>
        </w:rPr>
      </w:pPr>
      <w:r>
        <w:rPr>
          <w:rFonts w:hint="eastAsia" w:ascii="方正小标宋简体" w:hAnsi="Times New Roman" w:eastAsia="方正小标宋简体"/>
          <w:b w:val="0"/>
          <w:sz w:val="44"/>
          <w:szCs w:val="44"/>
          <w:lang w:val="en-US" w:eastAsia="zh-CN"/>
        </w:rPr>
        <w:t>2024年</w:t>
      </w:r>
      <w:r>
        <w:rPr>
          <w:rFonts w:hint="eastAsia" w:ascii="方正小标宋简体" w:hAnsi="Times New Roman" w:eastAsia="方正小标宋简体"/>
          <w:b w:val="0"/>
          <w:sz w:val="44"/>
          <w:szCs w:val="44"/>
          <w:lang w:eastAsia="zh-CN"/>
        </w:rPr>
        <w:t>部门整体</w:t>
      </w:r>
      <w:r>
        <w:rPr>
          <w:rFonts w:hint="eastAsia" w:ascii="方正小标宋简体" w:hAnsi="Times New Roman" w:eastAsia="方正小标宋简体"/>
          <w:b w:val="0"/>
          <w:sz w:val="44"/>
          <w:szCs w:val="44"/>
        </w:rPr>
        <w:t>支出绩效评价自评报告</w:t>
      </w:r>
    </w:p>
    <w:p w14:paraId="2DFBE36D">
      <w:pPr>
        <w:widowControl/>
        <w:tabs>
          <w:tab w:val="left" w:pos="2880"/>
        </w:tabs>
        <w:spacing w:line="600" w:lineRule="exact"/>
        <w:rPr>
          <w:rFonts w:hint="eastAsia" w:ascii="黑体" w:hAnsi="黑体" w:eastAsia="黑体" w:cs="宋体"/>
          <w:b/>
          <w:color w:val="000000"/>
          <w:kern w:val="0"/>
          <w:sz w:val="48"/>
          <w:szCs w:val="48"/>
        </w:rPr>
      </w:pPr>
    </w:p>
    <w:p w14:paraId="05751640">
      <w:pPr>
        <w:keepNext w:val="0"/>
        <w:keepLines w:val="0"/>
        <w:pageBreakBefore w:val="0"/>
        <w:widowControl/>
        <w:tabs>
          <w:tab w:val="left" w:pos="2880"/>
        </w:tabs>
        <w:kinsoku/>
        <w:wordWrap/>
        <w:overflowPunct/>
        <w:topLinePunct w:val="0"/>
        <w:autoSpaceDE/>
        <w:autoSpaceDN/>
        <w:bidi w:val="0"/>
        <w:adjustRightInd/>
        <w:snapToGrid/>
        <w:spacing w:line="520" w:lineRule="exact"/>
        <w:ind w:firstLine="645"/>
        <w:textAlignment w:val="auto"/>
        <w:rPr>
          <w:rFonts w:hint="eastAsia" w:ascii="黑体" w:hAnsi="黑体" w:eastAsia="黑体"/>
          <w:sz w:val="32"/>
          <w:szCs w:val="32"/>
        </w:rPr>
      </w:pPr>
      <w:r>
        <w:rPr>
          <w:rFonts w:hint="eastAsia" w:ascii="黑体" w:hAnsi="黑体" w:eastAsia="黑体"/>
          <w:sz w:val="32"/>
          <w:szCs w:val="32"/>
        </w:rPr>
        <w:t>一、部门概况</w:t>
      </w:r>
    </w:p>
    <w:p w14:paraId="50F37452">
      <w:pPr>
        <w:keepNext w:val="0"/>
        <w:keepLines w:val="0"/>
        <w:pageBreakBefore w:val="0"/>
        <w:widowControl/>
        <w:tabs>
          <w:tab w:val="left" w:pos="2880"/>
        </w:tabs>
        <w:kinsoku/>
        <w:wordWrap/>
        <w:overflowPunct/>
        <w:topLinePunct w:val="0"/>
        <w:autoSpaceDE/>
        <w:autoSpaceDN/>
        <w:bidi w:val="0"/>
        <w:adjustRightInd/>
        <w:snapToGrid/>
        <w:spacing w:line="520" w:lineRule="exact"/>
        <w:ind w:firstLine="645"/>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（一）基本情况</w:t>
      </w:r>
    </w:p>
    <w:p w14:paraId="2D5F4E2D">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1.负责贯彻执行民政工作的法律法规和方针政策；拟订全市民政工作的有关规章和民政事业发展规划，并负责组织实施和监督检查。</w:t>
      </w:r>
    </w:p>
    <w:p w14:paraId="3331FDF7">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2.负责依法对全市社会团体、基金会、社会服务机构等社会组织进行登记管理和执法监督，承担全市社会组织党建工作。</w:t>
      </w:r>
    </w:p>
    <w:p w14:paraId="6C986294">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3.拟订社会救助配套政策和标准，健全城乡社会救助体系，负责城乡居民最低生活保障、特困人员救助供养、临时救助、生活无着流浪乞讨人员救助和全市居民家庭经济状况核对工作。</w:t>
      </w:r>
    </w:p>
    <w:p w14:paraId="5A15E262">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lang w:eastAsia="zh-CN"/>
        </w:rPr>
      </w:pP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.负责行政区划、行政区域界限管理和地名管理工作。</w:t>
      </w:r>
      <w:r>
        <w:rPr>
          <w:rFonts w:hint="eastAsia" w:ascii="仿宋_GB2312" w:hAnsi="仿宋" w:eastAsia="仿宋_GB2312" w:cs="宋体"/>
          <w:kern w:val="0"/>
          <w:sz w:val="32"/>
          <w:szCs w:val="32"/>
          <w:lang w:eastAsia="zh-CN"/>
        </w:rPr>
        <w:t>承办乡镇（街道）等行政区域的设立、撤销、调整、更名和界线变更及政府驻地迁移的审核报批工作。指导调处县、乡镇边界争议，组织指导全市涉及省、市、县、乡镇行政区域界线联检工作。</w:t>
      </w:r>
    </w:p>
    <w:p w14:paraId="2F897E57">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.负责婚姻登记管理工作，推进婚俗改革。</w:t>
      </w:r>
    </w:p>
    <w:p w14:paraId="7B1F1B63">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6</w:t>
      </w:r>
      <w:r>
        <w:rPr>
          <w:rFonts w:hint="eastAsia" w:ascii="仿宋_GB2312" w:hAnsi="仿宋" w:eastAsia="仿宋_GB2312" w:cs="宋体"/>
          <w:kern w:val="0"/>
          <w:sz w:val="32"/>
          <w:szCs w:val="32"/>
        </w:rPr>
        <w:t>.负责殡葬管理服务工作，推进殡葬改革。</w:t>
      </w:r>
    </w:p>
    <w:p w14:paraId="3F273F38">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7</w:t>
      </w:r>
      <w:r>
        <w:rPr>
          <w:rFonts w:hint="eastAsia" w:ascii="仿宋_GB2312" w:hAnsi="仿宋" w:eastAsia="仿宋_GB2312" w:cs="宋体"/>
          <w:kern w:val="0"/>
          <w:sz w:val="32"/>
          <w:szCs w:val="32"/>
        </w:rPr>
        <w:t>.落实残疾人权益保护政策，推进残疾人福利制度建设和康复辅助器具产业发展。</w:t>
      </w:r>
    </w:p>
    <w:p w14:paraId="59D23D4C">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8</w:t>
      </w:r>
      <w:r>
        <w:rPr>
          <w:rFonts w:hint="eastAsia" w:ascii="仿宋_GB2312" w:hAnsi="仿宋" w:eastAsia="仿宋_GB2312" w:cs="宋体"/>
          <w:kern w:val="0"/>
          <w:sz w:val="32"/>
          <w:szCs w:val="32"/>
        </w:rPr>
        <w:t>.落实儿童福利、孤弃儿童保障、儿童收养、儿童救助保护政策、标准，健全农村留守儿童关爱服务体系和困境儿童保障制度，指导救助保护机构管理工作。</w:t>
      </w:r>
    </w:p>
    <w:p w14:paraId="507941CF">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rPr>
        <w:t>.统筹推进、督促指导、监督管理养老服务工作，拟订养老服务体系建设规划、政策、标准并组织实施，承担老年人福利和特殊困难老年人救助工作</w:t>
      </w:r>
      <w:r>
        <w:rPr>
          <w:rFonts w:hint="eastAsia" w:ascii="仿宋_GB2312" w:hAnsi="仿宋" w:eastAsia="仿宋_GB2312" w:cs="宋体"/>
          <w:kern w:val="0"/>
          <w:sz w:val="32"/>
          <w:szCs w:val="32"/>
          <w:lang w:eastAsia="zh-CN"/>
        </w:rPr>
        <w:t>，协调落实应对人口老龄化政策措施、承担市老龄工作委员会具体工作的职责</w:t>
      </w:r>
      <w:r>
        <w:rPr>
          <w:rFonts w:hint="eastAsia" w:ascii="仿宋_GB2312" w:hAnsi="仿宋" w:eastAsia="仿宋_GB2312" w:cs="宋体"/>
          <w:kern w:val="0"/>
          <w:sz w:val="32"/>
          <w:szCs w:val="32"/>
        </w:rPr>
        <w:t>。</w:t>
      </w:r>
    </w:p>
    <w:p w14:paraId="3D36E0D7">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w:t>
      </w:r>
      <w:r>
        <w:rPr>
          <w:rFonts w:hint="eastAsia" w:ascii="仿宋_GB2312" w:hAnsi="仿宋" w:eastAsia="仿宋_GB2312" w:cs="宋体"/>
          <w:kern w:val="0"/>
          <w:sz w:val="32"/>
          <w:szCs w:val="32"/>
          <w:lang w:val="en-US" w:eastAsia="zh-CN"/>
        </w:rPr>
        <w:t>0</w:t>
      </w:r>
      <w:r>
        <w:rPr>
          <w:rFonts w:hint="eastAsia" w:ascii="仿宋_GB2312" w:hAnsi="仿宋" w:eastAsia="仿宋_GB2312" w:cs="宋体"/>
          <w:kern w:val="0"/>
          <w:sz w:val="32"/>
          <w:szCs w:val="32"/>
        </w:rPr>
        <w:t>.指导做好慈善事业、社会捐助工作，负责福利彩票管理工作。</w:t>
      </w:r>
    </w:p>
    <w:p w14:paraId="76DABF51">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rPr>
      </w:pPr>
      <w:r>
        <w:rPr>
          <w:rFonts w:hint="eastAsia" w:ascii="仿宋_GB2312" w:hAnsi="仿宋" w:eastAsia="仿宋_GB2312" w:cs="宋体"/>
          <w:kern w:val="0"/>
          <w:sz w:val="32"/>
          <w:szCs w:val="32"/>
        </w:rPr>
        <w:t>1</w:t>
      </w:r>
      <w:r>
        <w:rPr>
          <w:rFonts w:hint="eastAsia" w:ascii="仿宋_GB2312" w:hAnsi="仿宋" w:eastAsia="仿宋_GB2312" w:cs="宋体"/>
          <w:kern w:val="0"/>
          <w:sz w:val="32"/>
          <w:szCs w:val="32"/>
          <w:lang w:val="en-US" w:eastAsia="zh-CN"/>
        </w:rPr>
        <w:t>1</w:t>
      </w:r>
      <w:r>
        <w:rPr>
          <w:rFonts w:hint="eastAsia" w:ascii="仿宋_GB2312" w:hAnsi="仿宋" w:eastAsia="仿宋_GB2312" w:cs="宋体"/>
          <w:kern w:val="0"/>
          <w:sz w:val="32"/>
          <w:szCs w:val="32"/>
        </w:rPr>
        <w:t>.承办市委、市政府和省民政厅交办的其他事项。</w:t>
      </w:r>
    </w:p>
    <w:p w14:paraId="601D7FF3">
      <w:pPr>
        <w:keepNext w:val="0"/>
        <w:keepLines w:val="0"/>
        <w:pageBreakBefore w:val="0"/>
        <w:widowControl/>
        <w:tabs>
          <w:tab w:val="left" w:pos="2880"/>
        </w:tabs>
        <w:kinsoku/>
        <w:wordWrap/>
        <w:overflowPunct/>
        <w:topLinePunct w:val="0"/>
        <w:autoSpaceDE/>
        <w:autoSpaceDN/>
        <w:bidi w:val="0"/>
        <w:adjustRightInd/>
        <w:snapToGrid/>
        <w:spacing w:line="520" w:lineRule="exact"/>
        <w:ind w:firstLine="645"/>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（二）年度重点工作</w:t>
      </w:r>
    </w:p>
    <w:p w14:paraId="2F11597B">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lang w:val="en-US" w:eastAsia="zh-CN"/>
        </w:rPr>
      </w:pPr>
      <w:bookmarkStart w:id="0" w:name="（三）部门整体收支情况"/>
      <w:bookmarkEnd w:id="0"/>
      <w:r>
        <w:rPr>
          <w:rFonts w:hint="eastAsia" w:ascii="仿宋_GB2312" w:hAnsi="仿宋" w:eastAsia="仿宋_GB2312" w:cs="宋体"/>
          <w:kern w:val="0"/>
          <w:sz w:val="32"/>
          <w:szCs w:val="32"/>
          <w:lang w:val="en-US" w:eastAsia="zh-CN"/>
        </w:rPr>
        <w:t xml:space="preserve">1.兜牢基本民生保障“安全网”。持续完善政策体系，扎实推进扩围增效，实施常态化救助帮扶，及时足额发放各类救助金。                     </w:t>
      </w:r>
    </w:p>
    <w:p w14:paraId="1906D72C">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2.打造为民养老服务“幸福圈”。高标准实施为民实事项目，推动开展老年助餐服务，着力提升居家养老服务水平，全力保障老年人权益。</w:t>
      </w:r>
    </w:p>
    <w:p w14:paraId="21854504">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3.做好基本社会服务“利民事”。开展婚姻登记“省内通办”、婚姻家庭辅导等便民服务，加强对县区殡仪馆、殡仪服务中心、公墓、集中安葬区等服务场所祭扫保障督导检查，发布《清明节安全文明祭祀倡议书》。</w:t>
      </w:r>
    </w:p>
    <w:p w14:paraId="5D2BCD96">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4.答好基层社会治理“时代题”。着力健全社会组织登记管理规范体系，加强社会组织年检和自身建设，持续优化社会组织结构，全市共登记注册社会组织1179家。</w:t>
      </w:r>
    </w:p>
    <w:p w14:paraId="733238DD">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5.画好结对帮扶关爱“同心圆”。健全完善制度机制，持续提升帮扶质效。</w:t>
      </w:r>
    </w:p>
    <w:p w14:paraId="0F2346A1">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_GB2312" w:hAnsi="仿宋" w:eastAsia="仿宋_GB2312" w:cs="宋体"/>
          <w:kern w:val="0"/>
          <w:sz w:val="32"/>
          <w:szCs w:val="32"/>
          <w:lang w:val="en-US" w:eastAsia="zh-CN"/>
        </w:rPr>
      </w:pPr>
      <w:r>
        <w:rPr>
          <w:rFonts w:hint="eastAsia" w:ascii="仿宋_GB2312" w:hAnsi="仿宋" w:eastAsia="仿宋_GB2312" w:cs="宋体"/>
          <w:kern w:val="0"/>
          <w:sz w:val="32"/>
          <w:szCs w:val="32"/>
          <w:lang w:val="en-US" w:eastAsia="zh-CN"/>
        </w:rPr>
        <w:t>6.扛起为民爱民利民“民政责”。深入开展群众身边不正之风和腐败问题集中整治，聚焦社会救助、社会事务、养老服务、社会组织4个领域，成立4个专责小组，紧盯9个方面突出问题，制定细化措施22项，确保整治取得实效。结合防止返贫帮扶政策和低收入人口常态化帮扶政策衔接并轨全国试点工作，积极搭建“政府主导、民政牵头、部门协作”工作机制。</w:t>
      </w:r>
    </w:p>
    <w:p w14:paraId="53F1142F">
      <w:pPr>
        <w:keepNext w:val="0"/>
        <w:keepLines w:val="0"/>
        <w:pageBreakBefore w:val="0"/>
        <w:widowControl/>
        <w:tabs>
          <w:tab w:val="left" w:pos="2880"/>
        </w:tabs>
        <w:kinsoku/>
        <w:wordWrap/>
        <w:overflowPunct/>
        <w:topLinePunct w:val="0"/>
        <w:autoSpaceDE/>
        <w:autoSpaceDN/>
        <w:bidi w:val="0"/>
        <w:adjustRightInd/>
        <w:snapToGrid/>
        <w:spacing w:line="520" w:lineRule="exact"/>
        <w:ind w:firstLine="645"/>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（三）</w:t>
      </w:r>
      <w:r>
        <w:rPr>
          <w:rFonts w:hint="eastAsia" w:ascii="楷体_GB2312" w:hAnsi="楷体_GB2312" w:eastAsia="楷体_GB2312" w:cs="楷体_GB2312"/>
          <w:b w:val="0"/>
          <w:bCs/>
          <w:sz w:val="32"/>
          <w:szCs w:val="32"/>
        </w:rPr>
        <w:fldChar w:fldCharType="begin"/>
      </w:r>
      <w:r>
        <w:rPr>
          <w:rFonts w:hint="eastAsia" w:ascii="楷体_GB2312" w:hAnsi="楷体_GB2312" w:eastAsia="楷体_GB2312" w:cs="楷体_GB2312"/>
          <w:b w:val="0"/>
          <w:bCs/>
          <w:sz w:val="32"/>
          <w:szCs w:val="32"/>
        </w:rPr>
        <w:instrText xml:space="preserve"> HYPERLINK "http://www.ynf.gov.cn/zdlyxxgk/jxxx/jxpj/ztzc/201709/t20170928_468322.html" \l "_Toc434746189" </w:instrText>
      </w:r>
      <w:r>
        <w:rPr>
          <w:rFonts w:hint="eastAsia" w:ascii="楷体_GB2312" w:hAnsi="楷体_GB2312" w:eastAsia="楷体_GB2312" w:cs="楷体_GB2312"/>
          <w:b w:val="0"/>
          <w:bCs/>
          <w:sz w:val="32"/>
          <w:szCs w:val="32"/>
        </w:rPr>
        <w:fldChar w:fldCharType="separate"/>
      </w:r>
      <w:r>
        <w:rPr>
          <w:rFonts w:hint="eastAsia" w:ascii="楷体_GB2312" w:hAnsi="楷体_GB2312" w:eastAsia="楷体_GB2312" w:cs="楷体_GB2312"/>
          <w:b w:val="0"/>
          <w:bCs/>
          <w:sz w:val="32"/>
          <w:szCs w:val="32"/>
        </w:rPr>
        <w:t>整体收支情况</w:t>
      </w:r>
      <w:r>
        <w:rPr>
          <w:rFonts w:hint="eastAsia" w:ascii="楷体_GB2312" w:hAnsi="楷体_GB2312" w:eastAsia="楷体_GB2312" w:cs="楷体_GB2312"/>
          <w:b w:val="0"/>
          <w:bCs/>
          <w:sz w:val="32"/>
          <w:szCs w:val="32"/>
        </w:rPr>
        <w:fldChar w:fldCharType="end"/>
      </w:r>
      <w:bookmarkStart w:id="1" w:name="（四）部门预算管理制度建设情况"/>
      <w:bookmarkEnd w:id="1"/>
    </w:p>
    <w:p w14:paraId="31DFE36A">
      <w:pPr>
        <w:keepNext w:val="0"/>
        <w:keepLines w:val="0"/>
        <w:pageBreakBefore w:val="0"/>
        <w:kinsoku/>
        <w:wordWrap/>
        <w:overflowPunct/>
        <w:topLinePunct w:val="0"/>
        <w:autoSpaceDE/>
        <w:autoSpaceDN/>
        <w:bidi w:val="0"/>
        <w:adjustRightInd/>
        <w:snapToGrid w:val="0"/>
        <w:spacing w:after="0" w:line="52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全年收入1016.31万元，完成预算的100%，其中:一般公共预算财政拨款收入919.06元，占比90.4%；政府性基金预算财政拨款收入94.77万元，占比9.3%,国有资本经营预算财政拨款收入（60年代精简退职职工生活补助）2.47万元，占比0.3%。</w:t>
      </w:r>
    </w:p>
    <w:p w14:paraId="47951DF2">
      <w:pPr>
        <w:keepNext w:val="0"/>
        <w:keepLines w:val="0"/>
        <w:pageBreakBefore w:val="0"/>
        <w:kinsoku/>
        <w:wordWrap/>
        <w:overflowPunct/>
        <w:topLinePunct w:val="0"/>
        <w:autoSpaceDE/>
        <w:autoSpaceDN/>
        <w:bidi w:val="0"/>
        <w:adjustRightInd/>
        <w:snapToGrid w:val="0"/>
        <w:spacing w:after="0" w:line="520" w:lineRule="exact"/>
        <w:ind w:firstLine="640" w:firstLineChars="200"/>
        <w:jc w:val="both"/>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2024年全年支出1016.31万元，完成年度预算的100%,其中:基本支出611.53万元,完成预算的100%，项目支出404.78元，完成预算的100%。基本支出中，人员经费支出546.37万元，主要是工资福利支出和对个人和家庭补助支出。公用经费支出65.16万元，主要是差旅费、接待费、办公费、水电费、取暖费、福利费和工会经费等。</w:t>
      </w:r>
    </w:p>
    <w:p w14:paraId="5C29F07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二、整体支出管理及使用情况</w:t>
      </w:r>
    </w:p>
    <w:p w14:paraId="1F358187">
      <w:pPr>
        <w:keepNext w:val="0"/>
        <w:keepLines w:val="0"/>
        <w:pageBreakBefore w:val="0"/>
        <w:widowControl/>
        <w:tabs>
          <w:tab w:val="left" w:pos="2880"/>
        </w:tabs>
        <w:kinsoku/>
        <w:wordWrap/>
        <w:overflowPunct/>
        <w:topLinePunct w:val="0"/>
        <w:autoSpaceDE/>
        <w:autoSpaceDN/>
        <w:bidi w:val="0"/>
        <w:adjustRightInd/>
        <w:snapToGrid/>
        <w:spacing w:line="520" w:lineRule="exact"/>
        <w:ind w:firstLine="645"/>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（一）支出管理情况</w:t>
      </w:r>
    </w:p>
    <w:p w14:paraId="4FD234F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202</w:t>
      </w:r>
      <w:r>
        <w:rPr>
          <w:rFonts w:hint="eastAsia"/>
          <w:color w:val="000000"/>
          <w:sz w:val="32"/>
          <w:szCs w:val="32"/>
          <w:lang w:val="en-US" w:eastAsia="zh-CN"/>
        </w:rPr>
        <w:t>4</w:t>
      </w:r>
      <w:r>
        <w:rPr>
          <w:rFonts w:hint="eastAsia" w:ascii="仿宋_GB2312" w:eastAsia="仿宋_GB2312"/>
          <w:color w:val="000000"/>
          <w:sz w:val="32"/>
          <w:szCs w:val="32"/>
          <w:lang w:val="en-US" w:eastAsia="zh-CN"/>
        </w:rPr>
        <w:t>年，</w:t>
      </w:r>
      <w:r>
        <w:rPr>
          <w:rFonts w:hint="eastAsia"/>
          <w:color w:val="000000"/>
          <w:sz w:val="32"/>
          <w:szCs w:val="32"/>
          <w:lang w:eastAsia="zh-CN"/>
        </w:rPr>
        <w:t>人员经费</w:t>
      </w:r>
      <w:r>
        <w:rPr>
          <w:rFonts w:hint="eastAsia" w:ascii="仿宋_GB2312" w:eastAsia="仿宋_GB2312"/>
          <w:color w:val="000000"/>
          <w:sz w:val="32"/>
          <w:szCs w:val="32"/>
          <w:lang w:eastAsia="zh-CN"/>
        </w:rPr>
        <w:t>收入</w:t>
      </w:r>
      <w:r>
        <w:rPr>
          <w:rFonts w:hint="eastAsia"/>
          <w:color w:val="000000"/>
          <w:sz w:val="32"/>
          <w:szCs w:val="32"/>
          <w:lang w:val="en-US" w:eastAsia="zh-CN"/>
        </w:rPr>
        <w:t>546.37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支出</w:t>
      </w:r>
      <w:r>
        <w:rPr>
          <w:rFonts w:hint="eastAsia"/>
          <w:color w:val="000000"/>
          <w:sz w:val="32"/>
          <w:szCs w:val="32"/>
          <w:lang w:val="en-US" w:eastAsia="zh-CN"/>
        </w:rPr>
        <w:t>546.37</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执行率</w:t>
      </w:r>
      <w:r>
        <w:rPr>
          <w:rFonts w:hint="eastAsia" w:ascii="仿宋_GB2312" w:eastAsia="仿宋_GB2312"/>
          <w:color w:val="000000"/>
          <w:sz w:val="32"/>
          <w:szCs w:val="32"/>
          <w:lang w:val="en-US" w:eastAsia="zh-CN"/>
        </w:rPr>
        <w:t>100%；</w:t>
      </w:r>
      <w:r>
        <w:rPr>
          <w:rFonts w:hint="eastAsia"/>
          <w:color w:val="000000"/>
          <w:sz w:val="32"/>
          <w:szCs w:val="32"/>
          <w:lang w:eastAsia="zh-CN"/>
        </w:rPr>
        <w:t>公用经费</w:t>
      </w:r>
      <w:r>
        <w:rPr>
          <w:rFonts w:hint="eastAsia" w:ascii="仿宋_GB2312" w:eastAsia="仿宋_GB2312"/>
          <w:color w:val="000000"/>
          <w:sz w:val="32"/>
          <w:szCs w:val="32"/>
          <w:lang w:eastAsia="zh-CN"/>
        </w:rPr>
        <w:t>收入</w:t>
      </w:r>
      <w:r>
        <w:rPr>
          <w:rFonts w:hint="eastAsia"/>
          <w:color w:val="000000"/>
          <w:sz w:val="32"/>
          <w:szCs w:val="32"/>
          <w:lang w:val="en-US" w:eastAsia="zh-CN"/>
        </w:rPr>
        <w:t>65.16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支出</w:t>
      </w:r>
      <w:r>
        <w:rPr>
          <w:rFonts w:hint="eastAsia"/>
          <w:color w:val="000000"/>
          <w:sz w:val="32"/>
          <w:szCs w:val="32"/>
          <w:lang w:val="en-US" w:eastAsia="zh-CN"/>
        </w:rPr>
        <w:t>65.16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执行率</w:t>
      </w:r>
      <w:r>
        <w:rPr>
          <w:rFonts w:hint="eastAsia" w:ascii="仿宋_GB2312" w:eastAsia="仿宋_GB2312"/>
          <w:color w:val="000000"/>
          <w:sz w:val="32"/>
          <w:szCs w:val="32"/>
          <w:lang w:val="en-US" w:eastAsia="zh-CN"/>
        </w:rPr>
        <w:t>100%；政府性基金收入</w:t>
      </w:r>
      <w:r>
        <w:rPr>
          <w:rFonts w:hint="eastAsia"/>
          <w:color w:val="000000"/>
          <w:sz w:val="32"/>
          <w:szCs w:val="32"/>
          <w:lang w:val="en-US" w:eastAsia="zh-CN"/>
        </w:rPr>
        <w:t>94.77</w:t>
      </w:r>
      <w:r>
        <w:rPr>
          <w:rFonts w:hint="eastAsia" w:ascii="仿宋_GB2312" w:eastAsia="仿宋_GB2312"/>
          <w:color w:val="000000"/>
          <w:sz w:val="32"/>
          <w:szCs w:val="32"/>
          <w:lang w:val="en-US" w:eastAsia="zh-CN"/>
        </w:rPr>
        <w:t>万元，支出</w:t>
      </w:r>
      <w:r>
        <w:rPr>
          <w:rFonts w:hint="eastAsia"/>
          <w:color w:val="000000"/>
          <w:sz w:val="32"/>
          <w:szCs w:val="32"/>
          <w:lang w:val="en-US" w:eastAsia="zh-CN"/>
        </w:rPr>
        <w:t>94.77</w:t>
      </w:r>
      <w:r>
        <w:rPr>
          <w:rFonts w:hint="eastAsia" w:ascii="仿宋_GB2312" w:eastAsia="仿宋_GB2312"/>
          <w:color w:val="000000"/>
          <w:sz w:val="32"/>
          <w:szCs w:val="32"/>
          <w:lang w:val="en-US" w:eastAsia="zh-CN"/>
        </w:rPr>
        <w:t>万元，</w:t>
      </w:r>
      <w:r>
        <w:rPr>
          <w:rFonts w:hint="eastAsia" w:ascii="仿宋_GB2312" w:eastAsia="仿宋_GB2312"/>
          <w:color w:val="000000"/>
          <w:sz w:val="32"/>
          <w:szCs w:val="32"/>
          <w:lang w:eastAsia="zh-CN"/>
        </w:rPr>
        <w:t>执行率</w:t>
      </w:r>
      <w:r>
        <w:rPr>
          <w:rFonts w:hint="eastAsia" w:ascii="仿宋_GB2312" w:eastAsia="仿宋_GB2312"/>
          <w:color w:val="000000"/>
          <w:sz w:val="32"/>
          <w:szCs w:val="32"/>
          <w:lang w:val="en-US" w:eastAsia="zh-CN"/>
        </w:rPr>
        <w:t>100%；解决历史遗留及改革性成本支出2.472万元，支出2.472万元，</w:t>
      </w:r>
      <w:r>
        <w:rPr>
          <w:rFonts w:hint="eastAsia" w:ascii="仿宋_GB2312" w:eastAsia="仿宋_GB2312"/>
          <w:color w:val="000000"/>
          <w:sz w:val="32"/>
          <w:szCs w:val="32"/>
          <w:lang w:eastAsia="zh-CN"/>
        </w:rPr>
        <w:t>执行率</w:t>
      </w:r>
      <w:r>
        <w:rPr>
          <w:rFonts w:hint="eastAsia" w:ascii="仿宋_GB2312" w:eastAsia="仿宋_GB2312"/>
          <w:color w:val="000000"/>
          <w:sz w:val="32"/>
          <w:szCs w:val="32"/>
          <w:lang w:val="en-US" w:eastAsia="zh-CN"/>
        </w:rPr>
        <w:t>100%；</w:t>
      </w:r>
      <w:r>
        <w:rPr>
          <w:rFonts w:hint="eastAsia"/>
          <w:color w:val="000000"/>
          <w:sz w:val="32"/>
          <w:szCs w:val="32"/>
          <w:lang w:val="en-US" w:eastAsia="zh-CN"/>
        </w:rPr>
        <w:t>项目</w:t>
      </w:r>
      <w:r>
        <w:rPr>
          <w:rFonts w:hint="eastAsia" w:ascii="仿宋_GB2312" w:eastAsia="仿宋_GB2312"/>
          <w:color w:val="000000"/>
          <w:sz w:val="32"/>
          <w:szCs w:val="32"/>
          <w:lang w:val="en-US" w:eastAsia="zh-CN"/>
        </w:rPr>
        <w:t>资金</w:t>
      </w:r>
      <w:r>
        <w:rPr>
          <w:rFonts w:hint="eastAsia"/>
          <w:color w:val="000000"/>
          <w:sz w:val="32"/>
          <w:szCs w:val="32"/>
          <w:lang w:val="en-US" w:eastAsia="zh-CN"/>
        </w:rPr>
        <w:t>307.54</w:t>
      </w:r>
      <w:r>
        <w:rPr>
          <w:rFonts w:hint="eastAsia" w:ascii="仿宋_GB2312" w:eastAsia="仿宋_GB2312"/>
          <w:color w:val="000000"/>
          <w:sz w:val="32"/>
          <w:szCs w:val="32"/>
          <w:lang w:val="en-US" w:eastAsia="zh-CN"/>
        </w:rPr>
        <w:t>万元，支出</w:t>
      </w:r>
      <w:r>
        <w:rPr>
          <w:rFonts w:hint="eastAsia"/>
          <w:color w:val="000000"/>
          <w:sz w:val="32"/>
          <w:szCs w:val="32"/>
          <w:lang w:val="en-US" w:eastAsia="zh-CN"/>
        </w:rPr>
        <w:t>307.54</w:t>
      </w:r>
      <w:r>
        <w:rPr>
          <w:rFonts w:hint="eastAsia" w:ascii="仿宋_GB2312" w:eastAsia="仿宋_GB2312"/>
          <w:color w:val="000000"/>
          <w:sz w:val="32"/>
          <w:szCs w:val="32"/>
          <w:lang w:val="en-US" w:eastAsia="zh-CN"/>
        </w:rPr>
        <w:t>万元，</w:t>
      </w:r>
      <w:r>
        <w:rPr>
          <w:rFonts w:hint="eastAsia" w:ascii="仿宋_GB2312" w:eastAsia="仿宋_GB2312"/>
          <w:color w:val="000000"/>
          <w:sz w:val="32"/>
          <w:szCs w:val="32"/>
          <w:lang w:eastAsia="zh-CN"/>
        </w:rPr>
        <w:t>执行率</w:t>
      </w:r>
      <w:r>
        <w:rPr>
          <w:rFonts w:hint="eastAsia" w:ascii="仿宋_GB2312" w:eastAsia="仿宋_GB2312"/>
          <w:color w:val="000000"/>
          <w:sz w:val="32"/>
          <w:szCs w:val="32"/>
          <w:lang w:val="en-US" w:eastAsia="zh-CN"/>
        </w:rPr>
        <w:t>100%</w:t>
      </w:r>
      <w:r>
        <w:rPr>
          <w:rFonts w:hint="eastAsia"/>
          <w:color w:val="000000"/>
          <w:sz w:val="32"/>
          <w:szCs w:val="32"/>
          <w:lang w:val="en-US" w:eastAsia="zh-CN"/>
        </w:rPr>
        <w:t>。</w:t>
      </w:r>
    </w:p>
    <w:p w14:paraId="59C96D31">
      <w:pPr>
        <w:keepNext w:val="0"/>
        <w:keepLines w:val="0"/>
        <w:pageBreakBefore w:val="0"/>
        <w:widowControl/>
        <w:tabs>
          <w:tab w:val="left" w:pos="2880"/>
        </w:tabs>
        <w:kinsoku/>
        <w:wordWrap/>
        <w:overflowPunct/>
        <w:topLinePunct w:val="0"/>
        <w:autoSpaceDE/>
        <w:autoSpaceDN/>
        <w:bidi w:val="0"/>
        <w:adjustRightInd/>
        <w:snapToGrid/>
        <w:spacing w:line="520" w:lineRule="exact"/>
        <w:ind w:firstLine="645"/>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（二）“三公”经费决算说明</w:t>
      </w:r>
    </w:p>
    <w:p w14:paraId="01D76203">
      <w:pPr>
        <w:keepNext w:val="0"/>
        <w:keepLines w:val="0"/>
        <w:pageBreakBefore w:val="0"/>
        <w:widowControl/>
        <w:tabs>
          <w:tab w:val="left" w:pos="2880"/>
        </w:tabs>
        <w:kinsoku/>
        <w:wordWrap/>
        <w:overflowPunct/>
        <w:topLinePunct w:val="0"/>
        <w:autoSpaceDE/>
        <w:autoSpaceDN/>
        <w:bidi w:val="0"/>
        <w:adjustRightInd/>
        <w:snapToGrid/>
        <w:spacing w:line="520" w:lineRule="exact"/>
        <w:ind w:firstLine="645"/>
        <w:textAlignment w:val="auto"/>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202</w:t>
      </w:r>
      <w:r>
        <w:rPr>
          <w:rFonts w:hint="eastAsia"/>
          <w:color w:val="000000"/>
          <w:sz w:val="32"/>
          <w:szCs w:val="32"/>
          <w:lang w:val="en-US" w:eastAsia="zh-CN"/>
        </w:rPr>
        <w:t>4</w:t>
      </w:r>
      <w:r>
        <w:rPr>
          <w:rFonts w:hint="eastAsia" w:ascii="仿宋_GB2312" w:eastAsia="仿宋_GB2312"/>
          <w:color w:val="000000"/>
          <w:sz w:val="32"/>
          <w:szCs w:val="32"/>
          <w:lang w:val="en-US" w:eastAsia="zh-CN"/>
        </w:rPr>
        <w:t>年三公经费预算3</w:t>
      </w:r>
      <w:r>
        <w:rPr>
          <w:rFonts w:hint="eastAsia"/>
          <w:color w:val="000000"/>
          <w:sz w:val="32"/>
          <w:szCs w:val="32"/>
          <w:lang w:val="en-US" w:eastAsia="zh-CN"/>
        </w:rPr>
        <w:t>.33</w:t>
      </w:r>
      <w:r>
        <w:rPr>
          <w:rFonts w:hint="eastAsia" w:ascii="仿宋_GB2312" w:eastAsia="仿宋_GB2312"/>
          <w:color w:val="000000"/>
          <w:sz w:val="32"/>
          <w:szCs w:val="32"/>
          <w:lang w:val="en-US" w:eastAsia="zh-CN"/>
        </w:rPr>
        <w:t>万元，其中公务接待费3.</w:t>
      </w:r>
      <w:r>
        <w:rPr>
          <w:rFonts w:hint="eastAsia"/>
          <w:color w:val="000000"/>
          <w:sz w:val="32"/>
          <w:szCs w:val="32"/>
          <w:lang w:val="en-US" w:eastAsia="zh-CN"/>
        </w:rPr>
        <w:t>33</w:t>
      </w:r>
      <w:r>
        <w:rPr>
          <w:rFonts w:hint="eastAsia" w:ascii="仿宋_GB2312" w:eastAsia="仿宋_GB2312"/>
          <w:color w:val="000000"/>
          <w:sz w:val="32"/>
          <w:szCs w:val="32"/>
          <w:lang w:val="en-US" w:eastAsia="zh-CN"/>
        </w:rPr>
        <w:t>万元，支出</w:t>
      </w:r>
      <w:r>
        <w:rPr>
          <w:rFonts w:hint="eastAsia"/>
          <w:color w:val="000000"/>
          <w:sz w:val="32"/>
          <w:szCs w:val="32"/>
          <w:lang w:val="en-US" w:eastAsia="zh-CN"/>
        </w:rPr>
        <w:t>2.64</w:t>
      </w:r>
      <w:r>
        <w:rPr>
          <w:rFonts w:hint="eastAsia" w:ascii="仿宋_GB2312" w:eastAsia="仿宋_GB2312"/>
          <w:color w:val="000000"/>
          <w:sz w:val="32"/>
          <w:szCs w:val="32"/>
          <w:lang w:val="en-US" w:eastAsia="zh-CN"/>
        </w:rPr>
        <w:t>万元，</w:t>
      </w:r>
      <w:r>
        <w:rPr>
          <w:rFonts w:hint="eastAsia" w:ascii="仿宋_GB2312" w:eastAsia="仿宋_GB2312"/>
          <w:color w:val="000000"/>
          <w:sz w:val="32"/>
          <w:szCs w:val="32"/>
          <w:lang w:eastAsia="zh-CN"/>
        </w:rPr>
        <w:t>执行率</w:t>
      </w:r>
      <w:r>
        <w:rPr>
          <w:rFonts w:hint="eastAsia"/>
          <w:color w:val="000000"/>
          <w:sz w:val="32"/>
          <w:szCs w:val="32"/>
          <w:lang w:val="en-US" w:eastAsia="zh-CN"/>
        </w:rPr>
        <w:t>79</w:t>
      </w:r>
      <w:r>
        <w:rPr>
          <w:rFonts w:hint="eastAsia" w:ascii="仿宋_GB2312" w:eastAsia="仿宋_GB2312"/>
          <w:color w:val="000000"/>
          <w:sz w:val="32"/>
          <w:szCs w:val="32"/>
          <w:lang w:val="en-US" w:eastAsia="zh-CN"/>
        </w:rPr>
        <w:t>%。</w:t>
      </w:r>
    </w:p>
    <w:p w14:paraId="32F1140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rPr>
        <w:t>三、整体支出绩效情况</w:t>
      </w:r>
    </w:p>
    <w:p w14:paraId="2B7FE7AE">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eastAsia="仿宋_GB2312"/>
          <w:color w:val="000000"/>
          <w:kern w:val="0"/>
          <w:sz w:val="32"/>
          <w:szCs w:val="32"/>
          <w:lang w:eastAsia="zh-CN"/>
        </w:rPr>
      </w:pPr>
      <w:bookmarkStart w:id="2" w:name="（一）绩效自评目的"/>
      <w:bookmarkEnd w:id="2"/>
      <w:r>
        <w:rPr>
          <w:rFonts w:hint="eastAsia" w:eastAsia="仿宋_GB2312"/>
          <w:color w:val="000000"/>
          <w:kern w:val="0"/>
          <w:sz w:val="32"/>
          <w:szCs w:val="32"/>
          <w:lang w:eastAsia="zh-CN"/>
        </w:rPr>
        <w:t>（一）严格预算管理，预算完成率、公用经费控制率等按要求完成，建立健全资产管理制度，规范资产管理，合理合规使用各项资金，落实预算绩效全覆盖。</w:t>
      </w:r>
    </w:p>
    <w:p w14:paraId="5E5CC566">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eastAsia="仿宋_GB2312"/>
          <w:color w:val="000000"/>
          <w:kern w:val="0"/>
          <w:sz w:val="32"/>
          <w:szCs w:val="32"/>
          <w:lang w:eastAsia="zh-CN"/>
        </w:rPr>
        <w:t>（</w:t>
      </w:r>
      <w:r>
        <w:rPr>
          <w:rFonts w:hint="eastAsia"/>
          <w:color w:val="000000"/>
          <w:kern w:val="0"/>
          <w:sz w:val="32"/>
          <w:szCs w:val="32"/>
          <w:lang w:eastAsia="zh-CN"/>
        </w:rPr>
        <w:t>二</w:t>
      </w:r>
      <w:r>
        <w:rPr>
          <w:rFonts w:hint="eastAsia" w:eastAsia="仿宋_GB2312"/>
          <w:color w:val="000000"/>
          <w:kern w:val="0"/>
          <w:sz w:val="32"/>
          <w:szCs w:val="32"/>
          <w:lang w:eastAsia="zh-CN"/>
        </w:rPr>
        <w:t>）加强救助资金管理，落实落细各项救助政策。聚焦健全分层分类社会救助体系建设，社会救助兜得“牢”。完善救助保障政策兜住底。制定出台《张掖市低收入人口认定及救助帮扶实施办法》《关于进一步做好最低生活保障等社会救助兜底保障工作的通知》《关于进一步加强和改进社会救助工作的通知》，全力夯实社会救助兜底保障政策基础。</w:t>
      </w:r>
      <w:r>
        <w:rPr>
          <w:rFonts w:hint="eastAsia" w:ascii="仿宋_GB2312" w:eastAsia="仿宋_GB2312" w:cs="Times New Roman"/>
          <w:color w:val="auto"/>
          <w:sz w:val="32"/>
          <w:szCs w:val="32"/>
          <w:lang w:val="en-US" w:eastAsia="zh-CN"/>
        </w:rPr>
        <w:t>扎实推进防返贫和</w:t>
      </w:r>
      <w:r>
        <w:rPr>
          <w:rFonts w:hint="eastAsia" w:ascii="仿宋_GB2312" w:eastAsia="仿宋_GB2312"/>
          <w:color w:val="auto"/>
          <w:sz w:val="32"/>
          <w:szCs w:val="32"/>
          <w:lang w:eastAsia="zh-CN"/>
        </w:rPr>
        <w:t>低收入人口动态监测，通过“大数据比对”“铁脚板摸排”，及时将符合条件人员纳入保障范围，确保“应保尽保、应兜尽兜”。开展居民家庭经济状况信息核对78.1万人次，共核查比对动态监测预警信息</w:t>
      </w:r>
      <w:r>
        <w:rPr>
          <w:rFonts w:hint="eastAsia" w:ascii="仿宋_GB2312" w:eastAsia="仿宋_GB2312"/>
          <w:color w:val="auto"/>
          <w:sz w:val="32"/>
          <w:szCs w:val="32"/>
        </w:rPr>
        <w:t>5批次534条，新纳入低保83户86人，给予临时救助207人次。</w:t>
      </w:r>
      <w:r>
        <w:rPr>
          <w:rFonts w:hint="eastAsia" w:ascii="仿宋_GB2312" w:hAnsi="仿宋_GB2312" w:eastAsia="仿宋_GB2312" w:cs="仿宋_GB2312"/>
          <w:color w:val="auto"/>
          <w:sz w:val="32"/>
          <w:szCs w:val="32"/>
          <w:lang w:eastAsia="zh-CN"/>
        </w:rPr>
        <w:t>强化困难群众救助资金监管，及时足额将城乡低保金、特困供养金等各类救助资金发放到保障对象手中。</w:t>
      </w:r>
      <w:r>
        <w:rPr>
          <w:rFonts w:ascii="仿宋_GB2312" w:hAnsi="仿宋_GB2312" w:eastAsia="仿宋_GB2312" w:cs="仿宋_GB2312"/>
          <w:color w:val="auto"/>
          <w:sz w:val="32"/>
          <w:szCs w:val="32"/>
        </w:rPr>
        <w:t>全年共</w:t>
      </w:r>
      <w:r>
        <w:rPr>
          <w:rFonts w:hint="eastAsia" w:ascii="仿宋_GB2312" w:hAnsi="仿宋_GB2312" w:eastAsia="仿宋_GB2312" w:cs="仿宋_GB2312"/>
          <w:color w:val="auto"/>
          <w:sz w:val="32"/>
          <w:szCs w:val="32"/>
        </w:rPr>
        <w:t>发放各项社会救助资金</w:t>
      </w:r>
      <w:r>
        <w:rPr>
          <w:rFonts w:ascii="仿宋_GB2312" w:hAnsi="仿宋_GB2312" w:eastAsia="仿宋_GB2312" w:cs="仿宋_GB2312"/>
          <w:color w:val="auto"/>
          <w:sz w:val="32"/>
          <w:szCs w:val="32"/>
        </w:rPr>
        <w:t>5.55</w:t>
      </w:r>
      <w:r>
        <w:rPr>
          <w:rFonts w:hint="eastAsia" w:ascii="仿宋_GB2312" w:hAnsi="仿宋_GB2312" w:eastAsia="仿宋_GB2312" w:cs="仿宋_GB2312"/>
          <w:color w:val="auto"/>
          <w:sz w:val="32"/>
          <w:szCs w:val="32"/>
        </w:rPr>
        <w:t>亿元，保障救助对象14.7万人次</w:t>
      </w:r>
      <w:r>
        <w:rPr>
          <w:rFonts w:hint="eastAsia" w:ascii="仿宋_GB2312" w:hAnsi="仿宋_GB2312" w:eastAsia="仿宋_GB2312" w:cs="仿宋_GB2312"/>
          <w:color w:val="auto"/>
          <w:kern w:val="0"/>
          <w:sz w:val="32"/>
          <w:szCs w:val="32"/>
          <w:shd w:val="clear" w:color="auto" w:fill="FFFFFF"/>
          <w:lang w:bidi="ar"/>
        </w:rPr>
        <w:t>。</w:t>
      </w:r>
    </w:p>
    <w:p w14:paraId="5277508A">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rPr>
          <w:rFonts w:hint="eastAsia" w:ascii="仿宋_GB2312" w:hAnsi="仿宋_GB2312" w:eastAsia="仿宋_GB2312" w:cs="仿宋_GB2312"/>
          <w:color w:val="auto"/>
          <w:kern w:val="0"/>
          <w:sz w:val="32"/>
          <w:szCs w:val="32"/>
          <w:shd w:val="clear" w:color="auto" w:fill="FFFFFF"/>
          <w:lang w:bidi="ar"/>
        </w:rPr>
      </w:pPr>
      <w:r>
        <w:rPr>
          <w:rFonts w:hint="eastAsia" w:eastAsia="仿宋_GB2312"/>
          <w:color w:val="000000"/>
          <w:kern w:val="0"/>
          <w:sz w:val="32"/>
          <w:szCs w:val="32"/>
          <w:lang w:eastAsia="zh-CN"/>
        </w:rPr>
        <w:t>（三）全力保障老年人权益</w:t>
      </w:r>
      <w:r>
        <w:rPr>
          <w:rFonts w:hint="eastAsia" w:ascii="楷体_GB2312" w:hAnsi="楷体_GB2312" w:eastAsia="楷体_GB2312" w:cs="楷体_GB2312"/>
          <w:b w:val="0"/>
          <w:bCs/>
          <w:sz w:val="32"/>
          <w:szCs w:val="32"/>
          <w:lang w:eastAsia="zh-CN"/>
        </w:rPr>
        <w:t>，</w:t>
      </w:r>
      <w:r>
        <w:rPr>
          <w:rFonts w:hint="eastAsia" w:eastAsia="仿宋_GB2312"/>
          <w:color w:val="000000"/>
          <w:kern w:val="0"/>
          <w:sz w:val="32"/>
          <w:szCs w:val="32"/>
          <w:lang w:eastAsia="zh-CN"/>
        </w:rPr>
        <w:t>建立《张掖市老龄工作机制成员单位职责清单》，细化《2024年张掖市老龄工作要点》，全面落实养老惠老政策，为1.92万80岁以上高龄老人发放</w:t>
      </w:r>
      <w:r>
        <w:rPr>
          <w:rFonts w:hint="eastAsia" w:eastAsia="仿宋_GB2312"/>
          <w:color w:val="000000"/>
          <w:kern w:val="0"/>
          <w:sz w:val="32"/>
          <w:szCs w:val="32"/>
          <w:lang w:val="en-US" w:eastAsia="zh-CN"/>
        </w:rPr>
        <w:t>津贴</w:t>
      </w:r>
      <w:r>
        <w:rPr>
          <w:rFonts w:hint="eastAsia" w:eastAsia="仿宋_GB2312"/>
          <w:color w:val="000000"/>
          <w:kern w:val="0"/>
          <w:sz w:val="32"/>
          <w:szCs w:val="32"/>
          <w:lang w:eastAsia="zh-CN"/>
        </w:rPr>
        <w:t>866.6</w:t>
      </w:r>
      <w:r>
        <w:rPr>
          <w:rFonts w:hint="eastAsia" w:eastAsia="仿宋_GB2312"/>
          <w:color w:val="000000"/>
          <w:kern w:val="0"/>
          <w:sz w:val="32"/>
          <w:szCs w:val="32"/>
          <w:lang w:val="en-US" w:eastAsia="zh-CN"/>
        </w:rPr>
        <w:t>4</w:t>
      </w:r>
      <w:r>
        <w:rPr>
          <w:rFonts w:hint="eastAsia" w:eastAsia="仿宋_GB2312"/>
          <w:color w:val="000000"/>
          <w:kern w:val="0"/>
          <w:sz w:val="32"/>
          <w:szCs w:val="32"/>
          <w:lang w:eastAsia="zh-CN"/>
        </w:rPr>
        <w:t>万元，</w:t>
      </w:r>
      <w:r>
        <w:rPr>
          <w:rFonts w:hint="eastAsia" w:eastAsia="仿宋_GB2312"/>
          <w:color w:val="000000"/>
          <w:kern w:val="0"/>
          <w:sz w:val="32"/>
          <w:szCs w:val="32"/>
          <w:lang w:val="en-US" w:eastAsia="zh-CN"/>
        </w:rPr>
        <w:t>为6万余名75岁以上老年人补助意外伤害保险资金39.4万元，</w:t>
      </w:r>
      <w:r>
        <w:rPr>
          <w:rFonts w:hint="eastAsia" w:eastAsia="仿宋_GB2312"/>
          <w:color w:val="000000"/>
          <w:kern w:val="0"/>
          <w:sz w:val="32"/>
          <w:szCs w:val="32"/>
          <w:lang w:eastAsia="zh-CN"/>
        </w:rPr>
        <w:t>全市“65岁以上老年人免费乘坐公交车”优待政策全面落实，公办医疗机构严格落实60岁以上老年人“一免一半五优先”政策，老年人权益保障水平持续提高。</w:t>
      </w:r>
    </w:p>
    <w:p w14:paraId="0CBBC774">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000000"/>
          <w:sz w:val="32"/>
          <w:szCs w:val="32"/>
        </w:rPr>
      </w:pPr>
      <w:r>
        <w:rPr>
          <w:rFonts w:hint="eastAsia" w:ascii="黑体" w:hAnsi="黑体" w:eastAsia="黑体"/>
          <w:color w:val="000000"/>
          <w:sz w:val="32"/>
          <w:szCs w:val="32"/>
          <w:lang w:eastAsia="zh-CN"/>
        </w:rPr>
        <w:t>四</w:t>
      </w:r>
      <w:r>
        <w:rPr>
          <w:rFonts w:hint="eastAsia" w:ascii="黑体" w:hAnsi="黑体" w:eastAsia="黑体"/>
          <w:color w:val="000000"/>
          <w:sz w:val="32"/>
          <w:szCs w:val="32"/>
        </w:rPr>
        <w:t>、存在的问题</w:t>
      </w:r>
    </w:p>
    <w:p w14:paraId="19167695">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val="0"/>
          <w:bCs/>
          <w:sz w:val="32"/>
          <w:szCs w:val="32"/>
        </w:rPr>
        <w:t>（一）内部控制观念仍需强化。</w:t>
      </w:r>
      <w:r>
        <w:rPr>
          <w:rFonts w:hint="eastAsia" w:ascii="仿宋_GB2312" w:hAnsi="仿宋_GB2312" w:eastAsia="仿宋_GB2312" w:cs="仿宋_GB2312"/>
          <w:sz w:val="32"/>
          <w:szCs w:val="32"/>
        </w:rPr>
        <w:t>内控意识不强，对内部控制知识缺乏全面的了解，</w:t>
      </w:r>
      <w:r>
        <w:rPr>
          <w:rFonts w:hint="eastAsia" w:ascii="仿宋_GB2312" w:hAnsi="黑体" w:eastAsia="仿宋_GB2312"/>
          <w:color w:val="000000"/>
          <w:sz w:val="32"/>
          <w:szCs w:val="32"/>
        </w:rPr>
        <w:t>对经济活</w:t>
      </w:r>
      <w:bookmarkStart w:id="3" w:name="_GoBack"/>
      <w:bookmarkEnd w:id="3"/>
      <w:r>
        <w:rPr>
          <w:rFonts w:hint="eastAsia" w:ascii="仿宋_GB2312" w:hAnsi="黑体" w:eastAsia="仿宋_GB2312"/>
          <w:color w:val="000000"/>
          <w:sz w:val="32"/>
          <w:szCs w:val="32"/>
        </w:rPr>
        <w:t>动尤其是权力运用、资金分配方面存在的风险分析评估工作不够深入，</w:t>
      </w:r>
      <w:r>
        <w:rPr>
          <w:rFonts w:hint="eastAsia" w:ascii="仿宋_GB2312" w:hAnsi="仿宋_GB2312" w:eastAsia="仿宋_GB2312" w:cs="仿宋_GB2312"/>
          <w:sz w:val="32"/>
          <w:szCs w:val="32"/>
        </w:rPr>
        <w:t>对建立内部控制缺乏积极性、主动性。</w:t>
      </w:r>
    </w:p>
    <w:p w14:paraId="254610C8">
      <w:pPr>
        <w:pStyle w:val="4"/>
        <w:keepNext w:val="0"/>
        <w:keepLines w:val="0"/>
        <w:pageBreakBefore w:val="0"/>
        <w:widowControl/>
        <w:kinsoku/>
        <w:wordWrap/>
        <w:overflowPunct/>
        <w:topLinePunct w:val="0"/>
        <w:autoSpaceDE/>
        <w:autoSpaceDN/>
        <w:bidi w:val="0"/>
        <w:adjustRightInd/>
        <w:snapToGrid/>
        <w:spacing w:before="120" w:beforeAutospacing="0" w:after="0" w:afterAutospacing="0" w:line="520" w:lineRule="exact"/>
        <w:ind w:firstLine="640" w:firstLineChars="200"/>
        <w:textAlignment w:val="auto"/>
        <w:rPr>
          <w:rFonts w:ascii="黑体" w:hAnsi="黑体" w:eastAsia="黑体"/>
          <w:color w:val="000000"/>
          <w:sz w:val="32"/>
          <w:szCs w:val="32"/>
        </w:rPr>
      </w:pPr>
      <w:r>
        <w:rPr>
          <w:rFonts w:hint="eastAsia" w:ascii="楷体_GB2312" w:hAnsi="楷体_GB2312" w:eastAsia="楷体_GB2312" w:cs="楷体_GB2312"/>
          <w:b w:val="0"/>
          <w:bCs/>
          <w:kern w:val="2"/>
          <w:sz w:val="32"/>
          <w:szCs w:val="32"/>
          <w:lang w:val="en-US" w:eastAsia="zh-CN" w:bidi="ar-SA"/>
        </w:rPr>
        <w:t>（二）预算管理水平有待提高。</w:t>
      </w:r>
      <w:r>
        <w:rPr>
          <w:rFonts w:hint="eastAsia" w:ascii="仿宋_GB2312" w:hAnsi="仿宋_GB2312" w:eastAsia="仿宋_GB2312" w:cs="仿宋_GB2312"/>
          <w:sz w:val="32"/>
          <w:szCs w:val="32"/>
        </w:rPr>
        <w:t>预算管理作为产出绩效的主要环节之一，要想提升绩效的质量就一定要建立起完善的预算程序，但是目前存在预算管理水平及方法欠缺，存在预算计划性、科学性不强的问题。</w:t>
      </w:r>
    </w:p>
    <w:p w14:paraId="1710B35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w:t>
      </w:r>
      <w:r>
        <w:rPr>
          <w:rFonts w:hint="eastAsia" w:ascii="黑体" w:hAnsi="黑体" w:eastAsia="黑体"/>
          <w:color w:val="000000"/>
          <w:sz w:val="32"/>
          <w:szCs w:val="32"/>
        </w:rPr>
        <w:t>下一步改进工作的措施</w:t>
      </w:r>
    </w:p>
    <w:p w14:paraId="164FA4C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（一）进一步加强对绩效管理工作的认识，确定年度绩效管理工作目标，并分解落实到各科室，各下属单位，形成年度重点工作目标，纳入年度考核。</w:t>
      </w:r>
    </w:p>
    <w:p w14:paraId="269B6000">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（二）局机关应加强对各科室和下属单位项目资金的监管，确保各项资金安全、有效的支付。</w:t>
      </w:r>
    </w:p>
    <w:p w14:paraId="51F0E671">
      <w:pPr>
        <w:spacing w:line="360" w:lineRule="auto"/>
        <w:ind w:firstLine="5760" w:firstLineChars="1800"/>
        <w:rPr>
          <w:rFonts w:hint="eastAsia" w:ascii="仿宋_GB2312" w:hAnsi="华文楷体" w:eastAsia="仿宋_GB2312"/>
          <w:color w:val="000000"/>
          <w:sz w:val="32"/>
          <w:szCs w:val="32"/>
        </w:rPr>
      </w:pPr>
    </w:p>
    <w:p w14:paraId="3E99DFA6">
      <w:pPr>
        <w:spacing w:line="360" w:lineRule="auto"/>
        <w:ind w:firstLine="5760" w:firstLineChars="1800"/>
        <w:rPr>
          <w:rFonts w:hint="eastAsia" w:ascii="仿宋_GB2312" w:hAnsi="华文楷体" w:eastAsia="仿宋_GB2312"/>
          <w:color w:val="000000"/>
          <w:sz w:val="32"/>
          <w:szCs w:val="32"/>
        </w:rPr>
      </w:pPr>
    </w:p>
    <w:p w14:paraId="738FAB70">
      <w:pPr>
        <w:spacing w:line="360" w:lineRule="auto"/>
        <w:ind w:firstLine="5760" w:firstLineChars="1800"/>
        <w:rPr>
          <w:rFonts w:hint="eastAsia" w:ascii="仿宋_GB2312" w:hAnsi="华文楷体" w:eastAsia="仿宋_GB2312"/>
          <w:color w:val="000000"/>
          <w:sz w:val="32"/>
          <w:szCs w:val="32"/>
        </w:rPr>
      </w:pPr>
      <w:r>
        <w:rPr>
          <w:rFonts w:hint="eastAsia" w:ascii="仿宋_GB2312" w:hAnsi="华文楷体" w:eastAsia="仿宋_GB2312"/>
          <w:color w:val="000000"/>
          <w:sz w:val="32"/>
          <w:szCs w:val="32"/>
        </w:rPr>
        <w:t>张掖市民政局</w:t>
      </w:r>
    </w:p>
    <w:p w14:paraId="164B627D">
      <w:pPr>
        <w:spacing w:line="360" w:lineRule="auto"/>
        <w:ind w:firstLine="4800" w:firstLineChars="1500"/>
      </w:pPr>
      <w:r>
        <w:rPr>
          <w:rFonts w:hint="eastAsia" w:ascii="仿宋_GB2312" w:hAnsi="华文楷体" w:eastAsia="仿宋_GB2312"/>
          <w:color w:val="000000"/>
          <w:sz w:val="32"/>
          <w:szCs w:val="32"/>
        </w:rPr>
        <w:t xml:space="preserve">     202</w:t>
      </w:r>
      <w:r>
        <w:rPr>
          <w:rFonts w:hint="eastAsia" w:hAnsi="华文楷体"/>
          <w:color w:val="000000"/>
          <w:sz w:val="32"/>
          <w:szCs w:val="32"/>
          <w:lang w:val="en-US" w:eastAsia="zh-CN"/>
        </w:rPr>
        <w:t>5</w:t>
      </w:r>
      <w:r>
        <w:rPr>
          <w:rFonts w:hint="eastAsia" w:ascii="仿宋_GB2312" w:hAnsi="华文楷体" w:eastAsia="仿宋_GB2312"/>
          <w:color w:val="000000"/>
          <w:sz w:val="32"/>
          <w:szCs w:val="32"/>
        </w:rPr>
        <w:t>年</w:t>
      </w:r>
      <w:r>
        <w:rPr>
          <w:rFonts w:hint="eastAsia" w:hAnsi="华文楷体"/>
          <w:color w:val="000000"/>
          <w:sz w:val="32"/>
          <w:szCs w:val="32"/>
          <w:lang w:val="en-US" w:eastAsia="zh-CN"/>
        </w:rPr>
        <w:t>3</w:t>
      </w:r>
      <w:r>
        <w:rPr>
          <w:rFonts w:hint="eastAsia" w:ascii="仿宋_GB2312" w:hAnsi="华文楷体" w:eastAsia="仿宋_GB2312"/>
          <w:color w:val="000000"/>
          <w:sz w:val="32"/>
          <w:szCs w:val="32"/>
        </w:rPr>
        <w:t>月</w:t>
      </w:r>
      <w:r>
        <w:rPr>
          <w:rFonts w:hint="eastAsia" w:ascii="仿宋_GB2312" w:hAnsi="华文楷体" w:eastAsia="仿宋_GB2312"/>
          <w:color w:val="000000"/>
          <w:sz w:val="32"/>
          <w:szCs w:val="32"/>
          <w:lang w:val="en-US" w:eastAsia="zh-CN"/>
        </w:rPr>
        <w:t>5</w:t>
      </w:r>
      <w:r>
        <w:rPr>
          <w:rFonts w:hint="eastAsia" w:ascii="仿宋_GB2312" w:hAnsi="华文楷体" w:eastAsia="仿宋_GB2312"/>
          <w:color w:val="000000"/>
          <w:sz w:val="32"/>
          <w:szCs w:val="32"/>
          <w:lang w:eastAsia="zh-CN"/>
        </w:rPr>
        <w:t>日</w:t>
      </w:r>
    </w:p>
    <w:sectPr>
      <w:footerReference r:id="rId3" w:type="default"/>
      <w:footerReference r:id="rId4" w:type="even"/>
      <w:pgSz w:w="11906" w:h="16838"/>
      <w:pgMar w:top="2098" w:right="1474" w:bottom="1814"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F0EE1">
    <w:pPr>
      <w:pStyle w:val="3"/>
      <w:framePr w:wrap="around" w:vAnchor="text" w:hAnchor="margin" w:xAlign="center" w:y="1"/>
      <w:rPr>
        <w:rStyle w:val="7"/>
        <w:sz w:val="24"/>
        <w:szCs w:val="24"/>
      </w:rPr>
    </w:pP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- 1 -</w:t>
    </w:r>
    <w:r>
      <w:rPr>
        <w:sz w:val="24"/>
        <w:szCs w:val="24"/>
      </w:rPr>
      <w:fldChar w:fldCharType="end"/>
    </w:r>
  </w:p>
  <w:p w14:paraId="0CC22D9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FDFE4">
    <w:pPr>
      <w:pStyle w:val="3"/>
      <w:framePr w:wrap="around" w:vAnchor="text" w:hAnchor="margin" w:xAlign="center" w:y="1"/>
      <w:rPr>
        <w:rStyle w:val="7"/>
      </w:rPr>
    </w:pPr>
    <w:r>
      <w:fldChar w:fldCharType="begin"/>
    </w:r>
    <w:r>
      <w:rPr>
        <w:rStyle w:val="7"/>
      </w:rPr>
      <w:instrText xml:space="preserve">PAGE  </w:instrText>
    </w:r>
    <w:r>
      <w:fldChar w:fldCharType="end"/>
    </w:r>
  </w:p>
  <w:p w14:paraId="6E83247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869C2"/>
    <w:rsid w:val="16F869C2"/>
    <w:rsid w:val="205D3BF0"/>
    <w:rsid w:val="29B05EB8"/>
    <w:rsid w:val="4C0142FD"/>
    <w:rsid w:val="4D967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jc w:val="left"/>
    </w:pPr>
    <w:rPr>
      <w:kern w:val="0"/>
      <w:sz w:val="24"/>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2454</Words>
  <Characters>2667</Characters>
  <Lines>0</Lines>
  <Paragraphs>0</Paragraphs>
  <TotalTime>3415</TotalTime>
  <ScaleCrop>false</ScaleCrop>
  <LinksUpToDate>false</LinksUpToDate>
  <CharactersWithSpaces>2693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2025-02-24T08:30:00Z</dcterms:created>
  <dc:creator>Administrator</dc:creator>
  <cp:lastModifiedBy>Administrator</cp:lastModifiedBy>
  <cp:lastPrinted>2025-03-05T08:56:28Z</cp:lastPrinted>
  <dcterms:modified xsi:type="dcterms:W3CDTF">2025-03-05T09:11:31Z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166A2FE2F14B4AD5B4A14C15E8249886_13</vt:lpwstr>
  </property>
  <property fmtid="{D5CDD505-2E9C-101B-9397-08002B2CF9AE}" pid="4" name="KSOTemplateDocerSaveRecord">
    <vt:lpwstr>eyJoZGlkIjoiMWNiODg1ZjQ1YTUzMGFiNTQwZGJkZTI5MTAxZjQ0OTQifQ==</vt:lpwstr>
  </property>
</Properties>
</file>