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53624"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单位整体支出绩效目标表</w:t>
      </w:r>
    </w:p>
    <w:p w14:paraId="6E229E93"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（202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24"/>
        </w:rPr>
        <w:t>年度）</w:t>
      </w:r>
    </w:p>
    <w:tbl>
      <w:tblPr>
        <w:tblStyle w:val="9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625"/>
        <w:gridCol w:w="846"/>
        <w:gridCol w:w="817"/>
        <w:gridCol w:w="1537"/>
        <w:gridCol w:w="1738"/>
        <w:gridCol w:w="2158"/>
      </w:tblGrid>
      <w:tr w14:paraId="364D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3850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73CDDBA5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我单位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6250" w:type="dxa"/>
            <w:gridSpan w:val="4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5518271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张掖市森林病虫害防治检疫站</w:t>
            </w:r>
          </w:p>
        </w:tc>
      </w:tr>
      <w:tr w14:paraId="38C97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13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 w14:paraId="5AF1E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总 体 目 标</w:t>
            </w:r>
          </w:p>
        </w:tc>
        <w:tc>
          <w:tcPr>
            <w:tcW w:w="87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tl2br w:val="nil"/>
              <w:tr2bl w:val="nil"/>
            </w:tcBorders>
            <w:vAlign w:val="center"/>
          </w:tcPr>
          <w:p w14:paraId="1D909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20" w:hanging="720" w:hangingChars="400"/>
              <w:jc w:val="left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目标1：全面完成全市林业有害生物防治目标任务要求：林业有害生物成灾率控制在4.4‰以下，无公害防治率达到90%以上，测报准确率达到92%以上，种苗产地检疫率达到100%。</w:t>
            </w:r>
          </w:p>
          <w:p w14:paraId="18AFF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20" w:hanging="720" w:hangingChars="400"/>
              <w:jc w:val="left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目标2：采用人工、物理、化学、生物等综合防治措施开展防治杨树蛀干害虫试验，总结推广切实可行的防治措施，全面提升我市林业有害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生物防治水平，有效地控制各类病虫害的扩散蔓延。</w:t>
            </w:r>
          </w:p>
          <w:p w14:paraId="07CD7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20" w:hanging="720" w:hangingChars="400"/>
              <w:jc w:val="left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目标3：积极做好全市松材线虫病检疫监测和松树蛀钻类害虫监测调查工作，有效遏制我市重大林业有害生物传播蔓延。</w:t>
            </w:r>
          </w:p>
        </w:tc>
      </w:tr>
      <w:tr w14:paraId="51E6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restart"/>
            <w:tcBorders>
              <w:top w:val="single" w:color="000000" w:sz="6" w:space="0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 w14:paraId="6442C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 算 情 况（万元）</w:t>
            </w:r>
          </w:p>
        </w:tc>
        <w:tc>
          <w:tcPr>
            <w:tcW w:w="32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3F9D1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按支出类型分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311E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预算金额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35A19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按来源类型分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tl2br w:val="nil"/>
              <w:tr2bl w:val="nil"/>
            </w:tcBorders>
            <w:vAlign w:val="center"/>
          </w:tcPr>
          <w:p w14:paraId="2C808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预算金额</w:t>
            </w:r>
          </w:p>
        </w:tc>
      </w:tr>
      <w:tr w14:paraId="21C6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  <w:tl2br w:val="nil"/>
              <w:tr2bl w:val="nil"/>
            </w:tcBorders>
            <w:vAlign w:val="center"/>
          </w:tcPr>
          <w:p w14:paraId="3656D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28A6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基本支出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623BB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人员经费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752E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153.46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663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当年财政拨款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567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172.33</w:t>
            </w:r>
          </w:p>
        </w:tc>
      </w:tr>
      <w:tr w14:paraId="4B05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  <w:tl2br w:val="nil"/>
              <w:tr2bl w:val="nil"/>
            </w:tcBorders>
            <w:vAlign w:val="center"/>
          </w:tcPr>
          <w:p w14:paraId="50FB2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8AA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2A879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公用经费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330E4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18.87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678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1797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 w14:paraId="5DA6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  <w:tl2br w:val="nil"/>
              <w:tr2bl w:val="nil"/>
            </w:tcBorders>
            <w:vAlign w:val="center"/>
          </w:tcPr>
          <w:p w14:paraId="17E29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D197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410AB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E9BC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172.33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2E69F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tl2br w:val="nil"/>
              <w:tr2bl w:val="nil"/>
            </w:tcBorders>
            <w:vAlign w:val="center"/>
          </w:tcPr>
          <w:p w14:paraId="30FD9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 w14:paraId="5BBDF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  <w:tl2br w:val="nil"/>
              <w:tr2bl w:val="nil"/>
            </w:tcBorders>
            <w:vAlign w:val="center"/>
          </w:tcPr>
          <w:p w14:paraId="77EFF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22BEA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项目支出</w:t>
            </w:r>
          </w:p>
        </w:tc>
        <w:tc>
          <w:tcPr>
            <w:tcW w:w="15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6C96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35D87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收入预算合计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tl2br w:val="nil"/>
              <w:tr2bl w:val="nil"/>
            </w:tcBorders>
            <w:vAlign w:val="center"/>
          </w:tcPr>
          <w:p w14:paraId="2FD59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 w14:paraId="14B6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  <w:tl2br w:val="nil"/>
              <w:tr2bl w:val="nil"/>
            </w:tcBorders>
            <w:vAlign w:val="center"/>
          </w:tcPr>
          <w:p w14:paraId="16B74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6972C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41BA7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25CD3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支出预算合计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tl2br w:val="nil"/>
              <w:tr2bl w:val="nil"/>
            </w:tcBorders>
            <w:vAlign w:val="center"/>
          </w:tcPr>
          <w:p w14:paraId="518DC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 w14:paraId="4355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extDirection w:val="tbLrV"/>
            <w:vAlign w:val="center"/>
          </w:tcPr>
          <w:p w14:paraId="096754B4">
            <w:pPr>
              <w:ind w:left="113" w:right="113"/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绩 效 指 标</w:t>
            </w: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0365A9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8AB229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7B46BC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8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47ABD14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指标值</w:t>
            </w:r>
          </w:p>
        </w:tc>
      </w:tr>
      <w:tr w14:paraId="489F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08B071E4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DDE6A8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部门管理</w:t>
            </w:r>
          </w:p>
          <w:p w14:paraId="3675FC5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72B5B94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预算执行</w:t>
            </w: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B372BD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预算执行率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65EC09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</w:tr>
      <w:tr w14:paraId="2CA4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55CBE2C1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07CF3E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847BD5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79C40B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预算调整率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C0C741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≤10%</w:t>
            </w:r>
          </w:p>
        </w:tc>
      </w:tr>
      <w:tr w14:paraId="0B0D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3132EFD0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0D1175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873555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465C74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政府采购执行率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FBBD12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</w:tr>
      <w:tr w14:paraId="63E6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503D75EA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2B87E6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970F67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B66E42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“三公经费”变动率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50DFA8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≤0%</w:t>
            </w:r>
          </w:p>
        </w:tc>
      </w:tr>
      <w:tr w14:paraId="08DA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41AD10D5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363819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97C8ED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D6353AF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公用经费控制率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F75E06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</w:tr>
      <w:tr w14:paraId="68CA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69DA021B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D302C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BA66AE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预算管理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B9ED25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预算管理制度健全性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7F812E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健全</w:t>
            </w:r>
          </w:p>
        </w:tc>
      </w:tr>
      <w:tr w14:paraId="64E3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5E9ACB40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BA6A28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6934C2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9E9222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非税收入管理合规性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D57B4E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合理</w:t>
            </w:r>
          </w:p>
        </w:tc>
      </w:tr>
      <w:tr w14:paraId="1821D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5D90B47B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921C8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17EC7B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7B4732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预决算信息公开度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0E96E6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</w:t>
            </w:r>
          </w:p>
        </w:tc>
      </w:tr>
      <w:tr w14:paraId="63B8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79C86229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B5EEF7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4C9FA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6FE4EC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绩效管理覆盖率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2F0AA4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≥100%</w:t>
            </w:r>
          </w:p>
        </w:tc>
      </w:tr>
      <w:tr w14:paraId="6319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0658DF54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A4C6C0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396D5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FE9155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资金使用合规性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A649CC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合规</w:t>
            </w:r>
          </w:p>
        </w:tc>
      </w:tr>
      <w:tr w14:paraId="4AF0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5C18B820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284C65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D44433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财务管理</w:t>
            </w: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346617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财务管理制度健全性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6A7919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健全</w:t>
            </w:r>
          </w:p>
        </w:tc>
      </w:tr>
      <w:tr w14:paraId="23F3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2D4C2D8B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99CF10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D430EC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5B4341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18691D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合规</w:t>
            </w:r>
          </w:p>
        </w:tc>
      </w:tr>
      <w:tr w14:paraId="29E7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57FA4441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FC8CF2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D452E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773B16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政府采购合规性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B9A6ED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合规</w:t>
            </w:r>
          </w:p>
        </w:tc>
      </w:tr>
      <w:tr w14:paraId="0ADA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3FF99346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0202BF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52EB5F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资产管理</w:t>
            </w: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A7FBEE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资产管理规范性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4DCFBF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规范</w:t>
            </w:r>
          </w:p>
        </w:tc>
      </w:tr>
      <w:tr w14:paraId="2E37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0D255F97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E120AC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80E8B5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83759A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固定资产利用率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B18EEA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≥100%</w:t>
            </w:r>
          </w:p>
        </w:tc>
      </w:tr>
      <w:tr w14:paraId="2B44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097FA181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2880EF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0F25B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DC7379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资产管理制度健全性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2C8555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健全</w:t>
            </w:r>
          </w:p>
        </w:tc>
      </w:tr>
      <w:tr w14:paraId="559B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388BB548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B4740E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9D8DB9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人员管理</w:t>
            </w: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3B75BE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人员编制合规性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C1868E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合规</w:t>
            </w:r>
          </w:p>
        </w:tc>
      </w:tr>
      <w:tr w14:paraId="38CE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35C8D223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2CF95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90792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BE76B2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人员管理制度健全性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6FAA5B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健全</w:t>
            </w:r>
          </w:p>
        </w:tc>
      </w:tr>
      <w:tr w14:paraId="3CAA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3C143AFE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75E184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履职效果</w:t>
            </w:r>
          </w:p>
        </w:tc>
        <w:tc>
          <w:tcPr>
            <w:tcW w:w="16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8ECCE9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林业有害生物预测预报及综合防治</w:t>
            </w: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4872C7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主要林业有害生物成灾率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5C0103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≤4.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‰</w:t>
            </w:r>
          </w:p>
        </w:tc>
      </w:tr>
      <w:tr w14:paraId="60AF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4E110673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4E15A9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022442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01FC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无公害防治率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4B18DB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≥9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%</w:t>
            </w:r>
          </w:p>
        </w:tc>
      </w:tr>
      <w:tr w14:paraId="11F4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75A7783B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FE4013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17FEAA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1A4B19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测报准确率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8493CF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92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%</w:t>
            </w:r>
          </w:p>
        </w:tc>
      </w:tr>
      <w:tr w14:paraId="4B1F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2FB3287A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19D167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3F3120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606C76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种苗产地检疫率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31D660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B8D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6EC2C557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9B842F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A8BEC7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F5327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林业有害生物防治面积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4FC97D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6000亩</w:t>
            </w:r>
          </w:p>
        </w:tc>
      </w:tr>
      <w:tr w14:paraId="082A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32474C69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BDC4D9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685712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B2498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虫口密度减退率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1EE647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≥60%</w:t>
            </w:r>
          </w:p>
        </w:tc>
      </w:tr>
      <w:tr w14:paraId="128B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3C112F70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B76979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能力建设</w:t>
            </w:r>
          </w:p>
        </w:tc>
        <w:tc>
          <w:tcPr>
            <w:tcW w:w="16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49F2A6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林业有害生物</w:t>
            </w:r>
          </w:p>
          <w:p w14:paraId="612AFCF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防控</w:t>
            </w: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D5CB13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推广切实可行的防治措施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BB039A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显著</w:t>
            </w:r>
          </w:p>
        </w:tc>
      </w:tr>
      <w:tr w14:paraId="78270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</w:tcBorders>
            <w:vAlign w:val="center"/>
          </w:tcPr>
          <w:p w14:paraId="1D94001B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469B37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F4436C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0FAF83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全面提升我市林业有害生物防治水平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D3DA6A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显著</w:t>
            </w:r>
          </w:p>
        </w:tc>
      </w:tr>
      <w:tr w14:paraId="5E80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79" w:type="dxa"/>
            <w:vMerge w:val="continue"/>
            <w:tcBorders>
              <w:right w:val="single" w:color="000000" w:sz="6" w:space="0"/>
              <w:tl2br w:val="nil"/>
              <w:tr2bl w:val="nil"/>
            </w:tcBorders>
            <w:vAlign w:val="center"/>
          </w:tcPr>
          <w:p w14:paraId="606EB835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6337813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1461AA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F6D841F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有效地控制各类病虫害的扩散蔓延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tl2br w:val="nil"/>
              <w:tr2bl w:val="nil"/>
            </w:tcBorders>
            <w:vAlign w:val="center"/>
          </w:tcPr>
          <w:p w14:paraId="092AAA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显著</w:t>
            </w:r>
          </w:p>
        </w:tc>
      </w:tr>
    </w:tbl>
    <w:p w14:paraId="45CF0BB1"/>
    <w:p w14:paraId="5131DE95">
      <w:pPr>
        <w:tabs>
          <w:tab w:val="left" w:pos="1848"/>
        </w:tabs>
      </w:pPr>
      <w:r>
        <w:rPr>
          <w:rFonts w:ascii="仿宋_GB2312" w:eastAsia="仿宋_GB2312"/>
          <w:b/>
          <w:sz w:val="28"/>
          <w:szCs w:val="28"/>
        </w:rPr>
        <w:br w:type="page"/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1D00E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 w14:paraId="3F14930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Tk1MzMzOGRhMDBjNDZmZmQ4MWZhYWIyZWRkZGE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383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4563AB5"/>
    <w:rsid w:val="06480E63"/>
    <w:rsid w:val="0A782765"/>
    <w:rsid w:val="0BFF6B93"/>
    <w:rsid w:val="0CC021A1"/>
    <w:rsid w:val="0FDC3796"/>
    <w:rsid w:val="10247E14"/>
    <w:rsid w:val="107F4121"/>
    <w:rsid w:val="10B21015"/>
    <w:rsid w:val="113741D2"/>
    <w:rsid w:val="12B46304"/>
    <w:rsid w:val="149D381D"/>
    <w:rsid w:val="182201B4"/>
    <w:rsid w:val="18C179CD"/>
    <w:rsid w:val="1ABA0B77"/>
    <w:rsid w:val="1B3A3A66"/>
    <w:rsid w:val="1BFC2ACA"/>
    <w:rsid w:val="1D34261E"/>
    <w:rsid w:val="1EFD7285"/>
    <w:rsid w:val="2321686C"/>
    <w:rsid w:val="280C1219"/>
    <w:rsid w:val="28956777"/>
    <w:rsid w:val="29E71FB8"/>
    <w:rsid w:val="2B123CE2"/>
    <w:rsid w:val="2D242DE2"/>
    <w:rsid w:val="31401B3B"/>
    <w:rsid w:val="32A64A8A"/>
    <w:rsid w:val="343A0EB9"/>
    <w:rsid w:val="34DA3E98"/>
    <w:rsid w:val="3538296D"/>
    <w:rsid w:val="38D51D4A"/>
    <w:rsid w:val="39716774"/>
    <w:rsid w:val="39A86313"/>
    <w:rsid w:val="39C31B99"/>
    <w:rsid w:val="3B1B17F0"/>
    <w:rsid w:val="3BC50657"/>
    <w:rsid w:val="3BF515B8"/>
    <w:rsid w:val="3DDF28C1"/>
    <w:rsid w:val="3F7423B6"/>
    <w:rsid w:val="414C1C7A"/>
    <w:rsid w:val="44806493"/>
    <w:rsid w:val="4739646E"/>
    <w:rsid w:val="47BB36B5"/>
    <w:rsid w:val="4A88296E"/>
    <w:rsid w:val="4B180E1F"/>
    <w:rsid w:val="4E047438"/>
    <w:rsid w:val="4EE2032A"/>
    <w:rsid w:val="51254295"/>
    <w:rsid w:val="527E074E"/>
    <w:rsid w:val="53B92A73"/>
    <w:rsid w:val="53E5342F"/>
    <w:rsid w:val="54403C6F"/>
    <w:rsid w:val="579503FF"/>
    <w:rsid w:val="595E0345"/>
    <w:rsid w:val="5C586705"/>
    <w:rsid w:val="5CC606DB"/>
    <w:rsid w:val="5E89614F"/>
    <w:rsid w:val="601B6F8F"/>
    <w:rsid w:val="60535296"/>
    <w:rsid w:val="63E77E11"/>
    <w:rsid w:val="64F031D4"/>
    <w:rsid w:val="6A240276"/>
    <w:rsid w:val="6B0E2440"/>
    <w:rsid w:val="6B80253B"/>
    <w:rsid w:val="6DB85A3F"/>
    <w:rsid w:val="6E017173"/>
    <w:rsid w:val="71904198"/>
    <w:rsid w:val="72FD2525"/>
    <w:rsid w:val="73A155A6"/>
    <w:rsid w:val="73B867F2"/>
    <w:rsid w:val="74C4154C"/>
    <w:rsid w:val="75830BF9"/>
    <w:rsid w:val="75D966B6"/>
    <w:rsid w:val="770F4F84"/>
    <w:rsid w:val="793D7B1F"/>
    <w:rsid w:val="797A042B"/>
    <w:rsid w:val="7E5C0A47"/>
    <w:rsid w:val="7E9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autoRedefine/>
    <w:qFormat/>
    <w:uiPriority w:val="0"/>
    <w:pPr>
      <w:jc w:val="left"/>
    </w:p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rPr>
      <w:sz w:val="24"/>
    </w:rPr>
  </w:style>
  <w:style w:type="paragraph" w:styleId="8">
    <w:name w:val="annotation subject"/>
    <w:basedOn w:val="3"/>
    <w:next w:val="3"/>
    <w:link w:val="20"/>
    <w:autoRedefine/>
    <w:qFormat/>
    <w:uiPriority w:val="0"/>
    <w:rPr>
      <w:b/>
      <w:bCs/>
    </w:rPr>
  </w:style>
  <w:style w:type="character" w:styleId="11">
    <w:name w:val="line number"/>
    <w:autoRedefine/>
    <w:qFormat/>
    <w:uiPriority w:val="0"/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页脚 Char"/>
    <w:link w:val="5"/>
    <w:autoRedefine/>
    <w:qFormat/>
    <w:uiPriority w:val="0"/>
    <w:rPr>
      <w:sz w:val="18"/>
      <w:szCs w:val="18"/>
    </w:rPr>
  </w:style>
  <w:style w:type="character" w:customStyle="1" w:styleId="14">
    <w:name w:val="页眉 Char"/>
    <w:link w:val="6"/>
    <w:autoRedefine/>
    <w:qFormat/>
    <w:uiPriority w:val="0"/>
    <w:rPr>
      <w:sz w:val="18"/>
      <w:szCs w:val="18"/>
    </w:rPr>
  </w:style>
  <w:style w:type="paragraph" w:styleId="15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6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标题 1 Char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8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9">
    <w:name w:val="批注文字 Char"/>
    <w:link w:val="3"/>
    <w:autoRedefine/>
    <w:qFormat/>
    <w:uiPriority w:val="0"/>
    <w:rPr>
      <w:kern w:val="2"/>
      <w:sz w:val="21"/>
      <w:szCs w:val="22"/>
    </w:rPr>
  </w:style>
  <w:style w:type="character" w:customStyle="1" w:styleId="20">
    <w:name w:val="批注主题 Char"/>
    <w:link w:val="8"/>
    <w:autoRedefine/>
    <w:qFormat/>
    <w:uiPriority w:val="0"/>
    <w:rPr>
      <w:b/>
      <w:bCs/>
      <w:kern w:val="2"/>
      <w:sz w:val="21"/>
      <w:szCs w:val="22"/>
    </w:rPr>
  </w:style>
  <w:style w:type="character" w:customStyle="1" w:styleId="21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style2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4">
    <w:name w:val="fontstyle3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</Pages>
  <Words>686</Words>
  <Characters>749</Characters>
  <Lines>68</Lines>
  <Paragraphs>19</Paragraphs>
  <TotalTime>121</TotalTime>
  <ScaleCrop>false</ScaleCrop>
  <LinksUpToDate>false</LinksUpToDate>
  <CharactersWithSpaces>758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Administrator</cp:lastModifiedBy>
  <cp:lastPrinted>2025-01-21T08:30:20Z</cp:lastPrinted>
  <dcterms:modified xsi:type="dcterms:W3CDTF">2025-01-21T08:30:37Z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4746AA2B63644A919A7677ADD6665D0C</vt:lpwstr>
  </property>
  <property fmtid="{D5CDD505-2E9C-101B-9397-08002B2CF9AE}" pid="4" name="KSOTemplateDocerSaveRecord">
    <vt:lpwstr>eyJoZGlkIjoiNWExOTk1MzMzOGRhMDBjNDZmZmQ4MWZhYWIyZWRkZGEifQ==</vt:lpwstr>
  </property>
</Properties>
</file>