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B904D"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14:paraId="1F8CE4BC"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14:paraId="2B14C91F"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14:paraId="4739B7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张掖市林业科学技术推广站</w:t>
      </w:r>
    </w:p>
    <w:p w14:paraId="624AAD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年部门预算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公开情况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说明</w:t>
      </w:r>
    </w:p>
    <w:p w14:paraId="105EC9F3"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 w14:paraId="4870EC1A"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 w14:paraId="467DE517">
      <w:pPr>
        <w:tabs>
          <w:tab w:val="left" w:pos="8862"/>
        </w:tabs>
        <w:spacing w:line="660" w:lineRule="exact"/>
        <w:jc w:val="left"/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ab/>
      </w:r>
    </w:p>
    <w:p w14:paraId="05BB4DE5"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 w14:paraId="2801C476"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 w14:paraId="386C3594"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 w14:paraId="4281E4FC"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 w14:paraId="037232B0"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 w14:paraId="6CF40B7F"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 w14:paraId="0A95A9ED"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 w14:paraId="16A02632"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 w14:paraId="3864F04C"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 w14:paraId="127C2FC7"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 w14:paraId="12B234F1"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 w14:paraId="03C4A224"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 w14:paraId="1C412300">
      <w:pPr>
        <w:spacing w:line="660" w:lineRule="exact"/>
        <w:ind w:firstLine="3534" w:firstLineChars="800"/>
        <w:jc w:val="both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 w14:paraId="27F37E5D">
      <w:pPr>
        <w:spacing w:line="660" w:lineRule="exact"/>
        <w:ind w:firstLine="3534" w:firstLineChars="800"/>
        <w:jc w:val="both"/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4"/>
          <w:szCs w:val="44"/>
        </w:rPr>
        <w:t>目  录</w:t>
      </w:r>
    </w:p>
    <w:p w14:paraId="50CC67DA"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14:paraId="64642368">
      <w:pPr>
        <w:spacing w:line="30" w:lineRule="exact"/>
        <w:jc w:val="center"/>
        <w:rPr>
          <w:rFonts w:ascii="黑体" w:eastAsia="黑体"/>
          <w:color w:val="000000"/>
          <w:sz w:val="18"/>
          <w:szCs w:val="18"/>
        </w:rPr>
      </w:pPr>
    </w:p>
    <w:p w14:paraId="7B65B5DD"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第一部分 单位基本概况</w:t>
      </w:r>
    </w:p>
    <w:p w14:paraId="4354AC44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一、单位职责</w:t>
      </w:r>
    </w:p>
    <w:p w14:paraId="3EB48799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二、机构设置情况</w:t>
      </w:r>
    </w:p>
    <w:p w14:paraId="13F521F5"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第二部分 202</w:t>
      </w:r>
      <w:r>
        <w:rPr>
          <w:rFonts w:hint="eastAsia" w:ascii="仿宋_GB2312" w:hAnsi="仿宋" w:eastAsia="仿宋_GB2312"/>
          <w:b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年单位预算情况说明</w:t>
      </w:r>
    </w:p>
    <w:p w14:paraId="59A4F874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一、收支总体情况</w:t>
      </w:r>
    </w:p>
    <w:p w14:paraId="0994DEF8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二、一般公共预算情况</w:t>
      </w:r>
    </w:p>
    <w:p w14:paraId="5FC858FF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三、一般公共预算财政拨款“三公”经费、培训费、会议费等情况</w:t>
      </w:r>
    </w:p>
    <w:p w14:paraId="4D152839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四、一般公共预算财政拨款机关运行经费情况</w:t>
      </w:r>
    </w:p>
    <w:p w14:paraId="3F81C5D0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五、政府采购安排情况</w:t>
      </w:r>
    </w:p>
    <w:p w14:paraId="00DE2E6D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六、国有资产占用情况</w:t>
      </w:r>
    </w:p>
    <w:p w14:paraId="0F31932F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七、其他重要事项情况说明</w:t>
      </w:r>
    </w:p>
    <w:p w14:paraId="458350B4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八、预算绩效管理情况</w:t>
      </w:r>
    </w:p>
    <w:p w14:paraId="43C372E7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九、名词解释</w:t>
      </w:r>
    </w:p>
    <w:p w14:paraId="2FB08DEC"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第三部分 202</w:t>
      </w:r>
      <w:r>
        <w:rPr>
          <w:rFonts w:hint="eastAsia" w:ascii="仿宋_GB2312" w:hAnsi="仿宋" w:eastAsia="仿宋_GB2312"/>
          <w:b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/>
          <w:b/>
          <w:color w:val="000000"/>
          <w:sz w:val="30"/>
          <w:szCs w:val="30"/>
          <w:lang w:eastAsia="zh-CN"/>
        </w:rPr>
        <w:t>部门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预算公开表</w:t>
      </w:r>
    </w:p>
    <w:p w14:paraId="65A229C4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部门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收支总体情况表</w:t>
      </w:r>
    </w:p>
    <w:p w14:paraId="035C51CE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部门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收入总体情况表</w:t>
      </w:r>
    </w:p>
    <w:p w14:paraId="79AC9963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部门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支出总体情况表</w:t>
      </w:r>
    </w:p>
    <w:p w14:paraId="3B119573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四、财政拨款收支总体情况表</w:t>
      </w:r>
    </w:p>
    <w:p w14:paraId="78EE9D59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五、财政拨款支出表</w:t>
      </w:r>
    </w:p>
    <w:p w14:paraId="29934BD6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六、一般公共预算支出情况表</w:t>
      </w:r>
    </w:p>
    <w:p w14:paraId="595E2C12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七、一般公共预算基本支出情况表</w:t>
      </w:r>
    </w:p>
    <w:p w14:paraId="57033D55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pacing w:val="-2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</w:t>
      </w:r>
      <w:r>
        <w:rPr>
          <w:rFonts w:hint="eastAsia" w:ascii="仿宋_GB2312" w:hAnsi="仿宋" w:eastAsia="仿宋_GB2312"/>
          <w:color w:val="000000"/>
          <w:spacing w:val="-20"/>
          <w:sz w:val="30"/>
          <w:szCs w:val="30"/>
        </w:rPr>
        <w:t>一般公共预算财政拨款“三公”经费、会议费、培训费支出情况表</w:t>
      </w:r>
    </w:p>
    <w:p w14:paraId="559EF9A4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九、一般公共预算财政拨款机关运行经费表</w:t>
      </w:r>
    </w:p>
    <w:p w14:paraId="37B885C3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十、政府性基金预算支出情况表</w:t>
      </w:r>
    </w:p>
    <w:p w14:paraId="6AF088DE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十一、部门管理转移支付表</w:t>
      </w:r>
    </w:p>
    <w:p w14:paraId="3EA9D246"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十二、国有资本经营预算支出情况表</w:t>
      </w:r>
    </w:p>
    <w:p w14:paraId="35B27B18">
      <w:pPr>
        <w:spacing w:line="660" w:lineRule="exact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 w14:paraId="6BF429BC">
      <w:pPr>
        <w:spacing w:line="600" w:lineRule="exact"/>
        <w:ind w:firstLine="562" w:firstLineChars="200"/>
        <w:rPr>
          <w:rFonts w:ascii="仿宋_GB2312" w:hAnsi="仿宋" w:eastAsia="仿宋_GB2312" w:cs="宋体"/>
          <w:b/>
          <w:kern w:val="0"/>
          <w:sz w:val="28"/>
          <w:szCs w:val="28"/>
        </w:rPr>
        <w:sectPr>
          <w:footerReference r:id="rId3" w:type="default"/>
          <w:pgSz w:w="11906" w:h="16838"/>
          <w:pgMar w:top="1134" w:right="1134" w:bottom="1440" w:left="1276" w:header="851" w:footer="992" w:gutter="0"/>
          <w:pgNumType w:start="1"/>
          <w:cols w:space="720" w:num="1"/>
          <w:docGrid w:type="lines" w:linePitch="312" w:charSpace="0"/>
        </w:sectPr>
      </w:pPr>
    </w:p>
    <w:p w14:paraId="40D382F8">
      <w:pPr>
        <w:spacing w:line="600" w:lineRule="exact"/>
        <w:ind w:firstLine="4498" w:firstLineChars="1400"/>
        <w:jc w:val="both"/>
        <w:rPr>
          <w:rFonts w:ascii="仿宋_GB2312" w:hAnsi="黑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kern w:val="0"/>
          <w:sz w:val="32"/>
          <w:szCs w:val="32"/>
        </w:rPr>
        <w:t>前言</w:t>
      </w:r>
    </w:p>
    <w:p w14:paraId="34D51E7A"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按照《中华人民共和国预算法》《中华人民共和国预算法实施条例》以及</w:t>
      </w:r>
      <w:r>
        <w:rPr>
          <w:rFonts w:ascii="仿宋_GB2312" w:hAnsi="仿宋" w:eastAsia="仿宋_GB2312" w:cs="宋体"/>
          <w:kern w:val="0"/>
          <w:sz w:val="32"/>
          <w:szCs w:val="32"/>
        </w:rPr>
        <w:t>财政部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《地方预决算公开操作规程》《关于推进部门所属单位预算公开的指导意见》和《中共甘肃省委办公厅 甘肃省人民政府办公厅关于进一步推进预算公开工作的实施方案》要求，现将2024年部门预算公开如下：</w:t>
      </w:r>
    </w:p>
    <w:p w14:paraId="004C6497"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一、单位职责</w:t>
      </w:r>
    </w:p>
    <w:p w14:paraId="66578C92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本单位主要职责是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宣传贯彻执行国家法律、法规和各项方针、政策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负责全市林业技术推广和全市乡镇林业站工作管理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承担林业新技术、新品种的引进和示范推广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参与林业实用技术的审定和技术标准的制定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指导下级林业推广服务机构的业务工作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组织林业科技推广人员和农民的专业及适用技术培训、技术交流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负责对全市沙区林权争议的确认、调查、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调解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，提交处理意见报告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协助林业行政主管部门管理林木采伐工作，配合做好林木采伐的伐区调查设计，并参与监督伐区作业和伐区验收工作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配合林业行政主管部门开展资源调查、造林检查验收、林业统计和森林资源档案管理工作，掌握辖区内森林资源生长和野生动植物物种变化情况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承担林业行政主管部门委托的其他事项。</w:t>
      </w:r>
    </w:p>
    <w:p w14:paraId="1DFB7A28"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二、机构设置情况</w:t>
      </w:r>
    </w:p>
    <w:p w14:paraId="142D8F70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掖市林业科学技术推广站成立于1987年，与张掖市林业工作站管理站实行两块牌子、一套人马的管理体制，属于参照公务员管理的事业单位，隶属于张掖市林业和草原局管辖下的二级预算单位，单位核定人员编制12名，截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年12月31日，在职人员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参公事业人员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名，工勤人员4名。退休人员5名。</w:t>
      </w:r>
    </w:p>
    <w:p w14:paraId="77A3C69D"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 w14:paraId="2E7AE00C"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三、单位收支总体情况</w:t>
      </w:r>
    </w:p>
    <w:p w14:paraId="46BEBB64"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年单位收支总预算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185.66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。按照综合预算的原则，单位所有收入和支出均纳入部门预算管理。收入包括：一般公共预算拨款收入、政府性基金预算拨款收入、事业收入、事业单位经营收入、其他收入、使用非财政拨款结余、上年结转；支出包括：一般公共服务支出、公共安全支出、教育支出、科学技术支出、社会保障和就业支出、卫生健康支出、交通运输支出、住房保障支出、其他支出。</w:t>
      </w:r>
    </w:p>
    <w:p w14:paraId="257671FB">
      <w:pPr>
        <w:spacing w:line="600" w:lineRule="exact"/>
        <w:ind w:firstLine="643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（一）收入预算</w:t>
      </w:r>
    </w:p>
    <w:p w14:paraId="6E1FAD4F"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年收入预算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185.66</w:t>
      </w:r>
      <w:r>
        <w:rPr>
          <w:rFonts w:hint="eastAsia" w:ascii="仿宋_GB2312" w:hAnsi="仿宋" w:eastAsia="仿宋_GB2312"/>
          <w:sz w:val="32"/>
          <w:szCs w:val="32"/>
        </w:rPr>
        <w:t>万元（单位预算公开表1,2）。包括：</w:t>
      </w:r>
    </w:p>
    <w:p w14:paraId="0C4D7A36"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一般公共预算收入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185.66</w:t>
      </w:r>
      <w:r>
        <w:rPr>
          <w:rFonts w:hint="eastAsia" w:ascii="仿宋_GB2312" w:hAnsi="仿宋" w:eastAsia="仿宋_GB2312"/>
          <w:sz w:val="32"/>
          <w:szCs w:val="32"/>
        </w:rPr>
        <w:t>万元,占:100.00%；</w:t>
      </w:r>
    </w:p>
    <w:p w14:paraId="6100CEB1"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政府性基金预算收入0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.00</w:t>
      </w:r>
      <w:r>
        <w:rPr>
          <w:rFonts w:hint="eastAsia" w:ascii="仿宋_GB2312" w:hAnsi="仿宋" w:eastAsia="仿宋_GB2312"/>
          <w:sz w:val="32"/>
          <w:szCs w:val="32"/>
        </w:rPr>
        <w:t>万元,占0.00%；</w:t>
      </w:r>
    </w:p>
    <w:p w14:paraId="3F61172D"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上年结转收入0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.00</w:t>
      </w:r>
      <w:r>
        <w:rPr>
          <w:rFonts w:hint="eastAsia" w:ascii="仿宋_GB2312" w:hAnsi="仿宋" w:eastAsia="仿宋_GB2312"/>
          <w:sz w:val="32"/>
          <w:szCs w:val="32"/>
        </w:rPr>
        <w:t>万元，占0.00%；</w:t>
      </w:r>
    </w:p>
    <w:p w14:paraId="5020072A"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其他收入0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.00</w:t>
      </w:r>
      <w:r>
        <w:rPr>
          <w:rFonts w:hint="eastAsia" w:ascii="仿宋_GB2312" w:hAnsi="仿宋" w:eastAsia="仿宋_GB2312"/>
          <w:sz w:val="32"/>
          <w:szCs w:val="32"/>
        </w:rPr>
        <w:t>万元,占0.00%。</w:t>
      </w:r>
    </w:p>
    <w:p w14:paraId="42C74F4D">
      <w:pPr>
        <w:bidi w:val="0"/>
        <w:jc w:val="left"/>
        <w:rPr>
          <w:lang w:val="en-US" w:eastAsia="zh-CN"/>
        </w:rPr>
      </w:pPr>
    </w:p>
    <w:p w14:paraId="11D760F0">
      <w:pPr>
        <w:bidi w:val="0"/>
        <w:jc w:val="center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5398135" cy="2265680"/>
            <wp:effectExtent l="4445" t="4445" r="7620" b="15875"/>
            <wp:docPr id="3" name="图表 3" descr="7b0a202020202263686172745265734964223a202232303437363132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6799360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（二）支出预算</w:t>
      </w:r>
    </w:p>
    <w:p w14:paraId="66492077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185.66</w:t>
      </w:r>
      <w:r>
        <w:rPr>
          <w:rFonts w:hint="eastAsia" w:ascii="仿宋_GB2312" w:hAnsi="仿宋" w:eastAsia="仿宋_GB2312"/>
          <w:sz w:val="32"/>
          <w:szCs w:val="32"/>
        </w:rPr>
        <w:t>万元（详见预算公开表3）。</w:t>
      </w:r>
      <w:r>
        <w:rPr>
          <w:rStyle w:val="21"/>
          <w:rFonts w:hint="default" w:hAnsi="仿宋"/>
        </w:rPr>
        <w:t>其中：基本支出</w:t>
      </w:r>
      <w:r>
        <w:rPr>
          <w:rStyle w:val="22"/>
          <w:rFonts w:hint="eastAsia" w:ascii="仿宋_GB2312" w:hAnsi="仿宋" w:eastAsia="仿宋_GB2312"/>
          <w:lang w:val="en-US" w:eastAsia="zh-CN"/>
        </w:rPr>
        <w:t>185.66</w:t>
      </w:r>
      <w:r>
        <w:rPr>
          <w:rStyle w:val="21"/>
          <w:rFonts w:hint="default" w:hAnsi="仿宋"/>
        </w:rPr>
        <w:t>万元</w:t>
      </w:r>
      <w:r>
        <w:rPr>
          <w:rStyle w:val="21"/>
          <w:rFonts w:hAnsi="仿宋"/>
        </w:rPr>
        <w:t>,</w:t>
      </w:r>
      <w:r>
        <w:rPr>
          <w:rStyle w:val="21"/>
          <w:rFonts w:hint="default" w:hAnsi="仿宋"/>
        </w:rPr>
        <w:t>占</w:t>
      </w:r>
      <w:r>
        <w:rPr>
          <w:rStyle w:val="21"/>
          <w:rFonts w:hAnsi="仿宋"/>
        </w:rPr>
        <w:t>100%</w:t>
      </w:r>
      <w:r>
        <w:rPr>
          <w:rStyle w:val="22"/>
          <w:rFonts w:hint="eastAsia" w:ascii="仿宋_GB2312" w:hAnsi="仿宋" w:eastAsia="仿宋_GB2312"/>
        </w:rPr>
        <w:t>%</w:t>
      </w:r>
      <w:r>
        <w:rPr>
          <w:rStyle w:val="21"/>
          <w:rFonts w:hint="default" w:hAnsi="仿宋"/>
        </w:rPr>
        <w:t>；项目支出</w:t>
      </w:r>
      <w:r>
        <w:rPr>
          <w:rStyle w:val="21"/>
          <w:rFonts w:hAnsi="仿宋"/>
        </w:rPr>
        <w:t>0</w:t>
      </w:r>
      <w:r>
        <w:rPr>
          <w:rStyle w:val="21"/>
          <w:rFonts w:hint="eastAsia" w:hAnsi="仿宋" w:eastAsia="仿宋_GB2312"/>
          <w:lang w:val="en-US" w:eastAsia="zh-CN"/>
        </w:rPr>
        <w:t>.00</w:t>
      </w:r>
      <w:r>
        <w:rPr>
          <w:rStyle w:val="21"/>
          <w:rFonts w:hint="default" w:hAnsi="仿宋"/>
        </w:rPr>
        <w:t>万元</w:t>
      </w:r>
      <w:r>
        <w:rPr>
          <w:rStyle w:val="21"/>
          <w:rFonts w:hAnsi="仿宋"/>
        </w:rPr>
        <w:t>,</w:t>
      </w:r>
      <w:r>
        <w:rPr>
          <w:rStyle w:val="21"/>
          <w:rFonts w:hint="default" w:hAnsi="仿宋"/>
        </w:rPr>
        <w:t>占</w:t>
      </w:r>
      <w:r>
        <w:rPr>
          <w:rStyle w:val="22"/>
          <w:rFonts w:hint="eastAsia" w:ascii="仿宋_GB2312" w:hAnsi="仿宋" w:eastAsia="仿宋_GB2312"/>
        </w:rPr>
        <w:t>0.00%;</w:t>
      </w:r>
      <w:r>
        <w:rPr>
          <w:rStyle w:val="21"/>
          <w:rFonts w:hint="default" w:hAnsi="仿宋"/>
        </w:rPr>
        <w:t>上年结转</w:t>
      </w:r>
      <w:r>
        <w:rPr>
          <w:rStyle w:val="22"/>
          <w:rFonts w:hint="eastAsia" w:ascii="仿宋_GB2312" w:hAnsi="仿宋" w:eastAsia="仿宋_GB2312"/>
        </w:rPr>
        <w:t>0</w:t>
      </w:r>
      <w:r>
        <w:rPr>
          <w:rStyle w:val="22"/>
          <w:rFonts w:hint="eastAsia" w:ascii="仿宋_GB2312" w:hAnsi="仿宋" w:eastAsia="仿宋_GB2312"/>
          <w:lang w:val="en-US" w:eastAsia="zh-CN"/>
        </w:rPr>
        <w:t>.00</w:t>
      </w:r>
      <w:r>
        <w:rPr>
          <w:rStyle w:val="21"/>
          <w:rFonts w:hint="default" w:hAnsi="仿宋"/>
        </w:rPr>
        <w:t>万元</w:t>
      </w:r>
      <w:r>
        <w:rPr>
          <w:rStyle w:val="21"/>
          <w:rFonts w:hAnsi="仿宋"/>
        </w:rPr>
        <w:t>,</w:t>
      </w:r>
      <w:r>
        <w:rPr>
          <w:rStyle w:val="21"/>
          <w:rFonts w:hint="default" w:hAnsi="仿宋"/>
        </w:rPr>
        <w:t>占</w:t>
      </w:r>
      <w:r>
        <w:rPr>
          <w:rStyle w:val="22"/>
          <w:rFonts w:hint="eastAsia" w:ascii="仿宋_GB2312" w:hAnsi="仿宋" w:eastAsia="仿宋_GB2312"/>
        </w:rPr>
        <w:t>0.00%</w:t>
      </w:r>
      <w:r>
        <w:rPr>
          <w:rStyle w:val="21"/>
          <w:rFonts w:hint="default" w:hAnsi="仿宋"/>
        </w:rPr>
        <w:t>。</w:t>
      </w:r>
    </w:p>
    <w:p w14:paraId="51D29360"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四、一般公共预算情况</w:t>
      </w:r>
    </w:p>
    <w:p w14:paraId="0BCF23D7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Style w:val="22"/>
          <w:rFonts w:hint="eastAsia" w:ascii="仿宋_GB2312" w:hAnsi="仿宋" w:eastAsia="仿宋_GB2312"/>
        </w:rPr>
        <w:t>202</w:t>
      </w:r>
      <w:r>
        <w:rPr>
          <w:rStyle w:val="22"/>
          <w:rFonts w:hint="eastAsia" w:ascii="仿宋_GB2312" w:hAnsi="仿宋" w:eastAsia="仿宋_GB2312"/>
          <w:lang w:val="en-US" w:eastAsia="zh-CN"/>
        </w:rPr>
        <w:t>5</w:t>
      </w:r>
      <w:r>
        <w:rPr>
          <w:rStyle w:val="21"/>
          <w:rFonts w:hint="default" w:hAnsi="仿宋"/>
        </w:rPr>
        <w:t>年一般公共预算当年支出</w:t>
      </w:r>
      <w:r>
        <w:rPr>
          <w:rStyle w:val="22"/>
          <w:rFonts w:hint="eastAsia" w:ascii="仿宋_GB2312" w:hAnsi="仿宋" w:eastAsia="仿宋_GB2312"/>
          <w:lang w:val="en-US" w:eastAsia="zh-CN"/>
        </w:rPr>
        <w:t>185.66</w:t>
      </w:r>
      <w:r>
        <w:rPr>
          <w:rStyle w:val="21"/>
          <w:rFonts w:hint="default" w:hAnsi="仿宋"/>
        </w:rPr>
        <w:t>万元，包括：社会保障和就业支出</w:t>
      </w:r>
      <w:r>
        <w:rPr>
          <w:rStyle w:val="22"/>
          <w:rFonts w:hint="eastAsia" w:ascii="仿宋_GB2312" w:hAnsi="仿宋" w:eastAsia="仿宋_GB2312"/>
          <w:lang w:val="en-US" w:eastAsia="zh-CN"/>
        </w:rPr>
        <w:t>16.91</w:t>
      </w:r>
      <w:r>
        <w:rPr>
          <w:rStyle w:val="21"/>
          <w:rFonts w:hint="default" w:hAnsi="仿宋"/>
        </w:rPr>
        <w:t>万元、</w:t>
      </w:r>
      <w:r>
        <w:rPr>
          <w:rStyle w:val="21"/>
          <w:rFonts w:hAnsi="仿宋"/>
        </w:rPr>
        <w:t>卫生健康支出</w:t>
      </w:r>
      <w:r>
        <w:rPr>
          <w:rStyle w:val="21"/>
          <w:rFonts w:hint="eastAsia" w:hAnsi="仿宋" w:eastAsia="仿宋_GB2312"/>
          <w:lang w:val="en-US" w:eastAsia="zh-CN"/>
        </w:rPr>
        <w:t>14.96</w:t>
      </w:r>
      <w:r>
        <w:rPr>
          <w:rStyle w:val="21"/>
          <w:rFonts w:hAnsi="仿宋"/>
        </w:rPr>
        <w:t>万元、农林水支出</w:t>
      </w:r>
      <w:r>
        <w:rPr>
          <w:rStyle w:val="21"/>
          <w:rFonts w:hint="eastAsia" w:hAnsi="仿宋" w:eastAsia="仿宋_GB2312"/>
          <w:lang w:val="en-US" w:eastAsia="zh-CN"/>
        </w:rPr>
        <w:t>140.6</w:t>
      </w:r>
      <w:r>
        <w:rPr>
          <w:rStyle w:val="21"/>
          <w:rFonts w:hAnsi="仿宋"/>
        </w:rPr>
        <w:t>万元、住房保障支出</w:t>
      </w:r>
      <w:r>
        <w:rPr>
          <w:rStyle w:val="21"/>
          <w:rFonts w:hint="eastAsia" w:hAnsi="仿宋" w:eastAsia="仿宋_GB2312"/>
          <w:lang w:val="en-US" w:eastAsia="zh-CN"/>
        </w:rPr>
        <w:t>13.19</w:t>
      </w:r>
      <w:r>
        <w:rPr>
          <w:rStyle w:val="21"/>
          <w:rFonts w:hAnsi="仿宋"/>
        </w:rPr>
        <w:t>万元</w:t>
      </w:r>
      <w:r>
        <w:rPr>
          <w:rStyle w:val="21"/>
          <w:rFonts w:hint="default" w:hAnsi="仿宋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具体安排情况如下</w:t>
      </w:r>
      <w:r>
        <w:rPr>
          <w:rFonts w:hint="eastAsia" w:ascii="仿宋_GB2312" w:hAnsi="微软雅黑" w:eastAsia="仿宋_GB2312"/>
          <w:sz w:val="32"/>
          <w:szCs w:val="32"/>
        </w:rPr>
        <w:t>（详见单位预算公开表4,5,6,7）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61834BD3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</w:rPr>
      </w:pPr>
    </w:p>
    <w:p w14:paraId="7C7D976C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278765</wp:posOffset>
            </wp:positionV>
            <wp:extent cx="5256530" cy="3787775"/>
            <wp:effectExtent l="4445" t="4445" r="15875" b="17780"/>
            <wp:wrapNone/>
            <wp:docPr id="4" name="图表 4" descr="7b0a202020202263686172745265734964223a20223230343736313235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4679D3F5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</w:p>
    <w:p w14:paraId="055E513E">
      <w:pPr>
        <w:spacing w:line="640" w:lineRule="exact"/>
        <w:ind w:firstLine="643" w:firstLineChars="200"/>
        <w:contextualSpacing/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</w:pPr>
    </w:p>
    <w:p w14:paraId="5C6E7A7D">
      <w:pPr>
        <w:spacing w:line="640" w:lineRule="exact"/>
        <w:ind w:firstLine="643" w:firstLineChars="200"/>
        <w:contextualSpacing/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</w:pPr>
    </w:p>
    <w:p w14:paraId="45D9D11C">
      <w:pPr>
        <w:spacing w:line="640" w:lineRule="exact"/>
        <w:ind w:firstLine="643" w:firstLineChars="200"/>
        <w:contextualSpacing/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</w:pPr>
    </w:p>
    <w:p w14:paraId="5C8A1E72">
      <w:pPr>
        <w:spacing w:line="640" w:lineRule="exact"/>
        <w:ind w:firstLine="643" w:firstLineChars="200"/>
        <w:contextualSpacing/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</w:pPr>
    </w:p>
    <w:p w14:paraId="0D062483">
      <w:pPr>
        <w:spacing w:line="640" w:lineRule="exact"/>
        <w:ind w:firstLine="643" w:firstLineChars="200"/>
        <w:contextualSpacing/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</w:pPr>
    </w:p>
    <w:p w14:paraId="102318D9">
      <w:pPr>
        <w:spacing w:line="640" w:lineRule="exact"/>
        <w:ind w:firstLine="643" w:firstLineChars="200"/>
        <w:contextualSpacing/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</w:pPr>
    </w:p>
    <w:p w14:paraId="0BBD98E3">
      <w:pPr>
        <w:spacing w:line="640" w:lineRule="exact"/>
        <w:ind w:firstLine="643" w:firstLineChars="200"/>
        <w:contextualSpacing/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</w:pPr>
    </w:p>
    <w:p w14:paraId="64166A73">
      <w:pPr>
        <w:spacing w:line="640" w:lineRule="exact"/>
        <w:ind w:firstLine="643" w:firstLineChars="200"/>
        <w:contextualSpacing/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</w:pPr>
    </w:p>
    <w:p w14:paraId="453811A2">
      <w:pPr>
        <w:spacing w:line="640" w:lineRule="exact"/>
        <w:ind w:firstLine="643" w:firstLineChars="200"/>
        <w:contextualSpacing/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</w:pPr>
    </w:p>
    <w:p w14:paraId="10E0FB6E">
      <w:pPr>
        <w:spacing w:line="640" w:lineRule="exact"/>
        <w:contextualSpacing/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</w:pPr>
    </w:p>
    <w:p w14:paraId="6B1BC77F">
      <w:pPr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（一）基本支出</w:t>
      </w:r>
    </w:p>
    <w:p w14:paraId="040E74BC">
      <w:pPr>
        <w:widowControl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年基本支出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185.6</w:t>
      </w:r>
      <w:r>
        <w:rPr>
          <w:rFonts w:hint="eastAsia" w:ascii="仿宋_GB2312" w:hAnsi="仿宋" w:eastAsia="仿宋_GB2312"/>
          <w:sz w:val="32"/>
          <w:szCs w:val="32"/>
        </w:rPr>
        <w:t>万元，比202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年预算增加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10.1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下降5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：人员变动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工资福利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5A44179B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其中：人员经费支出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185.66</w:t>
      </w:r>
      <w:r>
        <w:rPr>
          <w:rFonts w:hint="eastAsia" w:ascii="仿宋_GB2312" w:hAnsi="仿宋" w:eastAsia="仿宋_GB2312"/>
          <w:sz w:val="32"/>
          <w:szCs w:val="32"/>
        </w:rPr>
        <w:t>万元，主要包括：基本工资、津贴补贴、奖金、绩效工资、机关事业单位基本养老保险缴费、职业年金缴费、职工基本医疗保险缴费、公务员医疗补助缴费、其他社会保障缴费、住房公积金、医疗费、其他工资福利支出、离休费、退休费、抚恤金、生活补助、医疗费补助、奖励金、其他对个人和家庭的补助等。</w:t>
      </w:r>
    </w:p>
    <w:p w14:paraId="012CC3A2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公用经费支出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19.1</w:t>
      </w:r>
      <w:r>
        <w:rPr>
          <w:rFonts w:hint="eastAsia" w:ascii="仿宋_GB2312" w:hAnsi="仿宋" w:eastAsia="仿宋_GB2312"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被装购置费、专用燃料费、劳务费、委托业务费、工会经费、福利费、公务用车运行维护费、其他交通费用、税金及附加费用、其他商品和服务支出、办公设备购置、专用设备购置等。</w:t>
      </w:r>
    </w:p>
    <w:p w14:paraId="75553329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（二）项目支出</w:t>
      </w:r>
    </w:p>
    <w:p w14:paraId="7B7E580B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年一般公共预算财政拨款项目支出预算0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.00</w:t>
      </w:r>
      <w:r>
        <w:rPr>
          <w:rFonts w:hint="eastAsia" w:ascii="仿宋_GB2312" w:hAnsi="仿宋" w:eastAsia="仿宋_GB2312"/>
          <w:sz w:val="32"/>
          <w:szCs w:val="32"/>
        </w:rPr>
        <w:t>万元，比202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年预算增加（减少）0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.00</w:t>
      </w:r>
      <w:r>
        <w:rPr>
          <w:rFonts w:hint="eastAsia" w:ascii="仿宋_GB2312" w:hAnsi="仿宋" w:eastAsia="仿宋_GB2312"/>
          <w:sz w:val="32"/>
          <w:szCs w:val="32"/>
        </w:rPr>
        <w:t>万元，增长（减少）0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.00</w:t>
      </w:r>
      <w:r>
        <w:rPr>
          <w:rFonts w:hint="eastAsia" w:ascii="仿宋_GB2312" w:hAnsi="仿宋" w:eastAsia="仿宋_GB2312"/>
          <w:sz w:val="32"/>
          <w:szCs w:val="32"/>
        </w:rPr>
        <w:t>%，增长（减少）的主要原因是202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年和202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年均未安排项目预算。</w:t>
      </w:r>
    </w:p>
    <w:p w14:paraId="575831A1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经济社会发展项目0个。</w:t>
      </w:r>
    </w:p>
    <w:p w14:paraId="2FC2DDC2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保障运转经费0个。</w:t>
      </w:r>
    </w:p>
    <w:p w14:paraId="400BC43F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其他项目0个。</w:t>
      </w:r>
    </w:p>
    <w:p w14:paraId="3F9A01EE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（三）支出功能分类说明</w:t>
      </w:r>
    </w:p>
    <w:p w14:paraId="7FB3A8C1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</w:rPr>
      </w:pPr>
    </w:p>
    <w:p w14:paraId="3B4477ED">
      <w:pPr>
        <w:widowControl/>
        <w:adjustRightInd w:val="0"/>
        <w:snapToGrid w:val="0"/>
        <w:spacing w:line="640" w:lineRule="exact"/>
        <w:contextualSpacing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1.社会保障和就业支出（208类）行政事业单位养老支出（05款）机关事业单位基本养老保险缴费支出（05项）202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年预算数为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16.91</w:t>
      </w:r>
      <w:r>
        <w:rPr>
          <w:rFonts w:hint="eastAsia" w:ascii="仿宋_GB2312" w:hAnsi="仿宋" w:eastAsia="仿宋_GB2312"/>
          <w:sz w:val="32"/>
          <w:szCs w:val="32"/>
        </w:rPr>
        <w:t>万元，比202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0.5</w:t>
      </w:r>
      <w:r>
        <w:rPr>
          <w:rFonts w:hint="eastAsia" w:ascii="仿宋_GB2312" w:hAnsi="仿宋" w:eastAsia="仿宋_GB2312"/>
          <w:sz w:val="32"/>
          <w:szCs w:val="32"/>
        </w:rPr>
        <w:t>万元，主要原因是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人员变动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t>2.社会保障和就业支出（208类）其他社会保障和就业支出（99款）其他社会保障和就业支出（99项）202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年预算数为0.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万元，比202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年预算增加0.0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万元，主要原因是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人员变动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t>3.卫生健康支出（210类）行政事业单位医疗（11款）行政单位医疗（01项）202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年预算数为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10.45</w:t>
      </w:r>
      <w:r>
        <w:rPr>
          <w:rFonts w:hint="eastAsia" w:ascii="仿宋_GB2312" w:hAnsi="仿宋" w:eastAsia="仿宋_GB2312"/>
          <w:sz w:val="32"/>
          <w:szCs w:val="32"/>
        </w:rPr>
        <w:t>万元，比202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0.19</w:t>
      </w:r>
      <w:r>
        <w:rPr>
          <w:rFonts w:hint="eastAsia" w:ascii="仿宋_GB2312" w:hAnsi="仿宋" w:eastAsia="仿宋_GB2312"/>
          <w:sz w:val="32"/>
          <w:szCs w:val="32"/>
        </w:rPr>
        <w:t>万元，主要原因是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人员变动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t>4.卫生健康支出（210类）行政事业单位医疗（11款）公务员医疗补助（03项）202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年预算数为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4.51</w:t>
      </w:r>
      <w:r>
        <w:rPr>
          <w:rFonts w:hint="eastAsia" w:ascii="仿宋_GB2312" w:hAnsi="仿宋" w:eastAsia="仿宋_GB2312"/>
          <w:sz w:val="32"/>
          <w:szCs w:val="32"/>
        </w:rPr>
        <w:t>万元，比202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0.19</w:t>
      </w:r>
      <w:r>
        <w:rPr>
          <w:rFonts w:hint="eastAsia" w:ascii="仿宋_GB2312" w:hAnsi="仿宋" w:eastAsia="仿宋_GB2312"/>
          <w:sz w:val="32"/>
          <w:szCs w:val="32"/>
        </w:rPr>
        <w:t>万元，主要原因是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人员变动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t>5.农林水支出（213类）林业和草原（02款）行政运行（01项）202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年预算数为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140.6</w:t>
      </w:r>
      <w:r>
        <w:rPr>
          <w:rFonts w:hint="eastAsia" w:ascii="仿宋_GB2312" w:hAnsi="仿宋" w:eastAsia="仿宋_GB2312"/>
          <w:sz w:val="32"/>
          <w:szCs w:val="32"/>
        </w:rPr>
        <w:t>万元，比202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8.39</w:t>
      </w:r>
      <w:r>
        <w:rPr>
          <w:rFonts w:hint="eastAsia" w:ascii="仿宋_GB2312" w:hAnsi="仿宋" w:eastAsia="仿宋_GB2312"/>
          <w:sz w:val="32"/>
          <w:szCs w:val="32"/>
        </w:rPr>
        <w:t>万元，主要原因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人员变动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t>6.住房保障支出（221类）住房改革支出（02款）住房公积金（01项）202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年预算数为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13.19</w:t>
      </w:r>
      <w:r>
        <w:rPr>
          <w:rFonts w:hint="eastAsia" w:ascii="仿宋_GB2312" w:hAnsi="仿宋" w:eastAsia="仿宋_GB2312"/>
          <w:sz w:val="32"/>
          <w:szCs w:val="32"/>
        </w:rPr>
        <w:t>万元，比202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0.61</w:t>
      </w:r>
      <w:r>
        <w:rPr>
          <w:rFonts w:hint="eastAsia" w:ascii="仿宋_GB2312" w:hAnsi="仿宋" w:eastAsia="仿宋_GB2312"/>
          <w:sz w:val="32"/>
          <w:szCs w:val="32"/>
        </w:rPr>
        <w:t>万元，主要原因是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人员变动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2F08314A">
      <w:pPr>
        <w:widowControl/>
        <w:adjustRightInd w:val="0"/>
        <w:snapToGrid w:val="0"/>
        <w:spacing w:line="640" w:lineRule="exact"/>
        <w:contextualSpacing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TimesNewRomanPS-BoldMT" w:eastAsia="仿宋_GB2312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TimesNewRomanPS-BoldMT" w:eastAsia="仿宋_GB2312"/>
          <w:bCs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一般公共服务（ 类） 纪检监察事务（ 款） 派驻派出机构（ 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比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我单位未安排</w:t>
      </w:r>
      <w:r>
        <w:rPr>
          <w:rFonts w:hint="eastAsia" w:ascii="仿宋_GB2312" w:eastAsia="仿宋_GB2312"/>
          <w:color w:val="000000"/>
          <w:sz w:val="32"/>
          <w:szCs w:val="32"/>
        </w:rPr>
        <w:t>一般公共服务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(类）</w:t>
      </w:r>
      <w:r>
        <w:rPr>
          <w:rFonts w:hint="eastAsia" w:ascii="仿宋_GB2312" w:eastAsia="仿宋_GB2312"/>
          <w:color w:val="000000"/>
          <w:sz w:val="32"/>
          <w:szCs w:val="32"/>
        </w:rPr>
        <w:t>纪检监察事务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（款）</w:t>
      </w:r>
      <w:r>
        <w:rPr>
          <w:rFonts w:hint="eastAsia" w:ascii="仿宋_GB2312" w:eastAsia="仿宋_GB2312"/>
          <w:color w:val="000000"/>
          <w:sz w:val="32"/>
          <w:szCs w:val="32"/>
        </w:rPr>
        <w:t>派驻派出机构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（项）预算。</w:t>
      </w:r>
    </w:p>
    <w:p w14:paraId="6771ACBB"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五、部门（单位）一般公共预算财政拨款“三公”经费、培训费、会议费等情况</w:t>
      </w:r>
    </w:p>
    <w:p w14:paraId="0F1C0586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（一）“三公”经费情况说明</w:t>
      </w:r>
    </w:p>
    <w:p w14:paraId="3E250B6C"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“三公”经费预算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0.38</w:t>
      </w:r>
      <w:r>
        <w:rPr>
          <w:rFonts w:hint="eastAsia" w:ascii="仿宋_GB2312" w:hAnsi="仿宋" w:eastAsia="仿宋_GB2312"/>
          <w:sz w:val="32"/>
          <w:szCs w:val="32"/>
        </w:rPr>
        <w:t>万元，较202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06209C88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1.因公出国（境）费用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年预算增加（减少）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万元，增长（下降）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%，增长（下降）的主要原因是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我单位未安排</w:t>
      </w:r>
      <w:r>
        <w:rPr>
          <w:rFonts w:hint="eastAsia" w:ascii="仿宋_GB2312" w:hAnsi="仿宋" w:eastAsia="仿宋_GB2312"/>
          <w:sz w:val="32"/>
          <w:szCs w:val="32"/>
        </w:rPr>
        <w:t>因公出国（境）费用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预算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24C6C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2.公务接待费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0.38</w:t>
      </w:r>
      <w:r>
        <w:rPr>
          <w:rFonts w:hint="eastAsia" w:ascii="仿宋_GB2312" w:hAnsi="仿宋" w:eastAsia="仿宋_GB2312"/>
          <w:sz w:val="32"/>
          <w:szCs w:val="32"/>
        </w:rPr>
        <w:t>万元，较202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无变化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 w14:paraId="76BB8E79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3.公务用车购置及运行维护费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万元（其中：公务用车购置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万元，公务用车运行维护费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万元），较202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年预算增加（减少）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万元，增长（下降）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%，增长（下降）的主要原因是</w:t>
      </w:r>
      <w:r>
        <w:rPr>
          <w:rFonts w:hint="eastAsia" w:ascii="仿宋_GB2312" w:hAnsi="仿宋_GB2312" w:eastAsia="仿宋_GB2312" w:cs="E-BZ-PK7482de-Identity-H"/>
          <w:color w:val="333333"/>
          <w:kern w:val="0"/>
          <w:sz w:val="32"/>
          <w:szCs w:val="32"/>
          <w:lang w:eastAsia="zh-CN"/>
        </w:rPr>
        <w:t>公务车改革，本单位未购置公务车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7477AFA0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（二）培训费预算情况说明</w:t>
      </w:r>
    </w:p>
    <w:p w14:paraId="5CC3FB19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4.培训费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0.11</w:t>
      </w:r>
      <w:r>
        <w:rPr>
          <w:rFonts w:hint="eastAsia" w:ascii="仿宋_GB2312" w:hAnsi="仿宋" w:eastAsia="仿宋_GB2312"/>
          <w:sz w:val="32"/>
          <w:szCs w:val="32"/>
        </w:rPr>
        <w:t>万元，较202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0.01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%，我单位202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比</w:t>
      </w:r>
      <w:r>
        <w:rPr>
          <w:rFonts w:hint="eastAsia" w:ascii="仿宋_GB2312" w:hAnsi="仿宋" w:eastAsia="仿宋_GB2312"/>
          <w:sz w:val="32"/>
          <w:szCs w:val="32"/>
        </w:rPr>
        <w:t>2024年实有人数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1人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700EA373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（三）会议费预算情况说明</w:t>
      </w:r>
    </w:p>
    <w:p w14:paraId="28F4F9DD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5.会议费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年预算增加（减少）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万元，增长（下降）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%，增长（下降）的主要原因是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我单位未安排会议费预算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49272346">
      <w:pPr>
        <w:widowControl/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15FA3528">
      <w:pPr>
        <w:widowControl/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291465</wp:posOffset>
            </wp:positionV>
            <wp:extent cx="5589270" cy="2921635"/>
            <wp:effectExtent l="4445" t="4445" r="6985" b="64770"/>
            <wp:wrapSquare wrapText="bothSides"/>
            <wp:docPr id="7" name="图表 7" descr="7b0a202020202263686172745265734964223a20223230343736313133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01D2FEDE">
      <w:pPr>
        <w:widowControl/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58AE2932">
      <w:pPr>
        <w:widowControl/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36231044">
      <w:pPr>
        <w:widowControl/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7BE77E64">
      <w:pPr>
        <w:widowControl/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57C0E708">
      <w:pPr>
        <w:widowControl/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65170742">
      <w:pPr>
        <w:widowControl/>
        <w:spacing w:line="640" w:lineRule="exact"/>
        <w:ind w:firstLine="420" w:firstLineChars="200"/>
        <w:jc w:val="left"/>
        <w:rPr>
          <w:lang w:val="en-US" w:eastAsia="zh-CN"/>
        </w:rPr>
      </w:pPr>
    </w:p>
    <w:p w14:paraId="11A68972">
      <w:pPr>
        <w:bidi w:val="0"/>
        <w:rPr>
          <w:lang w:val="en-US" w:eastAsia="zh-CN"/>
        </w:rPr>
      </w:pPr>
    </w:p>
    <w:p w14:paraId="37C6676C">
      <w:pPr>
        <w:bidi w:val="0"/>
        <w:rPr>
          <w:lang w:val="en-US" w:eastAsia="zh-CN"/>
        </w:rPr>
      </w:pPr>
    </w:p>
    <w:p w14:paraId="4DA1075F">
      <w:pPr>
        <w:bidi w:val="0"/>
        <w:jc w:val="left"/>
        <w:rPr>
          <w:lang w:val="en-US" w:eastAsia="zh-CN"/>
        </w:rPr>
      </w:pPr>
    </w:p>
    <w:p w14:paraId="78DF161E"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六、一般公共预算财政拨款机关运行经费情况</w:t>
      </w:r>
    </w:p>
    <w:p w14:paraId="6D625654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机关运行经费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19.1</w:t>
      </w:r>
      <w:r>
        <w:rPr>
          <w:rFonts w:hint="eastAsia" w:ascii="仿宋_GB2312" w:hAnsi="仿宋" w:eastAsia="仿宋_GB2312"/>
          <w:sz w:val="32"/>
          <w:szCs w:val="32"/>
        </w:rPr>
        <w:t>万元，较202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1.2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 xml:space="preserve"> %，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</w:rPr>
        <w:t>的主要原因是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人员变动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19274190"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七、政府采购安排情况</w:t>
      </w:r>
    </w:p>
    <w:p w14:paraId="24393B92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</w:t>
      </w:r>
      <w:r>
        <w:rPr>
          <w:rFonts w:hint="eastAsia" w:ascii="仿宋_GB2312" w:hAnsi="仿宋" w:eastAsia="仿宋_GB2312"/>
          <w:sz w:val="32"/>
          <w:szCs w:val="32"/>
        </w:rPr>
        <w:t>单位政府采购预算总额</w:t>
      </w:r>
      <w:r>
        <w:rPr>
          <w:rFonts w:hint="eastAsia" w:ascii="仿宋_GB2312" w:hAnsi="仿宋_GB2312" w:eastAsia="仿宋_GB2312" w:cs="E-BZ-PK7482de-Identity-H"/>
          <w:color w:val="333333"/>
          <w:kern w:val="0"/>
          <w:sz w:val="32"/>
          <w:szCs w:val="32"/>
          <w:lang w:val="en-US" w:eastAsia="zh-CN"/>
        </w:rPr>
        <w:t>12.86</w:t>
      </w:r>
      <w:r>
        <w:rPr>
          <w:rFonts w:hint="eastAsia" w:ascii="仿宋_GB2312" w:hAnsi="仿宋" w:eastAsia="仿宋_GB2312"/>
          <w:sz w:val="32"/>
          <w:szCs w:val="32"/>
        </w:rPr>
        <w:t>万元，其中：政府采购货物预算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0.36</w:t>
      </w:r>
      <w:r>
        <w:rPr>
          <w:rFonts w:hint="eastAsia" w:ascii="仿宋_GB2312" w:hAnsi="仿宋" w:eastAsia="仿宋_GB2312"/>
          <w:sz w:val="32"/>
          <w:szCs w:val="32"/>
        </w:rPr>
        <w:t>万元，政府采购工程预算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万元，政府采购服务预算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12.5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 w14:paraId="637F6ACE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，本</w:t>
      </w:r>
      <w:r>
        <w:rPr>
          <w:rFonts w:hint="eastAsia" w:ascii="仿宋_GB2312" w:hAnsi="仿宋" w:eastAsia="仿宋_GB2312"/>
          <w:sz w:val="32"/>
          <w:szCs w:val="32"/>
        </w:rPr>
        <w:t>单位面向中小企业预留政府采购项目预算金额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万元，小微企业预留政府采购项目预算金额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12.86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 w14:paraId="3A370510"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八、国有资产占用情况</w:t>
      </w:r>
    </w:p>
    <w:p w14:paraId="1A295919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上年末固定资产金额为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42.10</w:t>
      </w:r>
      <w:r>
        <w:rPr>
          <w:rFonts w:hint="eastAsia" w:ascii="仿宋_GB2312" w:hAnsi="仿宋" w:eastAsia="仿宋_GB2312"/>
          <w:sz w:val="32"/>
          <w:szCs w:val="32"/>
        </w:rPr>
        <w:t>万元。其中：办公用房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平方米，价值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万元。预算部门（单位）共有公务用车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辆，价值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万元。单价20万元以上的设备价值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年拟采购固定资产约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 w14:paraId="7A70B166"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九、其他重要事项情况说明</w:t>
      </w:r>
    </w:p>
    <w:p w14:paraId="59C6493F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（一）政府性基金预算支出情况</w:t>
      </w:r>
    </w:p>
    <w:p w14:paraId="7DEDD591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" w:eastAsia="仿宋_GB2312"/>
          <w:sz w:val="32"/>
          <w:szCs w:val="32"/>
        </w:rPr>
        <w:t>未安排预算，政府性基金预算支出情况表为空表。</w:t>
      </w:r>
    </w:p>
    <w:p w14:paraId="647CD33D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（二）非税收入情况</w:t>
      </w:r>
    </w:p>
    <w:p w14:paraId="609ABA90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本单位年</w:t>
      </w:r>
      <w:r>
        <w:rPr>
          <w:rFonts w:ascii="仿宋_GB2312" w:hAnsi="仿宋" w:eastAsia="仿宋_GB2312"/>
          <w:sz w:val="32"/>
          <w:szCs w:val="32"/>
        </w:rPr>
        <w:t>无非税收入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4049FD23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（三）重点项目情况</w:t>
      </w:r>
    </w:p>
    <w:p w14:paraId="1E78A04D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本单位年初预算未安排项目支出，无重点项目说明。</w:t>
      </w:r>
    </w:p>
    <w:p w14:paraId="66CE450D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（四）部门管理转移支付情况</w:t>
      </w:r>
    </w:p>
    <w:p w14:paraId="73F9A41D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 xml:space="preserve"> 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</w:t>
      </w:r>
      <w:r>
        <w:rPr>
          <w:rFonts w:hint="eastAsia" w:ascii="仿宋_GB2312" w:hAnsi="仿宋" w:eastAsia="仿宋_GB2312"/>
          <w:sz w:val="32"/>
          <w:szCs w:val="32"/>
        </w:rPr>
        <w:t>单位未安排预算，单位管理转移支付表为空表。</w:t>
      </w:r>
    </w:p>
    <w:p w14:paraId="2150554D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（五）国有资本经营预算支出情况</w:t>
      </w:r>
    </w:p>
    <w:p w14:paraId="56B3408C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本单位</w:t>
      </w:r>
      <w:r>
        <w:rPr>
          <w:rFonts w:hint="eastAsia" w:ascii="仿宋_GB2312" w:hAnsi="楷体" w:eastAsia="仿宋_GB2312"/>
          <w:sz w:val="32"/>
          <w:szCs w:val="32"/>
        </w:rPr>
        <w:t>未安排预算，国有资本经营预算支出情况表为空表。</w:t>
      </w:r>
    </w:p>
    <w:p w14:paraId="69C8DB07"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十、预算绩效管理情况</w:t>
      </w:r>
    </w:p>
    <w:p w14:paraId="1CF65E08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（一）202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年预算绩效管理工作情况。</w:t>
      </w:r>
    </w:p>
    <w:p w14:paraId="0451140A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按照《中共中央 国务院关于全面实施预算绩效管理的意见》《中共甘肃省委 甘肃省人民政府关于全面实施预算绩效管理的实施意见》等相关要求，我们将绩效理念和方法融入预算编制、执行、决算和监督全过程认真开展各项工作。</w:t>
      </w:r>
    </w:p>
    <w:p w14:paraId="4D89DBC9"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1.绩效目标管理情况。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年度，按照“谁申请资金，谁设置目标”的原则，纳入部门预算管理的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整体支出和项目绩效目标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个，按规定随年度预算一并公开项目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个，公开率为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 w14:paraId="5EE13C8D"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2.绩效运行监控情况。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月，组织开展1-6月绩效运行监控项目1个，占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项目的100%。截至7月底，如期完成预算执行和绩效目标指标值的项目1个，完成率为100%。“双监控”未发现存在问题。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2024年10月，</w:t>
      </w:r>
      <w:r>
        <w:rPr>
          <w:rFonts w:hint="eastAsia" w:ascii="仿宋_GB2312" w:hAnsi="仿宋" w:eastAsia="仿宋_GB2312"/>
          <w:sz w:val="32"/>
          <w:szCs w:val="32"/>
        </w:rPr>
        <w:t>开展1-9月绩效运行监控项目1个，占本部门（单位）项目的100%。截至10月底，如期完成预算执行和绩效目标指标值的项目1个，完成率为100%。“双监控”未发现存在问题。绩效运行监控在部门内部无通报及整改情况。</w:t>
      </w:r>
    </w:p>
    <w:p w14:paraId="29248510"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3.绩效自评开展情况。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年度，组织开展绩效自评项目共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个，其中，单位整体支出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个，项目支出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个，转移支付项目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个，绩效自评覆盖率为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%。绩效自评结果随部门决算报送财政和随决算公开情况：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绩效自评结果根据财政要求在规定的时限内进行网上公开。</w:t>
      </w:r>
    </w:p>
    <w:p w14:paraId="1C413A34"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4.绩效结果应用情况。</w:t>
      </w:r>
      <w:r>
        <w:rPr>
          <w:rFonts w:hint="eastAsia" w:ascii="仿宋_GB2312" w:hAnsi="仿宋" w:eastAsia="仿宋_GB2312"/>
          <w:sz w:val="32"/>
          <w:szCs w:val="32"/>
        </w:rPr>
        <w:t>根据202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年度绩效运行监控、绩效自评等情况，当年盘活财政资金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年度增加（减少）部门预算项目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个，增长率/压减率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%。同时对政策和项目资金管理作出调整的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个。</w:t>
      </w:r>
    </w:p>
    <w:p w14:paraId="13943AD6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（二）202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年绩效目标编制情况</w:t>
      </w:r>
    </w:p>
    <w:p w14:paraId="0C574712"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年，纳入单位预算绩效目标管理的项目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个。其中，部门整体支出绩效目标围绕部门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投入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/>
          <w:sz w:val="32"/>
          <w:szCs w:val="32"/>
        </w:rPr>
        <w:t>履职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两个维度</w:t>
      </w:r>
      <w:r>
        <w:rPr>
          <w:rFonts w:hint="eastAsia" w:ascii="仿宋_GB2312" w:hAnsi="仿宋" w:eastAsia="仿宋_GB2312"/>
          <w:sz w:val="32"/>
          <w:szCs w:val="32"/>
        </w:rPr>
        <w:t>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个；项目支出绩效目标围绕产出指标、效益指标、满意度指标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/>
          <w:sz w:val="32"/>
          <w:szCs w:val="32"/>
        </w:rPr>
        <w:t>个维度，设置二级指标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个。各项绩效目标内容指向明确、细化量化、合理可行，符合规定的格式要求。</w:t>
      </w:r>
    </w:p>
    <w:p w14:paraId="2BA2A435"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十一、名词解释</w:t>
      </w:r>
    </w:p>
    <w:p w14:paraId="20025D18"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1、财政拨款: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指由一般公共预算、政府性基金预算、国有资本经营预算安排的财政拨款数。</w:t>
      </w:r>
    </w:p>
    <w:p w14:paraId="057C59EA"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2、一般公共预算: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包括公共财政拨款（补助）资金、专项收入。</w:t>
      </w:r>
    </w:p>
    <w:p w14:paraId="2A4DA629"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3、财政专户管理资金: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包括专户管理行政事业性收费（主要是教育收费）、其他非税收入。</w:t>
      </w:r>
    </w:p>
    <w:p w14:paraId="70002587"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4、其他资金: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包括事业收入、事业经营收入、其他收入等。</w:t>
      </w:r>
    </w:p>
    <w:p w14:paraId="36835497"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5、基本支出: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包括人员经费、公用经费（定额）。其中，人员经费包括工资福利支出、对个人和家庭的补助。</w:t>
      </w:r>
    </w:p>
    <w:p w14:paraId="20CC360E"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6、项目支出: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部门（单位）支出预算的组成部分，是各部门（单位）为完成其特定的行政任务或事业发展目标，在基本支出预算之外编制的年度项目支出计划。</w:t>
      </w:r>
    </w:p>
    <w:p w14:paraId="45A864A1"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7、“三公”经费: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因公出国（境）费、公务用车购置及运行维护费和公务接待费。其中，因公出国（境）费反映单位公务出国（境）的国际旅费、国外城市间交通费、住宿费、伙食费、培训费、公杂费等支出；公务用车运行维护费反映单位按规定保留的公务用车租用费、燃料费、维修费、过路过桥费、保险费、安全奖励费用等支出；公务接待费反映单位按规定开支的各类公务接待（含外宾接待）支出。</w:t>
      </w:r>
    </w:p>
    <w:p w14:paraId="580B763B"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8、机关运行经费: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为保障行政单位（包括实行公务员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 w14:paraId="0C74320A">
      <w:pPr>
        <w:adjustRightInd w:val="0"/>
        <w:snapToGrid w:val="0"/>
        <w:spacing w:line="640" w:lineRule="exact"/>
        <w:ind w:firstLine="640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</w:p>
    <w:p w14:paraId="20BF25FE">
      <w:pPr>
        <w:adjustRightInd w:val="0"/>
        <w:snapToGrid w:val="0"/>
        <w:spacing w:line="640" w:lineRule="exact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</w:p>
    <w:p w14:paraId="471EAFC5">
      <w:pPr>
        <w:adjustRightInd w:val="0"/>
        <w:snapToGrid w:val="0"/>
        <w:spacing w:line="640" w:lineRule="exact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</w:p>
    <w:p w14:paraId="7F27630D">
      <w:pPr>
        <w:adjustRightInd w:val="0"/>
        <w:snapToGrid w:val="0"/>
        <w:spacing w:line="640" w:lineRule="exact"/>
        <w:ind w:right="1120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张掖市林业科学技术推广站</w:t>
      </w:r>
    </w:p>
    <w:p w14:paraId="72CB27B6">
      <w:pPr>
        <w:adjustRightInd w:val="0"/>
        <w:snapToGrid w:val="0"/>
        <w:spacing w:line="640" w:lineRule="exact"/>
        <w:ind w:right="1120"/>
        <w:contextualSpacing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年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 xml:space="preserve">月 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 xml:space="preserve"> 日</w:t>
      </w:r>
    </w:p>
    <w:p w14:paraId="6068CBAB"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 w14:paraId="38F75C78"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1.张掖市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lang w:eastAsia="zh-CN"/>
        </w:rPr>
        <w:t>林业科学技术推广站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预算公开表</w:t>
      </w:r>
    </w:p>
    <w:p w14:paraId="4D023DA3">
      <w:pPr>
        <w:adjustRightInd w:val="0"/>
        <w:snapToGrid w:val="0"/>
        <w:spacing w:line="640" w:lineRule="exact"/>
        <w:ind w:left="1796" w:leftChars="767" w:hanging="185" w:hangingChars="58"/>
        <w:contextualSpacing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张掖市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lang w:eastAsia="zh-CN"/>
        </w:rPr>
        <w:t>林业科学技术推广站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整体支出绩效目标表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及预算项目绩效目标表</w:t>
      </w:r>
    </w:p>
    <w:p w14:paraId="5A5624EE">
      <w:pPr>
        <w:tabs>
          <w:tab w:val="left" w:pos="1848"/>
        </w:tabs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Z-PK7482de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F8C21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  <w:p w14:paraId="7B8B43D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MTNhMmNjMmFlZjI3YzY3OTVjOTI3YzQzZjljOGYifQ=="/>
  </w:docVars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6EC"/>
    <w:rsid w:val="00D14955"/>
    <w:rsid w:val="00D24CD6"/>
    <w:rsid w:val="00D24FA6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B15C1"/>
    <w:rsid w:val="00EC325A"/>
    <w:rsid w:val="00EC3A8E"/>
    <w:rsid w:val="00EC57F0"/>
    <w:rsid w:val="00ED68AF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0AC53782"/>
    <w:rsid w:val="0E366711"/>
    <w:rsid w:val="113741D2"/>
    <w:rsid w:val="1244583C"/>
    <w:rsid w:val="14B5108C"/>
    <w:rsid w:val="15C63D21"/>
    <w:rsid w:val="1D34261E"/>
    <w:rsid w:val="1EAE4530"/>
    <w:rsid w:val="27321904"/>
    <w:rsid w:val="2B8B55B2"/>
    <w:rsid w:val="2D4D59A7"/>
    <w:rsid w:val="38796F6B"/>
    <w:rsid w:val="40CD7A82"/>
    <w:rsid w:val="420E0997"/>
    <w:rsid w:val="45F245C6"/>
    <w:rsid w:val="483D50F6"/>
    <w:rsid w:val="4A6C187C"/>
    <w:rsid w:val="4D246ED7"/>
    <w:rsid w:val="4F891D7E"/>
    <w:rsid w:val="5184720E"/>
    <w:rsid w:val="527E074E"/>
    <w:rsid w:val="546D0F9D"/>
    <w:rsid w:val="579503FF"/>
    <w:rsid w:val="59FE7F2A"/>
    <w:rsid w:val="5C906781"/>
    <w:rsid w:val="60535296"/>
    <w:rsid w:val="623B7343"/>
    <w:rsid w:val="63225AEA"/>
    <w:rsid w:val="6BE034EE"/>
    <w:rsid w:val="6C0C7177"/>
    <w:rsid w:val="72FD2525"/>
    <w:rsid w:val="731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autoRedefine/>
    <w:qFormat/>
    <w:uiPriority w:val="0"/>
    <w:pPr>
      <w:jc w:val="left"/>
    </w:p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20"/>
    <w:autoRedefine/>
    <w:qFormat/>
    <w:uiPriority w:val="0"/>
    <w:rPr>
      <w:b/>
      <w:bCs/>
    </w:rPr>
  </w:style>
  <w:style w:type="character" w:styleId="11">
    <w:name w:val="line number"/>
    <w:autoRedefine/>
    <w:qFormat/>
    <w:uiPriority w:val="0"/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character" w:customStyle="1" w:styleId="13">
    <w:name w:val="页脚 Char"/>
    <w:link w:val="5"/>
    <w:autoRedefine/>
    <w:qFormat/>
    <w:uiPriority w:val="0"/>
    <w:rPr>
      <w:sz w:val="18"/>
      <w:szCs w:val="18"/>
    </w:rPr>
  </w:style>
  <w:style w:type="character" w:customStyle="1" w:styleId="14">
    <w:name w:val="页眉 Char"/>
    <w:link w:val="6"/>
    <w:autoRedefine/>
    <w:qFormat/>
    <w:uiPriority w:val="0"/>
    <w:rPr>
      <w:sz w:val="18"/>
      <w:szCs w:val="18"/>
    </w:rPr>
  </w:style>
  <w:style w:type="paragraph" w:styleId="15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16">
    <w:name w:val="批注框文本 Char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标题 1 Char"/>
    <w:link w:val="2"/>
    <w:autoRedefine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8">
    <w:name w:val="TOC Heading"/>
    <w:basedOn w:val="2"/>
    <w:next w:val="1"/>
    <w:autoRedefine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9">
    <w:name w:val="批注文字 Char"/>
    <w:link w:val="3"/>
    <w:autoRedefine/>
    <w:qFormat/>
    <w:uiPriority w:val="0"/>
    <w:rPr>
      <w:kern w:val="2"/>
      <w:sz w:val="21"/>
      <w:szCs w:val="22"/>
    </w:rPr>
  </w:style>
  <w:style w:type="character" w:customStyle="1" w:styleId="20">
    <w:name w:val="批注主题 Char"/>
    <w:link w:val="8"/>
    <w:autoRedefine/>
    <w:qFormat/>
    <w:uiPriority w:val="0"/>
    <w:rPr>
      <w:b/>
      <w:bCs/>
      <w:kern w:val="2"/>
      <w:sz w:val="21"/>
      <w:szCs w:val="22"/>
    </w:rPr>
  </w:style>
  <w:style w:type="character" w:customStyle="1" w:styleId="21">
    <w:name w:val="fontstyle0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2">
    <w:name w:val="fontstyle2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3">
    <w:name w:val="fontstyle1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4">
    <w:name w:val="fontstyle3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图1：收入预算构成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一般公共预算收入</c:v>
                </c:pt>
                <c:pt idx="1">
                  <c:v>政府性基金预算收入</c:v>
                </c:pt>
                <c:pt idx="2">
                  <c:v>上年结转收入</c:v>
                </c:pt>
                <c:pt idx="3">
                  <c:v>其他收入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195.76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de27dfb1-5de4-401a-a8c2-ca822eb59ee3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图2：支出预算构成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37216719014255"/>
          <c:y val="0.208028049298768"/>
          <c:w val="0.343686880889104"/>
          <c:h val="0.60455588610284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社会保障和就业支出</c:v>
                </c:pt>
                <c:pt idx="1">
                  <c:v>卫生健康支出</c:v>
                </c:pt>
                <c:pt idx="2">
                  <c:v>农林水支出</c:v>
                </c:pt>
                <c:pt idx="3">
                  <c:v>住房保障支出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16.91</c:v>
                </c:pt>
                <c:pt idx="1">
                  <c:v>14.96</c:v>
                </c:pt>
                <c:pt idx="2">
                  <c:v>140.6</c:v>
                </c:pt>
                <c:pt idx="3">
                  <c:v>13.19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2d32dc77-a190-4eed-bc80-512375517e7c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图3：“三公”经费、培训费、会议费等财政拨款情况</a:t>
            </a:r>
          </a:p>
        </c:rich>
      </c:tx>
      <c:layout>
        <c:manualLayout>
          <c:xMode val="edge"/>
          <c:yMode val="edge"/>
          <c:x val="0.156559555448176"/>
          <c:y val="0.019124521886952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1"/>
          <c:dPt>
            <c:idx val="0"/>
            <c:bubble3D val="0"/>
            <c:spPr>
              <a:gradFill>
                <a:gsLst>
                  <a:gs pos="0">
                    <a:schemeClr val="accent1">
                      <a:lumMod val="40000"/>
                      <a:lumOff val="60000"/>
                    </a:schemeClr>
                  </a:gs>
                  <a:gs pos="90000">
                    <a:schemeClr val="accent1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/>
                    </a:gs>
                    <a:gs pos="100000">
                      <a:schemeClr val="accent1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" rotWithShape="0">
                  <a:schemeClr val="accent1">
                    <a:lumMod val="50000"/>
                    <a:alpha val="30000"/>
                  </a:schemeClr>
                </a:outerShdw>
              </a:effectLst>
            </c:spPr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lumMod val="40000"/>
                      <a:lumOff val="60000"/>
                    </a:schemeClr>
                  </a:gs>
                  <a:gs pos="90000">
                    <a:schemeClr val="accent2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2"/>
                    </a:gs>
                    <a:gs pos="100000">
                      <a:schemeClr val="accent2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" rotWithShape="0">
                  <a:schemeClr val="accent2">
                    <a:lumMod val="50000"/>
                    <a:alpha val="30000"/>
                  </a:schemeClr>
                </a:outerShdw>
              </a:effectLst>
            </c:spPr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lumMod val="40000"/>
                      <a:lumOff val="60000"/>
                    </a:schemeClr>
                  </a:gs>
                  <a:gs pos="90000">
                    <a:schemeClr val="accent3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3"/>
                    </a:gs>
                    <a:gs pos="100000">
                      <a:schemeClr val="accent3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" rotWithShape="0">
                  <a:schemeClr val="accent3">
                    <a:lumMod val="50000"/>
                    <a:alpha val="30000"/>
                  </a:schemeClr>
                </a:outerShdw>
              </a:effectLst>
            </c:spPr>
          </c:dPt>
          <c:dPt>
            <c:idx val="3"/>
            <c:bubble3D val="0"/>
            <c:spPr>
              <a:gradFill>
                <a:gsLst>
                  <a:gs pos="0">
                    <a:schemeClr val="accent4">
                      <a:lumMod val="40000"/>
                      <a:lumOff val="60000"/>
                    </a:schemeClr>
                  </a:gs>
                  <a:gs pos="90000">
                    <a:schemeClr val="accent4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4"/>
                    </a:gs>
                    <a:gs pos="100000">
                      <a:schemeClr val="accent4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" rotWithShape="0">
                  <a:schemeClr val="accent4">
                    <a:lumMod val="50000"/>
                    <a:alpha val="30000"/>
                  </a:schemeClr>
                </a:outerShdw>
              </a:effectLst>
            </c:spPr>
          </c:dPt>
          <c:dPt>
            <c:idx val="4"/>
            <c:bubble3D val="0"/>
            <c:spPr>
              <a:gradFill>
                <a:gsLst>
                  <a:gs pos="0">
                    <a:schemeClr val="accent5">
                      <a:lumMod val="40000"/>
                      <a:lumOff val="60000"/>
                    </a:schemeClr>
                  </a:gs>
                  <a:gs pos="90000">
                    <a:schemeClr val="accent5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5"/>
                    </a:gs>
                    <a:gs pos="100000">
                      <a:schemeClr val="accent5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" rotWithShape="0">
                  <a:schemeClr val="accent5">
                    <a:lumMod val="50000"/>
                    <a:alpha val="30000"/>
                  </a:schemeClr>
                </a:outerShdw>
              </a:effectLst>
            </c:spPr>
          </c:dPt>
          <c:dPt>
            <c:idx val="5"/>
            <c:bubble3D val="0"/>
            <c:spPr>
              <a:gradFill>
                <a:gsLst>
                  <a:gs pos="0">
                    <a:schemeClr val="accent6">
                      <a:lumMod val="40000"/>
                      <a:lumOff val="60000"/>
                    </a:schemeClr>
                  </a:gs>
                  <a:gs pos="90000">
                    <a:schemeClr val="accent6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6"/>
                    </a:gs>
                    <a:gs pos="100000">
                      <a:schemeClr val="accent6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" rotWithShape="0">
                  <a:schemeClr val="accent6">
                    <a:lumMod val="50000"/>
                    <a:alpha val="30000"/>
                  </a:schemeClr>
                </a:outerShdw>
              </a:effectLst>
            </c:spPr>
          </c:dPt>
          <c:dPt>
            <c:idx val="6"/>
            <c:bubble3D val="0"/>
            <c:spPr>
              <a:gradFill>
                <a:gsLst>
                  <a:gs pos="0">
                    <a:schemeClr val="accent1">
                      <a:lumMod val="60000"/>
                      <a:lumMod val="40000"/>
                      <a:lumOff val="60000"/>
                    </a:schemeClr>
                  </a:gs>
                  <a:gs pos="9000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>
                        <a:lumMod val="60000"/>
                      </a:schemeClr>
                    </a:gs>
                    <a:gs pos="100000">
                      <a:schemeClr val="accent1">
                        <a:lumMod val="60000"/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" rotWithShape="0">
                  <a:schemeClr val="accent1">
                    <a:lumMod val="60000"/>
                    <a:lumMod val="50000"/>
                    <a:alpha val="30000"/>
                  </a:schemeClr>
                </a:outerShdw>
              </a:effectLst>
            </c:spPr>
          </c:dPt>
          <c:dLbls>
            <c:dLbl>
              <c:idx val="0"/>
              <c:layout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会议费</c:v>
                </c:pt>
                <c:pt idx="1">
                  <c:v>培训费</c:v>
                </c:pt>
                <c:pt idx="2">
                  <c:v>三公经费因公出过（境）费</c:v>
                </c:pt>
                <c:pt idx="3">
                  <c:v>三公经费公务用车购置费</c:v>
                </c:pt>
                <c:pt idx="4">
                  <c:v>三公经费公务接待费</c:v>
                </c:pt>
                <c:pt idx="5">
                  <c:v>三公经费公务用车运行费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0.11</c:v>
                </c:pt>
                <c:pt idx="2">
                  <c:v>0</c:v>
                </c:pt>
                <c:pt idx="3">
                  <c:v>0</c:v>
                </c:pt>
                <c:pt idx="4">
                  <c:v>0.38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60"/>
        <c:splitType val="pos"/>
        <c:splitPos val="4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cef7959d-98af-418b-a437-b0af29bc2e03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1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gradFill>
        <a:gsLst>
          <a:gs pos="0">
            <a:schemeClr val="phClr">
              <a:lumMod val="40000"/>
              <a:lumOff val="60000"/>
            </a:schemeClr>
          </a:gs>
          <a:gs pos="90000">
            <a:schemeClr val="phClr"/>
          </a:gs>
        </a:gsLst>
        <a:lin ang="5400000" scaled="0"/>
      </a:gradFill>
      <a:ln>
        <a:gradFill>
          <a:gsLst>
            <a:gs pos="0">
              <a:schemeClr val="phClr"/>
            </a:gs>
            <a:gs pos="100000">
              <a:schemeClr val="phClr">
                <a:lumMod val="75000"/>
              </a:schemeClr>
            </a:gs>
          </a:gsLst>
          <a:lin ang="5400000" scaled="1"/>
        </a:gradFill>
      </a:ln>
      <a:effectLst>
        <a:outerShdw blurRad="76200" dist="25400" dir="2700000" algn="t" rotWithShape="0">
          <a:schemeClr val="phClr">
            <a:lumMod val="50000"/>
            <a:alpha val="30000"/>
          </a:schemeClr>
        </a:outerShdw>
      </a:effectLst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1">
      <cs:styleClr val="auto"/>
    </cs:fillRef>
    <cs:effectRef idx="0"/>
    <cs:fontRef idx="minor">
      <a:schemeClr val="tx1"/>
    </cs:fontRef>
    <cs:spPr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14</Pages>
  <Words>1144</Words>
  <Characters>1174</Characters>
  <Lines>68</Lines>
  <Paragraphs>19</Paragraphs>
  <TotalTime>4</TotalTime>
  <ScaleCrop>false</ScaleCrop>
  <LinksUpToDate>false</LinksUpToDate>
  <CharactersWithSpaces>1181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云霞彩虹</cp:lastModifiedBy>
  <cp:lastPrinted>2022-02-15T07:45:00Z</cp:lastPrinted>
  <dcterms:modified xsi:type="dcterms:W3CDTF">2025-01-21T01:33:51Z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4746AA2B63644A919A7677ADD6665D0C</vt:lpwstr>
  </property>
  <property fmtid="{D5CDD505-2E9C-101B-9397-08002B2CF9AE}" pid="4" name="KSOTemplateDocerSaveRecord">
    <vt:lpwstr>eyJoZGlkIjoiODk3MTNhMmNjMmFlZjI3YzY3OTVjOTI3YzQzZjljOGYiLCJ1c2VySWQiOiI4OTU2NzQxNjQifQ==</vt:lpwstr>
  </property>
</Properties>
</file>