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0A5F2">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textAlignment w:val="auto"/>
        <w:rPr>
          <w:rFonts w:hint="eastAsia" w:ascii="仿宋_GB2312" w:hAnsi="仿宋_GB2312" w:eastAsia="仿宋_GB2312" w:cs="仿宋_GB2312"/>
          <w:color w:val="auto"/>
          <w:sz w:val="32"/>
          <w:szCs w:val="32"/>
        </w:rPr>
      </w:pPr>
    </w:p>
    <w:p w14:paraId="355BA07B">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第三轮</w:t>
      </w:r>
      <w:r>
        <w:rPr>
          <w:rFonts w:hint="eastAsia" w:ascii="方正小标宋简体" w:hAnsi="方正小标宋简体" w:eastAsia="方正小标宋简体" w:cs="方正小标宋简体"/>
          <w:color w:val="auto"/>
          <w:sz w:val="44"/>
          <w:szCs w:val="44"/>
          <w:lang w:eastAsia="zh-CN"/>
        </w:rPr>
        <w:t>省级生态环境</w:t>
      </w:r>
      <w:r>
        <w:rPr>
          <w:rFonts w:hint="eastAsia" w:ascii="方正小标宋简体" w:hAnsi="方正小标宋简体" w:eastAsia="方正小标宋简体" w:cs="方正小标宋简体"/>
          <w:color w:val="auto"/>
          <w:sz w:val="44"/>
          <w:szCs w:val="44"/>
        </w:rPr>
        <w:t>保护督察第</w:t>
      </w:r>
      <w:r>
        <w:rPr>
          <w:rFonts w:hint="eastAsia" w:ascii="方正小标宋简体" w:hAnsi="方正小标宋简体" w:eastAsia="方正小标宋简体" w:cs="方正小标宋简体"/>
          <w:color w:val="auto"/>
          <w:sz w:val="44"/>
          <w:szCs w:val="44"/>
          <w:lang w:val="en-US" w:eastAsia="zh-CN"/>
        </w:rPr>
        <w:t>29</w:t>
      </w:r>
      <w:r>
        <w:rPr>
          <w:rFonts w:hint="eastAsia" w:ascii="方正小标宋简体" w:hAnsi="方正小标宋简体" w:eastAsia="方正小标宋简体" w:cs="方正小标宋简体"/>
          <w:color w:val="auto"/>
          <w:sz w:val="44"/>
          <w:szCs w:val="44"/>
        </w:rPr>
        <w:t>项</w:t>
      </w:r>
    </w:p>
    <w:p w14:paraId="2255C028">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整改任务完成情况</w:t>
      </w:r>
    </w:p>
    <w:p w14:paraId="21E4BC80">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textAlignment w:val="auto"/>
        <w:rPr>
          <w:rFonts w:hint="eastAsia" w:ascii="仿宋_GB2312" w:hAnsi="仿宋_GB2312" w:eastAsia="仿宋_GB2312" w:cs="仿宋_GB2312"/>
          <w:color w:val="auto"/>
          <w:sz w:val="32"/>
          <w:szCs w:val="32"/>
        </w:rPr>
      </w:pPr>
    </w:p>
    <w:p w14:paraId="06DE3967">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问题编号：</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val="0"/>
          <w:bCs w:val="0"/>
          <w:color w:val="auto"/>
          <w:sz w:val="32"/>
          <w:szCs w:val="32"/>
        </w:rPr>
        <w:t>9</w:t>
      </w:r>
    </w:p>
    <w:p w14:paraId="42C9B6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bCs/>
          <w:color w:val="auto"/>
          <w:sz w:val="32"/>
          <w:szCs w:val="32"/>
        </w:rPr>
        <w:t>问题表述：</w:t>
      </w:r>
      <w:r>
        <w:rPr>
          <w:rFonts w:hint="eastAsia" w:ascii="仿宋_GB2312" w:hAnsi="仿宋_GB2312" w:eastAsia="仿宋_GB2312" w:cs="仿宋_GB2312"/>
          <w:b w:val="0"/>
          <w:bCs w:val="0"/>
          <w:color w:val="auto"/>
          <w:sz w:val="32"/>
          <w:szCs w:val="32"/>
          <w:lang w:val="en-US" w:eastAsia="zh-CN"/>
        </w:rPr>
        <w:t>甘州区畜牧产业园内奶牛养殖企业在未科学编制粪</w:t>
      </w:r>
      <w:r>
        <w:rPr>
          <w:rFonts w:hint="eastAsia" w:ascii="仿宋_GB2312" w:hAnsi="仿宋_GB2312" w:eastAsia="仿宋_GB2312" w:cs="仿宋_GB2312"/>
          <w:b w:val="0"/>
          <w:bCs w:val="0"/>
          <w:color w:val="auto"/>
          <w:sz w:val="32"/>
          <w:szCs w:val="32"/>
        </w:rPr>
        <w:t>污还田利用方案，也未足额配套消纳土地的情况下，将养殖废水就近排入耕地。</w:t>
      </w:r>
    </w:p>
    <w:p w14:paraId="7E8707DC">
      <w:pPr>
        <w:keepNext w:val="0"/>
        <w:keepLines w:val="0"/>
        <w:widowControl/>
        <w:suppressLineNumbers w:val="0"/>
        <w:jc w:val="right"/>
      </w:pPr>
      <w:r>
        <w:rPr>
          <w:rFonts w:hint="eastAsia" w:ascii="仿宋_GB2312" w:hAnsi="仿宋_GB2312" w:eastAsia="仿宋_GB2312" w:cs="仿宋_GB2312"/>
          <w:b/>
          <w:bCs/>
          <w:color w:val="auto"/>
          <w:sz w:val="32"/>
          <w:szCs w:val="32"/>
        </w:rPr>
        <w:t>整改目标：</w:t>
      </w:r>
      <w:r>
        <w:rPr>
          <w:rFonts w:ascii="仿宋_GB2312" w:hAnsi="宋体" w:eastAsia="仿宋_GB2312" w:cs="仿宋_GB2312"/>
          <w:color w:val="000000"/>
          <w:kern w:val="0"/>
          <w:sz w:val="31"/>
          <w:szCs w:val="31"/>
          <w:lang w:val="en-US" w:eastAsia="zh-CN" w:bidi="ar"/>
        </w:rPr>
        <w:t>养殖企业粪污规范处置，违规排放粪污行为依法</w:t>
      </w:r>
    </w:p>
    <w:p w14:paraId="250D9EDA">
      <w:pPr>
        <w:pStyle w:val="6"/>
        <w:keepNext w:val="0"/>
        <w:keepLines w:val="0"/>
        <w:widowControl/>
        <w:suppressLineNumbers w:val="0"/>
        <w:rPr>
          <w:rFonts w:hint="eastAsia" w:ascii="仿宋_GB2312" w:hAnsi="仿宋_GB2312" w:eastAsia="仿宋_GB2312" w:cs="仿宋_GB2312"/>
          <w:b w:val="0"/>
          <w:bCs w:val="0"/>
          <w:color w:val="auto"/>
          <w:sz w:val="32"/>
          <w:szCs w:val="32"/>
        </w:rPr>
      </w:pPr>
      <w:r>
        <w:rPr>
          <w:rFonts w:hint="default" w:ascii="仿宋_GB2312" w:eastAsia="仿宋_GB2312" w:cs="仿宋_GB2312"/>
          <w:color w:val="000000"/>
          <w:sz w:val="31"/>
          <w:szCs w:val="31"/>
        </w:rPr>
        <w:t>查处。</w:t>
      </w:r>
    </w:p>
    <w:p w14:paraId="12AF6B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u w:val="none" w:color="auto"/>
          <w:lang w:val="en-US" w:eastAsia="zh-CN"/>
        </w:rPr>
      </w:pPr>
      <w:r>
        <w:rPr>
          <w:rFonts w:hint="eastAsia" w:ascii="仿宋_GB2312" w:hAnsi="仿宋_GB2312" w:eastAsia="仿宋_GB2312" w:cs="仿宋_GB2312"/>
          <w:b/>
          <w:bCs/>
          <w:color w:val="auto"/>
          <w:sz w:val="32"/>
          <w:szCs w:val="32"/>
        </w:rPr>
        <w:t>整改时限：</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rPr>
        <w:t>日前</w:t>
      </w:r>
    </w:p>
    <w:p w14:paraId="44AE6A4B">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firstLine="643" w:firstLineChars="200"/>
        <w:textAlignment w:val="auto"/>
        <w:rPr>
          <w:rFonts w:hint="eastAsia" w:ascii="仿宋_GB2312" w:hAnsi="仿宋_GB2312" w:eastAsia="仿宋_GB2312" w:cs="仿宋_GB2312"/>
          <w:b/>
          <w:bCs/>
          <w:color w:val="auto"/>
          <w:sz w:val="32"/>
          <w:szCs w:val="32"/>
          <w:u w:val="none" w:color="auto"/>
          <w:lang w:val="en-US" w:eastAsia="zh-CN"/>
        </w:rPr>
      </w:pPr>
      <w:r>
        <w:rPr>
          <w:rFonts w:hint="eastAsia" w:ascii="仿宋_GB2312" w:hAnsi="仿宋_GB2312" w:eastAsia="仿宋_GB2312" w:cs="仿宋_GB2312"/>
          <w:b/>
          <w:bCs/>
          <w:color w:val="auto"/>
          <w:sz w:val="32"/>
          <w:szCs w:val="32"/>
        </w:rPr>
        <w:t>整改实施主体：</w:t>
      </w:r>
      <w:r>
        <w:rPr>
          <w:rFonts w:hint="eastAsia" w:ascii="仿宋_GB2312" w:hAnsi="仿宋_GB2312" w:eastAsia="仿宋_GB2312" w:cs="仿宋_GB2312"/>
          <w:b w:val="0"/>
          <w:bCs w:val="0"/>
          <w:color w:val="auto"/>
          <w:sz w:val="32"/>
          <w:szCs w:val="32"/>
          <w:lang w:val="en-US" w:eastAsia="zh-CN"/>
        </w:rPr>
        <w:t>甘州区党委和人民政府，市畜牧兽医局、市生态</w:t>
      </w:r>
      <w:r>
        <w:rPr>
          <w:rFonts w:hint="eastAsia" w:ascii="仿宋_GB2312" w:hAnsi="仿宋_GB2312" w:eastAsia="仿宋_GB2312" w:cs="仿宋_GB2312"/>
          <w:b w:val="0"/>
          <w:bCs w:val="0"/>
          <w:color w:val="auto"/>
          <w:sz w:val="32"/>
          <w:szCs w:val="32"/>
        </w:rPr>
        <w:t>环境局</w:t>
      </w:r>
    </w:p>
    <w:p w14:paraId="05E3C2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b/>
          <w:bCs/>
          <w:color w:val="auto"/>
          <w:sz w:val="32"/>
          <w:szCs w:val="32"/>
        </w:rPr>
        <w:t>整改情况</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pacing w:val="0"/>
          <w:w w:val="100"/>
          <w:sz w:val="32"/>
          <w:szCs w:val="32"/>
          <w:lang w:val="en-US" w:eastAsia="zh-CN"/>
        </w:rPr>
        <w:t>1.甘肃前进牧业科技有限责任公司结合实际，科学编制了《规模化奶牛养殖场粪污还田利用方案》。对排粪水的耕地进行了翻耕晾晒，并委托甘肃地质工程实验室有限责任公司进行土壤检测，检测结果符合《土壤环境质量农用地土壤污染风险管控标准（试行）》“农用地土壤污染风险筛选值（pH＞7.5，其他）”限值要求，造成生态环境危害后果轻微。</w:t>
      </w:r>
      <w:r>
        <w:rPr>
          <w:rFonts w:hint="eastAsia" w:ascii="仿宋_GB2312" w:hAnsi="仿宋_GB2312" w:eastAsia="仿宋_GB2312" w:cs="仿宋_GB2312"/>
          <w:sz w:val="32"/>
          <w:szCs w:val="32"/>
          <w:lang w:val="en-US" w:eastAsia="zh-CN"/>
        </w:rPr>
        <w:t>违法行为发生后，养殖企业整改态度积极，建立粪污处置台账记录、粪污还田利用方案，所有粪污全部拉运至甘肃前进生物科技发展有限公司处理。</w:t>
      </w:r>
      <w:r>
        <w:rPr>
          <w:rFonts w:hint="eastAsia" w:ascii="仿宋_GB2312" w:hAnsi="仿宋_GB2312" w:eastAsia="仿宋_GB2312" w:cs="仿宋_GB2312"/>
          <w:color w:val="auto"/>
          <w:spacing w:val="0"/>
          <w:w w:val="100"/>
          <w:sz w:val="32"/>
          <w:szCs w:val="32"/>
          <w:lang w:val="en-US" w:eastAsia="zh-CN"/>
        </w:rPr>
        <w:t>依据《中华人民共和国行政处罚法》和《生态环境行政处罚办法》，结合国家、省、市优化营商环境政策举措和《甘肃省生态环境厅关于印发甘肃省生态领域“两轻一免一重”清单（2025年版）的通知》，2025年12月3日，张掖市生态环境局</w:t>
      </w:r>
      <w:bookmarkStart w:id="0" w:name="_GoBack"/>
      <w:bookmarkEnd w:id="0"/>
      <w:r>
        <w:rPr>
          <w:rFonts w:hint="eastAsia" w:ascii="仿宋_GB2312" w:hAnsi="仿宋_GB2312" w:eastAsia="仿宋_GB2312" w:cs="仿宋_GB2312"/>
          <w:color w:val="auto"/>
          <w:spacing w:val="0"/>
          <w:w w:val="100"/>
          <w:sz w:val="32"/>
          <w:szCs w:val="32"/>
          <w:lang w:val="en-US" w:eastAsia="zh-CN"/>
        </w:rPr>
        <w:t>下发不予行政处罚决定书。</w:t>
      </w:r>
    </w:p>
    <w:p w14:paraId="1865187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2.甘州区农业农村局督促指导企业严格按照《农业农村部办公厅生态环境部办公厅关于进一步明确畜禽粪污还田利用要求强化养殖污染监管的通知》要求，依据《畜禽粪肥还田技术规范》，配备消纳土地25000亩，</w:t>
      </w:r>
      <w:r>
        <w:rPr>
          <w:rFonts w:hint="eastAsia" w:ascii="仿宋_GB2312" w:hAnsi="仿宋_GB2312" w:eastAsia="仿宋_GB2312" w:cs="仿宋_GB2312"/>
          <w:sz w:val="32"/>
          <w:szCs w:val="32"/>
          <w:lang w:val="en-US" w:eastAsia="zh-CN"/>
        </w:rPr>
        <w:t>并与前进生物科技发展有限公司签订了第三方委托处理协议，代为处理消纳土地不足时的粪污。德瑞牧业2025年全年产生粪污52765吨，配套土地消纳液体粪肥20950吨，前进生物科技发展有限公司代为处理固体粪污31815吨，产生的粪污全部有效处理利用，有效提升了粪污资源化利用率。</w:t>
      </w:r>
    </w:p>
    <w:p w14:paraId="7C15AB34">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pacing w:val="0"/>
          <w:w w:val="100"/>
          <w:sz w:val="32"/>
          <w:szCs w:val="32"/>
          <w:lang w:val="en-US" w:eastAsia="zh-CN"/>
        </w:rPr>
        <w:t>3.对企业开展粪污粪污收集、贮存、处理、运输、还田、处置全过程专项指导检查5次，指导企业健全并规范填写粪污处理利用台账，严格按要求规范处置粪污，养殖废水经氧化塘沉淀发酵后，沉淀物和超出还田利用承载量的畜禽粪污一并按照年度粪污资源化利用计划和《规模化奶牛养殖场粪污还田利用方案》，委托第三方处理机构（甘肃前进生物科技发展有限公司）进行处理。</w:t>
      </w:r>
    </w:p>
    <w:p w14:paraId="22E082A2">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firstLine="643" w:firstLineChars="200"/>
        <w:textAlignment w:val="auto"/>
      </w:pPr>
      <w:r>
        <w:rPr>
          <w:rFonts w:hint="eastAsia" w:ascii="仿宋_GB2312" w:hAnsi="仿宋_GB2312" w:eastAsia="仿宋_GB2312" w:cs="仿宋_GB2312"/>
          <w:b/>
          <w:bCs/>
          <w:color w:val="auto"/>
          <w:sz w:val="32"/>
          <w:szCs w:val="32"/>
        </w:rPr>
        <w:t>整改结论：</w:t>
      </w:r>
      <w:r>
        <w:rPr>
          <w:rFonts w:hint="eastAsia" w:ascii="仿宋_GB2312" w:hAnsi="仿宋_GB2312" w:eastAsia="仿宋_GB2312" w:cs="仿宋_GB2312"/>
          <w:color w:val="auto"/>
          <w:sz w:val="32"/>
          <w:szCs w:val="32"/>
        </w:rPr>
        <w:t>已完成整改</w:t>
      </w:r>
    </w:p>
    <w:sectPr>
      <w:footerReference r:id="rId3" w:type="default"/>
      <w:pgSz w:w="11906" w:h="16838"/>
      <w:pgMar w:top="1984"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587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E5244A">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5E5244A">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8273B"/>
    <w:rsid w:val="0FBFE75B"/>
    <w:rsid w:val="167460FA"/>
    <w:rsid w:val="1FBC3556"/>
    <w:rsid w:val="29FE8741"/>
    <w:rsid w:val="2DA401DD"/>
    <w:rsid w:val="2DBF3FDA"/>
    <w:rsid w:val="367B1732"/>
    <w:rsid w:val="36FA0C08"/>
    <w:rsid w:val="3C72A5D6"/>
    <w:rsid w:val="3E77CCB5"/>
    <w:rsid w:val="3F78273B"/>
    <w:rsid w:val="55D79DF7"/>
    <w:rsid w:val="63095F67"/>
    <w:rsid w:val="77A71061"/>
    <w:rsid w:val="7BBEC90D"/>
    <w:rsid w:val="7F76C048"/>
    <w:rsid w:val="7F7B0800"/>
    <w:rsid w:val="7FFE5147"/>
    <w:rsid w:val="A79FEC08"/>
    <w:rsid w:val="BF5F6E3A"/>
    <w:rsid w:val="CBDF7BEB"/>
    <w:rsid w:val="CCFB26E4"/>
    <w:rsid w:val="D6CB78D4"/>
    <w:rsid w:val="EBC6ADF2"/>
    <w:rsid w:val="EFB77695"/>
    <w:rsid w:val="F5FE53AC"/>
    <w:rsid w:val="F74F57CF"/>
    <w:rsid w:val="F768AAEE"/>
    <w:rsid w:val="F77D85A1"/>
    <w:rsid w:val="F7FBA796"/>
    <w:rsid w:val="FDFDF22E"/>
    <w:rsid w:val="FFCFDA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snapToGrid w:val="0"/>
      <w:ind w:firstLine="556"/>
    </w:pPr>
    <w:rPr>
      <w:rFonts w:ascii="仿宋_GB2312" w:eastAsia="仿宋_GB2312"/>
      <w:kern w:val="0"/>
      <w:sz w:val="21"/>
      <w:szCs w:val="20"/>
      <w:lang w:val="zh-CN"/>
    </w:rPr>
  </w:style>
  <w:style w:type="paragraph" w:styleId="3">
    <w:name w:val="index 6"/>
    <w:basedOn w:val="1"/>
    <w:next w:val="1"/>
    <w:semiHidden/>
    <w:qFormat/>
    <w:uiPriority w:val="99"/>
    <w:pPr>
      <w:ind w:firstLine="440" w:firstLineChars="200"/>
    </w:pPr>
    <w:rPr>
      <w:rFonts w:ascii="Calibri" w:hAnsi="Calibri" w:cs="Calibri"/>
      <w:sz w:val="22"/>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1348</Words>
  <Characters>1434</Characters>
  <Lines>0</Lines>
  <Paragraphs>0</Paragraphs>
  <TotalTime>8</TotalTime>
  <ScaleCrop>false</ScaleCrop>
  <LinksUpToDate>false</LinksUpToDate>
  <CharactersWithSpaces>1466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2025-06-19T05:24:00Z</dcterms:created>
  <dc:creator>uos</dc:creator>
  <cp:lastModifiedBy>流云※隨風</cp:lastModifiedBy>
  <cp:lastPrinted>2026-05-28T08:55:08Z</cp:lastPrinted>
  <dcterms:modified xsi:type="dcterms:W3CDTF">2026-05-28T08:55:42Z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eyJoZGlkIjoiNTBhZjU5NGJjZDczYzNjY2JlMTk4NzA1NDYwZTRlN2EiLCJ1c2VySWQiOiIzMjAwNjkxNTAifQ==</vt:lpwstr>
  </property>
  <property fmtid="{D5CDD505-2E9C-101B-9397-08002B2CF9AE}" pid="4" name="ICV">
    <vt:lpwstr>DA9069B37BD04431A5C1DAF4BB7ABB5A_13</vt:lpwstr>
  </property>
</Properties>
</file>