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方正小标宋简体" w:hAnsi="宋体" w:eastAsia="方正小标宋简体"/>
          <w:b/>
          <w:sz w:val="28"/>
          <w:szCs w:val="28"/>
        </w:rPr>
      </w:pPr>
      <w:r>
        <w:rPr>
          <w:rFonts w:hint="eastAsia" w:ascii="方正小标宋简体" w:hAnsi="宋体" w:eastAsia="方正小标宋简体"/>
          <w:b/>
          <w:sz w:val="28"/>
          <w:szCs w:val="28"/>
        </w:rPr>
        <w:t>竞价编号：ZYDJ</w:t>
      </w:r>
      <w:r>
        <w:rPr>
          <w:rFonts w:ascii="方正小标宋简体" w:hAnsi="宋体" w:eastAsia="方正小标宋简体"/>
          <w:b/>
          <w:sz w:val="28"/>
          <w:szCs w:val="28"/>
        </w:rPr>
        <w:t>20</w:t>
      </w:r>
      <w:r>
        <w:rPr>
          <w:rFonts w:hint="eastAsia" w:ascii="方正小标宋简体" w:hAnsi="宋体" w:eastAsia="方正小标宋简体"/>
          <w:b/>
          <w:sz w:val="28"/>
          <w:szCs w:val="28"/>
        </w:rPr>
        <w:t>2</w:t>
      </w:r>
      <w:r>
        <w:rPr>
          <w:rFonts w:hint="default" w:ascii="方正小标宋简体" w:hAnsi="宋体" w:eastAsia="方正小标宋简体"/>
          <w:b/>
          <w:sz w:val="28"/>
          <w:szCs w:val="28"/>
          <w:lang w:val="en"/>
        </w:rPr>
        <w:t>2</w:t>
      </w:r>
      <w:r>
        <w:rPr>
          <w:rFonts w:hint="eastAsia" w:ascii="方正小标宋简体" w:hAnsi="宋体" w:eastAsia="方正小标宋简体"/>
          <w:b/>
          <w:sz w:val="28"/>
          <w:szCs w:val="28"/>
        </w:rPr>
        <w:t>0</w:t>
      </w:r>
      <w:r>
        <w:rPr>
          <w:rFonts w:hint="eastAsia" w:ascii="方正小标宋简体" w:hAnsi="宋体" w:eastAsia="方正小标宋简体"/>
          <w:b/>
          <w:sz w:val="28"/>
          <w:szCs w:val="28"/>
          <w:lang w:val="en-US" w:eastAsia="zh-CN"/>
        </w:rPr>
        <w:t>09</w:t>
      </w:r>
      <w:r>
        <w:rPr>
          <w:rFonts w:ascii="方正小标宋简体" w:hAnsi="宋体" w:eastAsia="方正小标宋简体"/>
          <w:b/>
          <w:sz w:val="28"/>
          <w:szCs w:val="28"/>
        </w:rPr>
        <w:tab/>
      </w:r>
      <w:r>
        <w:rPr>
          <w:rFonts w:ascii="方正小标宋简体" w:hAnsi="宋体" w:eastAsia="方正小标宋简体"/>
          <w:b/>
          <w:sz w:val="28"/>
          <w:szCs w:val="28"/>
        </w:rPr>
        <w:tab/>
      </w:r>
    </w:p>
    <w:p>
      <w:r>
        <w:tab/>
      </w:r>
    </w:p>
    <w:p>
      <w:pPr>
        <w:spacing w:line="660" w:lineRule="exact"/>
        <w:jc w:val="center"/>
        <w:rPr>
          <w:rFonts w:ascii="黑体" w:hAnsi="宋体" w:eastAsia="黑体"/>
          <w:b/>
          <w:sz w:val="36"/>
          <w:szCs w:val="36"/>
        </w:rPr>
      </w:pPr>
    </w:p>
    <w:p>
      <w:pPr>
        <w:spacing w:line="660" w:lineRule="exact"/>
        <w:jc w:val="center"/>
        <w:rPr>
          <w:rFonts w:ascii="黑体" w:hAnsi="宋体" w:eastAsia="黑体"/>
          <w:b/>
          <w:sz w:val="36"/>
          <w:szCs w:val="36"/>
        </w:rPr>
      </w:pPr>
    </w:p>
    <w:p>
      <w:pPr>
        <w:spacing w:line="660" w:lineRule="exact"/>
        <w:jc w:val="center"/>
        <w:rPr>
          <w:rFonts w:ascii="方正小标宋简体" w:hAnsi="宋体" w:eastAsia="方正小标宋简体"/>
          <w:b/>
          <w:sz w:val="36"/>
          <w:szCs w:val="36"/>
        </w:rPr>
      </w:pPr>
    </w:p>
    <w:p>
      <w:pPr>
        <w:jc w:val="center"/>
        <w:rPr>
          <w:rFonts w:ascii="方正小标宋简体" w:hAnsi="宋体" w:eastAsia="方正小标宋简体"/>
          <w:b/>
          <w:sz w:val="44"/>
          <w:szCs w:val="44"/>
        </w:rPr>
      </w:pPr>
      <w:r>
        <w:rPr>
          <w:rFonts w:hint="eastAsia" w:ascii="方正小标宋简体" w:hAnsi="宋体" w:eastAsia="方正小标宋简体"/>
          <w:b/>
          <w:sz w:val="44"/>
          <w:szCs w:val="44"/>
        </w:rPr>
        <w:t>张掖市动物卫生监督所</w:t>
      </w:r>
    </w:p>
    <w:p>
      <w:pPr>
        <w:jc w:val="center"/>
        <w:rPr>
          <w:rFonts w:ascii="方正小标宋简体" w:hAnsi="宋体" w:eastAsia="方正小标宋简体"/>
          <w:b/>
          <w:sz w:val="44"/>
          <w:szCs w:val="44"/>
        </w:rPr>
      </w:pPr>
      <w:r>
        <w:rPr>
          <w:rFonts w:hint="eastAsia" w:ascii="方正小标宋简体" w:hAnsi="宋体" w:eastAsia="方正小标宋简体"/>
          <w:b/>
          <w:sz w:val="44"/>
          <w:szCs w:val="44"/>
          <w:lang w:eastAsia="zh-CN"/>
        </w:rPr>
        <w:t>检测试剂和耗材</w:t>
      </w:r>
      <w:r>
        <w:rPr>
          <w:rFonts w:hint="eastAsia" w:ascii="方正小标宋简体" w:hAnsi="宋体" w:eastAsia="方正小标宋简体"/>
          <w:b/>
          <w:sz w:val="44"/>
          <w:szCs w:val="44"/>
        </w:rPr>
        <w:t>公开</w:t>
      </w:r>
      <w:r>
        <w:rPr>
          <w:rFonts w:hint="eastAsia" w:ascii="方正小标宋简体" w:hAnsi="宋体" w:eastAsia="方正小标宋简体"/>
          <w:b/>
          <w:sz w:val="44"/>
          <w:szCs w:val="44"/>
          <w:lang w:eastAsia="zh-CN"/>
        </w:rPr>
        <w:t>招标</w:t>
      </w:r>
      <w:r>
        <w:rPr>
          <w:rFonts w:hint="eastAsia" w:ascii="方正小标宋简体" w:hAnsi="宋体" w:eastAsia="方正小标宋简体"/>
          <w:b/>
          <w:sz w:val="44"/>
          <w:szCs w:val="44"/>
        </w:rPr>
        <w:t>竞价邀请文件</w:t>
      </w:r>
    </w:p>
    <w:p>
      <w:pPr>
        <w:spacing w:line="800" w:lineRule="exact"/>
        <w:jc w:val="center"/>
        <w:rPr>
          <w:rFonts w:ascii="黑体" w:hAnsi="宋体" w:eastAsia="黑体"/>
          <w:b/>
          <w:sz w:val="36"/>
          <w:szCs w:val="36"/>
        </w:rPr>
      </w:pPr>
    </w:p>
    <w:p>
      <w:pPr>
        <w:spacing w:line="660" w:lineRule="exact"/>
        <w:jc w:val="center"/>
        <w:rPr>
          <w:rFonts w:ascii="黑体" w:hAnsi="宋体" w:eastAsia="黑体"/>
          <w:b/>
          <w:sz w:val="36"/>
          <w:szCs w:val="36"/>
        </w:rPr>
      </w:pPr>
    </w:p>
    <w:p>
      <w:pPr>
        <w:spacing w:line="660" w:lineRule="exact"/>
        <w:jc w:val="center"/>
        <w:rPr>
          <w:rFonts w:ascii="黑体" w:hAnsi="宋体" w:eastAsia="黑体"/>
          <w:b/>
          <w:sz w:val="36"/>
          <w:szCs w:val="36"/>
        </w:rPr>
      </w:pPr>
    </w:p>
    <w:p>
      <w:pPr>
        <w:spacing w:line="660" w:lineRule="exact"/>
        <w:jc w:val="center"/>
        <w:rPr>
          <w:rFonts w:ascii="黑体" w:hAnsi="宋体" w:eastAsia="黑体"/>
          <w:b/>
          <w:sz w:val="36"/>
          <w:szCs w:val="36"/>
        </w:rPr>
      </w:pPr>
    </w:p>
    <w:p>
      <w:pPr>
        <w:spacing w:line="660" w:lineRule="exact"/>
        <w:jc w:val="center"/>
        <w:rPr>
          <w:rFonts w:ascii="黑体" w:hAnsi="宋体" w:eastAsia="黑体"/>
          <w:b/>
          <w:sz w:val="36"/>
          <w:szCs w:val="36"/>
        </w:rPr>
      </w:pPr>
    </w:p>
    <w:p>
      <w:pPr>
        <w:spacing w:line="660" w:lineRule="exact"/>
        <w:jc w:val="center"/>
        <w:rPr>
          <w:rFonts w:ascii="黑体" w:hAnsi="宋体" w:eastAsia="黑体"/>
          <w:b/>
          <w:sz w:val="36"/>
          <w:szCs w:val="36"/>
        </w:rPr>
      </w:pPr>
    </w:p>
    <w:p>
      <w:pPr>
        <w:spacing w:line="660" w:lineRule="exact"/>
        <w:jc w:val="center"/>
        <w:rPr>
          <w:rFonts w:ascii="黑体" w:hAnsi="宋体" w:eastAsia="黑体"/>
          <w:b/>
          <w:sz w:val="36"/>
          <w:szCs w:val="36"/>
        </w:rPr>
      </w:pPr>
    </w:p>
    <w:p>
      <w:pPr>
        <w:spacing w:line="660" w:lineRule="exact"/>
        <w:jc w:val="center"/>
        <w:rPr>
          <w:rFonts w:ascii="黑体" w:hAnsi="宋体" w:eastAsia="黑体"/>
          <w:b/>
          <w:sz w:val="36"/>
          <w:szCs w:val="36"/>
        </w:rPr>
      </w:pPr>
    </w:p>
    <w:p>
      <w:pPr>
        <w:spacing w:line="660" w:lineRule="exact"/>
        <w:jc w:val="center"/>
        <w:rPr>
          <w:rFonts w:ascii="黑体" w:hAnsi="宋体" w:eastAsia="黑体"/>
          <w:b/>
          <w:sz w:val="36"/>
          <w:szCs w:val="36"/>
        </w:rPr>
      </w:pPr>
    </w:p>
    <w:p>
      <w:pPr>
        <w:spacing w:line="660" w:lineRule="exact"/>
        <w:jc w:val="center"/>
        <w:rPr>
          <w:rFonts w:ascii="方正小标宋简体" w:hAnsi="宋体" w:eastAsia="方正小标宋简体"/>
          <w:b/>
          <w:sz w:val="36"/>
          <w:szCs w:val="36"/>
        </w:rPr>
      </w:pPr>
      <w:r>
        <w:rPr>
          <w:rFonts w:hint="eastAsia" w:ascii="方正小标宋简体" w:hAnsi="宋体" w:eastAsia="方正小标宋简体"/>
          <w:b/>
          <w:sz w:val="36"/>
          <w:szCs w:val="36"/>
          <w:lang w:val="en-US" w:eastAsia="zh-CN"/>
        </w:rPr>
        <w:t>2022</w:t>
      </w:r>
      <w:r>
        <w:rPr>
          <w:rFonts w:hint="eastAsia" w:ascii="方正小标宋简体" w:hAnsi="宋体" w:eastAsia="方正小标宋简体"/>
          <w:b/>
          <w:sz w:val="36"/>
          <w:szCs w:val="36"/>
        </w:rPr>
        <w:t>年</w:t>
      </w:r>
      <w:r>
        <w:rPr>
          <w:rFonts w:hint="eastAsia" w:ascii="方正小标宋简体" w:hAnsi="宋体" w:eastAsia="方正小标宋简体"/>
          <w:b/>
          <w:sz w:val="36"/>
          <w:szCs w:val="36"/>
          <w:u w:val="single"/>
        </w:rPr>
        <w:t xml:space="preserve"> </w:t>
      </w:r>
      <w:r>
        <w:rPr>
          <w:rFonts w:hint="eastAsia" w:ascii="方正小标宋简体" w:hAnsi="宋体" w:eastAsia="方正小标宋简体"/>
          <w:b/>
          <w:sz w:val="36"/>
          <w:szCs w:val="36"/>
          <w:u w:val="single"/>
          <w:lang w:val="en-US" w:eastAsia="zh-CN"/>
        </w:rPr>
        <w:t>8</w:t>
      </w:r>
      <w:r>
        <w:rPr>
          <w:rFonts w:hint="eastAsia" w:ascii="方正小标宋简体" w:hAnsi="宋体" w:eastAsia="方正小标宋简体"/>
          <w:b/>
          <w:sz w:val="36"/>
          <w:szCs w:val="36"/>
        </w:rPr>
        <w:t>月</w:t>
      </w:r>
      <w:r>
        <w:rPr>
          <w:rFonts w:hint="eastAsia" w:ascii="方正小标宋简体" w:hAnsi="宋体" w:eastAsia="方正小标宋简体"/>
          <w:b/>
          <w:sz w:val="36"/>
          <w:szCs w:val="36"/>
          <w:u w:val="single"/>
        </w:rPr>
        <w:t xml:space="preserve"> </w:t>
      </w:r>
      <w:r>
        <w:rPr>
          <w:rFonts w:hint="eastAsia" w:ascii="方正小标宋简体" w:hAnsi="宋体" w:eastAsia="方正小标宋简体"/>
          <w:b/>
          <w:sz w:val="36"/>
          <w:szCs w:val="36"/>
          <w:u w:val="single"/>
          <w:lang w:val="en-US" w:eastAsia="zh-CN"/>
        </w:rPr>
        <w:t>3</w:t>
      </w:r>
      <w:r>
        <w:rPr>
          <w:rFonts w:hint="eastAsia" w:ascii="方正小标宋简体" w:hAnsi="宋体" w:eastAsia="方正小标宋简体"/>
          <w:b/>
          <w:sz w:val="36"/>
          <w:szCs w:val="36"/>
        </w:rPr>
        <w:t>日</w:t>
      </w:r>
    </w:p>
    <w:p>
      <w:pPr>
        <w:spacing w:line="660" w:lineRule="exact"/>
        <w:jc w:val="center"/>
        <w:rPr>
          <w:rFonts w:ascii="黑体" w:hAnsi="宋体" w:eastAsia="黑体"/>
          <w:b/>
          <w:sz w:val="36"/>
          <w:szCs w:val="36"/>
        </w:rPr>
      </w:pPr>
    </w:p>
    <w:p>
      <w:r>
        <w:br w:type="column"/>
      </w:r>
    </w:p>
    <w:p/>
    <w:p/>
    <w:sdt>
      <w:sdtPr>
        <w:rPr>
          <w:rFonts w:ascii="Times New Roman" w:hAnsi="Times New Roman" w:eastAsia="宋体" w:cs="Times New Roman"/>
          <w:b/>
          <w:color w:val="auto"/>
          <w:kern w:val="2"/>
          <w:sz w:val="24"/>
          <w:szCs w:val="24"/>
          <w:lang w:val="zh-CN"/>
        </w:rPr>
        <w:id w:val="-347328236"/>
        <w:docPartObj>
          <w:docPartGallery w:val="Table of Contents"/>
          <w:docPartUnique/>
        </w:docPartObj>
      </w:sdtPr>
      <w:sdtEndPr>
        <w:rPr>
          <w:rFonts w:ascii="Times New Roman" w:hAnsi="Times New Roman" w:eastAsia="宋体" w:cs="Times New Roman"/>
          <w:b/>
          <w:bCs/>
          <w:color w:val="auto"/>
          <w:kern w:val="2"/>
          <w:sz w:val="21"/>
          <w:szCs w:val="24"/>
          <w:lang w:val="zh-CN"/>
        </w:rPr>
      </w:sdtEndPr>
      <w:sdtContent>
        <w:p>
          <w:pPr>
            <w:pStyle w:val="16"/>
            <w:spacing w:line="1000" w:lineRule="exact"/>
            <w:jc w:val="center"/>
            <w:rPr>
              <w:b/>
              <w:color w:val="auto"/>
              <w:sz w:val="40"/>
              <w:lang w:val="zh-CN"/>
            </w:rPr>
          </w:pPr>
          <w:r>
            <w:rPr>
              <w:b/>
              <w:color w:val="auto"/>
              <w:sz w:val="40"/>
              <w:lang w:val="zh-CN"/>
            </w:rPr>
            <w:t>目</w:t>
          </w:r>
          <w:r>
            <w:rPr>
              <w:rFonts w:hint="eastAsia"/>
              <w:b/>
              <w:color w:val="auto"/>
              <w:sz w:val="40"/>
              <w:lang w:val="zh-CN"/>
            </w:rPr>
            <w:t xml:space="preserve">    </w:t>
          </w:r>
          <w:r>
            <w:rPr>
              <w:b/>
              <w:color w:val="auto"/>
              <w:sz w:val="40"/>
              <w:lang w:val="zh-CN"/>
            </w:rPr>
            <w:t>录</w:t>
          </w:r>
        </w:p>
        <w:p>
          <w:pPr>
            <w:rPr>
              <w:lang w:val="zh-CN"/>
            </w:rPr>
          </w:pPr>
        </w:p>
        <w:p>
          <w:pPr>
            <w:rPr>
              <w:lang w:val="zh-CN"/>
            </w:rPr>
          </w:pPr>
        </w:p>
        <w:p>
          <w:pPr>
            <w:pStyle w:val="6"/>
            <w:tabs>
              <w:tab w:val="right" w:leader="dot" w:pos="8296"/>
            </w:tabs>
            <w:rPr>
              <w:rFonts w:asciiTheme="minorHAnsi" w:hAnsiTheme="minorHAnsi" w:eastAsiaTheme="minorEastAsia" w:cstheme="minorBidi"/>
              <w:sz w:val="28"/>
              <w:szCs w:val="22"/>
            </w:rPr>
          </w:pPr>
          <w:r>
            <w:rPr>
              <w:sz w:val="52"/>
              <w:szCs w:val="28"/>
            </w:rPr>
            <w:fldChar w:fldCharType="begin"/>
          </w:r>
          <w:r>
            <w:rPr>
              <w:sz w:val="52"/>
              <w:szCs w:val="28"/>
            </w:rPr>
            <w:instrText xml:space="preserve"> TOC \o "1-3" \h \z \u </w:instrText>
          </w:r>
          <w:r>
            <w:rPr>
              <w:sz w:val="52"/>
              <w:szCs w:val="28"/>
            </w:rPr>
            <w:fldChar w:fldCharType="separate"/>
          </w:r>
          <w:r>
            <w:fldChar w:fldCharType="begin"/>
          </w:r>
          <w:r>
            <w:instrText xml:space="preserve"> HYPERLINK \l "_Toc523143572" </w:instrText>
          </w:r>
          <w:r>
            <w:fldChar w:fldCharType="separate"/>
          </w:r>
          <w:r>
            <w:rPr>
              <w:rStyle w:val="10"/>
              <w:rFonts w:ascii="宋体" w:hAnsi="宋体"/>
              <w:b/>
              <w:sz w:val="28"/>
            </w:rPr>
            <w:t xml:space="preserve">第一部分  </w:t>
          </w:r>
          <w:r>
            <w:rPr>
              <w:rStyle w:val="10"/>
              <w:rFonts w:hint="eastAsia" w:ascii="宋体" w:hAnsi="宋体"/>
              <w:b/>
              <w:sz w:val="28"/>
            </w:rPr>
            <w:t>公开</w:t>
          </w:r>
          <w:r>
            <w:rPr>
              <w:rStyle w:val="10"/>
              <w:rFonts w:ascii="宋体" w:hAnsi="宋体"/>
              <w:b/>
              <w:sz w:val="28"/>
            </w:rPr>
            <w:t>竞价邀请函</w:t>
          </w:r>
          <w:r>
            <w:rPr>
              <w:sz w:val="28"/>
            </w:rPr>
            <w:tab/>
          </w:r>
          <w:r>
            <w:rPr>
              <w:sz w:val="28"/>
            </w:rPr>
            <w:fldChar w:fldCharType="begin"/>
          </w:r>
          <w:r>
            <w:rPr>
              <w:sz w:val="28"/>
            </w:rPr>
            <w:instrText xml:space="preserve"> PAGEREF _Toc523143572 \h </w:instrText>
          </w:r>
          <w:r>
            <w:rPr>
              <w:sz w:val="28"/>
            </w:rPr>
            <w:fldChar w:fldCharType="separate"/>
          </w:r>
          <w:r>
            <w:rPr>
              <w:sz w:val="28"/>
            </w:rPr>
            <w:t>1</w:t>
          </w:r>
          <w:r>
            <w:rPr>
              <w:sz w:val="28"/>
            </w:rPr>
            <w:fldChar w:fldCharType="end"/>
          </w:r>
          <w:r>
            <w:rPr>
              <w:sz w:val="28"/>
            </w:rPr>
            <w:fldChar w:fldCharType="end"/>
          </w:r>
        </w:p>
        <w:p>
          <w:pPr>
            <w:pStyle w:val="6"/>
            <w:tabs>
              <w:tab w:val="right" w:leader="dot" w:pos="8296"/>
            </w:tabs>
            <w:rPr>
              <w:rFonts w:asciiTheme="minorHAnsi" w:hAnsiTheme="minorHAnsi" w:eastAsiaTheme="minorEastAsia" w:cstheme="minorBidi"/>
              <w:sz w:val="28"/>
              <w:szCs w:val="22"/>
            </w:rPr>
          </w:pPr>
          <w:r>
            <w:fldChar w:fldCharType="begin"/>
          </w:r>
          <w:r>
            <w:instrText xml:space="preserve"> HYPERLINK \l "_Toc523143573" </w:instrText>
          </w:r>
          <w:r>
            <w:fldChar w:fldCharType="separate"/>
          </w:r>
          <w:r>
            <w:rPr>
              <w:rStyle w:val="10"/>
              <w:rFonts w:ascii="宋体" w:hAnsi="宋体"/>
              <w:b/>
              <w:sz w:val="28"/>
            </w:rPr>
            <w:t xml:space="preserve">第二部分  </w:t>
          </w:r>
          <w:r>
            <w:rPr>
              <w:rStyle w:val="10"/>
              <w:rFonts w:hint="eastAsia" w:ascii="宋体" w:hAnsi="宋体"/>
              <w:b/>
              <w:sz w:val="28"/>
            </w:rPr>
            <w:t>公开</w:t>
          </w:r>
          <w:r>
            <w:rPr>
              <w:rStyle w:val="10"/>
              <w:rFonts w:ascii="宋体" w:hAnsi="宋体"/>
              <w:b/>
              <w:sz w:val="28"/>
            </w:rPr>
            <w:t>竞价须知</w:t>
          </w:r>
          <w:r>
            <w:rPr>
              <w:sz w:val="28"/>
            </w:rPr>
            <w:tab/>
          </w:r>
          <w:r>
            <w:rPr>
              <w:rFonts w:hint="eastAsia"/>
              <w:sz w:val="28"/>
              <w:lang w:val="en-US" w:eastAsia="zh-CN"/>
            </w:rPr>
            <w:t>9</w:t>
          </w:r>
          <w:r>
            <w:rPr>
              <w:sz w:val="28"/>
            </w:rPr>
            <w:fldChar w:fldCharType="end"/>
          </w:r>
        </w:p>
        <w:p>
          <w:pPr>
            <w:pStyle w:val="6"/>
            <w:tabs>
              <w:tab w:val="right" w:leader="dot" w:pos="8296"/>
            </w:tabs>
            <w:rPr>
              <w:rFonts w:asciiTheme="minorHAnsi" w:hAnsiTheme="minorHAnsi" w:eastAsiaTheme="minorEastAsia" w:cstheme="minorBidi"/>
              <w:sz w:val="28"/>
              <w:szCs w:val="22"/>
            </w:rPr>
          </w:pPr>
          <w:r>
            <w:fldChar w:fldCharType="begin"/>
          </w:r>
          <w:r>
            <w:instrText xml:space="preserve"> HYPERLINK \l "_Toc523143574" </w:instrText>
          </w:r>
          <w:r>
            <w:fldChar w:fldCharType="separate"/>
          </w:r>
          <w:r>
            <w:rPr>
              <w:rStyle w:val="10"/>
              <w:rFonts w:ascii="宋体" w:hAnsi="宋体"/>
              <w:b/>
              <w:sz w:val="28"/>
            </w:rPr>
            <w:t>第三部分  竞价函</w:t>
          </w:r>
          <w:r>
            <w:rPr>
              <w:sz w:val="28"/>
            </w:rPr>
            <w:tab/>
          </w:r>
          <w:r>
            <w:rPr>
              <w:sz w:val="28"/>
            </w:rPr>
            <w:fldChar w:fldCharType="begin"/>
          </w:r>
          <w:r>
            <w:rPr>
              <w:sz w:val="28"/>
            </w:rPr>
            <w:instrText xml:space="preserve"> PAGEREF _Toc523143574 \h </w:instrText>
          </w:r>
          <w:r>
            <w:rPr>
              <w:sz w:val="28"/>
            </w:rPr>
            <w:fldChar w:fldCharType="separate"/>
          </w:r>
          <w:r>
            <w:rPr>
              <w:sz w:val="28"/>
            </w:rPr>
            <w:t>11</w:t>
          </w:r>
          <w:r>
            <w:rPr>
              <w:sz w:val="28"/>
            </w:rPr>
            <w:fldChar w:fldCharType="end"/>
          </w:r>
          <w:r>
            <w:rPr>
              <w:sz w:val="28"/>
            </w:rPr>
            <w:fldChar w:fldCharType="end"/>
          </w:r>
        </w:p>
        <w:p>
          <w:pPr>
            <w:pStyle w:val="6"/>
            <w:tabs>
              <w:tab w:val="right" w:leader="dot" w:pos="8296"/>
            </w:tabs>
            <w:rPr>
              <w:rFonts w:asciiTheme="minorHAnsi" w:hAnsiTheme="minorHAnsi" w:eastAsiaTheme="minorEastAsia" w:cstheme="minorBidi"/>
              <w:sz w:val="28"/>
              <w:szCs w:val="22"/>
            </w:rPr>
          </w:pPr>
          <w:r>
            <w:fldChar w:fldCharType="begin"/>
          </w:r>
          <w:r>
            <w:instrText xml:space="preserve"> HYPERLINK \l "_Toc523143575" </w:instrText>
          </w:r>
          <w:r>
            <w:fldChar w:fldCharType="separate"/>
          </w:r>
          <w:r>
            <w:rPr>
              <w:rStyle w:val="10"/>
              <w:rFonts w:ascii="宋体" w:hAnsi="宋体"/>
              <w:b/>
              <w:sz w:val="28"/>
            </w:rPr>
            <w:t>第四部分  竞价承诺书</w:t>
          </w:r>
          <w:r>
            <w:rPr>
              <w:sz w:val="28"/>
            </w:rPr>
            <w:tab/>
          </w:r>
          <w:r>
            <w:rPr>
              <w:sz w:val="28"/>
            </w:rPr>
            <w:fldChar w:fldCharType="begin"/>
          </w:r>
          <w:r>
            <w:rPr>
              <w:sz w:val="28"/>
            </w:rPr>
            <w:instrText xml:space="preserve"> PAGEREF _Toc523143575 \h </w:instrText>
          </w:r>
          <w:r>
            <w:rPr>
              <w:sz w:val="28"/>
            </w:rPr>
            <w:fldChar w:fldCharType="separate"/>
          </w:r>
          <w:r>
            <w:rPr>
              <w:sz w:val="28"/>
            </w:rPr>
            <w:t>12</w:t>
          </w:r>
          <w:r>
            <w:rPr>
              <w:sz w:val="28"/>
            </w:rPr>
            <w:fldChar w:fldCharType="end"/>
          </w:r>
          <w:r>
            <w:rPr>
              <w:sz w:val="28"/>
            </w:rPr>
            <w:fldChar w:fldCharType="end"/>
          </w:r>
        </w:p>
        <w:p>
          <w:pPr>
            <w:pStyle w:val="6"/>
            <w:tabs>
              <w:tab w:val="right" w:leader="dot" w:pos="8296"/>
            </w:tabs>
            <w:rPr>
              <w:rFonts w:asciiTheme="minorHAnsi" w:hAnsiTheme="minorHAnsi" w:eastAsiaTheme="minorEastAsia" w:cstheme="minorBidi"/>
              <w:sz w:val="28"/>
              <w:szCs w:val="22"/>
            </w:rPr>
          </w:pPr>
          <w:r>
            <w:fldChar w:fldCharType="begin"/>
          </w:r>
          <w:r>
            <w:instrText xml:space="preserve"> HYPERLINK \l "_Toc523143576" </w:instrText>
          </w:r>
          <w:r>
            <w:fldChar w:fldCharType="separate"/>
          </w:r>
          <w:r>
            <w:rPr>
              <w:rStyle w:val="10"/>
              <w:rFonts w:ascii="宋体" w:hAnsi="宋体"/>
              <w:b/>
              <w:sz w:val="28"/>
            </w:rPr>
            <w:t>第五部分  成交确认书</w:t>
          </w:r>
          <w:r>
            <w:rPr>
              <w:sz w:val="28"/>
            </w:rPr>
            <w:tab/>
          </w:r>
          <w:r>
            <w:rPr>
              <w:sz w:val="28"/>
            </w:rPr>
            <w:fldChar w:fldCharType="begin"/>
          </w:r>
          <w:r>
            <w:rPr>
              <w:sz w:val="28"/>
            </w:rPr>
            <w:instrText xml:space="preserve"> PAGEREF _Toc523143576 \h </w:instrText>
          </w:r>
          <w:r>
            <w:rPr>
              <w:sz w:val="28"/>
            </w:rPr>
            <w:fldChar w:fldCharType="separate"/>
          </w:r>
          <w:r>
            <w:rPr>
              <w:sz w:val="28"/>
            </w:rPr>
            <w:t>13</w:t>
          </w:r>
          <w:r>
            <w:rPr>
              <w:sz w:val="28"/>
            </w:rPr>
            <w:fldChar w:fldCharType="end"/>
          </w:r>
          <w:r>
            <w:rPr>
              <w:sz w:val="28"/>
            </w:rPr>
            <w:fldChar w:fldCharType="end"/>
          </w:r>
        </w:p>
        <w:p>
          <w:pPr>
            <w:pStyle w:val="6"/>
            <w:tabs>
              <w:tab w:val="right" w:leader="dot" w:pos="8296"/>
            </w:tabs>
            <w:rPr>
              <w:rFonts w:asciiTheme="minorHAnsi" w:hAnsiTheme="minorHAnsi" w:eastAsiaTheme="minorEastAsia" w:cstheme="minorBidi"/>
              <w:sz w:val="28"/>
              <w:szCs w:val="22"/>
            </w:rPr>
          </w:pPr>
          <w:r>
            <w:fldChar w:fldCharType="begin"/>
          </w:r>
          <w:r>
            <w:instrText xml:space="preserve"> HYPERLINK \l "_Toc523143577" </w:instrText>
          </w:r>
          <w:r>
            <w:fldChar w:fldCharType="separate"/>
          </w:r>
          <w:r>
            <w:rPr>
              <w:rStyle w:val="10"/>
              <w:rFonts w:ascii="宋体" w:hAnsi="宋体"/>
              <w:b/>
              <w:sz w:val="28"/>
            </w:rPr>
            <w:t>第六部分  法定代表人身份证明</w:t>
          </w:r>
          <w:r>
            <w:rPr>
              <w:sz w:val="28"/>
            </w:rPr>
            <w:tab/>
          </w:r>
          <w:r>
            <w:rPr>
              <w:sz w:val="28"/>
            </w:rPr>
            <w:fldChar w:fldCharType="begin"/>
          </w:r>
          <w:r>
            <w:rPr>
              <w:sz w:val="28"/>
            </w:rPr>
            <w:instrText xml:space="preserve"> PAGEREF _Toc523143577 \h </w:instrText>
          </w:r>
          <w:r>
            <w:rPr>
              <w:sz w:val="28"/>
            </w:rPr>
            <w:fldChar w:fldCharType="separate"/>
          </w:r>
          <w:r>
            <w:rPr>
              <w:sz w:val="28"/>
            </w:rPr>
            <w:t>14</w:t>
          </w:r>
          <w:r>
            <w:rPr>
              <w:sz w:val="28"/>
            </w:rPr>
            <w:fldChar w:fldCharType="end"/>
          </w:r>
          <w:r>
            <w:rPr>
              <w:sz w:val="28"/>
            </w:rPr>
            <w:fldChar w:fldCharType="end"/>
          </w:r>
        </w:p>
        <w:p>
          <w:pPr>
            <w:pStyle w:val="6"/>
            <w:tabs>
              <w:tab w:val="right" w:leader="dot" w:pos="8296"/>
            </w:tabs>
            <w:rPr>
              <w:rFonts w:asciiTheme="minorHAnsi" w:hAnsiTheme="minorHAnsi" w:eastAsiaTheme="minorEastAsia" w:cstheme="minorBidi"/>
              <w:sz w:val="28"/>
              <w:szCs w:val="22"/>
            </w:rPr>
          </w:pPr>
          <w:r>
            <w:fldChar w:fldCharType="begin"/>
          </w:r>
          <w:r>
            <w:instrText xml:space="preserve"> HYPERLINK \l "_Toc523143578" </w:instrText>
          </w:r>
          <w:r>
            <w:fldChar w:fldCharType="separate"/>
          </w:r>
          <w:r>
            <w:fldChar w:fldCharType="end"/>
          </w:r>
        </w:p>
        <w:p>
          <w:pPr>
            <w:spacing w:beforeLines="50" w:afterLines="50" w:line="1000" w:lineRule="exact"/>
          </w:pPr>
          <w:r>
            <w:rPr>
              <w:bCs/>
              <w:sz w:val="52"/>
              <w:szCs w:val="28"/>
              <w:lang w:val="zh-CN"/>
            </w:rPr>
            <w:fldChar w:fldCharType="end"/>
          </w:r>
        </w:p>
      </w:sdtContent>
    </w:sdt>
    <w:p>
      <w:pPr>
        <w:spacing w:line="1000" w:lineRule="exact"/>
        <w:sectPr>
          <w:footerReference r:id="rId4" w:type="first"/>
          <w:footerReference r:id="rId3" w:type="default"/>
          <w:pgSz w:w="11906" w:h="16838"/>
          <w:pgMar w:top="1440" w:right="1800" w:bottom="1440" w:left="1800" w:header="851" w:footer="992" w:gutter="0"/>
          <w:pgNumType w:start="0"/>
          <w:cols w:space="425" w:num="1"/>
          <w:titlePg/>
          <w:docGrid w:type="lines" w:linePitch="312" w:charSpace="0"/>
        </w:sectPr>
      </w:pPr>
    </w:p>
    <w:p>
      <w:pPr>
        <w:tabs>
          <w:tab w:val="left" w:pos="363"/>
          <w:tab w:val="center" w:pos="4153"/>
        </w:tabs>
        <w:spacing w:line="660" w:lineRule="exact"/>
        <w:jc w:val="left"/>
        <w:outlineLvl w:val="0"/>
        <w:rPr>
          <w:rFonts w:ascii="宋体" w:hAnsi="宋体"/>
          <w:b/>
          <w:sz w:val="32"/>
          <w:szCs w:val="32"/>
        </w:rPr>
      </w:pPr>
      <w:bookmarkStart w:id="0" w:name="_Toc523143572"/>
      <w:r>
        <w:rPr>
          <w:rFonts w:ascii="宋体" w:hAnsi="宋体"/>
          <w:b/>
          <w:sz w:val="32"/>
          <w:szCs w:val="32"/>
        </w:rPr>
        <w:tab/>
      </w:r>
      <w:r>
        <w:rPr>
          <w:rFonts w:ascii="宋体" w:hAnsi="宋体"/>
          <w:b/>
          <w:sz w:val="32"/>
          <w:szCs w:val="32"/>
        </w:rPr>
        <w:tab/>
      </w:r>
      <w:r>
        <w:rPr>
          <w:rFonts w:hint="eastAsia" w:ascii="宋体" w:hAnsi="宋体"/>
          <w:b/>
          <w:sz w:val="32"/>
          <w:szCs w:val="32"/>
        </w:rPr>
        <w:t>第一部分  公开竞价邀请函</w:t>
      </w:r>
      <w:bookmarkEnd w:id="0"/>
    </w:p>
    <w:p>
      <w:pPr>
        <w:spacing w:line="660" w:lineRule="exact"/>
        <w:jc w:val="center"/>
        <w:rPr>
          <w:rFonts w:ascii="方正黑体简体" w:eastAsia="方正黑体简体"/>
          <w:sz w:val="44"/>
        </w:rPr>
      </w:pPr>
    </w:p>
    <w:p>
      <w:pPr>
        <w:keepNext w:val="0"/>
        <w:keepLines w:val="0"/>
        <w:pageBreakBefore w:val="0"/>
        <w:widowControl w:val="0"/>
        <w:kinsoku/>
        <w:wordWrap/>
        <w:overflowPunct/>
        <w:topLinePunct w:val="0"/>
        <w:autoSpaceDE/>
        <w:autoSpaceDN/>
        <w:bidi w:val="0"/>
        <w:adjustRightInd/>
        <w:snapToGrid/>
        <w:spacing w:line="560" w:lineRule="exact"/>
        <w:ind w:firstLine="672" w:firstLineChars="240"/>
        <w:textAlignment w:val="auto"/>
        <w:outlineLvl w:val="9"/>
        <w:rPr>
          <w:rFonts w:ascii="仿宋_GB2312" w:eastAsia="仿宋_GB2312"/>
          <w:sz w:val="28"/>
          <w:szCs w:val="28"/>
        </w:rPr>
      </w:pPr>
      <w:r>
        <w:rPr>
          <w:rFonts w:hint="eastAsia" w:ascii="仿宋_GB2312" w:eastAsia="仿宋_GB2312"/>
          <w:sz w:val="28"/>
          <w:szCs w:val="28"/>
          <w:lang w:eastAsia="zh-CN"/>
        </w:rPr>
        <w:t>现向全社会发布公告，</w:t>
      </w:r>
      <w:r>
        <w:rPr>
          <w:rFonts w:hint="eastAsia" w:ascii="仿宋_GB2312" w:eastAsia="仿宋_GB2312"/>
          <w:sz w:val="28"/>
          <w:szCs w:val="28"/>
        </w:rPr>
        <w:t>邀请</w:t>
      </w:r>
      <w:r>
        <w:rPr>
          <w:rFonts w:hint="eastAsia" w:ascii="仿宋_GB2312" w:eastAsia="仿宋_GB2312"/>
          <w:sz w:val="28"/>
          <w:szCs w:val="28"/>
          <w:lang w:eastAsia="zh-CN"/>
        </w:rPr>
        <w:t>符合资质的</w:t>
      </w:r>
      <w:r>
        <w:rPr>
          <w:rFonts w:hint="eastAsia" w:ascii="仿宋_GB2312" w:eastAsia="仿宋_GB2312"/>
          <w:sz w:val="28"/>
          <w:szCs w:val="28"/>
        </w:rPr>
        <w:t>公司</w:t>
      </w:r>
      <w:r>
        <w:rPr>
          <w:rFonts w:hint="eastAsia" w:ascii="仿宋_GB2312" w:eastAsia="仿宋_GB2312"/>
          <w:sz w:val="28"/>
          <w:szCs w:val="28"/>
          <w:lang w:eastAsia="zh-CN"/>
        </w:rPr>
        <w:t>（单位）</w:t>
      </w:r>
      <w:r>
        <w:rPr>
          <w:rFonts w:hint="eastAsia" w:ascii="仿宋_GB2312" w:eastAsia="仿宋_GB2312"/>
          <w:sz w:val="28"/>
          <w:szCs w:val="28"/>
        </w:rPr>
        <w:t>参加</w:t>
      </w:r>
      <w:r>
        <w:rPr>
          <w:rFonts w:hint="eastAsia" w:ascii="仿宋_GB2312" w:eastAsia="仿宋_GB2312"/>
          <w:sz w:val="28"/>
          <w:szCs w:val="28"/>
          <w:lang w:eastAsia="zh-CN"/>
        </w:rPr>
        <w:t>我所检测试剂和耗材的</w:t>
      </w:r>
      <w:r>
        <w:rPr>
          <w:rFonts w:hint="eastAsia" w:ascii="仿宋_GB2312" w:eastAsia="仿宋_GB2312"/>
          <w:sz w:val="28"/>
          <w:szCs w:val="28"/>
        </w:rPr>
        <w:t>采购。</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outlineLvl w:val="9"/>
        <w:rPr>
          <w:rFonts w:ascii="仿宋_GB2312" w:eastAsia="仿宋_GB2312"/>
          <w:sz w:val="28"/>
          <w:szCs w:val="28"/>
        </w:rPr>
      </w:pPr>
      <w:r>
        <w:rPr>
          <w:rFonts w:hint="eastAsia" w:ascii="仿宋_GB2312" w:hAnsi="Times New Roman" w:eastAsia="仿宋_GB2312"/>
          <w:b/>
          <w:bCs/>
          <w:sz w:val="28"/>
          <w:szCs w:val="28"/>
          <w:lang w:eastAsia="zh-CN"/>
        </w:rPr>
        <w:t>一、</w:t>
      </w:r>
      <w:r>
        <w:rPr>
          <w:rFonts w:hint="eastAsia" w:ascii="仿宋_GB2312" w:hAnsi="Times New Roman" w:eastAsia="仿宋_GB2312"/>
          <w:b/>
          <w:bCs/>
          <w:sz w:val="28"/>
          <w:szCs w:val="28"/>
        </w:rPr>
        <w:t>公开</w:t>
      </w:r>
      <w:r>
        <w:rPr>
          <w:rFonts w:hint="eastAsia" w:ascii="仿宋_GB2312" w:hAnsi="Times New Roman" w:eastAsia="仿宋_GB2312"/>
          <w:b/>
          <w:bCs/>
          <w:sz w:val="28"/>
          <w:szCs w:val="28"/>
          <w:lang w:eastAsia="zh-CN"/>
        </w:rPr>
        <w:t>采购</w:t>
      </w:r>
      <w:r>
        <w:rPr>
          <w:rFonts w:ascii="仿宋_GB2312" w:eastAsia="仿宋_GB2312"/>
          <w:b/>
          <w:bCs/>
          <w:sz w:val="28"/>
          <w:szCs w:val="28"/>
        </w:rPr>
        <w:t>编号</w:t>
      </w:r>
      <w:r>
        <w:rPr>
          <w:rFonts w:hint="default" w:ascii="仿宋_GB2312" w:eastAsia="仿宋_GB2312"/>
          <w:sz w:val="28"/>
          <w:szCs w:val="28"/>
          <w:lang w:val="en"/>
        </w:rPr>
        <w:t xml:space="preserve">  </w:t>
      </w:r>
      <w:r>
        <w:rPr>
          <w:rFonts w:hint="eastAsia" w:ascii="仿宋_GB2312" w:eastAsia="仿宋_GB2312"/>
          <w:sz w:val="28"/>
          <w:szCs w:val="28"/>
        </w:rPr>
        <w:t>ZYDJ202</w:t>
      </w:r>
      <w:r>
        <w:rPr>
          <w:rFonts w:hint="eastAsia" w:ascii="仿宋_GB2312" w:eastAsia="仿宋_GB2312"/>
          <w:sz w:val="28"/>
          <w:szCs w:val="28"/>
          <w:lang w:val="en-US" w:eastAsia="zh-CN"/>
        </w:rPr>
        <w:t>2</w:t>
      </w:r>
      <w:r>
        <w:rPr>
          <w:rFonts w:hint="eastAsia" w:ascii="仿宋_GB2312" w:eastAsia="仿宋_GB2312"/>
          <w:sz w:val="28"/>
          <w:szCs w:val="28"/>
        </w:rPr>
        <w:t>0</w:t>
      </w:r>
      <w:r>
        <w:rPr>
          <w:rFonts w:hint="eastAsia" w:ascii="仿宋_GB2312" w:eastAsia="仿宋_GB2312"/>
          <w:sz w:val="28"/>
          <w:szCs w:val="28"/>
          <w:lang w:val="en-US" w:eastAsia="zh-CN"/>
        </w:rPr>
        <w:t>09</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outlineLvl w:val="9"/>
        <w:rPr>
          <w:rFonts w:ascii="仿宋_GB2312" w:eastAsia="仿宋_GB2312"/>
          <w:sz w:val="28"/>
          <w:szCs w:val="28"/>
        </w:rPr>
      </w:pPr>
      <w:r>
        <w:rPr>
          <w:rFonts w:hint="eastAsia" w:ascii="仿宋_GB2312" w:eastAsia="仿宋_GB2312"/>
          <w:b/>
          <w:bCs/>
          <w:sz w:val="28"/>
          <w:szCs w:val="28"/>
          <w:lang w:eastAsia="zh-CN"/>
        </w:rPr>
        <w:t>二、</w:t>
      </w:r>
      <w:r>
        <w:rPr>
          <w:rFonts w:hint="eastAsia" w:ascii="仿宋_GB2312" w:eastAsia="仿宋_GB2312"/>
          <w:b/>
          <w:bCs/>
          <w:sz w:val="28"/>
          <w:szCs w:val="28"/>
        </w:rPr>
        <w:t>采购物品的基本信息</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张掖市动物卫生监督所兽医实验室202</w:t>
      </w:r>
      <w:r>
        <w:rPr>
          <w:rFonts w:hint="eastAsia" w:ascii="仿宋_GB2312" w:eastAsia="仿宋_GB2312"/>
          <w:sz w:val="28"/>
          <w:szCs w:val="28"/>
          <w:lang w:val="en-US" w:eastAsia="zh-CN"/>
        </w:rPr>
        <w:t>2</w:t>
      </w:r>
      <w:r>
        <w:rPr>
          <w:rFonts w:hint="eastAsia" w:ascii="仿宋_GB2312" w:eastAsia="仿宋_GB2312"/>
          <w:sz w:val="28"/>
          <w:szCs w:val="28"/>
        </w:rPr>
        <w:t>年需</w:t>
      </w:r>
      <w:r>
        <w:rPr>
          <w:rFonts w:hint="eastAsia" w:ascii="仿宋_GB2312" w:eastAsia="仿宋_GB2312"/>
          <w:sz w:val="28"/>
          <w:szCs w:val="28"/>
          <w:lang w:eastAsia="zh-CN"/>
        </w:rPr>
        <w:t>要</w:t>
      </w:r>
      <w:r>
        <w:rPr>
          <w:rFonts w:hint="eastAsia" w:ascii="仿宋_GB2312" w:eastAsia="仿宋_GB2312"/>
          <w:sz w:val="28"/>
          <w:szCs w:val="28"/>
        </w:rPr>
        <w:t>采购</w:t>
      </w:r>
      <w:r>
        <w:rPr>
          <w:rFonts w:hint="eastAsia" w:ascii="仿宋_GB2312" w:eastAsia="仿宋_GB2312"/>
          <w:sz w:val="28"/>
          <w:szCs w:val="28"/>
          <w:lang w:eastAsia="zh-CN"/>
        </w:rPr>
        <w:t>检测试剂和耗材</w:t>
      </w:r>
      <w:r>
        <w:rPr>
          <w:rFonts w:hint="eastAsia" w:ascii="仿宋_GB2312" w:eastAsia="仿宋_GB2312"/>
          <w:sz w:val="28"/>
          <w:szCs w:val="28"/>
        </w:rPr>
        <w:t>共</w:t>
      </w:r>
      <w:r>
        <w:rPr>
          <w:rFonts w:hint="eastAsia" w:ascii="仿宋_GB2312" w:eastAsia="仿宋_GB2312"/>
          <w:sz w:val="28"/>
          <w:szCs w:val="28"/>
          <w:lang w:val="en-US" w:eastAsia="zh-CN"/>
        </w:rPr>
        <w:t>33</w:t>
      </w:r>
      <w:r>
        <w:rPr>
          <w:rFonts w:hint="eastAsia" w:ascii="仿宋_GB2312" w:eastAsia="仿宋_GB2312"/>
          <w:sz w:val="28"/>
          <w:szCs w:val="28"/>
        </w:rPr>
        <w:t>种，价格为一揽子</w:t>
      </w:r>
      <w:r>
        <w:rPr>
          <w:rFonts w:hint="eastAsia" w:ascii="仿宋_GB2312" w:eastAsia="仿宋_GB2312"/>
          <w:sz w:val="28"/>
          <w:szCs w:val="28"/>
          <w:lang w:eastAsia="zh-CN"/>
        </w:rPr>
        <w:t>总</w:t>
      </w:r>
      <w:r>
        <w:rPr>
          <w:rFonts w:hint="eastAsia" w:ascii="仿宋_GB2312" w:eastAsia="仿宋_GB2312"/>
          <w:sz w:val="28"/>
          <w:szCs w:val="28"/>
        </w:rPr>
        <w:t>价，包</w:t>
      </w:r>
      <w:r>
        <w:rPr>
          <w:rFonts w:hint="eastAsia" w:ascii="仿宋_GB2312" w:eastAsia="仿宋_GB2312"/>
          <w:sz w:val="28"/>
          <w:szCs w:val="28"/>
          <w:lang w:eastAsia="zh-CN"/>
        </w:rPr>
        <w:t>含售价</w:t>
      </w:r>
      <w:r>
        <w:rPr>
          <w:rFonts w:hint="eastAsia" w:ascii="仿宋_GB2312" w:eastAsia="仿宋_GB2312"/>
          <w:sz w:val="28"/>
          <w:szCs w:val="28"/>
        </w:rPr>
        <w:t>、税费、运费等所有费用。具体采购</w:t>
      </w:r>
      <w:r>
        <w:rPr>
          <w:rFonts w:hint="eastAsia" w:ascii="仿宋_GB2312" w:eastAsia="仿宋_GB2312"/>
          <w:sz w:val="28"/>
          <w:szCs w:val="28"/>
          <w:lang w:eastAsia="zh-CN"/>
        </w:rPr>
        <w:t>试剂和耗材、</w:t>
      </w:r>
      <w:r>
        <w:rPr>
          <w:rFonts w:hint="eastAsia" w:ascii="仿宋_GB2312" w:eastAsia="仿宋_GB2312"/>
          <w:sz w:val="28"/>
          <w:szCs w:val="28"/>
        </w:rPr>
        <w:t>参数</w:t>
      </w:r>
      <w:r>
        <w:rPr>
          <w:rFonts w:hint="eastAsia" w:ascii="仿宋_GB2312" w:eastAsia="仿宋_GB2312"/>
          <w:sz w:val="28"/>
          <w:szCs w:val="28"/>
          <w:lang w:eastAsia="zh-CN"/>
        </w:rPr>
        <w:t>详</w:t>
      </w:r>
      <w:r>
        <w:rPr>
          <w:rFonts w:hint="eastAsia" w:ascii="仿宋_GB2312" w:eastAsia="仿宋_GB2312"/>
          <w:sz w:val="28"/>
          <w:szCs w:val="28"/>
        </w:rPr>
        <w:t>见</w:t>
      </w:r>
      <w:r>
        <w:rPr>
          <w:rFonts w:hint="eastAsia" w:ascii="仿宋_GB2312" w:eastAsia="仿宋_GB2312"/>
          <w:sz w:val="28"/>
          <w:szCs w:val="28"/>
          <w:lang w:eastAsia="zh-CN"/>
        </w:rPr>
        <w:t>附</w:t>
      </w:r>
      <w:r>
        <w:rPr>
          <w:rFonts w:hint="eastAsia" w:ascii="仿宋_GB2312" w:eastAsia="仿宋_GB2312"/>
          <w:sz w:val="28"/>
          <w:szCs w:val="28"/>
        </w:rPr>
        <w:t>表。</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textAlignment w:val="auto"/>
        <w:outlineLvl w:val="9"/>
        <w:rPr>
          <w:rFonts w:ascii="仿宋_GB2312" w:eastAsia="仿宋_GB2312"/>
          <w:b/>
          <w:bCs/>
          <w:sz w:val="28"/>
          <w:szCs w:val="28"/>
        </w:rPr>
      </w:pPr>
      <w:r>
        <w:rPr>
          <w:rFonts w:hint="eastAsia" w:ascii="仿宋_GB2312" w:eastAsia="仿宋_GB2312"/>
          <w:b/>
          <w:bCs/>
          <w:sz w:val="28"/>
          <w:szCs w:val="28"/>
          <w:lang w:eastAsia="zh-CN"/>
        </w:rPr>
        <w:t>三、</w:t>
      </w:r>
      <w:r>
        <w:rPr>
          <w:rFonts w:hint="eastAsia" w:ascii="仿宋_GB2312" w:eastAsia="仿宋_GB2312"/>
          <w:b/>
          <w:bCs/>
          <w:sz w:val="28"/>
          <w:szCs w:val="28"/>
        </w:rPr>
        <w:t>对</w:t>
      </w:r>
      <w:r>
        <w:rPr>
          <w:rFonts w:hint="eastAsia" w:ascii="仿宋_GB2312" w:eastAsia="仿宋_GB2312"/>
          <w:b/>
          <w:bCs/>
          <w:sz w:val="28"/>
          <w:szCs w:val="28"/>
          <w:lang w:eastAsia="zh-CN"/>
        </w:rPr>
        <w:t>参加采购公司（单位）</w:t>
      </w:r>
      <w:r>
        <w:rPr>
          <w:rFonts w:hint="eastAsia" w:ascii="仿宋_GB2312" w:eastAsia="仿宋_GB2312"/>
          <w:b/>
          <w:bCs/>
          <w:sz w:val="28"/>
          <w:szCs w:val="28"/>
        </w:rPr>
        <w:t>的要求</w:t>
      </w: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eastAsia="zh-CN"/>
        </w:rPr>
        <w:t>.</w:t>
      </w:r>
      <w:r>
        <w:rPr>
          <w:rFonts w:hint="eastAsia" w:ascii="仿宋_GB2312" w:eastAsia="仿宋_GB2312"/>
          <w:sz w:val="28"/>
          <w:szCs w:val="28"/>
        </w:rPr>
        <w:t>符合《中华人民共和国政府采购法》第二十二条规定；</w:t>
      </w: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eastAsia="zh-CN"/>
        </w:rPr>
        <w:t>.</w:t>
      </w:r>
      <w:r>
        <w:rPr>
          <w:rFonts w:hint="eastAsia" w:ascii="仿宋_GB2312" w:eastAsia="仿宋_GB2312"/>
          <w:sz w:val="28"/>
          <w:szCs w:val="28"/>
        </w:rPr>
        <w:t>本</w:t>
      </w:r>
      <w:r>
        <w:rPr>
          <w:rFonts w:hint="eastAsia" w:ascii="仿宋_GB2312" w:eastAsia="仿宋_GB2312"/>
          <w:sz w:val="28"/>
          <w:szCs w:val="28"/>
          <w:lang w:eastAsia="zh-CN"/>
        </w:rPr>
        <w:t>次采购</w:t>
      </w:r>
      <w:r>
        <w:rPr>
          <w:rFonts w:hint="eastAsia" w:ascii="仿宋_GB2312" w:eastAsia="仿宋_GB2312"/>
          <w:sz w:val="28"/>
          <w:szCs w:val="28"/>
        </w:rPr>
        <w:t>不接受联合体投标；</w:t>
      </w: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无不良信用记录；</w:t>
      </w: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参</w:t>
      </w:r>
      <w:r>
        <w:rPr>
          <w:rFonts w:hint="eastAsia" w:ascii="仿宋_GB2312" w:eastAsia="仿宋_GB2312"/>
          <w:sz w:val="28"/>
          <w:szCs w:val="28"/>
          <w:lang w:eastAsia="zh-CN"/>
        </w:rPr>
        <w:t>加采购工作</w:t>
      </w:r>
      <w:r>
        <w:rPr>
          <w:rFonts w:hint="eastAsia" w:ascii="仿宋_GB2312" w:eastAsia="仿宋_GB2312"/>
          <w:sz w:val="28"/>
          <w:szCs w:val="28"/>
        </w:rPr>
        <w:t>的费用自理。</w:t>
      </w: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b/>
          <w:bCs/>
          <w:sz w:val="28"/>
          <w:szCs w:val="28"/>
        </w:rPr>
      </w:pPr>
      <w:r>
        <w:rPr>
          <w:rFonts w:hint="eastAsia" w:ascii="仿宋_GB2312" w:eastAsia="仿宋_GB2312"/>
          <w:b/>
          <w:bCs/>
          <w:sz w:val="28"/>
          <w:szCs w:val="28"/>
          <w:lang w:eastAsia="zh-CN"/>
        </w:rPr>
        <w:t>四</w:t>
      </w:r>
      <w:r>
        <w:rPr>
          <w:rFonts w:hint="eastAsia" w:ascii="仿宋_GB2312" w:eastAsia="仿宋_GB2312"/>
          <w:b/>
          <w:bCs/>
          <w:sz w:val="28"/>
          <w:szCs w:val="28"/>
        </w:rPr>
        <w:t>、相关事宜</w:t>
      </w: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sz w:val="28"/>
          <w:szCs w:val="28"/>
        </w:rPr>
      </w:pPr>
      <w:r>
        <w:rPr>
          <w:rFonts w:hint="eastAsia" w:ascii="仿宋_GB2312" w:eastAsia="仿宋_GB2312"/>
          <w:sz w:val="28"/>
          <w:szCs w:val="28"/>
        </w:rPr>
        <w:t>1.招标方式</w:t>
      </w:r>
      <w:r>
        <w:rPr>
          <w:rFonts w:hint="eastAsia" w:ascii="仿宋_GB2312" w:eastAsia="仿宋_GB2312"/>
          <w:sz w:val="28"/>
          <w:szCs w:val="28"/>
          <w:lang w:eastAsia="zh-CN"/>
        </w:rPr>
        <w:t>。</w:t>
      </w:r>
      <w:r>
        <w:rPr>
          <w:rFonts w:hint="eastAsia" w:ascii="仿宋_GB2312" w:eastAsia="仿宋_GB2312"/>
          <w:sz w:val="28"/>
          <w:szCs w:val="28"/>
        </w:rPr>
        <w:t>本次招标采用</w:t>
      </w:r>
      <w:r>
        <w:rPr>
          <w:rFonts w:hint="eastAsia" w:ascii="仿宋_GB2312" w:eastAsia="仿宋_GB2312"/>
          <w:sz w:val="28"/>
          <w:szCs w:val="28"/>
          <w:lang w:eastAsia="zh-CN"/>
        </w:rPr>
        <w:t>线上视频进行</w:t>
      </w:r>
      <w:r>
        <w:rPr>
          <w:rFonts w:hint="eastAsia" w:ascii="仿宋_GB2312" w:eastAsia="仿宋_GB2312"/>
          <w:sz w:val="28"/>
          <w:szCs w:val="28"/>
        </w:rPr>
        <w:t>、</w:t>
      </w:r>
      <w:r>
        <w:rPr>
          <w:rFonts w:hint="eastAsia" w:ascii="仿宋_GB2312" w:eastAsia="仿宋_GB2312"/>
          <w:sz w:val="28"/>
          <w:szCs w:val="28"/>
          <w:lang w:val="en-US" w:eastAsia="zh-CN"/>
        </w:rPr>
        <w:t>无限次竞价</w:t>
      </w:r>
      <w:r>
        <w:rPr>
          <w:rFonts w:hint="eastAsia" w:ascii="仿宋_GB2312" w:eastAsia="仿宋_GB2312"/>
          <w:sz w:val="28"/>
          <w:szCs w:val="28"/>
        </w:rPr>
        <w:t>、最低</w:t>
      </w:r>
      <w:r>
        <w:rPr>
          <w:rFonts w:hint="eastAsia" w:ascii="仿宋_GB2312" w:eastAsia="仿宋_GB2312"/>
          <w:sz w:val="28"/>
          <w:szCs w:val="28"/>
          <w:lang w:eastAsia="zh-CN"/>
        </w:rPr>
        <w:t>价中标的</w:t>
      </w:r>
      <w:r>
        <w:rPr>
          <w:rFonts w:hint="eastAsia" w:ascii="仿宋_GB2312" w:eastAsia="仿宋_GB2312"/>
          <w:sz w:val="28"/>
          <w:szCs w:val="28"/>
        </w:rPr>
        <w:t>方式，确定中标人。</w:t>
      </w: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sz w:val="28"/>
          <w:szCs w:val="28"/>
        </w:rPr>
      </w:pPr>
      <w:r>
        <w:rPr>
          <w:rFonts w:hint="eastAsia" w:ascii="仿宋_GB2312" w:eastAsia="仿宋_GB2312"/>
          <w:sz w:val="28"/>
          <w:szCs w:val="28"/>
        </w:rPr>
        <w:t>2.招标控制价</w:t>
      </w:r>
      <w:r>
        <w:rPr>
          <w:rFonts w:hint="eastAsia" w:ascii="仿宋_GB2312" w:eastAsia="仿宋_GB2312"/>
          <w:sz w:val="28"/>
          <w:szCs w:val="28"/>
          <w:lang w:eastAsia="zh-CN"/>
        </w:rPr>
        <w:t>。</w:t>
      </w:r>
      <w:r>
        <w:rPr>
          <w:rFonts w:hint="eastAsia" w:ascii="仿宋_GB2312" w:eastAsia="仿宋_GB2312"/>
          <w:sz w:val="28"/>
          <w:szCs w:val="28"/>
        </w:rPr>
        <w:t>本次招标</w:t>
      </w:r>
      <w:r>
        <w:rPr>
          <w:rFonts w:hint="eastAsia" w:ascii="仿宋_GB2312" w:eastAsia="仿宋_GB2312"/>
          <w:sz w:val="28"/>
          <w:szCs w:val="28"/>
          <w:lang w:eastAsia="zh-CN"/>
        </w:rPr>
        <w:t>起始报</w:t>
      </w:r>
      <w:r>
        <w:rPr>
          <w:rFonts w:hint="eastAsia" w:ascii="仿宋_GB2312" w:eastAsia="仿宋_GB2312"/>
          <w:sz w:val="28"/>
          <w:szCs w:val="28"/>
        </w:rPr>
        <w:t>价为157</w:t>
      </w:r>
      <w:r>
        <w:rPr>
          <w:rFonts w:hint="eastAsia" w:ascii="仿宋_GB2312" w:eastAsia="仿宋_GB2312"/>
          <w:sz w:val="28"/>
          <w:szCs w:val="28"/>
          <w:lang w:val="en-US" w:eastAsia="zh-CN"/>
        </w:rPr>
        <w:t>,</w:t>
      </w:r>
      <w:r>
        <w:rPr>
          <w:rFonts w:hint="eastAsia" w:ascii="仿宋_GB2312" w:eastAsia="仿宋_GB2312"/>
          <w:sz w:val="28"/>
          <w:szCs w:val="28"/>
        </w:rPr>
        <w:t>370.00 元，</w:t>
      </w:r>
      <w:r>
        <w:rPr>
          <w:rFonts w:hint="eastAsia" w:ascii="仿宋_GB2312" w:eastAsia="仿宋_GB2312"/>
          <w:sz w:val="28"/>
          <w:szCs w:val="28"/>
          <w:lang w:eastAsia="zh-CN"/>
        </w:rPr>
        <w:t>向下跟拍报价，每次跟拍报价降幅不少于</w:t>
      </w:r>
      <w:r>
        <w:rPr>
          <w:rFonts w:hint="eastAsia" w:ascii="仿宋_GB2312" w:eastAsia="仿宋_GB2312"/>
          <w:sz w:val="28"/>
          <w:szCs w:val="28"/>
          <w:lang w:val="en-US" w:eastAsia="zh-CN"/>
        </w:rPr>
        <w:t>1,000.00元</w:t>
      </w:r>
      <w:r>
        <w:rPr>
          <w:rFonts w:hint="eastAsia" w:ascii="仿宋_GB2312" w:eastAsia="仿宋_GB2312"/>
          <w:sz w:val="28"/>
          <w:szCs w:val="28"/>
        </w:rPr>
        <w:t>。</w:t>
      </w: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sz w:val="28"/>
          <w:szCs w:val="28"/>
        </w:rPr>
      </w:pPr>
      <w:r>
        <w:rPr>
          <w:rFonts w:hint="eastAsia" w:ascii="仿宋_GB2312" w:eastAsia="仿宋_GB2312"/>
          <w:sz w:val="28"/>
          <w:szCs w:val="28"/>
        </w:rPr>
        <w:t>3.响应单位</w:t>
      </w:r>
      <w:r>
        <w:rPr>
          <w:rFonts w:hint="eastAsia" w:ascii="仿宋_GB2312" w:eastAsia="仿宋_GB2312"/>
          <w:sz w:val="28"/>
          <w:szCs w:val="28"/>
          <w:lang w:eastAsia="zh-CN"/>
        </w:rPr>
        <w:t>。有效响应参与公司（单位）不少于</w:t>
      </w:r>
      <w:r>
        <w:rPr>
          <w:rFonts w:hint="eastAsia" w:ascii="仿宋_GB2312" w:eastAsia="仿宋_GB2312"/>
          <w:sz w:val="28"/>
          <w:szCs w:val="28"/>
          <w:lang w:val="en-US" w:eastAsia="zh-CN"/>
        </w:rPr>
        <w:t>3家</w:t>
      </w:r>
      <w:r>
        <w:rPr>
          <w:rFonts w:hint="eastAsia" w:ascii="仿宋_GB2312" w:eastAsia="仿宋_GB2312"/>
          <w:sz w:val="28"/>
          <w:szCs w:val="28"/>
        </w:rPr>
        <w:t>，响应低于3家</w:t>
      </w:r>
      <w:r>
        <w:rPr>
          <w:rFonts w:hint="eastAsia" w:ascii="仿宋_GB2312" w:eastAsia="仿宋_GB2312"/>
          <w:sz w:val="28"/>
          <w:szCs w:val="28"/>
          <w:lang w:eastAsia="zh-CN"/>
        </w:rPr>
        <w:t>时，</w:t>
      </w:r>
      <w:r>
        <w:rPr>
          <w:rFonts w:hint="eastAsia" w:ascii="仿宋_GB2312" w:eastAsia="仿宋_GB2312"/>
          <w:sz w:val="28"/>
          <w:szCs w:val="28"/>
        </w:rPr>
        <w:t>本次招标按流标处理。</w:t>
      </w: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sz w:val="28"/>
          <w:szCs w:val="28"/>
          <w:lang w:val="en-US" w:eastAsia="zh-CN"/>
        </w:rPr>
      </w:pPr>
      <w:r>
        <w:rPr>
          <w:rFonts w:hint="eastAsia" w:ascii="仿宋_GB2312" w:eastAsia="仿宋_GB2312"/>
          <w:sz w:val="28"/>
          <w:szCs w:val="28"/>
          <w:lang w:val="en-US" w:eastAsia="zh-CN"/>
        </w:rPr>
        <w:t>4.报价顺序。按照回应的时间顺序，最先回应的</w:t>
      </w:r>
      <w:r>
        <w:rPr>
          <w:rFonts w:hint="eastAsia" w:ascii="仿宋_GB2312" w:eastAsia="仿宋_GB2312"/>
          <w:sz w:val="28"/>
          <w:szCs w:val="28"/>
          <w:lang w:eastAsia="zh-CN"/>
        </w:rPr>
        <w:t>公司（单位）最后报价，依次类推。</w:t>
      </w: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.发放招标文件的时间、地点和方法</w:t>
      </w:r>
      <w:r>
        <w:rPr>
          <w:rFonts w:hint="eastAsia" w:ascii="仿宋_GB2312" w:eastAsia="仿宋_GB2312"/>
          <w:sz w:val="28"/>
          <w:szCs w:val="28"/>
          <w:lang w:eastAsia="zh-CN"/>
        </w:rPr>
        <w:t>。</w:t>
      </w:r>
      <w:r>
        <w:rPr>
          <w:rFonts w:hint="eastAsia" w:ascii="仿宋_GB2312" w:eastAsia="仿宋_GB2312"/>
          <w:sz w:val="28"/>
          <w:szCs w:val="28"/>
        </w:rPr>
        <w:t>202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8</w:t>
      </w:r>
      <w:r>
        <w:rPr>
          <w:rFonts w:hint="eastAsia" w:ascii="仿宋_GB2312" w:eastAsia="仿宋_GB2312"/>
          <w:sz w:val="28"/>
          <w:szCs w:val="28"/>
        </w:rPr>
        <w:t>月</w:t>
      </w:r>
      <w:r>
        <w:rPr>
          <w:rFonts w:hint="eastAsia" w:ascii="仿宋_GB2312" w:eastAsia="仿宋_GB2312"/>
          <w:sz w:val="28"/>
          <w:szCs w:val="28"/>
          <w:lang w:val="en-US" w:eastAsia="zh-CN"/>
        </w:rPr>
        <w:t>4</w:t>
      </w:r>
      <w:r>
        <w:rPr>
          <w:rFonts w:hint="eastAsia" w:ascii="仿宋_GB2312" w:eastAsia="仿宋_GB2312"/>
          <w:sz w:val="28"/>
          <w:szCs w:val="28"/>
        </w:rPr>
        <w:t>日8点30分起至</w:t>
      </w:r>
      <w:r>
        <w:rPr>
          <w:rFonts w:hint="eastAsia" w:ascii="仿宋_GB2312" w:eastAsia="仿宋_GB2312"/>
          <w:sz w:val="28"/>
          <w:szCs w:val="28"/>
          <w:lang w:val="en-US" w:eastAsia="zh-CN"/>
        </w:rPr>
        <w:t>8</w:t>
      </w:r>
      <w:r>
        <w:rPr>
          <w:rFonts w:hint="eastAsia" w:ascii="仿宋_GB2312" w:eastAsia="仿宋_GB2312"/>
          <w:sz w:val="28"/>
          <w:szCs w:val="28"/>
        </w:rPr>
        <w:t>月</w:t>
      </w:r>
      <w:r>
        <w:rPr>
          <w:rFonts w:hint="eastAsia" w:ascii="仿宋_GB2312" w:eastAsia="仿宋_GB2312"/>
          <w:sz w:val="28"/>
          <w:szCs w:val="28"/>
          <w:lang w:val="en-US" w:eastAsia="zh-CN"/>
        </w:rPr>
        <w:t>17</w:t>
      </w:r>
      <w:r>
        <w:rPr>
          <w:rFonts w:hint="eastAsia" w:ascii="仿宋_GB2312" w:eastAsia="仿宋_GB2312"/>
          <w:sz w:val="28"/>
          <w:szCs w:val="28"/>
        </w:rPr>
        <w:t>日18点00分止</w:t>
      </w:r>
      <w:r>
        <w:rPr>
          <w:rFonts w:hint="eastAsia" w:ascii="仿宋_GB2312" w:eastAsia="仿宋_GB2312"/>
          <w:sz w:val="28"/>
          <w:szCs w:val="28"/>
          <w:lang w:val="en-US" w:eastAsia="zh-CN"/>
        </w:rPr>
        <w:t>,共10个工作日。</w:t>
      </w:r>
      <w:r>
        <w:rPr>
          <w:rFonts w:hint="eastAsia" w:ascii="仿宋_GB2312" w:eastAsia="仿宋_GB2312"/>
          <w:sz w:val="28"/>
          <w:szCs w:val="28"/>
        </w:rPr>
        <w:t>请符合资质的</w:t>
      </w:r>
      <w:r>
        <w:rPr>
          <w:rFonts w:hint="eastAsia" w:ascii="仿宋_GB2312" w:eastAsia="仿宋_GB2312"/>
          <w:sz w:val="28"/>
          <w:szCs w:val="28"/>
          <w:lang w:eastAsia="zh-CN"/>
        </w:rPr>
        <w:t>公司（单位）</w:t>
      </w:r>
      <w:r>
        <w:rPr>
          <w:rFonts w:hint="eastAsia" w:ascii="仿宋_GB2312" w:eastAsia="仿宋_GB2312"/>
          <w:sz w:val="28"/>
          <w:szCs w:val="28"/>
        </w:rPr>
        <w:t>在张掖市畜牧兽医局、</w:t>
      </w:r>
      <w:r>
        <w:rPr>
          <w:rFonts w:hint="eastAsia" w:ascii="仿宋_GB2312" w:eastAsia="仿宋_GB2312"/>
          <w:sz w:val="28"/>
          <w:szCs w:val="28"/>
          <w:lang w:eastAsia="zh-CN"/>
        </w:rPr>
        <w:t>甘肃政府采购</w:t>
      </w:r>
      <w:r>
        <w:rPr>
          <w:rFonts w:hint="eastAsia" w:ascii="仿宋_GB2312" w:eastAsia="仿宋_GB2312"/>
          <w:sz w:val="28"/>
          <w:szCs w:val="28"/>
        </w:rPr>
        <w:t>网下载</w:t>
      </w:r>
      <w:r>
        <w:rPr>
          <w:rFonts w:hint="eastAsia" w:ascii="仿宋_GB2312" w:eastAsia="仿宋_GB2312"/>
          <w:sz w:val="28"/>
          <w:szCs w:val="28"/>
          <w:lang w:eastAsia="zh-CN"/>
        </w:rPr>
        <w:t>招标文件</w:t>
      </w:r>
      <w:r>
        <w:rPr>
          <w:rFonts w:hint="eastAsia" w:ascii="仿宋_GB2312" w:eastAsia="仿宋_GB2312"/>
          <w:sz w:val="28"/>
          <w:szCs w:val="28"/>
        </w:rPr>
        <w:t>。</w:t>
      </w: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eastAsia" w:ascii="仿宋_GB2312" w:eastAsia="仿宋_GB2312"/>
          <w:sz w:val="28"/>
          <w:szCs w:val="28"/>
          <w:lang w:eastAsia="zh-CN"/>
        </w:rPr>
      </w:pPr>
      <w:r>
        <w:rPr>
          <w:rFonts w:hint="eastAsia" w:ascii="仿宋_GB2312" w:eastAsia="仿宋_GB2312"/>
          <w:sz w:val="28"/>
          <w:szCs w:val="28"/>
          <w:lang w:val="en-US" w:eastAsia="zh-CN"/>
        </w:rPr>
        <w:t>6</w:t>
      </w:r>
      <w:r>
        <w:rPr>
          <w:rFonts w:hint="eastAsia" w:ascii="仿宋_GB2312" w:eastAsia="仿宋_GB2312"/>
          <w:sz w:val="28"/>
          <w:szCs w:val="28"/>
        </w:rPr>
        <w:t>.投标截止时间</w:t>
      </w:r>
      <w:r>
        <w:rPr>
          <w:rFonts w:hint="eastAsia" w:ascii="仿宋_GB2312" w:eastAsia="仿宋_GB2312"/>
          <w:sz w:val="28"/>
          <w:szCs w:val="28"/>
          <w:lang w:eastAsia="zh-CN"/>
        </w:rPr>
        <w:t>。</w:t>
      </w:r>
      <w:r>
        <w:rPr>
          <w:rFonts w:hint="eastAsia" w:ascii="仿宋_GB2312" w:eastAsia="仿宋_GB2312"/>
          <w:sz w:val="28"/>
          <w:szCs w:val="28"/>
        </w:rPr>
        <w:t>202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8</w:t>
      </w:r>
      <w:r>
        <w:rPr>
          <w:rFonts w:hint="eastAsia" w:ascii="仿宋_GB2312" w:eastAsia="仿宋_GB2312"/>
          <w:sz w:val="28"/>
          <w:szCs w:val="28"/>
        </w:rPr>
        <w:t>月</w:t>
      </w:r>
      <w:r>
        <w:rPr>
          <w:rFonts w:hint="eastAsia" w:ascii="仿宋_GB2312" w:eastAsia="仿宋_GB2312"/>
          <w:sz w:val="28"/>
          <w:szCs w:val="28"/>
          <w:lang w:val="en-US" w:eastAsia="zh-CN"/>
        </w:rPr>
        <w:t>17</w:t>
      </w:r>
      <w:r>
        <w:rPr>
          <w:rFonts w:hint="eastAsia" w:ascii="仿宋_GB2312" w:eastAsia="仿宋_GB2312"/>
          <w:sz w:val="28"/>
          <w:szCs w:val="28"/>
        </w:rPr>
        <w:t>日18时00分</w:t>
      </w:r>
      <w:r>
        <w:rPr>
          <w:rFonts w:hint="eastAsia" w:ascii="仿宋_GB2312" w:eastAsia="仿宋_GB2312"/>
          <w:sz w:val="28"/>
          <w:szCs w:val="28"/>
          <w:lang w:eastAsia="zh-CN"/>
        </w:rPr>
        <w:t>。</w:t>
      </w:r>
    </w:p>
    <w:p>
      <w:pPr>
        <w:pStyle w:val="12"/>
        <w:keepNext w:val="0"/>
        <w:keepLines w:val="0"/>
        <w:pageBreakBefore w:val="0"/>
        <w:widowControl w:val="0"/>
        <w:kinsoku/>
        <w:wordWrap/>
        <w:overflowPunct/>
        <w:topLinePunct w:val="0"/>
        <w:autoSpaceDE/>
        <w:autoSpaceDN/>
        <w:bidi w:val="0"/>
        <w:adjustRightInd/>
        <w:snapToGrid/>
        <w:spacing w:line="560" w:lineRule="exact"/>
        <w:ind w:leftChars="0" w:right="0" w:rightChars="0" w:firstLine="560"/>
        <w:jc w:val="left"/>
        <w:textAlignment w:val="auto"/>
        <w:outlineLvl w:val="9"/>
        <w:rPr>
          <w:rFonts w:hint="default" w:ascii="仿宋_GB2312" w:eastAsia="仿宋_GB2312"/>
          <w:sz w:val="28"/>
          <w:szCs w:val="28"/>
          <w:lang w:val="en-US" w:eastAsia="zh-CN"/>
        </w:rPr>
      </w:pPr>
      <w:r>
        <w:rPr>
          <w:rFonts w:hint="eastAsia" w:ascii="仿宋_GB2312" w:eastAsia="仿宋_GB2312"/>
          <w:sz w:val="28"/>
          <w:szCs w:val="28"/>
          <w:lang w:val="en-US" w:eastAsia="zh-CN"/>
        </w:rPr>
        <w:t>7.开标时间。2022年8月19日下午15时00分。</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562" w:firstLineChars="200"/>
        <w:textAlignment w:val="auto"/>
        <w:outlineLvl w:val="9"/>
        <w:rPr>
          <w:rFonts w:hint="default" w:ascii="仿宋_GB2312" w:eastAsia="仿宋_GB2312"/>
          <w:sz w:val="28"/>
          <w:szCs w:val="28"/>
          <w:lang w:val="en-US" w:eastAsia="zh-CN"/>
        </w:rPr>
      </w:pPr>
      <w:r>
        <w:rPr>
          <w:rFonts w:hint="eastAsia" w:ascii="仿宋_GB2312" w:eastAsia="仿宋_GB2312"/>
          <w:b/>
          <w:bCs/>
          <w:sz w:val="28"/>
          <w:szCs w:val="28"/>
          <w:lang w:eastAsia="zh-CN"/>
        </w:rPr>
        <w:t>五、</w:t>
      </w:r>
      <w:r>
        <w:rPr>
          <w:rFonts w:hint="eastAsia" w:ascii="仿宋_GB2312" w:eastAsia="仿宋_GB2312"/>
          <w:b/>
          <w:bCs/>
          <w:sz w:val="28"/>
          <w:szCs w:val="28"/>
        </w:rPr>
        <w:t>联系人</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李珊</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w:t>
      </w:r>
      <w:r>
        <w:rPr>
          <w:rFonts w:hint="eastAsia" w:ascii="仿宋_GB2312" w:eastAsia="仿宋_GB2312"/>
          <w:sz w:val="28"/>
          <w:szCs w:val="28"/>
        </w:rPr>
        <w:t xml:space="preserve">  </w:t>
      </w:r>
      <w:r>
        <w:rPr>
          <w:rFonts w:hint="eastAsia" w:ascii="仿宋_GB2312" w:eastAsia="仿宋_GB2312"/>
          <w:b/>
          <w:bCs/>
          <w:sz w:val="28"/>
          <w:szCs w:val="28"/>
        </w:rPr>
        <w:t>联系电话</w:t>
      </w:r>
      <w:r>
        <w:rPr>
          <w:rFonts w:hint="eastAsia" w:ascii="仿宋_GB2312" w:eastAsia="仿宋_GB2312"/>
          <w:sz w:val="28"/>
          <w:szCs w:val="28"/>
          <w:lang w:val="en-US" w:eastAsia="zh-CN"/>
        </w:rPr>
        <w:t xml:space="preserve"> 15294016725</w:t>
      </w:r>
    </w:p>
    <w:p>
      <w:pPr>
        <w:pStyle w:val="12"/>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eastAsia="仿宋_GB2312"/>
          <w:sz w:val="28"/>
          <w:szCs w:val="28"/>
          <w:lang w:val="en-US" w:eastAsia="zh-CN"/>
        </w:rPr>
      </w:pPr>
      <w:r>
        <w:rPr>
          <w:rFonts w:hint="eastAsia" w:ascii="仿宋_GB2312" w:eastAsia="仿宋_GB2312"/>
          <w:sz w:val="28"/>
          <w:szCs w:val="28"/>
        </w:rPr>
        <w:t>联系邮箱</w:t>
      </w:r>
      <w:r>
        <w:rPr>
          <w:rFonts w:hint="eastAsia" w:ascii="仿宋_GB2312" w:eastAsia="仿宋_GB2312"/>
          <w:sz w:val="28"/>
          <w:szCs w:val="28"/>
          <w:lang w:val="en-US" w:eastAsia="zh-CN"/>
        </w:rPr>
        <w:t xml:space="preserve">  </w:t>
      </w:r>
      <w:r>
        <w:rPr>
          <w:rFonts w:hint="eastAsia" w:ascii="仿宋_GB2312" w:eastAsia="仿宋_GB2312"/>
          <w:sz w:val="28"/>
          <w:szCs w:val="28"/>
          <w:lang w:val="en-US" w:eastAsia="zh-CN"/>
        </w:rPr>
        <w:fldChar w:fldCharType="begin"/>
      </w:r>
      <w:r>
        <w:rPr>
          <w:rFonts w:hint="eastAsia" w:ascii="仿宋_GB2312" w:eastAsia="仿宋_GB2312"/>
          <w:sz w:val="28"/>
          <w:szCs w:val="28"/>
          <w:lang w:val="en-US" w:eastAsia="zh-CN"/>
        </w:rPr>
        <w:instrText xml:space="preserve"> HYPERLINK "mailto:136668776@qq.com" </w:instrText>
      </w:r>
      <w:r>
        <w:rPr>
          <w:rFonts w:hint="eastAsia" w:ascii="仿宋_GB2312" w:eastAsia="仿宋_GB2312"/>
          <w:sz w:val="28"/>
          <w:szCs w:val="28"/>
          <w:lang w:val="en-US" w:eastAsia="zh-CN"/>
        </w:rPr>
        <w:fldChar w:fldCharType="separate"/>
      </w:r>
      <w:r>
        <w:rPr>
          <w:rStyle w:val="10"/>
          <w:rFonts w:hint="eastAsia" w:ascii="仿宋_GB2312" w:eastAsia="仿宋_GB2312"/>
          <w:sz w:val="28"/>
          <w:szCs w:val="28"/>
          <w:lang w:val="en-US" w:eastAsia="zh-CN"/>
        </w:rPr>
        <w:t>550132514@qq.com</w:t>
      </w:r>
      <w:r>
        <w:rPr>
          <w:rFonts w:hint="eastAsia" w:ascii="仿宋_GB2312" w:eastAsia="仿宋_GB2312"/>
          <w:sz w:val="28"/>
          <w:szCs w:val="28"/>
          <w:lang w:val="en-US" w:eastAsia="zh-CN"/>
        </w:rPr>
        <w:fldChar w:fldCharType="end"/>
      </w:r>
    </w:p>
    <w:p>
      <w:pPr>
        <w:pStyle w:val="12"/>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ascii="仿宋_GB2312" w:eastAsia="仿宋_GB2312"/>
          <w:sz w:val="28"/>
          <w:szCs w:val="28"/>
        </w:rPr>
      </w:pPr>
      <w:r>
        <w:rPr>
          <w:rFonts w:hint="eastAsia" w:ascii="仿宋_GB2312" w:eastAsia="仿宋_GB2312"/>
          <w:sz w:val="28"/>
          <w:szCs w:val="28"/>
          <w:lang w:val="en-US" w:eastAsia="zh-CN"/>
        </w:rPr>
        <w:t>附表:张掖市动物卫生监督所检测试剂和耗材采购计划表</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firstLine="672" w:firstLineChars="240"/>
        <w:textAlignment w:val="auto"/>
        <w:outlineLvl w:val="9"/>
        <w:rPr>
          <w:rFonts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jc w:val="center"/>
        <w:textAlignment w:val="auto"/>
        <w:outlineLvl w:val="9"/>
        <w:rPr>
          <w:rFonts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张掖市动物卫生监督所</w:t>
      </w: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jc w:val="center"/>
        <w:textAlignment w:val="auto"/>
        <w:outlineLvl w:val="9"/>
        <w:rPr>
          <w:rFonts w:hint="eastAsia" w:ascii="仿宋_GB2312" w:eastAsia="仿宋_GB2312"/>
          <w:sz w:val="28"/>
          <w:szCs w:val="28"/>
          <w:lang w:val="en-US" w:eastAsia="zh-CN"/>
        </w:rPr>
      </w:pPr>
      <w:r>
        <w:rPr>
          <w:rFonts w:ascii="仿宋_GB2312" w:eastAsia="仿宋_GB2312"/>
          <w:sz w:val="28"/>
          <w:szCs w:val="28"/>
        </w:rPr>
        <w:t xml:space="preserve">               </w:t>
      </w:r>
      <w:r>
        <w:rPr>
          <w:rFonts w:hint="eastAsia" w:ascii="仿宋_GB2312" w:eastAsia="仿宋_GB2312"/>
          <w:sz w:val="28"/>
          <w:szCs w:val="28"/>
        </w:rPr>
        <w:t xml:space="preserve">  </w:t>
      </w:r>
      <w:r>
        <w:rPr>
          <w:rFonts w:ascii="仿宋_GB2312" w:eastAsia="仿宋_GB2312"/>
          <w:sz w:val="28"/>
          <w:szCs w:val="28"/>
        </w:rPr>
        <w:t>20</w:t>
      </w:r>
      <w:r>
        <w:rPr>
          <w:rFonts w:hint="eastAsia" w:ascii="仿宋_GB2312" w:eastAsia="仿宋_GB2312"/>
          <w:sz w:val="28"/>
          <w:szCs w:val="28"/>
        </w:rPr>
        <w:t>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8</w:t>
      </w:r>
      <w:r>
        <w:rPr>
          <w:rFonts w:hint="eastAsia" w:ascii="仿宋_GB2312" w:eastAsia="仿宋_GB2312"/>
          <w:sz w:val="28"/>
          <w:szCs w:val="28"/>
        </w:rPr>
        <w:t>月</w:t>
      </w:r>
      <w:r>
        <w:rPr>
          <w:rFonts w:hint="eastAsia" w:ascii="仿宋_GB2312" w:eastAsia="仿宋_GB2312"/>
          <w:sz w:val="28"/>
          <w:szCs w:val="28"/>
          <w:lang w:val="en-US" w:eastAsia="zh-CN"/>
        </w:rPr>
        <w:t>4日</w:t>
      </w: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jc w:val="center"/>
        <w:textAlignment w:val="auto"/>
        <w:outlineLvl w:val="9"/>
        <w:rPr>
          <w:rFonts w:hint="eastAsia" w:ascii="仿宋_GB2312"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jc w:val="center"/>
        <w:textAlignment w:val="auto"/>
        <w:outlineLvl w:val="9"/>
        <w:rPr>
          <w:rFonts w:hint="eastAsia" w:ascii="仿宋_GB2312"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jc w:val="center"/>
        <w:textAlignment w:val="auto"/>
        <w:outlineLvl w:val="9"/>
        <w:rPr>
          <w:rFonts w:hint="eastAsia" w:ascii="仿宋_GB2312"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jc w:val="center"/>
        <w:textAlignment w:val="auto"/>
        <w:outlineLvl w:val="9"/>
        <w:rPr>
          <w:rFonts w:hint="eastAsia" w:ascii="仿宋_GB2312"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jc w:val="center"/>
        <w:textAlignment w:val="auto"/>
        <w:outlineLvl w:val="9"/>
        <w:rPr>
          <w:rFonts w:hint="eastAsia" w:ascii="仿宋_GB2312"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jc w:val="center"/>
        <w:textAlignment w:val="auto"/>
        <w:outlineLvl w:val="9"/>
        <w:rPr>
          <w:rFonts w:hint="eastAsia" w:ascii="仿宋_GB2312"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jc w:val="center"/>
        <w:textAlignment w:val="auto"/>
        <w:outlineLvl w:val="9"/>
        <w:rPr>
          <w:rFonts w:hint="eastAsia" w:ascii="仿宋_GB2312"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jc w:val="center"/>
        <w:textAlignment w:val="auto"/>
        <w:outlineLvl w:val="9"/>
        <w:rPr>
          <w:rFonts w:hint="eastAsia" w:ascii="仿宋_GB2312"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jc w:val="center"/>
        <w:textAlignment w:val="auto"/>
        <w:outlineLvl w:val="9"/>
        <w:rPr>
          <w:rFonts w:hint="eastAsia" w:ascii="仿宋_GB2312"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jc w:val="center"/>
        <w:textAlignment w:val="auto"/>
        <w:outlineLvl w:val="9"/>
        <w:rPr>
          <w:rFonts w:hint="eastAsia" w:ascii="仿宋_GB2312"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jc w:val="center"/>
        <w:textAlignment w:val="auto"/>
        <w:outlineLvl w:val="9"/>
        <w:rPr>
          <w:rFonts w:hint="eastAsia" w:ascii="仿宋_GB2312"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jc w:val="center"/>
        <w:textAlignment w:val="auto"/>
        <w:outlineLvl w:val="9"/>
        <w:rPr>
          <w:rFonts w:hint="eastAsia" w:ascii="仿宋_GB2312"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jc w:val="center"/>
        <w:textAlignment w:val="auto"/>
        <w:outlineLvl w:val="9"/>
        <w:rPr>
          <w:rFonts w:hint="eastAsia" w:ascii="仿宋_GB2312" w:eastAsia="仿宋_GB2312"/>
          <w:sz w:val="28"/>
          <w:szCs w:val="28"/>
          <w:lang w:val="en-US" w:eastAsia="zh-CN"/>
        </w:rPr>
      </w:pPr>
    </w:p>
    <w:p>
      <w:pPr>
        <w:pStyle w:val="12"/>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left"/>
        <w:textAlignment w:val="auto"/>
        <w:outlineLvl w:val="9"/>
        <w:rPr>
          <w:rFonts w:hint="eastAsia" w:ascii="CESI黑体-GB2312" w:hAnsi="CESI黑体-GB2312" w:eastAsia="CESI黑体-GB2312" w:cs="CESI黑体-GB2312"/>
          <w:lang w:eastAsia="zh-CN"/>
        </w:rPr>
      </w:pPr>
      <w:bookmarkStart w:id="1" w:name="_Toc523143573"/>
    </w:p>
    <w:p>
      <w:pPr>
        <w:pStyle w:val="12"/>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left"/>
        <w:textAlignment w:val="auto"/>
        <w:outlineLvl w:val="9"/>
        <w:rPr>
          <w:rFonts w:hint="eastAsia" w:ascii="CESI黑体-GB2312" w:hAnsi="CESI黑体-GB2312" w:eastAsia="CESI黑体-GB2312" w:cs="CESI黑体-GB2312"/>
          <w:lang w:eastAsia="zh-CN"/>
        </w:rPr>
      </w:pPr>
      <w:r>
        <w:rPr>
          <w:rFonts w:hint="eastAsia" w:ascii="CESI黑体-GB2312" w:hAnsi="CESI黑体-GB2312" w:eastAsia="CESI黑体-GB2312" w:cs="CESI黑体-GB2312"/>
          <w:lang w:eastAsia="zh-CN"/>
        </w:rPr>
        <w:t>附表</w:t>
      </w:r>
    </w:p>
    <w:p>
      <w:pPr>
        <w:pStyle w:val="12"/>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仿宋_GB2312" w:eastAsia="仿宋_GB2312"/>
          <w:sz w:val="28"/>
          <w:szCs w:val="28"/>
          <w:lang w:val="en-US" w:eastAsia="zh-CN"/>
        </w:rPr>
      </w:pPr>
      <w:r>
        <w:rPr>
          <w:rFonts w:hint="eastAsia" w:ascii="仿宋_GB2312" w:eastAsia="仿宋_GB2312"/>
          <w:sz w:val="28"/>
          <w:szCs w:val="28"/>
          <w:lang w:val="en-US" w:eastAsia="zh-CN"/>
        </w:rPr>
        <w:t>张掖市动物卫生监督所检测试剂和耗材采购计划表</w:t>
      </w:r>
    </w:p>
    <w:tbl>
      <w:tblPr>
        <w:tblStyle w:val="8"/>
        <w:tblW w:w="94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1480"/>
        <w:gridCol w:w="804"/>
        <w:gridCol w:w="549"/>
        <w:gridCol w:w="657"/>
        <w:gridCol w:w="5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737" w:type="dxa"/>
            <w:noWrap w:val="0"/>
            <w:vAlign w:val="top"/>
          </w:tcPr>
          <w:p>
            <w:pPr>
              <w:spacing w:before="146" w:line="230" w:lineRule="auto"/>
              <w:jc w:val="center"/>
              <w:rPr>
                <w:rFonts w:hint="eastAsia" w:ascii="CESI仿宋-GB2312" w:hAnsi="CESI仿宋-GB2312" w:eastAsia="CESI仿宋-GB2312" w:cs="CESI仿宋-GB2312"/>
                <w:sz w:val="15"/>
                <w:szCs w:val="15"/>
                <w:vertAlign w:val="baseline"/>
              </w:rPr>
            </w:pPr>
            <w:r>
              <w:rPr>
                <w:rFonts w:hint="eastAsia" w:ascii="CESI仿宋-GB2312" w:hAnsi="CESI仿宋-GB2312" w:eastAsia="CESI仿宋-GB2312" w:cs="CESI仿宋-GB2312"/>
                <w:spacing w:val="15"/>
                <w:sz w:val="15"/>
                <w:szCs w:val="15"/>
              </w:rPr>
              <w:t>序号</w:t>
            </w:r>
          </w:p>
        </w:tc>
        <w:tc>
          <w:tcPr>
            <w:tcW w:w="1480" w:type="dxa"/>
            <w:noWrap w:val="0"/>
            <w:vAlign w:val="top"/>
          </w:tcPr>
          <w:p>
            <w:pPr>
              <w:spacing w:before="146" w:line="230" w:lineRule="auto"/>
              <w:jc w:val="center"/>
              <w:rPr>
                <w:rFonts w:hint="eastAsia" w:ascii="CESI仿宋-GB2312" w:hAnsi="CESI仿宋-GB2312" w:eastAsia="CESI仿宋-GB2312" w:cs="CESI仿宋-GB2312"/>
                <w:spacing w:val="7"/>
                <w:sz w:val="15"/>
                <w:szCs w:val="15"/>
              </w:rPr>
            </w:pPr>
            <w:r>
              <w:rPr>
                <w:rFonts w:hint="eastAsia" w:ascii="CESI仿宋-GB2312" w:hAnsi="CESI仿宋-GB2312" w:eastAsia="CESI仿宋-GB2312" w:cs="CESI仿宋-GB2312"/>
                <w:spacing w:val="15"/>
                <w:sz w:val="15"/>
                <w:szCs w:val="15"/>
              </w:rPr>
              <w:t>名称</w:t>
            </w:r>
          </w:p>
        </w:tc>
        <w:tc>
          <w:tcPr>
            <w:tcW w:w="804" w:type="dxa"/>
            <w:noWrap w:val="0"/>
            <w:vAlign w:val="top"/>
          </w:tcPr>
          <w:p>
            <w:pPr>
              <w:spacing w:before="146" w:line="230" w:lineRule="auto"/>
              <w:jc w:val="center"/>
              <w:rPr>
                <w:rFonts w:hint="eastAsia" w:ascii="CESI仿宋-GB2312" w:hAnsi="CESI仿宋-GB2312" w:eastAsia="CESI仿宋-GB2312" w:cs="CESI仿宋-GB2312"/>
                <w:sz w:val="15"/>
                <w:szCs w:val="15"/>
                <w:vertAlign w:val="baseline"/>
              </w:rPr>
            </w:pPr>
            <w:r>
              <w:rPr>
                <w:rFonts w:hint="eastAsia" w:ascii="CESI仿宋-GB2312" w:hAnsi="CESI仿宋-GB2312" w:eastAsia="CESI仿宋-GB2312" w:cs="CESI仿宋-GB2312"/>
                <w:spacing w:val="15"/>
                <w:sz w:val="15"/>
                <w:szCs w:val="15"/>
              </w:rPr>
              <w:t>规格</w:t>
            </w:r>
          </w:p>
        </w:tc>
        <w:tc>
          <w:tcPr>
            <w:tcW w:w="549" w:type="dxa"/>
            <w:noWrap w:val="0"/>
            <w:vAlign w:val="top"/>
          </w:tcPr>
          <w:p>
            <w:pPr>
              <w:spacing w:before="146" w:line="230" w:lineRule="auto"/>
              <w:jc w:val="center"/>
              <w:rPr>
                <w:rFonts w:hint="eastAsia" w:ascii="CESI仿宋-GB2312" w:hAnsi="CESI仿宋-GB2312" w:eastAsia="CESI仿宋-GB2312" w:cs="CESI仿宋-GB2312"/>
                <w:sz w:val="15"/>
                <w:szCs w:val="15"/>
                <w:vertAlign w:val="baseline"/>
              </w:rPr>
            </w:pPr>
            <w:r>
              <w:rPr>
                <w:rFonts w:hint="eastAsia" w:ascii="CESI仿宋-GB2312" w:hAnsi="CESI仿宋-GB2312" w:eastAsia="CESI仿宋-GB2312" w:cs="CESI仿宋-GB2312"/>
                <w:spacing w:val="4"/>
                <w:sz w:val="15"/>
                <w:szCs w:val="15"/>
              </w:rPr>
              <w:t>单位</w:t>
            </w:r>
          </w:p>
        </w:tc>
        <w:tc>
          <w:tcPr>
            <w:tcW w:w="657" w:type="dxa"/>
            <w:noWrap w:val="0"/>
            <w:vAlign w:val="top"/>
          </w:tcPr>
          <w:p>
            <w:pPr>
              <w:spacing w:before="146" w:line="230" w:lineRule="auto"/>
              <w:jc w:val="center"/>
              <w:rPr>
                <w:rFonts w:hint="eastAsia" w:ascii="CESI仿宋-GB2312" w:hAnsi="CESI仿宋-GB2312" w:eastAsia="CESI仿宋-GB2312" w:cs="CESI仿宋-GB2312"/>
                <w:sz w:val="15"/>
                <w:szCs w:val="15"/>
                <w:vertAlign w:val="baseline"/>
              </w:rPr>
            </w:pPr>
            <w:r>
              <w:rPr>
                <w:rFonts w:hint="eastAsia" w:ascii="CESI仿宋-GB2312" w:hAnsi="CESI仿宋-GB2312" w:eastAsia="CESI仿宋-GB2312" w:cs="CESI仿宋-GB2312"/>
                <w:spacing w:val="15"/>
                <w:sz w:val="15"/>
                <w:szCs w:val="15"/>
              </w:rPr>
              <w:t>数量</w:t>
            </w:r>
          </w:p>
        </w:tc>
        <w:tc>
          <w:tcPr>
            <w:tcW w:w="5187" w:type="dxa"/>
            <w:noWrap w:val="0"/>
            <w:vAlign w:val="top"/>
          </w:tcPr>
          <w:p>
            <w:pPr>
              <w:spacing w:before="146" w:line="230" w:lineRule="auto"/>
              <w:jc w:val="center"/>
              <w:rPr>
                <w:rFonts w:hint="eastAsia" w:ascii="CESI仿宋-GB2312" w:hAnsi="CESI仿宋-GB2312" w:eastAsia="CESI仿宋-GB2312" w:cs="CESI仿宋-GB2312"/>
                <w:sz w:val="15"/>
                <w:szCs w:val="15"/>
                <w:vertAlign w:val="baseline"/>
              </w:rPr>
            </w:pPr>
            <w:r>
              <w:rPr>
                <w:rFonts w:hint="eastAsia" w:ascii="CESI仿宋-GB2312" w:hAnsi="CESI仿宋-GB2312" w:eastAsia="CESI仿宋-GB2312" w:cs="CESI仿宋-GB2312"/>
                <w:spacing w:val="15"/>
                <w:sz w:val="15"/>
                <w:szCs w:val="15"/>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6" w:hRule="atLeast"/>
        </w:trPr>
        <w:tc>
          <w:tcPr>
            <w:tcW w:w="737" w:type="dxa"/>
            <w:noWrap w:val="0"/>
            <w:vAlign w:val="center"/>
          </w:tcPr>
          <w:p>
            <w:pPr>
              <w:keepNext w:val="0"/>
              <w:keepLines w:val="0"/>
              <w:pageBreakBefore w:val="0"/>
              <w:widowControl w:val="0"/>
              <w:kinsoku/>
              <w:wordWrap/>
              <w:overflowPunct/>
              <w:topLinePunct w:val="0"/>
              <w:autoSpaceDE/>
              <w:autoSpaceDN/>
              <w:bidi w:val="0"/>
              <w:adjustRightInd/>
              <w:snapToGrid/>
              <w:spacing w:before="75" w:line="240" w:lineRule="exact"/>
              <w:jc w:val="center"/>
              <w:textAlignment w:val="auto"/>
              <w:rPr>
                <w:rFonts w:hint="eastAsia" w:ascii="CESI仿宋-GB2312" w:hAnsi="CESI仿宋-GB2312" w:eastAsia="CESI仿宋-GB2312" w:cs="CESI仿宋-GB2312"/>
                <w:sz w:val="15"/>
                <w:szCs w:val="15"/>
                <w:vertAlign w:val="baseline"/>
              </w:rPr>
            </w:pPr>
          </w:p>
          <w:p>
            <w:pPr>
              <w:keepNext w:val="0"/>
              <w:keepLines w:val="0"/>
              <w:pageBreakBefore w:val="0"/>
              <w:widowControl w:val="0"/>
              <w:kinsoku/>
              <w:wordWrap/>
              <w:overflowPunct/>
              <w:topLinePunct w:val="0"/>
              <w:autoSpaceDE/>
              <w:autoSpaceDN/>
              <w:bidi w:val="0"/>
              <w:adjustRightInd/>
              <w:snapToGrid/>
              <w:spacing w:before="75" w:line="240" w:lineRule="exact"/>
              <w:jc w:val="center"/>
              <w:textAlignment w:val="auto"/>
              <w:rPr>
                <w:rFonts w:hint="eastAsia" w:ascii="CESI仿宋-GB2312" w:hAnsi="CESI仿宋-GB2312" w:eastAsia="CESI仿宋-GB2312" w:cs="CESI仿宋-GB2312"/>
                <w:sz w:val="15"/>
                <w:szCs w:val="15"/>
                <w:vertAlign w:val="baseline"/>
              </w:rPr>
            </w:pPr>
          </w:p>
          <w:p>
            <w:pPr>
              <w:keepNext w:val="0"/>
              <w:keepLines w:val="0"/>
              <w:pageBreakBefore w:val="0"/>
              <w:widowControl w:val="0"/>
              <w:kinsoku/>
              <w:wordWrap/>
              <w:overflowPunct/>
              <w:topLinePunct w:val="0"/>
              <w:autoSpaceDE/>
              <w:autoSpaceDN/>
              <w:bidi w:val="0"/>
              <w:adjustRightInd/>
              <w:snapToGrid/>
              <w:spacing w:before="75" w:line="240" w:lineRule="exact"/>
              <w:jc w:val="center"/>
              <w:textAlignment w:val="auto"/>
              <w:rPr>
                <w:rFonts w:hint="eastAsia" w:ascii="CESI仿宋-GB2312" w:hAnsi="CESI仿宋-GB2312" w:eastAsia="CESI仿宋-GB2312" w:cs="CESI仿宋-GB2312"/>
                <w:sz w:val="15"/>
                <w:szCs w:val="15"/>
                <w:vertAlign w:val="baseline"/>
              </w:rPr>
            </w:pPr>
          </w:p>
          <w:p>
            <w:pPr>
              <w:keepNext w:val="0"/>
              <w:keepLines w:val="0"/>
              <w:pageBreakBefore w:val="0"/>
              <w:widowControl w:val="0"/>
              <w:kinsoku/>
              <w:wordWrap/>
              <w:overflowPunct/>
              <w:topLinePunct w:val="0"/>
              <w:autoSpaceDE/>
              <w:autoSpaceDN/>
              <w:bidi w:val="0"/>
              <w:adjustRightInd/>
              <w:snapToGrid/>
              <w:spacing w:before="75" w:line="240" w:lineRule="exact"/>
              <w:jc w:val="center"/>
              <w:textAlignment w:val="auto"/>
              <w:rPr>
                <w:rFonts w:hint="eastAsia"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1</w:t>
            </w:r>
          </w:p>
        </w:tc>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lang w:val="en-US" w:eastAsia="zh-CN"/>
              </w:rPr>
              <w:t>猪瘟抗体检测ELISA试剂盒</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lang w:val="en-US" w:eastAsia="zh-CN"/>
              </w:rPr>
              <w:t>2×96T/盒</w:t>
            </w:r>
          </w:p>
        </w:tc>
        <w:tc>
          <w:tcPr>
            <w:tcW w:w="549"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lang w:val="en-US" w:eastAsia="zh-CN"/>
              </w:rPr>
              <w:t>盒</w:t>
            </w:r>
          </w:p>
        </w:tc>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3</w:t>
            </w:r>
          </w:p>
        </w:tc>
        <w:tc>
          <w:tcPr>
            <w:tcW w:w="51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lang w:val="en-US" w:eastAsia="zh-CN"/>
              </w:rPr>
              <w:t>1.用途：检测猪血清或血浆中的猪瘟病毒抗体。</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2.间接ELISA方法。</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3.试剂盒规格：2*96孔板/盒。</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▲4.试剂盒主要组成：CSFV间接包被板、CSFV间接酶结合物、CSFV间接样品稀释液、CSFV间接阴性对照、CSFV间接阳性对照、显色液A、显色液B、终止液、固体洗液、自封袋、封板膜、说明书。</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5储藏与有效期：2～8℃保存，有效期12个月。</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★6.生产厂家具有经农业农村部核发的《兽药GMP证书》和《兽药生产许可证》（包括：免疫学诊断制品（B类））。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2</w:t>
            </w:r>
          </w:p>
        </w:tc>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改进型口蹄疫病毒O型液相阻断ELISA抗体检测试剂盒</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5×96T/盒</w:t>
            </w:r>
          </w:p>
        </w:tc>
        <w:tc>
          <w:tcPr>
            <w:tcW w:w="549"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盒</w:t>
            </w:r>
          </w:p>
        </w:tc>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10</w:t>
            </w:r>
          </w:p>
        </w:tc>
        <w:tc>
          <w:tcPr>
            <w:tcW w:w="518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1.用于检测口蹄疫O型病毒抗体，能检测100-200份血清样品/盒，病毒抗原-20℃保存，其它组分2-8℃保存，有效期6个月，仅供兽医诊断使用                                                                                   ★2.生产企业通过ISO9001：2008质量管理体系认证，生产企业有《兽药GMP合格证》和《兽药生产许可证》。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3</w:t>
            </w:r>
          </w:p>
        </w:tc>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改进型口蹄疫病毒A型液相阻断ELISA抗体检测试剂盒</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5块板/盒</w:t>
            </w:r>
          </w:p>
        </w:tc>
        <w:tc>
          <w:tcPr>
            <w:tcW w:w="549"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盒</w:t>
            </w:r>
          </w:p>
        </w:tc>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8</w:t>
            </w:r>
          </w:p>
        </w:tc>
        <w:tc>
          <w:tcPr>
            <w:tcW w:w="518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1.用于检测口蹄疫A型病毒抗体，能检测100-200份血清样品/盒，病毒抗原-20℃保存，其它组分2-8℃保存，有效期6个月，仅供兽医诊断使用                                                                                   ★2.生产企业通过ISO9001：2008质量管理体系认证，生产企业有《兽药GMP合格证》和《兽药生产许可证》。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lang w:val="en-US" w:eastAsia="zh-CN"/>
              </w:rPr>
            </w:pPr>
          </w:p>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lang w:val="en-US" w:eastAsia="zh-CN"/>
              </w:rPr>
            </w:pPr>
          </w:p>
          <w:p>
            <w:pPr>
              <w:numPr>
                <w:ilvl w:val="0"/>
                <w:numId w:val="0"/>
              </w:numPr>
              <w:spacing w:line="660" w:lineRule="exact"/>
              <w:jc w:val="center"/>
              <w:outlineLvl w:val="0"/>
              <w:rPr>
                <w:rFonts w:hint="default"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4</w:t>
            </w:r>
          </w:p>
        </w:tc>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口蹄疫病毒非结构蛋白3ABC抗体检测ELISA试剂盒</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2×96孔板/盒</w:t>
            </w:r>
          </w:p>
        </w:tc>
        <w:tc>
          <w:tcPr>
            <w:tcW w:w="549"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盒</w:t>
            </w:r>
          </w:p>
        </w:tc>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3</w:t>
            </w:r>
          </w:p>
        </w:tc>
        <w:tc>
          <w:tcPr>
            <w:tcW w:w="518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1.用途：检测猪、牛、羊等偶蹄动物血清中的口蹄疫非结构蛋白3ABC抗体。</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▲2.间接ELISA方法。</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3.试剂盒规格：2*96孔板/盒。</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▲4.试剂盒主要组成：3ABC包被板、3ABC酶结合物、3ABC样品稀释液、3ABC阴性对照、3ABC阳性对照、显色液A、显色液B、终止液、浓缩洗涤液（25×）、自封袋、封板膜、说明书。</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▲5.结果判定：如果样品S/P值＜0.60，样品应判定为抗体阴性。 如果样品S/P值≥0.60，样品应判定为抗体阳性。</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6.储藏与有效期：2～8℃保存，有效期12个月。</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★7.所投产品取得过国家兽药生产批准文号。</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 xml:space="preserve">★8.生产厂家具有经农业农村部核发的《兽药GMP证书》和《兽药生产许可证》（包括：免疫学诊断制品（B类））。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rPr>
            </w:pPr>
          </w:p>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rPr>
            </w:pPr>
          </w:p>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5</w:t>
            </w:r>
          </w:p>
        </w:tc>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小反刍兽疫抗体诊断试剂盒</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5块板/盒</w:t>
            </w:r>
          </w:p>
        </w:tc>
        <w:tc>
          <w:tcPr>
            <w:tcW w:w="549"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盒</w:t>
            </w:r>
          </w:p>
        </w:tc>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2</w:t>
            </w:r>
          </w:p>
        </w:tc>
        <w:tc>
          <w:tcPr>
            <w:tcW w:w="518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1.用途：检测羊血清中小反刍兽疫病毒(PPRV)抗体水平。</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2.间接ELISA方法。</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3.试剂盒规格：5*96孔板/盒。</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4.试剂盒主要组成：PPRV间接包被板、PPRV间接酶结合物、PPRV间接样品稀释液、PPRV间接阴性对照、PPRV间接阳性对照、显色液A、显色液B、终止液、固体洗液、自封袋、封板膜、说明书。</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5.结果判定：如果S/P值＜0.3，样品应判定为抗体阴性。如果S/P值≥0.3，样品应判定为抗体阳性。</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6.储藏与有效期：2～8℃保存，有效期12个月。</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★7.生产厂家具有经农业农村部核发的《兽药GMP证书》和《兽药生产许可证》（包括：免疫学诊断制品（B类））。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6</w:t>
            </w:r>
          </w:p>
        </w:tc>
        <w:tc>
          <w:tcPr>
            <w:tcW w:w="1480" w:type="dxa"/>
            <w:noWrap w:val="0"/>
            <w:vAlign w:val="top"/>
          </w:tcPr>
          <w:p>
            <w:pPr>
              <w:keepNext w:val="0"/>
              <w:keepLines w:val="0"/>
              <w:pageBreakBefore w:val="0"/>
              <w:widowControl w:val="0"/>
              <w:kinsoku/>
              <w:wordWrap/>
              <w:overflowPunct/>
              <w:topLinePunct w:val="0"/>
              <w:autoSpaceDE/>
              <w:autoSpaceDN/>
              <w:bidi w:val="0"/>
              <w:adjustRightInd/>
              <w:snapToGrid/>
              <w:spacing w:before="1" w:line="240" w:lineRule="exact"/>
              <w:textAlignment w:val="auto"/>
              <w:rPr>
                <w:rFonts w:hint="eastAsia" w:ascii="CESI仿宋-GB2312" w:hAnsi="CESI仿宋-GB2312" w:eastAsia="CESI仿宋-GB2312" w:cs="CESI仿宋-GB2312"/>
                <w:spacing w:val="4"/>
                <w:sz w:val="15"/>
                <w:szCs w:val="15"/>
              </w:rPr>
            </w:pPr>
          </w:p>
          <w:p>
            <w:pPr>
              <w:keepNext w:val="0"/>
              <w:keepLines w:val="0"/>
              <w:pageBreakBefore w:val="0"/>
              <w:widowControl w:val="0"/>
              <w:kinsoku/>
              <w:wordWrap/>
              <w:overflowPunct/>
              <w:topLinePunct w:val="0"/>
              <w:autoSpaceDE/>
              <w:autoSpaceDN/>
              <w:bidi w:val="0"/>
              <w:adjustRightInd/>
              <w:snapToGrid/>
              <w:spacing w:before="1" w:line="240" w:lineRule="exact"/>
              <w:ind w:left="18"/>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禽流感 H5-1</w:t>
            </w:r>
            <w:r>
              <w:rPr>
                <w:rFonts w:hint="eastAsia" w:ascii="CESI仿宋-GB2312" w:hAnsi="CESI仿宋-GB2312" w:eastAsia="CESI仿宋-GB2312" w:cs="CESI仿宋-GB2312"/>
                <w:spacing w:val="4"/>
                <w:sz w:val="15"/>
                <w:szCs w:val="15"/>
                <w:lang w:val="en-US" w:eastAsia="zh-CN"/>
              </w:rPr>
              <w:t>3</w:t>
            </w:r>
            <w:r>
              <w:rPr>
                <w:rFonts w:hint="eastAsia" w:ascii="CESI仿宋-GB2312" w:hAnsi="CESI仿宋-GB2312" w:eastAsia="CESI仿宋-GB2312" w:cs="CESI仿宋-GB2312"/>
                <w:spacing w:val="4"/>
                <w:sz w:val="15"/>
                <w:szCs w:val="15"/>
              </w:rPr>
              <w:t xml:space="preserve"> 血凝抗原</w:t>
            </w:r>
          </w:p>
        </w:tc>
        <w:tc>
          <w:tcPr>
            <w:tcW w:w="804" w:type="dxa"/>
            <w:noWrap w:val="0"/>
            <w:vAlign w:val="top"/>
          </w:tcPr>
          <w:p>
            <w:pPr>
              <w:keepNext w:val="0"/>
              <w:keepLines w:val="0"/>
              <w:pageBreakBefore w:val="0"/>
              <w:widowControl w:val="0"/>
              <w:kinsoku/>
              <w:wordWrap/>
              <w:overflowPunct/>
              <w:topLinePunct w:val="0"/>
              <w:autoSpaceDE/>
              <w:autoSpaceDN/>
              <w:bidi w:val="0"/>
              <w:adjustRightInd/>
              <w:snapToGrid/>
              <w:spacing w:before="1" w:line="240" w:lineRule="exact"/>
              <w:ind w:left="18"/>
              <w:textAlignment w:val="auto"/>
              <w:rPr>
                <w:rFonts w:hint="eastAsia" w:ascii="CESI仿宋-GB2312" w:hAnsi="CESI仿宋-GB2312" w:eastAsia="CESI仿宋-GB2312" w:cs="CESI仿宋-GB2312"/>
                <w:spacing w:val="4"/>
                <w:sz w:val="15"/>
                <w:szCs w:val="15"/>
              </w:rPr>
            </w:pPr>
          </w:p>
          <w:p>
            <w:pPr>
              <w:keepNext w:val="0"/>
              <w:keepLines w:val="0"/>
              <w:pageBreakBefore w:val="0"/>
              <w:widowControl w:val="0"/>
              <w:kinsoku/>
              <w:wordWrap/>
              <w:overflowPunct/>
              <w:topLinePunct w:val="0"/>
              <w:autoSpaceDE/>
              <w:autoSpaceDN/>
              <w:bidi w:val="0"/>
              <w:adjustRightInd/>
              <w:snapToGrid/>
              <w:spacing w:before="1" w:line="240" w:lineRule="exact"/>
              <w:textAlignment w:val="auto"/>
              <w:rPr>
                <w:rFonts w:hint="eastAsia" w:ascii="CESI仿宋-GB2312" w:hAnsi="CESI仿宋-GB2312" w:eastAsia="CESI仿宋-GB2312" w:cs="CESI仿宋-GB2312"/>
                <w:spacing w:val="4"/>
                <w:sz w:val="15"/>
                <w:szCs w:val="15"/>
              </w:rPr>
            </w:pPr>
          </w:p>
          <w:p>
            <w:pPr>
              <w:keepNext w:val="0"/>
              <w:keepLines w:val="0"/>
              <w:pageBreakBefore w:val="0"/>
              <w:widowControl w:val="0"/>
              <w:kinsoku/>
              <w:wordWrap/>
              <w:overflowPunct/>
              <w:topLinePunct w:val="0"/>
              <w:autoSpaceDE/>
              <w:autoSpaceDN/>
              <w:bidi w:val="0"/>
              <w:adjustRightInd/>
              <w:snapToGrid/>
              <w:spacing w:before="1" w:line="240" w:lineRule="exact"/>
              <w:ind w:left="18"/>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2 毫升/瓶</w:t>
            </w:r>
          </w:p>
        </w:tc>
        <w:tc>
          <w:tcPr>
            <w:tcW w:w="549" w:type="dxa"/>
            <w:noWrap w:val="0"/>
            <w:vAlign w:val="top"/>
          </w:tcPr>
          <w:p>
            <w:pPr>
              <w:keepNext w:val="0"/>
              <w:keepLines w:val="0"/>
              <w:pageBreakBefore w:val="0"/>
              <w:widowControl w:val="0"/>
              <w:kinsoku/>
              <w:wordWrap/>
              <w:overflowPunct/>
              <w:topLinePunct w:val="0"/>
              <w:autoSpaceDE/>
              <w:autoSpaceDN/>
              <w:bidi w:val="0"/>
              <w:adjustRightInd/>
              <w:snapToGrid/>
              <w:spacing w:before="1" w:line="240" w:lineRule="exact"/>
              <w:ind w:left="18"/>
              <w:textAlignment w:val="auto"/>
              <w:rPr>
                <w:rFonts w:hint="eastAsia" w:ascii="CESI仿宋-GB2312" w:hAnsi="CESI仿宋-GB2312" w:eastAsia="CESI仿宋-GB2312" w:cs="CESI仿宋-GB2312"/>
                <w:spacing w:val="4"/>
                <w:sz w:val="15"/>
                <w:szCs w:val="15"/>
              </w:rPr>
            </w:pPr>
          </w:p>
          <w:p>
            <w:pPr>
              <w:keepNext w:val="0"/>
              <w:keepLines w:val="0"/>
              <w:pageBreakBefore w:val="0"/>
              <w:widowControl w:val="0"/>
              <w:kinsoku/>
              <w:wordWrap/>
              <w:overflowPunct/>
              <w:topLinePunct w:val="0"/>
              <w:autoSpaceDE/>
              <w:autoSpaceDN/>
              <w:bidi w:val="0"/>
              <w:adjustRightInd/>
              <w:snapToGrid/>
              <w:spacing w:before="1" w:line="240" w:lineRule="exact"/>
              <w:textAlignment w:val="auto"/>
              <w:rPr>
                <w:rFonts w:hint="eastAsia" w:ascii="CESI仿宋-GB2312" w:hAnsi="CESI仿宋-GB2312" w:eastAsia="CESI仿宋-GB2312" w:cs="CESI仿宋-GB2312"/>
                <w:spacing w:val="4"/>
                <w:sz w:val="15"/>
                <w:szCs w:val="15"/>
              </w:rPr>
            </w:pPr>
          </w:p>
          <w:p>
            <w:pPr>
              <w:keepNext w:val="0"/>
              <w:keepLines w:val="0"/>
              <w:pageBreakBefore w:val="0"/>
              <w:widowControl w:val="0"/>
              <w:kinsoku/>
              <w:wordWrap/>
              <w:overflowPunct/>
              <w:topLinePunct w:val="0"/>
              <w:autoSpaceDE/>
              <w:autoSpaceDN/>
              <w:bidi w:val="0"/>
              <w:adjustRightInd/>
              <w:snapToGrid/>
              <w:spacing w:before="1" w:line="240" w:lineRule="exact"/>
              <w:ind w:left="18"/>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瓶</w:t>
            </w:r>
          </w:p>
        </w:tc>
        <w:tc>
          <w:tcPr>
            <w:tcW w:w="657" w:type="dxa"/>
            <w:noWrap w:val="0"/>
            <w:vAlign w:val="top"/>
          </w:tcPr>
          <w:p>
            <w:pPr>
              <w:keepNext w:val="0"/>
              <w:keepLines w:val="0"/>
              <w:pageBreakBefore w:val="0"/>
              <w:widowControl w:val="0"/>
              <w:kinsoku/>
              <w:wordWrap/>
              <w:overflowPunct/>
              <w:topLinePunct w:val="0"/>
              <w:autoSpaceDE/>
              <w:autoSpaceDN/>
              <w:bidi w:val="0"/>
              <w:adjustRightInd/>
              <w:snapToGrid/>
              <w:spacing w:before="1" w:line="240" w:lineRule="exact"/>
              <w:ind w:left="18"/>
              <w:textAlignment w:val="auto"/>
              <w:rPr>
                <w:rFonts w:hint="eastAsia" w:ascii="CESI仿宋-GB2312" w:hAnsi="CESI仿宋-GB2312" w:eastAsia="CESI仿宋-GB2312" w:cs="CESI仿宋-GB2312"/>
                <w:spacing w:val="4"/>
                <w:sz w:val="15"/>
                <w:szCs w:val="15"/>
              </w:rPr>
            </w:pPr>
          </w:p>
          <w:p>
            <w:pPr>
              <w:keepNext w:val="0"/>
              <w:keepLines w:val="0"/>
              <w:pageBreakBefore w:val="0"/>
              <w:widowControl w:val="0"/>
              <w:kinsoku/>
              <w:wordWrap/>
              <w:overflowPunct/>
              <w:topLinePunct w:val="0"/>
              <w:autoSpaceDE/>
              <w:autoSpaceDN/>
              <w:bidi w:val="0"/>
              <w:adjustRightInd/>
              <w:snapToGrid/>
              <w:spacing w:before="1" w:line="240" w:lineRule="exact"/>
              <w:textAlignment w:val="auto"/>
              <w:rPr>
                <w:rFonts w:hint="eastAsia" w:ascii="CESI仿宋-GB2312" w:hAnsi="CESI仿宋-GB2312" w:eastAsia="CESI仿宋-GB2312" w:cs="CESI仿宋-GB2312"/>
                <w:spacing w:val="4"/>
                <w:sz w:val="15"/>
                <w:szCs w:val="15"/>
              </w:rPr>
            </w:pPr>
          </w:p>
          <w:p>
            <w:pPr>
              <w:keepNext w:val="0"/>
              <w:keepLines w:val="0"/>
              <w:pageBreakBefore w:val="0"/>
              <w:widowControl w:val="0"/>
              <w:kinsoku/>
              <w:wordWrap/>
              <w:overflowPunct/>
              <w:topLinePunct w:val="0"/>
              <w:autoSpaceDE/>
              <w:autoSpaceDN/>
              <w:bidi w:val="0"/>
              <w:adjustRightInd/>
              <w:snapToGrid/>
              <w:spacing w:before="1" w:line="240" w:lineRule="exact"/>
              <w:ind w:left="18"/>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5</w:t>
            </w:r>
          </w:p>
        </w:tc>
        <w:tc>
          <w:tcPr>
            <w:tcW w:w="5187" w:type="dxa"/>
            <w:noWrap w:val="0"/>
            <w:vAlign w:val="top"/>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【主要成分与含量】 抗原为灭活的 H5 亚型禽流感病毒，血凝效价≥7log2。</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【性状】 抗原为白色或淡黄色海绵状疏松团块；</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 xml:space="preserve">【作用与用途】 用于 HI 试验检测禽流感病毒 H5 亚型抗体。 </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 xml:space="preserve">【规格】 2ml/瓶 </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【贮藏与有效期】 -15℃以下保存，有效期为 24 个月。</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★国家参考实验室产品或其技术生产的产品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7</w:t>
            </w:r>
          </w:p>
        </w:tc>
        <w:tc>
          <w:tcPr>
            <w:tcW w:w="1480" w:type="dxa"/>
            <w:noWrap w:val="0"/>
            <w:vAlign w:val="top"/>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p>
          <w:p>
            <w:pPr>
              <w:keepNext w:val="0"/>
              <w:keepLines w:val="0"/>
              <w:pageBreakBefore w:val="0"/>
              <w:widowControl w:val="0"/>
              <w:kinsoku/>
              <w:wordWrap/>
              <w:overflowPunct/>
              <w:topLinePunct w:val="0"/>
              <w:autoSpaceDE/>
              <w:autoSpaceDN/>
              <w:bidi w:val="0"/>
              <w:adjustRightInd/>
              <w:snapToGrid/>
              <w:spacing w:before="1" w:line="240" w:lineRule="exact"/>
              <w:jc w:val="left"/>
              <w:textAlignment w:val="auto"/>
              <w:rPr>
                <w:rFonts w:hint="eastAsia" w:ascii="CESI仿宋-GB2312" w:hAnsi="CESI仿宋-GB2312" w:eastAsia="CESI仿宋-GB2312" w:cs="CESI仿宋-GB2312"/>
                <w:spacing w:val="4"/>
                <w:sz w:val="15"/>
                <w:szCs w:val="15"/>
              </w:rPr>
            </w:pP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eastAsia="zh-CN"/>
              </w:rPr>
            </w:pPr>
            <w:r>
              <w:rPr>
                <w:rFonts w:hint="eastAsia" w:ascii="CESI仿宋-GB2312" w:hAnsi="CESI仿宋-GB2312" w:eastAsia="CESI仿宋-GB2312" w:cs="CESI仿宋-GB2312"/>
                <w:spacing w:val="4"/>
                <w:sz w:val="15"/>
                <w:szCs w:val="15"/>
              </w:rPr>
              <w:t>禽流H5-1</w:t>
            </w:r>
            <w:r>
              <w:rPr>
                <w:rFonts w:hint="eastAsia" w:ascii="CESI仿宋-GB2312" w:hAnsi="CESI仿宋-GB2312" w:eastAsia="CESI仿宋-GB2312" w:cs="CESI仿宋-GB2312"/>
                <w:spacing w:val="4"/>
                <w:sz w:val="15"/>
                <w:szCs w:val="15"/>
                <w:lang w:val="en-US" w:eastAsia="zh-CN"/>
              </w:rPr>
              <w:t>3</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阳性血清</w:t>
            </w:r>
          </w:p>
        </w:tc>
        <w:tc>
          <w:tcPr>
            <w:tcW w:w="804" w:type="dxa"/>
            <w:noWrap w:val="0"/>
            <w:vAlign w:val="top"/>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p>
          <w:p>
            <w:pPr>
              <w:keepNext w:val="0"/>
              <w:keepLines w:val="0"/>
              <w:pageBreakBefore w:val="0"/>
              <w:widowControl w:val="0"/>
              <w:kinsoku/>
              <w:wordWrap/>
              <w:overflowPunct/>
              <w:topLinePunct w:val="0"/>
              <w:autoSpaceDE/>
              <w:autoSpaceDN/>
              <w:bidi w:val="0"/>
              <w:adjustRightInd/>
              <w:snapToGrid/>
              <w:spacing w:before="1" w:line="240" w:lineRule="exact"/>
              <w:jc w:val="left"/>
              <w:textAlignment w:val="auto"/>
              <w:rPr>
                <w:rFonts w:hint="eastAsia" w:ascii="CESI仿宋-GB2312" w:hAnsi="CESI仿宋-GB2312" w:eastAsia="CESI仿宋-GB2312" w:cs="CESI仿宋-GB2312"/>
                <w:spacing w:val="4"/>
                <w:sz w:val="15"/>
                <w:szCs w:val="15"/>
              </w:rPr>
            </w:pP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2 毫升/瓶</w:t>
            </w:r>
          </w:p>
        </w:tc>
        <w:tc>
          <w:tcPr>
            <w:tcW w:w="549" w:type="dxa"/>
            <w:noWrap w:val="0"/>
            <w:vAlign w:val="top"/>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p>
          <w:p>
            <w:pPr>
              <w:keepNext w:val="0"/>
              <w:keepLines w:val="0"/>
              <w:pageBreakBefore w:val="0"/>
              <w:widowControl w:val="0"/>
              <w:kinsoku/>
              <w:wordWrap/>
              <w:overflowPunct/>
              <w:topLinePunct w:val="0"/>
              <w:autoSpaceDE/>
              <w:autoSpaceDN/>
              <w:bidi w:val="0"/>
              <w:adjustRightInd/>
              <w:snapToGrid/>
              <w:spacing w:before="1" w:line="240" w:lineRule="exact"/>
              <w:jc w:val="left"/>
              <w:textAlignment w:val="auto"/>
              <w:rPr>
                <w:rFonts w:hint="eastAsia" w:ascii="CESI仿宋-GB2312" w:hAnsi="CESI仿宋-GB2312" w:eastAsia="CESI仿宋-GB2312" w:cs="CESI仿宋-GB2312"/>
                <w:spacing w:val="4"/>
                <w:sz w:val="15"/>
                <w:szCs w:val="15"/>
              </w:rPr>
            </w:pP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瓶</w:t>
            </w:r>
          </w:p>
        </w:tc>
        <w:tc>
          <w:tcPr>
            <w:tcW w:w="657" w:type="dxa"/>
            <w:noWrap w:val="0"/>
            <w:vAlign w:val="top"/>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p>
          <w:p>
            <w:pPr>
              <w:keepNext w:val="0"/>
              <w:keepLines w:val="0"/>
              <w:pageBreakBefore w:val="0"/>
              <w:widowControl w:val="0"/>
              <w:kinsoku/>
              <w:wordWrap/>
              <w:overflowPunct/>
              <w:topLinePunct w:val="0"/>
              <w:autoSpaceDE/>
              <w:autoSpaceDN/>
              <w:bidi w:val="0"/>
              <w:adjustRightInd/>
              <w:snapToGrid/>
              <w:spacing w:before="1" w:line="240" w:lineRule="exact"/>
              <w:jc w:val="left"/>
              <w:textAlignment w:val="auto"/>
              <w:rPr>
                <w:rFonts w:hint="eastAsia" w:ascii="CESI仿宋-GB2312" w:hAnsi="CESI仿宋-GB2312" w:eastAsia="CESI仿宋-GB2312" w:cs="CESI仿宋-GB2312"/>
                <w:spacing w:val="4"/>
                <w:sz w:val="15"/>
                <w:szCs w:val="15"/>
              </w:rPr>
            </w:pP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2</w:t>
            </w:r>
          </w:p>
        </w:tc>
        <w:tc>
          <w:tcPr>
            <w:tcW w:w="5187" w:type="dxa"/>
            <w:noWrap w:val="0"/>
            <w:vAlign w:val="top"/>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【主要成分与含量】 阳性血清为 SPF 鸡感染禽流感病毒 H5 亚型制备的高免血清，HI 效价≥7log2。</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 xml:space="preserve">【性状】 阳性血清为微黄色或淡红色海 绵状疏松团块。易与瓶壁脱离，加稀释液后迅速溶解。 </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 xml:space="preserve">【作用与用途】 用于 HI 试验检测禽流感病毒 H5 亚型抗体。 </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 xml:space="preserve">【规格】 2ml/瓶 </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【贮藏与有效期】 -15℃以下保存，有效期为 24 个月。</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★国家参考实验室产品或其技术生产的产品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8</w:t>
            </w:r>
          </w:p>
        </w:tc>
        <w:tc>
          <w:tcPr>
            <w:tcW w:w="1480" w:type="dxa"/>
            <w:noWrap w:val="0"/>
            <w:vAlign w:val="top"/>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p>
          <w:p>
            <w:pPr>
              <w:keepNext w:val="0"/>
              <w:keepLines w:val="0"/>
              <w:pageBreakBefore w:val="0"/>
              <w:widowControl w:val="0"/>
              <w:kinsoku/>
              <w:wordWrap/>
              <w:overflowPunct/>
              <w:topLinePunct w:val="0"/>
              <w:autoSpaceDE/>
              <w:autoSpaceDN/>
              <w:bidi w:val="0"/>
              <w:adjustRightInd/>
              <w:snapToGrid/>
              <w:spacing w:before="1" w:line="240" w:lineRule="exact"/>
              <w:jc w:val="left"/>
              <w:textAlignment w:val="auto"/>
              <w:rPr>
                <w:rFonts w:hint="eastAsia" w:ascii="CESI仿宋-GB2312" w:hAnsi="CESI仿宋-GB2312" w:eastAsia="CESI仿宋-GB2312" w:cs="CESI仿宋-GB2312"/>
                <w:spacing w:val="4"/>
                <w:sz w:val="15"/>
                <w:szCs w:val="15"/>
              </w:rPr>
            </w:pP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禽流感 H5-1</w:t>
            </w:r>
            <w:r>
              <w:rPr>
                <w:rFonts w:hint="eastAsia" w:ascii="CESI仿宋-GB2312" w:hAnsi="CESI仿宋-GB2312" w:eastAsia="CESI仿宋-GB2312" w:cs="CESI仿宋-GB2312"/>
                <w:spacing w:val="4"/>
                <w:sz w:val="15"/>
                <w:szCs w:val="15"/>
                <w:lang w:val="en-US" w:eastAsia="zh-CN"/>
              </w:rPr>
              <w:t>4</w:t>
            </w:r>
            <w:r>
              <w:rPr>
                <w:rFonts w:hint="eastAsia" w:ascii="CESI仿宋-GB2312" w:hAnsi="CESI仿宋-GB2312" w:eastAsia="CESI仿宋-GB2312" w:cs="CESI仿宋-GB2312"/>
                <w:spacing w:val="4"/>
                <w:sz w:val="15"/>
                <w:szCs w:val="15"/>
              </w:rPr>
              <w:t xml:space="preserve"> 血凝抗原</w:t>
            </w:r>
          </w:p>
        </w:tc>
        <w:tc>
          <w:tcPr>
            <w:tcW w:w="804" w:type="dxa"/>
            <w:noWrap w:val="0"/>
            <w:vAlign w:val="top"/>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p>
          <w:p>
            <w:pPr>
              <w:keepNext w:val="0"/>
              <w:keepLines w:val="0"/>
              <w:pageBreakBefore w:val="0"/>
              <w:widowControl w:val="0"/>
              <w:kinsoku/>
              <w:wordWrap/>
              <w:overflowPunct/>
              <w:topLinePunct w:val="0"/>
              <w:autoSpaceDE/>
              <w:autoSpaceDN/>
              <w:bidi w:val="0"/>
              <w:adjustRightInd/>
              <w:snapToGrid/>
              <w:spacing w:before="1" w:line="240" w:lineRule="exact"/>
              <w:jc w:val="left"/>
              <w:textAlignment w:val="auto"/>
              <w:rPr>
                <w:rFonts w:hint="eastAsia" w:ascii="CESI仿宋-GB2312" w:hAnsi="CESI仿宋-GB2312" w:eastAsia="CESI仿宋-GB2312" w:cs="CESI仿宋-GB2312"/>
                <w:spacing w:val="4"/>
                <w:sz w:val="15"/>
                <w:szCs w:val="15"/>
              </w:rPr>
            </w:pP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2 毫升/瓶</w:t>
            </w:r>
          </w:p>
        </w:tc>
        <w:tc>
          <w:tcPr>
            <w:tcW w:w="549" w:type="dxa"/>
            <w:noWrap w:val="0"/>
            <w:vAlign w:val="top"/>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p>
          <w:p>
            <w:pPr>
              <w:keepNext w:val="0"/>
              <w:keepLines w:val="0"/>
              <w:pageBreakBefore w:val="0"/>
              <w:widowControl w:val="0"/>
              <w:kinsoku/>
              <w:wordWrap/>
              <w:overflowPunct/>
              <w:topLinePunct w:val="0"/>
              <w:autoSpaceDE/>
              <w:autoSpaceDN/>
              <w:bidi w:val="0"/>
              <w:adjustRightInd/>
              <w:snapToGrid/>
              <w:spacing w:before="1" w:line="240" w:lineRule="exact"/>
              <w:jc w:val="left"/>
              <w:textAlignment w:val="auto"/>
              <w:rPr>
                <w:rFonts w:hint="eastAsia" w:ascii="CESI仿宋-GB2312" w:hAnsi="CESI仿宋-GB2312" w:eastAsia="CESI仿宋-GB2312" w:cs="CESI仿宋-GB2312"/>
                <w:spacing w:val="4"/>
                <w:sz w:val="15"/>
                <w:szCs w:val="15"/>
              </w:rPr>
            </w:pP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瓶</w:t>
            </w:r>
          </w:p>
        </w:tc>
        <w:tc>
          <w:tcPr>
            <w:tcW w:w="657" w:type="dxa"/>
            <w:noWrap w:val="0"/>
            <w:vAlign w:val="top"/>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5</w:t>
            </w:r>
          </w:p>
          <w:p>
            <w:pPr>
              <w:keepNext w:val="0"/>
              <w:keepLines w:val="0"/>
              <w:pageBreakBefore w:val="0"/>
              <w:widowControl w:val="0"/>
              <w:kinsoku/>
              <w:wordWrap/>
              <w:overflowPunct/>
              <w:topLinePunct w:val="0"/>
              <w:autoSpaceDE/>
              <w:autoSpaceDN/>
              <w:bidi w:val="0"/>
              <w:adjustRightInd/>
              <w:snapToGrid/>
              <w:spacing w:before="1" w:line="240" w:lineRule="exact"/>
              <w:jc w:val="left"/>
              <w:textAlignment w:val="auto"/>
              <w:rPr>
                <w:rFonts w:hint="eastAsia" w:ascii="CESI仿宋-GB2312" w:hAnsi="CESI仿宋-GB2312" w:eastAsia="CESI仿宋-GB2312" w:cs="CESI仿宋-GB2312"/>
                <w:spacing w:val="4"/>
                <w:sz w:val="15"/>
                <w:szCs w:val="15"/>
              </w:rPr>
            </w:pPr>
          </w:p>
        </w:tc>
        <w:tc>
          <w:tcPr>
            <w:tcW w:w="5187" w:type="dxa"/>
            <w:noWrap w:val="0"/>
            <w:vAlign w:val="top"/>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【主要成分与含量】 抗原为灭活的 H5 亚型禽流感病毒，血凝效价≥7log2。</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【性状】 抗原为白色或淡黄色海绵状疏松团块；</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 xml:space="preserve">【作用与用途】 用于 HI 试验检测禽流感病毒 H5 亚型抗体。 </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 xml:space="preserve">【规格】 2ml/瓶 </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【贮藏与有效期】 -15℃以下保存，有效期为 24 个月。</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★国家参考实验室产品或其技术生产的产品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lang w:val="en-US" w:eastAsia="zh-CN"/>
              </w:rPr>
            </w:pPr>
          </w:p>
          <w:p>
            <w:pPr>
              <w:numPr>
                <w:ilvl w:val="0"/>
                <w:numId w:val="0"/>
              </w:numPr>
              <w:spacing w:line="660" w:lineRule="exact"/>
              <w:jc w:val="center"/>
              <w:outlineLvl w:val="0"/>
              <w:rPr>
                <w:rFonts w:hint="default"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9</w:t>
            </w:r>
          </w:p>
        </w:tc>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eastAsia="zh-CN"/>
              </w:rPr>
            </w:pPr>
            <w:r>
              <w:rPr>
                <w:rFonts w:hint="eastAsia" w:ascii="CESI仿宋-GB2312" w:hAnsi="CESI仿宋-GB2312" w:eastAsia="CESI仿宋-GB2312" w:cs="CESI仿宋-GB2312"/>
                <w:spacing w:val="4"/>
                <w:sz w:val="15"/>
                <w:szCs w:val="15"/>
              </w:rPr>
              <w:t>禽流感 H5-1</w:t>
            </w:r>
            <w:r>
              <w:rPr>
                <w:rFonts w:hint="eastAsia" w:ascii="CESI仿宋-GB2312" w:hAnsi="CESI仿宋-GB2312" w:eastAsia="CESI仿宋-GB2312" w:cs="CESI仿宋-GB2312"/>
                <w:spacing w:val="4"/>
                <w:sz w:val="15"/>
                <w:szCs w:val="15"/>
                <w:lang w:val="en-US" w:eastAsia="zh-CN"/>
              </w:rPr>
              <w:t>4</w:t>
            </w:r>
            <w:r>
              <w:rPr>
                <w:rFonts w:hint="eastAsia" w:ascii="CESI仿宋-GB2312" w:hAnsi="CESI仿宋-GB2312" w:eastAsia="CESI仿宋-GB2312" w:cs="CESI仿宋-GB2312"/>
                <w:spacing w:val="4"/>
                <w:sz w:val="15"/>
                <w:szCs w:val="15"/>
              </w:rPr>
              <w:t xml:space="preserve"> </w:t>
            </w:r>
            <w:r>
              <w:rPr>
                <w:rFonts w:hint="eastAsia" w:ascii="CESI仿宋-GB2312" w:hAnsi="CESI仿宋-GB2312" w:eastAsia="CESI仿宋-GB2312" w:cs="CESI仿宋-GB2312"/>
                <w:spacing w:val="4"/>
                <w:sz w:val="15"/>
                <w:szCs w:val="15"/>
                <w:lang w:eastAsia="zh-CN"/>
              </w:rPr>
              <w:t>阳性血清</w:t>
            </w:r>
          </w:p>
        </w:tc>
        <w:tc>
          <w:tcPr>
            <w:tcW w:w="804" w:type="dxa"/>
            <w:noWrap w:val="0"/>
            <w:vAlign w:val="center"/>
          </w:tcPr>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rPr>
            </w:pPr>
            <w:r>
              <w:rPr>
                <w:rFonts w:hint="eastAsia" w:ascii="CESI仿宋-GB2312" w:hAnsi="CESI仿宋-GB2312" w:eastAsia="CESI仿宋-GB2312" w:cs="CESI仿宋-GB2312"/>
                <w:spacing w:val="4"/>
                <w:sz w:val="15"/>
                <w:szCs w:val="15"/>
              </w:rPr>
              <w:t>2 毫升/瓶</w:t>
            </w:r>
          </w:p>
        </w:tc>
        <w:tc>
          <w:tcPr>
            <w:tcW w:w="549" w:type="dxa"/>
            <w:noWrap w:val="0"/>
            <w:vAlign w:val="center"/>
          </w:tcPr>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rPr>
            </w:pPr>
            <w:r>
              <w:rPr>
                <w:rFonts w:hint="eastAsia" w:ascii="CESI仿宋-GB2312" w:hAnsi="CESI仿宋-GB2312" w:eastAsia="CESI仿宋-GB2312" w:cs="CESI仿宋-GB2312"/>
                <w:spacing w:val="4"/>
                <w:sz w:val="15"/>
                <w:szCs w:val="15"/>
              </w:rPr>
              <w:t>瓶</w:t>
            </w:r>
          </w:p>
        </w:tc>
        <w:tc>
          <w:tcPr>
            <w:tcW w:w="657" w:type="dxa"/>
            <w:noWrap w:val="0"/>
            <w:vAlign w:val="center"/>
          </w:tcPr>
          <w:p>
            <w:pPr>
              <w:numPr>
                <w:ilvl w:val="0"/>
                <w:numId w:val="0"/>
              </w:numPr>
              <w:spacing w:line="660" w:lineRule="exact"/>
              <w:jc w:val="center"/>
              <w:outlineLvl w:val="0"/>
              <w:rPr>
                <w:rFonts w:hint="default"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2</w:t>
            </w:r>
          </w:p>
        </w:tc>
        <w:tc>
          <w:tcPr>
            <w:tcW w:w="5187" w:type="dxa"/>
            <w:noWrap w:val="0"/>
            <w:vAlign w:val="top"/>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【主要成分与含量】 阳性血清为 SPF 鸡感染禽流感病毒 H5 亚型制备的高免血清，HI 效价≥7log2。</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 xml:space="preserve">【性状】 阳性血清为微黄色或淡红色海 绵状疏松团块。易与瓶壁脱离，加稀释液后迅速溶解。 </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 xml:space="preserve">【作用与用途】 用于 HI 试验检测禽流感病毒 H5 亚型抗体。 </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 xml:space="preserve">【规格】 2ml/瓶 </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【贮藏与有效期】 -15℃以下保存，有效期为 24 个月。</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z w:val="15"/>
                <w:szCs w:val="15"/>
                <w:vertAlign w:val="baseline"/>
              </w:rPr>
            </w:pPr>
            <w:r>
              <w:rPr>
                <w:rFonts w:hint="eastAsia" w:ascii="CESI仿宋-GB2312" w:hAnsi="CESI仿宋-GB2312" w:eastAsia="CESI仿宋-GB2312" w:cs="CESI仿宋-GB2312"/>
                <w:spacing w:val="4"/>
                <w:sz w:val="15"/>
                <w:szCs w:val="15"/>
              </w:rPr>
              <w:t>★国家参考实验室产品或其技术生产的产品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rPr>
            </w:pPr>
          </w:p>
          <w:p>
            <w:pPr>
              <w:numPr>
                <w:ilvl w:val="0"/>
                <w:numId w:val="0"/>
              </w:numPr>
              <w:spacing w:line="660" w:lineRule="exact"/>
              <w:jc w:val="center"/>
              <w:outlineLvl w:val="0"/>
              <w:rPr>
                <w:rFonts w:hint="default"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10</w:t>
            </w:r>
          </w:p>
        </w:tc>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禽流感H7Re-4血凝抗原</w:t>
            </w:r>
          </w:p>
        </w:tc>
        <w:tc>
          <w:tcPr>
            <w:tcW w:w="804" w:type="dxa"/>
            <w:noWrap w:val="0"/>
            <w:vAlign w:val="center"/>
          </w:tcPr>
          <w:p>
            <w:pPr>
              <w:numPr>
                <w:ilvl w:val="0"/>
                <w:numId w:val="0"/>
              </w:numPr>
              <w:spacing w:line="660" w:lineRule="exact"/>
              <w:ind w:left="0" w:leftChars="0" w:firstLine="0" w:firstLineChars="0"/>
              <w:jc w:val="center"/>
              <w:outlineLvl w:val="0"/>
              <w:rPr>
                <w:rFonts w:hint="eastAsia" w:ascii="CESI仿宋-GB2312" w:hAnsi="CESI仿宋-GB2312" w:eastAsia="CESI仿宋-GB2312" w:cs="CESI仿宋-GB2312"/>
                <w:sz w:val="15"/>
                <w:szCs w:val="15"/>
                <w:vertAlign w:val="baseline"/>
              </w:rPr>
            </w:pPr>
            <w:r>
              <w:rPr>
                <w:rFonts w:hint="eastAsia" w:ascii="CESI仿宋-GB2312" w:hAnsi="CESI仿宋-GB2312" w:eastAsia="CESI仿宋-GB2312" w:cs="CESI仿宋-GB2312"/>
                <w:spacing w:val="4"/>
                <w:sz w:val="15"/>
                <w:szCs w:val="15"/>
              </w:rPr>
              <w:t>2 毫升/瓶</w:t>
            </w:r>
          </w:p>
        </w:tc>
        <w:tc>
          <w:tcPr>
            <w:tcW w:w="549" w:type="dxa"/>
            <w:noWrap w:val="0"/>
            <w:vAlign w:val="center"/>
          </w:tcPr>
          <w:p>
            <w:pPr>
              <w:numPr>
                <w:ilvl w:val="0"/>
                <w:numId w:val="0"/>
              </w:numPr>
              <w:spacing w:line="660" w:lineRule="exact"/>
              <w:ind w:left="0" w:leftChars="0" w:firstLine="0" w:firstLineChars="0"/>
              <w:jc w:val="center"/>
              <w:outlineLvl w:val="0"/>
              <w:rPr>
                <w:rFonts w:hint="eastAsia" w:ascii="CESI仿宋-GB2312" w:hAnsi="CESI仿宋-GB2312" w:eastAsia="CESI仿宋-GB2312" w:cs="CESI仿宋-GB2312"/>
                <w:sz w:val="15"/>
                <w:szCs w:val="15"/>
                <w:vertAlign w:val="baseline"/>
              </w:rPr>
            </w:pPr>
            <w:r>
              <w:rPr>
                <w:rFonts w:hint="eastAsia" w:ascii="CESI仿宋-GB2312" w:hAnsi="CESI仿宋-GB2312" w:eastAsia="CESI仿宋-GB2312" w:cs="CESI仿宋-GB2312"/>
                <w:spacing w:val="4"/>
                <w:sz w:val="15"/>
                <w:szCs w:val="15"/>
              </w:rPr>
              <w:t>瓶</w:t>
            </w:r>
          </w:p>
        </w:tc>
        <w:tc>
          <w:tcPr>
            <w:tcW w:w="657" w:type="dxa"/>
            <w:noWrap w:val="0"/>
            <w:vAlign w:val="center"/>
          </w:tcPr>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5</w:t>
            </w:r>
          </w:p>
        </w:tc>
        <w:tc>
          <w:tcPr>
            <w:tcW w:w="5187" w:type="dxa"/>
            <w:noWrap w:val="0"/>
            <w:vAlign w:val="top"/>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【主要成分与含量】 抗原为灭活的 H7 亚型禽流感病毒，血凝效价≥7log2。</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【性状】 抗原为白色或淡黄色海绵状疏松团块</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【作用与用途】 用于 HI 试验检测禽流感病毒 H7 亚型抗体</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 xml:space="preserve">【规格】 2ml/瓶 </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【贮藏与有效期】 -15℃以下保存，有效期为 24 个月</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★国家参考实验室产品或其技术生产的产品</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rPr>
            </w:pPr>
          </w:p>
          <w:p>
            <w:pPr>
              <w:numPr>
                <w:ilvl w:val="0"/>
                <w:numId w:val="0"/>
              </w:numPr>
              <w:spacing w:line="660" w:lineRule="exact"/>
              <w:jc w:val="center"/>
              <w:outlineLvl w:val="0"/>
              <w:rPr>
                <w:rFonts w:hint="default"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11</w:t>
            </w:r>
          </w:p>
        </w:tc>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禽流感H7Re-4阳性血清</w:t>
            </w:r>
          </w:p>
        </w:tc>
        <w:tc>
          <w:tcPr>
            <w:tcW w:w="804" w:type="dxa"/>
            <w:noWrap w:val="0"/>
            <w:vAlign w:val="center"/>
          </w:tcPr>
          <w:p>
            <w:pPr>
              <w:numPr>
                <w:ilvl w:val="0"/>
                <w:numId w:val="0"/>
              </w:numPr>
              <w:spacing w:line="660" w:lineRule="exact"/>
              <w:ind w:left="0" w:leftChars="0" w:firstLine="0" w:firstLineChars="0"/>
              <w:jc w:val="center"/>
              <w:outlineLvl w:val="0"/>
              <w:rPr>
                <w:rFonts w:hint="eastAsia" w:ascii="CESI仿宋-GB2312" w:hAnsi="CESI仿宋-GB2312" w:eastAsia="CESI仿宋-GB2312" w:cs="CESI仿宋-GB2312"/>
                <w:sz w:val="15"/>
                <w:szCs w:val="15"/>
                <w:vertAlign w:val="baseline"/>
              </w:rPr>
            </w:pPr>
            <w:r>
              <w:rPr>
                <w:rFonts w:hint="eastAsia" w:ascii="CESI仿宋-GB2312" w:hAnsi="CESI仿宋-GB2312" w:eastAsia="CESI仿宋-GB2312" w:cs="CESI仿宋-GB2312"/>
                <w:spacing w:val="4"/>
                <w:sz w:val="15"/>
                <w:szCs w:val="15"/>
              </w:rPr>
              <w:t>2 毫升/瓶</w:t>
            </w:r>
          </w:p>
        </w:tc>
        <w:tc>
          <w:tcPr>
            <w:tcW w:w="549" w:type="dxa"/>
            <w:noWrap w:val="0"/>
            <w:vAlign w:val="center"/>
          </w:tcPr>
          <w:p>
            <w:pPr>
              <w:numPr>
                <w:ilvl w:val="0"/>
                <w:numId w:val="0"/>
              </w:numPr>
              <w:spacing w:line="660" w:lineRule="exact"/>
              <w:ind w:left="0" w:leftChars="0" w:firstLine="0" w:firstLineChars="0"/>
              <w:jc w:val="center"/>
              <w:outlineLvl w:val="0"/>
              <w:rPr>
                <w:rFonts w:hint="eastAsia" w:ascii="CESI仿宋-GB2312" w:hAnsi="CESI仿宋-GB2312" w:eastAsia="CESI仿宋-GB2312" w:cs="CESI仿宋-GB2312"/>
                <w:sz w:val="15"/>
                <w:szCs w:val="15"/>
                <w:vertAlign w:val="baseline"/>
              </w:rPr>
            </w:pPr>
            <w:r>
              <w:rPr>
                <w:rFonts w:hint="eastAsia" w:ascii="CESI仿宋-GB2312" w:hAnsi="CESI仿宋-GB2312" w:eastAsia="CESI仿宋-GB2312" w:cs="CESI仿宋-GB2312"/>
                <w:spacing w:val="4"/>
                <w:sz w:val="15"/>
                <w:szCs w:val="15"/>
              </w:rPr>
              <w:t>瓶</w:t>
            </w:r>
          </w:p>
        </w:tc>
        <w:tc>
          <w:tcPr>
            <w:tcW w:w="657" w:type="dxa"/>
            <w:noWrap w:val="0"/>
            <w:vAlign w:val="center"/>
          </w:tcPr>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2</w:t>
            </w:r>
          </w:p>
        </w:tc>
        <w:tc>
          <w:tcPr>
            <w:tcW w:w="5187" w:type="dxa"/>
            <w:noWrap w:val="0"/>
            <w:vAlign w:val="top"/>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【主要成分与含量】 阳性血清为 SPF 鸡感染禽流感病毒 H7 亚型制备的高免血清，HI 效价≥7log2。</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【性状】阳性血清为微黄色或淡红色海 绵状疏松团块。易与瓶壁脱离，加稀释液后迅速溶解。</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【作用与用途】 用于 HI 试验检测禽流感病毒 H7 亚型抗体。</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 xml:space="preserve">【规格】 2ml/瓶 </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【贮藏与有效期】 -15℃以下保存，有效期为 24 个月</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z w:val="15"/>
                <w:szCs w:val="15"/>
                <w:vertAlign w:val="baseline"/>
              </w:rPr>
            </w:pPr>
            <w:r>
              <w:rPr>
                <w:rFonts w:hint="eastAsia" w:ascii="CESI仿宋-GB2312" w:hAnsi="CESI仿宋-GB2312" w:eastAsia="CESI仿宋-GB2312" w:cs="CESI仿宋-GB2312"/>
                <w:spacing w:val="4"/>
                <w:sz w:val="15"/>
                <w:szCs w:val="15"/>
              </w:rPr>
              <w:t>★国家参考实验室产品或其技术生产的产品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rPr>
            </w:pPr>
          </w:p>
          <w:p>
            <w:pPr>
              <w:numPr>
                <w:ilvl w:val="0"/>
                <w:numId w:val="0"/>
              </w:numPr>
              <w:spacing w:line="660" w:lineRule="exact"/>
              <w:jc w:val="center"/>
              <w:outlineLvl w:val="0"/>
              <w:rPr>
                <w:rFonts w:hint="default"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12</w:t>
            </w:r>
          </w:p>
        </w:tc>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鸡新城疫血凝抑制试验抗原</w:t>
            </w:r>
          </w:p>
        </w:tc>
        <w:tc>
          <w:tcPr>
            <w:tcW w:w="804" w:type="dxa"/>
            <w:noWrap w:val="0"/>
            <w:vAlign w:val="center"/>
          </w:tcPr>
          <w:p>
            <w:pPr>
              <w:numPr>
                <w:ilvl w:val="0"/>
                <w:numId w:val="0"/>
              </w:numPr>
              <w:spacing w:line="660" w:lineRule="exact"/>
              <w:ind w:left="0" w:leftChars="0" w:firstLine="0" w:firstLineChars="0"/>
              <w:jc w:val="center"/>
              <w:outlineLvl w:val="0"/>
              <w:rPr>
                <w:rFonts w:hint="eastAsia" w:ascii="CESI仿宋-GB2312" w:hAnsi="CESI仿宋-GB2312" w:eastAsia="CESI仿宋-GB2312" w:cs="CESI仿宋-GB2312"/>
                <w:sz w:val="15"/>
                <w:szCs w:val="15"/>
                <w:vertAlign w:val="baseline"/>
              </w:rPr>
            </w:pPr>
            <w:r>
              <w:rPr>
                <w:rFonts w:hint="eastAsia" w:ascii="CESI仿宋-GB2312" w:hAnsi="CESI仿宋-GB2312" w:eastAsia="CESI仿宋-GB2312" w:cs="CESI仿宋-GB2312"/>
                <w:spacing w:val="4"/>
                <w:sz w:val="15"/>
                <w:szCs w:val="15"/>
              </w:rPr>
              <w:t>2 毫升/瓶</w:t>
            </w:r>
          </w:p>
        </w:tc>
        <w:tc>
          <w:tcPr>
            <w:tcW w:w="549" w:type="dxa"/>
            <w:noWrap w:val="0"/>
            <w:vAlign w:val="center"/>
          </w:tcPr>
          <w:p>
            <w:pPr>
              <w:numPr>
                <w:ilvl w:val="0"/>
                <w:numId w:val="0"/>
              </w:numPr>
              <w:spacing w:line="660" w:lineRule="exact"/>
              <w:ind w:left="0" w:leftChars="0" w:firstLine="0" w:firstLineChars="0"/>
              <w:jc w:val="center"/>
              <w:outlineLvl w:val="0"/>
              <w:rPr>
                <w:rFonts w:hint="eastAsia" w:ascii="CESI仿宋-GB2312" w:hAnsi="CESI仿宋-GB2312" w:eastAsia="CESI仿宋-GB2312" w:cs="CESI仿宋-GB2312"/>
                <w:sz w:val="15"/>
                <w:szCs w:val="15"/>
                <w:vertAlign w:val="baseline"/>
              </w:rPr>
            </w:pPr>
            <w:r>
              <w:rPr>
                <w:rFonts w:hint="eastAsia" w:ascii="CESI仿宋-GB2312" w:hAnsi="CESI仿宋-GB2312" w:eastAsia="CESI仿宋-GB2312" w:cs="CESI仿宋-GB2312"/>
                <w:spacing w:val="4"/>
                <w:sz w:val="15"/>
                <w:szCs w:val="15"/>
              </w:rPr>
              <w:t>瓶</w:t>
            </w:r>
          </w:p>
        </w:tc>
        <w:tc>
          <w:tcPr>
            <w:tcW w:w="657" w:type="dxa"/>
            <w:noWrap w:val="0"/>
            <w:vAlign w:val="center"/>
          </w:tcPr>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5</w:t>
            </w:r>
          </w:p>
        </w:tc>
        <w:tc>
          <w:tcPr>
            <w:tcW w:w="5187" w:type="dxa"/>
            <w:noWrap w:val="0"/>
            <w:vAlign w:val="top"/>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【主要成分与含量】 抗原为鸡新城疫病毒 LaSota 株接种 SPF 鸡胚培养，收获鸡胚尿囊液， 经纯化、甲醛溶液灭活后，加适量稳定剂，经冷冻真空干燥制成。</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 xml:space="preserve">【性状】 抗原为微黄色，海绵状疏松团块，易与瓶壁脱离，用 PBS（0.01mol/L，pH7.4） 稀释后迅速溶解。 </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【作用与用途】 用于血凝抑制（HI）试验检测鸡新城疫病毒抗体。</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【规格】  2ml/瓶</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z w:val="15"/>
                <w:szCs w:val="15"/>
                <w:vertAlign w:val="baseline"/>
              </w:rPr>
            </w:pPr>
            <w:r>
              <w:rPr>
                <w:rFonts w:hint="eastAsia" w:ascii="CESI仿宋-GB2312" w:hAnsi="CESI仿宋-GB2312" w:eastAsia="CESI仿宋-GB2312" w:cs="CESI仿宋-GB2312"/>
                <w:spacing w:val="4"/>
                <w:sz w:val="15"/>
                <w:szCs w:val="15"/>
              </w:rPr>
              <w:t>【贮藏与有效期】 -20℃以下保存，有效期为 24 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rPr>
            </w:pPr>
          </w:p>
          <w:p>
            <w:pPr>
              <w:numPr>
                <w:ilvl w:val="0"/>
                <w:numId w:val="0"/>
              </w:numPr>
              <w:spacing w:line="660" w:lineRule="exact"/>
              <w:jc w:val="center"/>
              <w:outlineLvl w:val="0"/>
              <w:rPr>
                <w:rFonts w:hint="default"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13</w:t>
            </w:r>
          </w:p>
        </w:tc>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鸡新城疫血凝抑制阳性血清</w:t>
            </w:r>
          </w:p>
        </w:tc>
        <w:tc>
          <w:tcPr>
            <w:tcW w:w="804" w:type="dxa"/>
            <w:noWrap w:val="0"/>
            <w:vAlign w:val="center"/>
          </w:tcPr>
          <w:p>
            <w:pPr>
              <w:numPr>
                <w:ilvl w:val="0"/>
                <w:numId w:val="0"/>
              </w:numPr>
              <w:spacing w:line="660" w:lineRule="exact"/>
              <w:ind w:left="0" w:leftChars="0" w:firstLine="0" w:firstLineChars="0"/>
              <w:jc w:val="center"/>
              <w:outlineLvl w:val="0"/>
              <w:rPr>
                <w:rFonts w:hint="eastAsia" w:ascii="CESI仿宋-GB2312" w:hAnsi="CESI仿宋-GB2312" w:eastAsia="CESI仿宋-GB2312" w:cs="CESI仿宋-GB2312"/>
                <w:sz w:val="15"/>
                <w:szCs w:val="15"/>
                <w:vertAlign w:val="baseline"/>
              </w:rPr>
            </w:pPr>
            <w:r>
              <w:rPr>
                <w:rFonts w:hint="eastAsia" w:ascii="CESI仿宋-GB2312" w:hAnsi="CESI仿宋-GB2312" w:eastAsia="CESI仿宋-GB2312" w:cs="CESI仿宋-GB2312"/>
                <w:spacing w:val="4"/>
                <w:sz w:val="15"/>
                <w:szCs w:val="15"/>
              </w:rPr>
              <w:t>2 毫升/瓶</w:t>
            </w:r>
          </w:p>
        </w:tc>
        <w:tc>
          <w:tcPr>
            <w:tcW w:w="549" w:type="dxa"/>
            <w:noWrap w:val="0"/>
            <w:vAlign w:val="center"/>
          </w:tcPr>
          <w:p>
            <w:pPr>
              <w:numPr>
                <w:ilvl w:val="0"/>
                <w:numId w:val="0"/>
              </w:numPr>
              <w:spacing w:line="660" w:lineRule="exact"/>
              <w:ind w:left="0" w:leftChars="0" w:firstLine="0" w:firstLineChars="0"/>
              <w:jc w:val="center"/>
              <w:outlineLvl w:val="0"/>
              <w:rPr>
                <w:rFonts w:hint="eastAsia" w:ascii="CESI仿宋-GB2312" w:hAnsi="CESI仿宋-GB2312" w:eastAsia="CESI仿宋-GB2312" w:cs="CESI仿宋-GB2312"/>
                <w:sz w:val="15"/>
                <w:szCs w:val="15"/>
                <w:vertAlign w:val="baseline"/>
              </w:rPr>
            </w:pPr>
            <w:r>
              <w:rPr>
                <w:rFonts w:hint="eastAsia" w:ascii="CESI仿宋-GB2312" w:hAnsi="CESI仿宋-GB2312" w:eastAsia="CESI仿宋-GB2312" w:cs="CESI仿宋-GB2312"/>
                <w:spacing w:val="4"/>
                <w:sz w:val="15"/>
                <w:szCs w:val="15"/>
              </w:rPr>
              <w:t>瓶</w:t>
            </w:r>
          </w:p>
        </w:tc>
        <w:tc>
          <w:tcPr>
            <w:tcW w:w="657" w:type="dxa"/>
            <w:noWrap w:val="0"/>
            <w:vAlign w:val="center"/>
          </w:tcPr>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2</w:t>
            </w:r>
          </w:p>
        </w:tc>
        <w:tc>
          <w:tcPr>
            <w:tcW w:w="5187" w:type="dxa"/>
            <w:noWrap w:val="0"/>
            <w:vAlign w:val="top"/>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【主要成分与含量】 阳性血清系用鸡新城疫灭活疫 苗接种 SPF 鸡，采血、分离血清，经冷冻真空干燥制成。</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 xml:space="preserve"> 【性状】 阳性血清为微黄色或淡红色海绵状疏松团块。易与瓶壁脱离，用 PBS（0.01mol/L， pH7.4）稀释后迅速溶解。</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【作用与用途】 用于血凝抑制（HI）试验检测鸡新城疫病毒抗体</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【规格】  2ml/瓶</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z w:val="15"/>
                <w:szCs w:val="15"/>
                <w:vertAlign w:val="baseline"/>
              </w:rPr>
            </w:pPr>
            <w:r>
              <w:rPr>
                <w:rFonts w:hint="eastAsia" w:ascii="CESI仿宋-GB2312" w:hAnsi="CESI仿宋-GB2312" w:eastAsia="CESI仿宋-GB2312" w:cs="CESI仿宋-GB2312"/>
                <w:spacing w:val="4"/>
                <w:sz w:val="15"/>
                <w:szCs w:val="15"/>
              </w:rPr>
              <w:t>【贮藏与有效期】 -20℃以下保存，有效期为 24 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numPr>
                <w:ilvl w:val="0"/>
                <w:numId w:val="0"/>
              </w:numPr>
              <w:spacing w:line="660" w:lineRule="exact"/>
              <w:jc w:val="center"/>
              <w:outlineLvl w:val="0"/>
              <w:rPr>
                <w:rFonts w:hint="default"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14</w:t>
            </w:r>
          </w:p>
        </w:tc>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提纯牛型结核菌素（液体）</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lang w:val="en-US" w:eastAsia="zh-CN"/>
              </w:rPr>
              <w:t>50头份/瓶</w:t>
            </w:r>
          </w:p>
        </w:tc>
        <w:tc>
          <w:tcPr>
            <w:tcW w:w="549"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lang w:val="en-US" w:eastAsia="zh-CN"/>
              </w:rPr>
              <w:t>瓶</w:t>
            </w:r>
          </w:p>
        </w:tc>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default"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50</w:t>
            </w:r>
          </w:p>
        </w:tc>
        <w:tc>
          <w:tcPr>
            <w:tcW w:w="5187" w:type="dxa"/>
            <w:noWrap w:val="0"/>
            <w:vAlign w:val="top"/>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【主要成分及含量】含有经灭活、提纯的牛型结核菌C68001株、C68002株。</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 xml:space="preserve">【性 状】乳白色或略带淡黄褐色疏松团块，加稀释液后迅速溶解。 </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【作用与用途】用于诊断牛结核的变态反应试验。</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【用法与判定】先用注射用水(或生理盐水)稀释成每毫升含10万国际单位后使用不论牛只大小，一律于颈中部上1/3处剪毛(或提前1日剃毛)，用酒精棉消毒后，皮内注射0 1ml。3月龄以内的特牛，可在肩胛部作试验。注射菌素前用卡尺测量术部中央皮皱厚度，作好记录。注射后72小时判定，观察局部有无热痛肿胀等炎性反应，并用卡尺测量术部皮皱厚度，作好详细记录。如有可能，对阴性和可疑牛，于注射后96小时和120小时再分别观察1次，以防个别牛出现较晚的迟发型变态反应。判定标准：</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阳性反应局部有明显的炎性反应，皮厚差等于或大于4.0mm可疑反应局部炎性反应较轻，皮厚差在2.1~3.9mm</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阴性反应 无炎性反应，皮厚差在2.0mm以下，只要有一定炎性肿胀，即使皮厚差在2.0mm以下者，仍应判为可疑</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 xml:space="preserve">凡判为可疑反应的牛，即刻在另一颈侧以同一批菌素同一剂量进行第2次注射，再经72小时观察反应。              </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 xml:space="preserve">【规 格】液体制品:5m/瓶、10mV/瓶。冻干制品:20头份/瓶、50头份/瓶、100头份/瓶。 </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rPr>
              <w:t xml:space="preserve">【包 装】5瓶/盒、10瓶/盒。 </w:t>
            </w:r>
          </w:p>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z w:val="15"/>
                <w:szCs w:val="15"/>
                <w:vertAlign w:val="baseline"/>
              </w:rPr>
            </w:pPr>
            <w:r>
              <w:rPr>
                <w:rFonts w:hint="eastAsia" w:ascii="CESI仿宋-GB2312" w:hAnsi="CESI仿宋-GB2312" w:eastAsia="CESI仿宋-GB2312" w:cs="CESI仿宋-GB2312"/>
                <w:spacing w:val="4"/>
                <w:sz w:val="15"/>
                <w:szCs w:val="15"/>
              </w:rPr>
              <w:t>【贮藏与有效期】2~8℃保存，有效期为120个月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numPr>
                <w:ilvl w:val="0"/>
                <w:numId w:val="0"/>
              </w:numPr>
              <w:spacing w:line="660" w:lineRule="exact"/>
              <w:jc w:val="center"/>
              <w:outlineLvl w:val="0"/>
              <w:rPr>
                <w:rFonts w:hint="default"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15</w:t>
            </w:r>
          </w:p>
        </w:tc>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lang w:val="en-US" w:eastAsia="zh-CN"/>
              </w:rPr>
              <w:t>马鼻疽菌素</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lang w:val="en-US" w:eastAsia="zh-CN"/>
              </w:rPr>
              <w:t>6毫克/瓶</w:t>
            </w:r>
          </w:p>
        </w:tc>
        <w:tc>
          <w:tcPr>
            <w:tcW w:w="549"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lang w:val="en-US" w:eastAsia="zh-CN"/>
              </w:rPr>
              <w:t>瓶</w:t>
            </w:r>
          </w:p>
        </w:tc>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lang w:val="en-US" w:eastAsia="zh-CN"/>
              </w:rPr>
              <w:t>10</w:t>
            </w:r>
          </w:p>
        </w:tc>
        <w:tc>
          <w:tcPr>
            <w:tcW w:w="518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lang w:val="en-US" w:eastAsia="zh-CN"/>
              </w:rPr>
              <w:t>1.用于马鼻疽点眼试验；                                                                                  2. 试剂盒满足《马鼻疽诊断技术（NY/T557-2002）》要求；                                                   3.其他要求：18头份/瓶，有效期≥10年；                                                                   4.提供新兽药证。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rPr>
            </w:pPr>
          </w:p>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rPr>
            </w:pPr>
          </w:p>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rPr>
            </w:pPr>
          </w:p>
          <w:p>
            <w:pPr>
              <w:numPr>
                <w:ilvl w:val="0"/>
                <w:numId w:val="0"/>
              </w:numPr>
              <w:spacing w:line="660" w:lineRule="exact"/>
              <w:jc w:val="center"/>
              <w:outlineLvl w:val="0"/>
              <w:rPr>
                <w:rFonts w:hint="default"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16</w:t>
            </w:r>
          </w:p>
        </w:tc>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lang w:val="en-US" w:eastAsia="zh-CN"/>
              </w:rPr>
              <w:t>马传贫琼脂扩散诊断试剂盒</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lang w:val="en-US" w:eastAsia="zh-CN"/>
              </w:rPr>
              <w:t>（每套4瓶,其中包含抗原 1瓶（每瓶2ml），阳性血清3 瓶（每瓶2ml））</w:t>
            </w:r>
          </w:p>
        </w:tc>
        <w:tc>
          <w:tcPr>
            <w:tcW w:w="549"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lang w:val="en-US" w:eastAsia="zh-CN"/>
              </w:rPr>
              <w:t>套</w:t>
            </w:r>
          </w:p>
        </w:tc>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lang w:val="en-US" w:eastAsia="zh-CN"/>
              </w:rPr>
              <w:t>5</w:t>
            </w:r>
          </w:p>
        </w:tc>
        <w:tc>
          <w:tcPr>
            <w:tcW w:w="518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lang w:val="en-US" w:eastAsia="zh-CN"/>
              </w:rPr>
              <w:t>【主要成分】 抗原为马传染性贫血病毒弱毒，阳性血清为抗马传染性贫血病毒的马血 清。</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 xml:space="preserve">【性状】 抗原为白色疏松状团块，易与瓶壁脱离，加 PBS（0.01mol/L.pH 值 7.4）稀释 后迅速溶解，阳性血清为黄色海绵状疏松团块，易与瓶壁脱离，加 PBS（0.01mol/L.pH 值 7.4） 稀释后迅速溶解。 </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 xml:space="preserve">【作用与用途】 用于琼脂扩散试验诊断马传染性贫血。 </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 xml:space="preserve">【用法与判定】 （1） 用法 用含 0.01%硫柳汞的 PBS 制备 1%琼脂平板，按六角形 打孔，孔径为 5.0mm，孔距为 3.0mm。中心孔滴加抗原，阳性血清滴加 2、4 孔，6 孔加阴性 血清，被检血清滴加 1、3、5 孔，滴加时以孔满为度。置 15℃~30℃ 72 小时，于 24、48 及 72 小时各观察 1 次。 （2） 判定 当阳性血清与抗原孔之间有明显沉淀线，阴性血清与抗原孔之间无沉淀线， 而被检血清与抗原孔之间也有明显沉淀线，或阳性血清与抗原孔之间的沉淀线末端向毗邻的 被检血清孔内侧偏弯时，该被检血清为阳性。 当阳性血清与抗原孔之间有明显沉淀线，而被检血清与抗原孔之间无沉淀线，或阳性血 清与抗原孔之间的沉淀线末端向毗邻的被检血清孔直伸或向外侧偏弯时，该被检血清为阴性。 </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【注意事项】 （1）在低温条件下运送，使用过程中避免反复冻融。琼脂板现用现配， 并防止琼脂厚度不均。 （2）判定时应借助光源及放大镜，避免漏判或错判。</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 xml:space="preserve">【规 格】 抗原为 2ml/瓶；阳性血清为 2ml/瓶 </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【贮藏与有效期】 -20℃以下保存，有效期均为 24 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rPr>
            </w:pPr>
          </w:p>
          <w:p>
            <w:pPr>
              <w:numPr>
                <w:ilvl w:val="0"/>
                <w:numId w:val="0"/>
              </w:numPr>
              <w:spacing w:line="660" w:lineRule="exact"/>
              <w:jc w:val="center"/>
              <w:outlineLvl w:val="0"/>
              <w:rPr>
                <w:rFonts w:hint="default"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17</w:t>
            </w:r>
          </w:p>
        </w:tc>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lang w:val="en-US" w:eastAsia="zh-CN"/>
              </w:rPr>
              <w:t>布病虎红平板凝集抗原</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15毫升/瓶</w:t>
            </w:r>
          </w:p>
        </w:tc>
        <w:tc>
          <w:tcPr>
            <w:tcW w:w="549"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瓶</w:t>
            </w:r>
          </w:p>
        </w:tc>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default"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100</w:t>
            </w:r>
          </w:p>
        </w:tc>
        <w:tc>
          <w:tcPr>
            <w:tcW w:w="518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 用于牛、羊等血清样本布鲁氏菌病抗体检测；</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2 采用虎红平板凝集试验方法，敏感性：90%以上；特异性：85%以上；稳定性：批内及批间差异≤3%；</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3 试剂盒满足《动物布鲁氏菌病诊断技术（GB/T 18646-2018）》要求；</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4 其他要求：①抗原为灭活的布鲁氏菌菌株，15mL/瓶；②有效期≥12个月。</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★符合国家布鲁氏菌病参考实验室质量标准和OIE布鲁氏菌实验室标准，提供证明材料加盖生产厂家鲜章。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numPr>
                <w:ilvl w:val="0"/>
                <w:numId w:val="0"/>
              </w:numPr>
              <w:spacing w:line="660" w:lineRule="exact"/>
              <w:jc w:val="center"/>
              <w:outlineLvl w:val="0"/>
              <w:rPr>
                <w:rFonts w:hint="default"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18</w:t>
            </w:r>
          </w:p>
        </w:tc>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lang w:val="en-US" w:eastAsia="zh-CN"/>
              </w:rPr>
              <w:t>布病试管凝集抗原</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15毫升/瓶</w:t>
            </w:r>
          </w:p>
        </w:tc>
        <w:tc>
          <w:tcPr>
            <w:tcW w:w="549"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瓶</w:t>
            </w:r>
          </w:p>
        </w:tc>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default"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15</w:t>
            </w:r>
          </w:p>
        </w:tc>
        <w:tc>
          <w:tcPr>
            <w:tcW w:w="518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 用于牛、羊等血清样本布鲁氏菌病抗体检测；</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2 采用试管凝集试验方法，敏感性：85%以上；特异性：90%以上；稳定性：批内及批间差异≤3%；</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3 试剂盒满足《动物布鲁氏菌病诊断技术（GB/T 18646-2018）》要求；</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4 其他要求：①抗原为灭活的布鲁氏菌菌株，15mL/瓶；②有效期≥18个月。</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 符合国家布鲁氏菌病参考实验室质量标准和OIE布鲁氏菌实验室标准，提供证明材料并加盖生产厂家鲜章。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numPr>
                <w:ilvl w:val="0"/>
                <w:numId w:val="0"/>
              </w:numPr>
              <w:spacing w:line="660" w:lineRule="exact"/>
              <w:jc w:val="center"/>
              <w:outlineLvl w:val="0"/>
              <w:rPr>
                <w:rFonts w:hint="default"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19</w:t>
            </w:r>
          </w:p>
        </w:tc>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lang w:val="en-US" w:eastAsia="zh-CN"/>
              </w:rPr>
              <w:t>布病阳性血清</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1毫升/瓶</w:t>
            </w:r>
          </w:p>
        </w:tc>
        <w:tc>
          <w:tcPr>
            <w:tcW w:w="549"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瓶</w:t>
            </w:r>
          </w:p>
        </w:tc>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10</w:t>
            </w:r>
          </w:p>
        </w:tc>
        <w:tc>
          <w:tcPr>
            <w:tcW w:w="518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 用于布鲁氏菌病平板凝集、试管凝集试验对照；</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2 满足《动物布鲁氏菌病诊断技术（GB/T 18646-2018）》要求；</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3 其他要求：①阳性血清1mL/瓶；②有效期≥12个月。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rPr>
            </w:pPr>
          </w:p>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rPr>
            </w:pPr>
          </w:p>
          <w:p>
            <w:pPr>
              <w:numPr>
                <w:ilvl w:val="0"/>
                <w:numId w:val="0"/>
              </w:numPr>
              <w:spacing w:line="660" w:lineRule="exact"/>
              <w:jc w:val="center"/>
              <w:outlineLvl w:val="0"/>
              <w:rPr>
                <w:rFonts w:hint="default"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20</w:t>
            </w:r>
          </w:p>
        </w:tc>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lang w:val="en-US" w:eastAsia="zh-CN"/>
              </w:rPr>
              <w:t>小反刍兽疫荧光定量PCR试剂盒</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50T/盒</w:t>
            </w:r>
          </w:p>
        </w:tc>
        <w:tc>
          <w:tcPr>
            <w:tcW w:w="549"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盒</w:t>
            </w:r>
          </w:p>
        </w:tc>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w:t>
            </w:r>
          </w:p>
        </w:tc>
        <w:tc>
          <w:tcPr>
            <w:tcW w:w="518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 用于病例拭子、血液、淋巴结、口鼻棉拭子等样本中的小反刍兽疫病毒核酸检测。</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2. 规格：≥48T/盒。</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3.含有完成扩增过程所需全部试剂。</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▲4. 反应体系20ul。</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▲5. 反应参数设置：FAM通道收集小反刍兽疫病毒荧光信号。</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第一阶段，反转录42℃/5分钟；</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第二阶段，预变性95℃/10秒；</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第三阶段，95℃/5秒，60℃/40秒共40个循环。荧光收集在第三阶段每次循环的60℃延伸时进行。</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6. 使用CT值和扩增曲线共同判定结果。</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7. 保存条件：不同试剂分开包装，其中核酸提取试剂储存于常温，扩增用试剂-20℃保存。</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8.特异性100%，批间批内差异≤3%。</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9. 有效期：12个月。</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★10.生产厂家具有经农业农村部核发的《兽药GMP证书》和《兽药生产许可证》（包括：分子生物学诊断制品（B类））。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rPr>
            </w:pPr>
          </w:p>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rPr>
            </w:pPr>
          </w:p>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rPr>
            </w:pPr>
          </w:p>
          <w:p>
            <w:pPr>
              <w:numPr>
                <w:ilvl w:val="0"/>
                <w:numId w:val="0"/>
              </w:numPr>
              <w:spacing w:line="660" w:lineRule="exact"/>
              <w:jc w:val="center"/>
              <w:outlineLvl w:val="0"/>
              <w:rPr>
                <w:rFonts w:hint="default"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21</w:t>
            </w:r>
          </w:p>
        </w:tc>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lang w:val="en-US" w:eastAsia="zh-CN"/>
              </w:rPr>
              <w:t>猪瘟荧光定量PCR试剂盒</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50T/盒</w:t>
            </w:r>
          </w:p>
        </w:tc>
        <w:tc>
          <w:tcPr>
            <w:tcW w:w="549"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盒</w:t>
            </w:r>
          </w:p>
        </w:tc>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w:t>
            </w:r>
          </w:p>
        </w:tc>
        <w:tc>
          <w:tcPr>
            <w:tcW w:w="518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 用于猪全血、扁桃体、淋巴结、脾脏、肺等样本中的猪瘟病毒核酸检测。</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2. 规格：≥48T/盒。</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3.含有完成扩增过程所需全部试剂。</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▲4. 反应体系20ul。</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▲5. 反应参数设置：FAM通道收集高致病性猪繁殖与呼吸综合征病毒荧光信号。</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第一阶段，反转录42℃/5分钟；</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第二阶段，预变性95℃/10秒；</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第三阶段，95℃/5秒，60℃/40秒共40个循环。荧光收集在第三阶段每次循环的60℃延伸时进行。</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6. 使用CT值和扩增曲线共同判定结果。</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7. 保存条件：不同试剂分开包装，其中核酸提取试剂储存于常温，扩增用试剂-20℃保存。</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8.特异性100%，批间批内差异≤3%。</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9. 有效期：12个月。</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★10.有兽药生产许可证，且生产范围含有分子生物学诊断制品（B类）生产线</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★11. GMP证验收范围含有分子生物学诊断制品（B类）生产线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rPr>
            </w:pPr>
          </w:p>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22</w:t>
            </w:r>
          </w:p>
          <w:p>
            <w:pPr>
              <w:numPr>
                <w:ilvl w:val="0"/>
                <w:numId w:val="0"/>
              </w:numPr>
              <w:spacing w:line="660" w:lineRule="exact"/>
              <w:jc w:val="center"/>
              <w:outlineLvl w:val="0"/>
              <w:rPr>
                <w:rFonts w:hint="default" w:ascii="CESI仿宋-GB2312" w:hAnsi="CESI仿宋-GB2312" w:eastAsia="CESI仿宋-GB2312" w:cs="CESI仿宋-GB2312"/>
                <w:sz w:val="15"/>
                <w:szCs w:val="15"/>
                <w:vertAlign w:val="baseline"/>
                <w:lang w:val="en-US" w:eastAsia="zh-CN"/>
              </w:rPr>
            </w:pPr>
          </w:p>
        </w:tc>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lang w:val="en-US" w:eastAsia="zh-CN"/>
              </w:rPr>
              <w:t>新城疫荧光定量PCR试剂盒</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50T/盒</w:t>
            </w:r>
          </w:p>
        </w:tc>
        <w:tc>
          <w:tcPr>
            <w:tcW w:w="549"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盒</w:t>
            </w:r>
          </w:p>
        </w:tc>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w:t>
            </w:r>
          </w:p>
        </w:tc>
        <w:tc>
          <w:tcPr>
            <w:tcW w:w="518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1.用于鸡全血、组织、咽泄拭子等样本中的新城疫病毒核酸检测。</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2.规格：≥48T/盒。</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3.含有完成扩增过程所需全部试剂。</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4.保存条件：方便贮藏管理，不同试剂分开包装，其中核酸提取试剂于常温；扩增用试剂（采用反转录、扩增一步法）-20℃保存</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▲5.敏感性：敏感性达到98%以上，灵敏度与鸡胚分离法接近。</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▲6.特异性：100%。</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▲7.稳定性：批内及批间差异≤3%。</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8.试剂盒有效期12个月。</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★9.生产厂家具有经农业农村部核发的《兽药GMP证书》和《兽药生产许可证》。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rPr>
            </w:pPr>
          </w:p>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rPr>
            </w:pPr>
          </w:p>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rPr>
            </w:pPr>
          </w:p>
          <w:p>
            <w:pPr>
              <w:numPr>
                <w:ilvl w:val="0"/>
                <w:numId w:val="0"/>
              </w:numPr>
              <w:spacing w:line="660" w:lineRule="exact"/>
              <w:jc w:val="center"/>
              <w:outlineLvl w:val="0"/>
              <w:rPr>
                <w:rFonts w:hint="default"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23</w:t>
            </w:r>
          </w:p>
        </w:tc>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lang w:val="en-US" w:eastAsia="zh-CN"/>
              </w:rPr>
              <w:t>高致病性蓝耳病荧光定量PCR试剂盒</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50T/盒</w:t>
            </w:r>
          </w:p>
        </w:tc>
        <w:tc>
          <w:tcPr>
            <w:tcW w:w="549"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盒</w:t>
            </w:r>
          </w:p>
        </w:tc>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w:t>
            </w:r>
          </w:p>
        </w:tc>
        <w:tc>
          <w:tcPr>
            <w:tcW w:w="518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 用于猪全血、扁桃体、淋巴结、脾脏、肺等样本中的高致病性猪繁殖与呼吸综合征病毒核酸检测。</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2. 规格：≥48T/盒。</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3.含有完成扩增过程所需全部试剂。</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▲4. 反应体系20ul。</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▲5. 反应参数设置：FAM通道收集高致病性猪繁殖与呼吸综合征病毒荧光信号。</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第一阶段，反转录42℃/5分钟；</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第二阶段，预变性95℃/10秒；</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第三阶段，95℃/5秒，60℃/40秒共40个循环。荧光收集在第三阶段每次循环的60℃延伸时进行。</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6. 使用CT值和扩增曲线共同判定结果。</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7. 保存条件：不同试剂分开包装，其中核酸提取试剂储存于常温，扩增用试剂-20℃保存。</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8.特异性100%，批间批内差异≤3%。</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9. 有效期：12个月。</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★10.有兽药生产许可证，且生产范围含有分子生物学诊断制品（B类）生产线</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★11. GMP证验收范围含有分子生物学诊断制品（B类）生产线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rPr>
            </w:pPr>
          </w:p>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rPr>
            </w:pPr>
          </w:p>
          <w:p>
            <w:pPr>
              <w:numPr>
                <w:ilvl w:val="0"/>
                <w:numId w:val="0"/>
              </w:numPr>
              <w:spacing w:line="660" w:lineRule="exact"/>
              <w:jc w:val="center"/>
              <w:outlineLvl w:val="0"/>
              <w:rPr>
                <w:rFonts w:hint="default"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24</w:t>
            </w:r>
          </w:p>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rPr>
            </w:pPr>
          </w:p>
        </w:tc>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lang w:val="en-US" w:eastAsia="zh-CN"/>
              </w:rPr>
              <w:t>禽流感病毒N6亚型实时荧光RT-PCR检测试剂盒</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50T/盒</w:t>
            </w:r>
          </w:p>
        </w:tc>
        <w:tc>
          <w:tcPr>
            <w:tcW w:w="549"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盒</w:t>
            </w:r>
          </w:p>
        </w:tc>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w:t>
            </w:r>
          </w:p>
        </w:tc>
        <w:tc>
          <w:tcPr>
            <w:tcW w:w="518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1.用于鸡全血、组织、咽泄拭子等样本中的禽流感N6病毒核酸检测。</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2.规格：50T/盒。</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3.含有完成扩增过程所需全部试剂。</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4.保存条件：方便贮藏管理，不同试剂分开包装，其中核酸提取试剂于常温；扩增用试剂（采用反转录、扩增一步法）-20℃保存</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▲5.敏感性：敏感性达到98%以上，灵敏度与鸡胚分离法接近。</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▲6.特异性：100%。</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▲7.稳定性：批内及批间差异≤3%。</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8.试剂盒有效期12个月。</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★9.生产厂家具有经农业农村部核发的《兽药GMP证书》和《兽药生产许可证》。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rPr>
            </w:pPr>
          </w:p>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rPr>
            </w:pPr>
          </w:p>
          <w:p>
            <w:pPr>
              <w:numPr>
                <w:ilvl w:val="0"/>
                <w:numId w:val="0"/>
              </w:numPr>
              <w:spacing w:line="660" w:lineRule="exact"/>
              <w:jc w:val="center"/>
              <w:outlineLvl w:val="0"/>
              <w:rPr>
                <w:rFonts w:hint="default"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25</w:t>
            </w:r>
          </w:p>
        </w:tc>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lang w:val="en-US" w:eastAsia="zh-CN"/>
              </w:rPr>
              <w:t>禽流感病毒N8亚型实时荧光RT-PCR检测试剂盒</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50T/盒</w:t>
            </w:r>
          </w:p>
        </w:tc>
        <w:tc>
          <w:tcPr>
            <w:tcW w:w="549"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盒</w:t>
            </w:r>
          </w:p>
        </w:tc>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w:t>
            </w:r>
          </w:p>
        </w:tc>
        <w:tc>
          <w:tcPr>
            <w:tcW w:w="518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1.用于鸡全血、组织、咽泄拭子等样本中的禽流感N8病毒核酸检测。</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2.规格：50T/盒。</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3.含有完成扩增过程所需全部试剂。</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4.保存条件：方便贮藏管理，不同试剂分开包装，其中核酸提取试剂于常温；扩增用试剂（采用反转录、扩增一步法）-20℃保存</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▲5.敏感性：敏感性达到98%以上，灵敏度与鸡胚分离法接近。</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▲6.特异性：100%。</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▲7.稳定性：批内及批间差异≤3%。</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8.试剂盒有效期12个月。</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★9.生产厂家具有经农业农村部核发的《兽药GMP证书》和《兽药生产许可证》。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rPr>
            </w:pPr>
          </w:p>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rPr>
            </w:pPr>
          </w:p>
          <w:p>
            <w:pPr>
              <w:numPr>
                <w:ilvl w:val="0"/>
                <w:numId w:val="0"/>
              </w:numPr>
              <w:spacing w:line="660" w:lineRule="exact"/>
              <w:jc w:val="center"/>
              <w:outlineLvl w:val="0"/>
              <w:rPr>
                <w:rFonts w:hint="default"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26</w:t>
            </w:r>
          </w:p>
        </w:tc>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lang w:val="en-US" w:eastAsia="zh-CN"/>
              </w:rPr>
              <w:t>禽流感病毒H5亚型实时荧光RT-PCR检测试剂盒</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50T/盒</w:t>
            </w:r>
          </w:p>
        </w:tc>
        <w:tc>
          <w:tcPr>
            <w:tcW w:w="549"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盒</w:t>
            </w:r>
          </w:p>
        </w:tc>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w:t>
            </w:r>
          </w:p>
        </w:tc>
        <w:tc>
          <w:tcPr>
            <w:tcW w:w="518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1.用于鸡全血、组织、咽泄拭子等样本中的禽流感H5病毒核酸检测。</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2.规格：≥48T/盒。</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3.含有完成扩增过程所需全部试剂。</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4.保存条件：方便贮藏管理，不同试剂分开包装，其中核酸提取试剂于常温；扩增用试剂（采用反转录、扩增一步法）-20℃保存</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▲5.敏感性：敏感性达到98%以上，灵敏度与鸡胚分离法接近。</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▲6.特异性：100%。</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▲7.稳定性：批内及批间差异≤3%。</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8.试剂盒有效期12个月。</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★9.生产厂家具有经农业农村部核发的《兽药GMP证书》和《兽药生产许可证》。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numPr>
                <w:ilvl w:val="0"/>
                <w:numId w:val="0"/>
              </w:numPr>
              <w:spacing w:line="660" w:lineRule="exact"/>
              <w:jc w:val="center"/>
              <w:outlineLvl w:val="0"/>
              <w:rPr>
                <w:rFonts w:hint="default"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27</w:t>
            </w:r>
          </w:p>
        </w:tc>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lang w:val="en-US" w:eastAsia="zh-CN"/>
              </w:rPr>
              <w:t>禽流感H7亚型PCR试剂盒</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50T/盒</w:t>
            </w:r>
          </w:p>
        </w:tc>
        <w:tc>
          <w:tcPr>
            <w:tcW w:w="549"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盒</w:t>
            </w:r>
          </w:p>
        </w:tc>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w:t>
            </w:r>
          </w:p>
        </w:tc>
        <w:tc>
          <w:tcPr>
            <w:tcW w:w="518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1.用于鸡全血、组织、咽泄拭子等样本中的禽流感H7病毒核酸检测。</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2.规格：≥48T/盒。</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3.含有完成扩增过程所需全部试剂。</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4.保存条件：方便贮藏管理，不同试剂分开包装，其中核酸提取试剂于常温；扩增用试剂（采用反转录、扩增一步法）-20℃保存</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▲5.敏感性：敏感性达到98%以上，灵敏度与鸡胚分离法接近。</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▲6.特异性：100%。</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▲7.稳定性：批内及批间差异≤3%。</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8.试剂盒有效期12个月。</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★9.生产厂家具有经农业农村部核发的《兽药GMP证书》和《兽药生产许可证》。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numPr>
                <w:ilvl w:val="0"/>
                <w:numId w:val="0"/>
              </w:numPr>
              <w:spacing w:line="660" w:lineRule="exact"/>
              <w:jc w:val="both"/>
              <w:outlineLvl w:val="0"/>
              <w:rPr>
                <w:rFonts w:hint="eastAsia" w:ascii="CESI仿宋-GB2312" w:hAnsi="CESI仿宋-GB2312" w:eastAsia="CESI仿宋-GB2312" w:cs="CESI仿宋-GB2312"/>
                <w:sz w:val="15"/>
                <w:szCs w:val="15"/>
                <w:vertAlign w:val="baseline"/>
              </w:rPr>
            </w:pPr>
          </w:p>
          <w:p>
            <w:pPr>
              <w:numPr>
                <w:ilvl w:val="0"/>
                <w:numId w:val="0"/>
              </w:numPr>
              <w:spacing w:line="660" w:lineRule="exact"/>
              <w:jc w:val="center"/>
              <w:outlineLvl w:val="0"/>
              <w:rPr>
                <w:rFonts w:hint="default"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28</w:t>
            </w:r>
          </w:p>
        </w:tc>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lang w:val="en-US" w:eastAsia="zh-CN"/>
              </w:rPr>
              <w:t>口蹄疫三通道PCR试剂盒带提取盒</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48T/盒</w:t>
            </w:r>
          </w:p>
        </w:tc>
        <w:tc>
          <w:tcPr>
            <w:tcW w:w="549"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盒</w:t>
            </w:r>
          </w:p>
        </w:tc>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w:t>
            </w:r>
          </w:p>
        </w:tc>
        <w:tc>
          <w:tcPr>
            <w:tcW w:w="518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 用于发病动物全血、扁桃体、淋巴结、脾脏、肺等样本中的口蹄疫通用型，O型，A型病毒核酸检测。</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2. 规格：≥48T/盒。</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3.含有完成扩增过程所需全部试剂。</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▲4. 反应体系25ul。</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▲5. 反应参数设置：                                                                                                               口蹄疫病毒通用型(FMDV-GT)—FAM通道采集荧光信号；</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口蹄疫病毒O型(FMDV-O)—VIC通道采集荧光信号；</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口蹄疫病毒A型(FMDV-A)—Texas Red通道采集荧光信号。</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第一阶段，反转录50℃/10分钟；</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第二阶段，预变性95℃/30秒；</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第三阶段，95℃/10秒，60℃/30秒共40个循环。荧光收集在第三阶段每次循环的60℃延伸时进行。</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6. 使用CT值和扩增曲线共同判定结果。</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7. 保存条件：不同试剂分开包装，其中核酸提取试剂储存于常温，扩增用试剂-20℃保存。</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8.特异性100%，批间批内差异≤3%。</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9. 有效期：12个月。</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★10.有兽药生产许可证，且生产范围含有分子生物学诊断制品（B类）生产线</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★11. GMP证验收范围含有分子生物学诊断制品（B类）生产线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numPr>
                <w:ilvl w:val="0"/>
                <w:numId w:val="0"/>
              </w:numPr>
              <w:spacing w:line="660" w:lineRule="exact"/>
              <w:jc w:val="center"/>
              <w:outlineLvl w:val="0"/>
              <w:rPr>
                <w:rFonts w:hint="default"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29</w:t>
            </w:r>
          </w:p>
        </w:tc>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lang w:val="en-US" w:eastAsia="zh-CN"/>
              </w:rPr>
              <w:t>200μl吸头</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1000个/包</w:t>
            </w:r>
          </w:p>
        </w:tc>
        <w:tc>
          <w:tcPr>
            <w:tcW w:w="549"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包</w:t>
            </w:r>
          </w:p>
        </w:tc>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20</w:t>
            </w:r>
          </w:p>
        </w:tc>
        <w:tc>
          <w:tcPr>
            <w:tcW w:w="518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1.通用适配吸头-兼容大多数科研级移液器</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2.多种包装形式-通用和滤芯吸头有袋装/盒装</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3.锥形孔-减少了样本残留，增加了移液器的精确性</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4.洁净室生产环境-确保产品无DNA酶/RNA酶和无热原稳定的产品质量-每一批次生产都进行严格测试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numPr>
                <w:ilvl w:val="0"/>
                <w:numId w:val="0"/>
              </w:numPr>
              <w:spacing w:line="660" w:lineRule="exact"/>
              <w:jc w:val="center"/>
              <w:outlineLvl w:val="0"/>
              <w:rPr>
                <w:rFonts w:hint="default"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30</w:t>
            </w:r>
          </w:p>
        </w:tc>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lang w:val="en-US" w:eastAsia="zh-CN"/>
              </w:rPr>
              <w:t>300μl吸头</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1000个/包</w:t>
            </w:r>
          </w:p>
        </w:tc>
        <w:tc>
          <w:tcPr>
            <w:tcW w:w="549"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包</w:t>
            </w:r>
          </w:p>
        </w:tc>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10</w:t>
            </w:r>
          </w:p>
        </w:tc>
        <w:tc>
          <w:tcPr>
            <w:tcW w:w="518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1.通用适配吸头-兼容大多数科研级移液器</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2.多种包装形式-通用和滤芯吸头有袋装/盒装</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3.锥形孔-减少了样本残留，增加了移液器的精确性</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4.洁净室生产环境-确保产品无DNA酶/RNA酶和无热原稳定的产品质量-每一批次生产都进行严格测试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lang w:val="en-US" w:eastAsia="zh-CN"/>
              </w:rPr>
            </w:pPr>
          </w:p>
          <w:p>
            <w:pPr>
              <w:numPr>
                <w:ilvl w:val="0"/>
                <w:numId w:val="0"/>
              </w:numPr>
              <w:spacing w:line="660" w:lineRule="exact"/>
              <w:jc w:val="center"/>
              <w:outlineLvl w:val="0"/>
              <w:rPr>
                <w:rFonts w:hint="eastAsia" w:ascii="CESI仿宋-GB2312" w:hAnsi="CESI仿宋-GB2312" w:eastAsia="CESI仿宋-GB2312" w:cs="CESI仿宋-GB2312"/>
                <w:sz w:val="15"/>
                <w:szCs w:val="15"/>
                <w:vertAlign w:val="baseline"/>
                <w:lang w:val="en-US" w:eastAsia="zh-CN"/>
              </w:rPr>
            </w:pPr>
          </w:p>
          <w:p>
            <w:pPr>
              <w:numPr>
                <w:ilvl w:val="0"/>
                <w:numId w:val="0"/>
              </w:numPr>
              <w:spacing w:line="660" w:lineRule="exact"/>
              <w:jc w:val="center"/>
              <w:outlineLvl w:val="0"/>
              <w:rPr>
                <w:rFonts w:hint="default"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31</w:t>
            </w:r>
          </w:p>
        </w:tc>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lang w:val="en-US" w:eastAsia="zh-CN"/>
              </w:rPr>
              <w:t>免洗75%酒精消毒凝胶</w:t>
            </w:r>
          </w:p>
        </w:tc>
        <w:tc>
          <w:tcPr>
            <w:tcW w:w="804"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500ml</w:t>
            </w:r>
          </w:p>
        </w:tc>
        <w:tc>
          <w:tcPr>
            <w:tcW w:w="549"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瓶</w:t>
            </w:r>
          </w:p>
        </w:tc>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50</w:t>
            </w:r>
          </w:p>
        </w:tc>
        <w:tc>
          <w:tcPr>
            <w:tcW w:w="5187"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0"/>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【主要成分及含量】本产品含乙醇75%±5%(vM)</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【剂型】凝胶</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【主要功效】对黄金色葡萄球菌、大肠杆菌、白色念珠菌、铜绿假单胞菊有抑菌作用</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【规格型号】500ml/瓶</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【用法用量】按压手泵，喷到手部，搓均匀即可。</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【适用范围】1.卫生手消毒:取本品5ml涂于手部，搓擦1分钟。</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2外科手消毒:按规范清洗双手，流水冲净，无菌毛巾擦干，然后取本品5-10mi均匀涂于手及前臂部一遍拔擦双手3分钟至干。</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【禁忌】不得口服</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【注意事项】1.本品为外用品，禁止内服，请将本品放在儿童不能接触的地方。</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2密闭，置于凉暗处保存</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3.如不慎入眼，可用清水彻底清洗。</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【贮藏】密时置于凉暗处保存。</w:t>
            </w:r>
            <w:r>
              <w:rPr>
                <w:rFonts w:hint="eastAsia" w:ascii="CESI仿宋-GB2312" w:hAnsi="CESI仿宋-GB2312" w:eastAsia="CESI仿宋-GB2312" w:cs="CESI仿宋-GB2312"/>
                <w:spacing w:val="4"/>
                <w:sz w:val="15"/>
                <w:szCs w:val="15"/>
                <w:lang w:val="en-US" w:eastAsia="zh-CN"/>
              </w:rPr>
              <w:br w:type="textWrapping"/>
            </w:r>
            <w:r>
              <w:rPr>
                <w:rFonts w:hint="eastAsia" w:ascii="CESI仿宋-GB2312" w:hAnsi="CESI仿宋-GB2312" w:eastAsia="CESI仿宋-GB2312" w:cs="CESI仿宋-GB2312"/>
                <w:spacing w:val="4"/>
                <w:sz w:val="15"/>
                <w:szCs w:val="15"/>
                <w:lang w:val="en-US" w:eastAsia="zh-CN"/>
              </w:rPr>
              <w:t>【保质期】24个月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numPr>
                <w:ilvl w:val="0"/>
                <w:numId w:val="0"/>
              </w:numPr>
              <w:spacing w:line="660" w:lineRule="exact"/>
              <w:jc w:val="center"/>
              <w:outlineLvl w:val="0"/>
              <w:rPr>
                <w:rFonts w:hint="default"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32</w:t>
            </w:r>
          </w:p>
        </w:tc>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lang w:val="en-US" w:eastAsia="zh-CN"/>
              </w:rPr>
              <w:t>一次性使用灭菌橡胶外科手套</w:t>
            </w:r>
          </w:p>
        </w:tc>
        <w:tc>
          <w:tcPr>
            <w:tcW w:w="804" w:type="dxa"/>
            <w:noWrap w:val="0"/>
            <w:vAlign w:val="top"/>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50双/盒</w:t>
            </w:r>
          </w:p>
        </w:tc>
        <w:tc>
          <w:tcPr>
            <w:tcW w:w="549" w:type="dxa"/>
            <w:noWrap w:val="0"/>
            <w:vAlign w:val="top"/>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盒</w:t>
            </w:r>
          </w:p>
        </w:tc>
        <w:tc>
          <w:tcPr>
            <w:tcW w:w="657" w:type="dxa"/>
            <w:noWrap w:val="0"/>
            <w:vAlign w:val="top"/>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lang w:val="en-US" w:eastAsia="zh-CN"/>
              </w:rPr>
            </w:pPr>
            <w:r>
              <w:rPr>
                <w:rFonts w:hint="eastAsia" w:ascii="CESI仿宋-GB2312" w:hAnsi="CESI仿宋-GB2312" w:eastAsia="CESI仿宋-GB2312" w:cs="CESI仿宋-GB2312"/>
                <w:spacing w:val="4"/>
                <w:sz w:val="15"/>
                <w:szCs w:val="15"/>
                <w:lang w:val="en-US" w:eastAsia="zh-CN"/>
              </w:rPr>
              <w:t>20</w:t>
            </w:r>
          </w:p>
        </w:tc>
        <w:tc>
          <w:tcPr>
            <w:tcW w:w="518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outlineLvl w:val="0"/>
              <w:rPr>
                <w:rFonts w:hint="eastAsia" w:ascii="CESI仿宋-GB2312" w:hAnsi="CESI仿宋-GB2312" w:eastAsia="CESI仿宋-GB2312" w:cs="CESI仿宋-GB2312"/>
                <w:sz w:val="15"/>
                <w:szCs w:val="15"/>
                <w:vertAlign w:val="baseline"/>
                <w:lang w:val="en-US"/>
              </w:rPr>
            </w:pPr>
            <w:r>
              <w:rPr>
                <w:rFonts w:hint="eastAsia" w:ascii="CESI仿宋-GB2312" w:hAnsi="CESI仿宋-GB2312" w:eastAsia="CESI仿宋-GB2312" w:cs="CESI仿宋-GB2312"/>
                <w:spacing w:val="4"/>
                <w:sz w:val="15"/>
                <w:szCs w:val="15"/>
                <w:lang w:val="en-US" w:eastAsia="zh-CN"/>
              </w:rPr>
              <w:t>每副独立包装、弯型手指、麻面、无粉、分左右手，带包装重29克、净重23克、长27CM、拉伸4倍以上不破损、乳白色。经辐照灭菌，6.5/6各二分之一.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numPr>
                <w:ilvl w:val="0"/>
                <w:numId w:val="0"/>
              </w:numPr>
              <w:spacing w:line="660" w:lineRule="exact"/>
              <w:jc w:val="center"/>
              <w:outlineLvl w:val="0"/>
              <w:rPr>
                <w:rFonts w:hint="default"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33</w:t>
            </w:r>
          </w:p>
        </w:tc>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before="1" w:line="240" w:lineRule="exact"/>
              <w:ind w:left="18"/>
              <w:jc w:val="left"/>
              <w:textAlignment w:val="auto"/>
              <w:rPr>
                <w:rFonts w:hint="eastAsia" w:ascii="CESI仿宋-GB2312" w:hAnsi="CESI仿宋-GB2312" w:eastAsia="CESI仿宋-GB2312" w:cs="CESI仿宋-GB2312"/>
                <w:spacing w:val="4"/>
                <w:sz w:val="15"/>
                <w:szCs w:val="15"/>
              </w:rPr>
            </w:pPr>
            <w:r>
              <w:rPr>
                <w:rFonts w:hint="eastAsia" w:ascii="CESI仿宋-GB2312" w:hAnsi="CESI仿宋-GB2312" w:eastAsia="CESI仿宋-GB2312" w:cs="CESI仿宋-GB2312"/>
                <w:spacing w:val="4"/>
                <w:sz w:val="15"/>
                <w:szCs w:val="15"/>
                <w:lang w:val="en-US" w:eastAsia="zh-CN"/>
              </w:rPr>
              <w:t>商用台式小型电子秤</w:t>
            </w:r>
          </w:p>
        </w:tc>
        <w:tc>
          <w:tcPr>
            <w:tcW w:w="804" w:type="dxa"/>
            <w:noWrap w:val="0"/>
            <w:vAlign w:val="top"/>
          </w:tcPr>
          <w:p>
            <w:pPr>
              <w:numPr>
                <w:ilvl w:val="0"/>
                <w:numId w:val="0"/>
              </w:numPr>
              <w:spacing w:line="660" w:lineRule="exact"/>
              <w:jc w:val="both"/>
              <w:outlineLvl w:val="0"/>
              <w:rPr>
                <w:rFonts w:hint="eastAsia" w:ascii="CESI仿宋-GB2312" w:hAnsi="CESI仿宋-GB2312" w:eastAsia="CESI仿宋-GB2312" w:cs="CESI仿宋-GB2312"/>
                <w:sz w:val="15"/>
                <w:szCs w:val="15"/>
                <w:vertAlign w:val="baseline"/>
                <w:lang w:eastAsia="zh-CN"/>
              </w:rPr>
            </w:pPr>
            <w:r>
              <w:rPr>
                <w:rFonts w:hint="eastAsia" w:ascii="CESI仿宋-GB2312" w:hAnsi="CESI仿宋-GB2312" w:eastAsia="CESI仿宋-GB2312" w:cs="CESI仿宋-GB2312"/>
                <w:sz w:val="15"/>
                <w:szCs w:val="15"/>
                <w:vertAlign w:val="baseline"/>
                <w:lang w:eastAsia="zh-CN"/>
              </w:rPr>
              <w:t>台</w:t>
            </w:r>
          </w:p>
        </w:tc>
        <w:tc>
          <w:tcPr>
            <w:tcW w:w="549" w:type="dxa"/>
            <w:noWrap w:val="0"/>
            <w:vAlign w:val="top"/>
          </w:tcPr>
          <w:p>
            <w:pPr>
              <w:numPr>
                <w:ilvl w:val="0"/>
                <w:numId w:val="0"/>
              </w:numPr>
              <w:spacing w:line="660" w:lineRule="exact"/>
              <w:jc w:val="both"/>
              <w:outlineLvl w:val="0"/>
              <w:rPr>
                <w:rFonts w:hint="eastAsia" w:ascii="CESI仿宋-GB2312" w:hAnsi="CESI仿宋-GB2312" w:eastAsia="CESI仿宋-GB2312" w:cs="CESI仿宋-GB2312"/>
                <w:sz w:val="15"/>
                <w:szCs w:val="15"/>
                <w:vertAlign w:val="baseline"/>
                <w:lang w:eastAsia="zh-CN"/>
              </w:rPr>
            </w:pPr>
            <w:r>
              <w:rPr>
                <w:rFonts w:hint="eastAsia" w:ascii="CESI仿宋-GB2312" w:hAnsi="CESI仿宋-GB2312" w:eastAsia="CESI仿宋-GB2312" w:cs="CESI仿宋-GB2312"/>
                <w:sz w:val="15"/>
                <w:szCs w:val="15"/>
                <w:vertAlign w:val="baseline"/>
                <w:lang w:eastAsia="zh-CN"/>
              </w:rPr>
              <w:t>台</w:t>
            </w:r>
          </w:p>
        </w:tc>
        <w:tc>
          <w:tcPr>
            <w:tcW w:w="657" w:type="dxa"/>
            <w:noWrap w:val="0"/>
            <w:vAlign w:val="top"/>
          </w:tcPr>
          <w:p>
            <w:pPr>
              <w:numPr>
                <w:ilvl w:val="0"/>
                <w:numId w:val="0"/>
              </w:numPr>
              <w:spacing w:line="660" w:lineRule="exact"/>
              <w:jc w:val="both"/>
              <w:outlineLvl w:val="0"/>
              <w:rPr>
                <w:rFonts w:hint="eastAsia" w:ascii="CESI仿宋-GB2312" w:hAnsi="CESI仿宋-GB2312" w:eastAsia="CESI仿宋-GB2312" w:cs="CESI仿宋-GB2312"/>
                <w:sz w:val="15"/>
                <w:szCs w:val="15"/>
                <w:vertAlign w:val="baseline"/>
                <w:lang w:val="en-US" w:eastAsia="zh-CN"/>
              </w:rPr>
            </w:pPr>
            <w:r>
              <w:rPr>
                <w:rFonts w:hint="eastAsia" w:ascii="CESI仿宋-GB2312" w:hAnsi="CESI仿宋-GB2312" w:eastAsia="CESI仿宋-GB2312" w:cs="CESI仿宋-GB2312"/>
                <w:sz w:val="15"/>
                <w:szCs w:val="15"/>
                <w:vertAlign w:val="baseline"/>
                <w:lang w:val="en-US" w:eastAsia="zh-CN"/>
              </w:rPr>
              <w:t>1</w:t>
            </w:r>
          </w:p>
        </w:tc>
        <w:tc>
          <w:tcPr>
            <w:tcW w:w="5187" w:type="dxa"/>
            <w:noWrap w:val="0"/>
            <w:vAlign w:val="top"/>
          </w:tcPr>
          <w:p>
            <w:pPr>
              <w:numPr>
                <w:ilvl w:val="0"/>
                <w:numId w:val="0"/>
              </w:numPr>
              <w:spacing w:line="660" w:lineRule="exact"/>
              <w:jc w:val="both"/>
              <w:outlineLvl w:val="0"/>
              <w:rPr>
                <w:rFonts w:hint="eastAsia" w:ascii="CESI仿宋-GB2312" w:hAnsi="CESI仿宋-GB2312" w:eastAsia="CESI仿宋-GB2312" w:cs="CESI仿宋-GB2312"/>
                <w:sz w:val="15"/>
                <w:szCs w:val="15"/>
                <w:vertAlign w:val="baseline"/>
              </w:rPr>
            </w:pPr>
            <w:r>
              <w:rPr>
                <w:rFonts w:hint="eastAsia" w:ascii="CESI仿宋-GB2312" w:hAnsi="CESI仿宋-GB2312" w:eastAsia="CESI仿宋-GB2312" w:cs="CESI仿宋-GB2312"/>
                <w:sz w:val="15"/>
                <w:szCs w:val="15"/>
                <w:vertAlign w:val="baseline"/>
              </w:rPr>
              <w:t>称量范围：1g-30㎏</w:t>
            </w:r>
          </w:p>
        </w:tc>
      </w:tr>
    </w:tbl>
    <w:p>
      <w:pPr>
        <w:numPr>
          <w:ilvl w:val="0"/>
          <w:numId w:val="0"/>
        </w:numPr>
        <w:spacing w:line="660" w:lineRule="exact"/>
        <w:jc w:val="both"/>
        <w:outlineLvl w:val="0"/>
      </w:pPr>
      <w:bookmarkStart w:id="12" w:name="_GoBack"/>
      <w:bookmarkEnd w:id="12"/>
    </w:p>
    <w:p>
      <w:pPr>
        <w:tabs>
          <w:tab w:val="left" w:pos="363"/>
          <w:tab w:val="center" w:pos="4153"/>
        </w:tabs>
        <w:spacing w:line="660" w:lineRule="exact"/>
        <w:jc w:val="center"/>
        <w:outlineLvl w:val="0"/>
        <w:rPr>
          <w:rFonts w:hint="eastAsia" w:ascii="宋体" w:hAnsi="宋体"/>
          <w:b/>
          <w:sz w:val="32"/>
          <w:szCs w:val="32"/>
        </w:rPr>
      </w:pPr>
      <w:r>
        <w:rPr>
          <w:rFonts w:hint="eastAsia" w:ascii="宋体" w:hAnsi="宋体"/>
          <w:b/>
          <w:sz w:val="32"/>
          <w:szCs w:val="32"/>
        </w:rPr>
        <w:t>第</w:t>
      </w:r>
      <w:r>
        <w:rPr>
          <w:rFonts w:hint="eastAsia" w:ascii="宋体" w:hAnsi="宋体"/>
          <w:b/>
          <w:sz w:val="32"/>
          <w:szCs w:val="32"/>
          <w:lang w:eastAsia="zh-CN"/>
        </w:rPr>
        <w:t>二</w:t>
      </w:r>
      <w:r>
        <w:rPr>
          <w:rFonts w:hint="eastAsia" w:ascii="宋体" w:hAnsi="宋体"/>
          <w:b/>
          <w:sz w:val="32"/>
          <w:szCs w:val="32"/>
        </w:rPr>
        <w:t>部分 公开竞价须知</w:t>
      </w:r>
      <w:bookmarkEnd w:id="1"/>
    </w:p>
    <w:p>
      <w:pPr>
        <w:numPr>
          <w:ilvl w:val="0"/>
          <w:numId w:val="0"/>
        </w:numPr>
        <w:spacing w:line="660" w:lineRule="exact"/>
        <w:jc w:val="both"/>
        <w:outlineLvl w:val="0"/>
        <w:rPr>
          <w:rFonts w:hint="eastAsia" w:ascii="宋体" w:hAnsi="宋体"/>
          <w:b/>
          <w:sz w:val="32"/>
          <w:szCs w:val="32"/>
        </w:rPr>
      </w:pP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为了维护竞价人和采购人的利益，使采购工作公开、公平、公正、规范、廉洁、高效的进行，现就竞价中有关事宜告示如下：</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（一）竞价人应当认真完整地填写竞价文件，字迹要清晰工整，不得涂改、加行。竞价文件填写完毕，竞价人</w:t>
      </w:r>
      <w:r>
        <w:rPr>
          <w:rFonts w:ascii="仿宋_GB2312" w:hAnsi="宋体" w:eastAsia="仿宋_GB2312"/>
          <w:sz w:val="28"/>
          <w:szCs w:val="28"/>
        </w:rPr>
        <w:t>签章</w:t>
      </w:r>
      <w:r>
        <w:rPr>
          <w:rFonts w:hint="eastAsia" w:ascii="仿宋_GB2312" w:hAnsi="宋体" w:eastAsia="仿宋_GB2312"/>
          <w:sz w:val="28"/>
          <w:szCs w:val="28"/>
        </w:rPr>
        <w:t>后，竞价文件方有效。</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（二）竞价文件的组成：</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1．</w:t>
      </w:r>
      <w:bookmarkStart w:id="2" w:name="_Hlk522786964"/>
      <w:r>
        <w:rPr>
          <w:rFonts w:hint="eastAsia" w:ascii="仿宋_GB2312" w:hAnsi="宋体" w:eastAsia="仿宋_GB2312"/>
          <w:sz w:val="28"/>
          <w:szCs w:val="28"/>
        </w:rPr>
        <w:t>竞价函</w:t>
      </w:r>
      <w:bookmarkEnd w:id="2"/>
      <w:r>
        <w:rPr>
          <w:rFonts w:hint="eastAsia" w:ascii="仿宋_GB2312" w:hAnsi="宋体" w:eastAsia="仿宋_GB2312"/>
          <w:sz w:val="28"/>
          <w:szCs w:val="28"/>
        </w:rPr>
        <w:t>(格式附后)；</w:t>
      </w:r>
    </w:p>
    <w:p>
      <w:pPr>
        <w:spacing w:line="480" w:lineRule="exact"/>
        <w:ind w:firstLine="560" w:firstLineChars="200"/>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．竞价承诺书(格式附后)；</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3．相关资质证明文件，包括：在中华人民共和国境内注册，具有独立法人资格，需提供具有统一社会信用代码的营业执照副本；竞价人须</w:t>
      </w:r>
      <w:r>
        <w:rPr>
          <w:rFonts w:hint="eastAsia" w:ascii="仿宋_GB2312" w:eastAsia="仿宋_GB2312"/>
          <w:sz w:val="28"/>
          <w:szCs w:val="28"/>
        </w:rPr>
        <w:t>具有相关兽用生物制品经营许可</w:t>
      </w:r>
      <w:r>
        <w:rPr>
          <w:rFonts w:hint="eastAsia" w:ascii="仿宋_GB2312" w:hAnsi="宋体" w:eastAsia="仿宋_GB2312"/>
          <w:sz w:val="28"/>
          <w:szCs w:val="28"/>
        </w:rPr>
        <w:t>；无不良信用记录；竞价机构法人身份证、用于本项目采购的竞价人身份证；张掖市</w:t>
      </w:r>
      <w:r>
        <w:rPr>
          <w:rFonts w:hint="eastAsia" w:ascii="仿宋_GB2312" w:hAnsi="宋体" w:eastAsia="仿宋_GB2312"/>
          <w:sz w:val="28"/>
          <w:szCs w:val="28"/>
          <w:lang w:eastAsia="zh-CN"/>
        </w:rPr>
        <w:t>动物卫生监督所检测</w:t>
      </w:r>
      <w:r>
        <w:rPr>
          <w:rFonts w:hint="eastAsia" w:ascii="仿宋_GB2312" w:hAnsi="宋体" w:eastAsia="仿宋_GB2312"/>
          <w:sz w:val="28"/>
          <w:szCs w:val="28"/>
        </w:rPr>
        <w:t>试剂和耗材报价表。</w:t>
      </w:r>
    </w:p>
    <w:p>
      <w:pPr>
        <w:spacing w:line="480" w:lineRule="exact"/>
        <w:ind w:firstLine="480"/>
        <w:rPr>
          <w:rFonts w:ascii="仿宋_GB2312" w:hAnsi="宋体" w:eastAsia="仿宋_GB2312"/>
          <w:sz w:val="28"/>
          <w:szCs w:val="28"/>
        </w:rPr>
      </w:pPr>
      <w:r>
        <w:rPr>
          <w:rFonts w:hint="eastAsia" w:ascii="仿宋_GB2312" w:hAnsi="宋体" w:eastAsia="仿宋_GB2312"/>
          <w:sz w:val="28"/>
          <w:szCs w:val="28"/>
        </w:rPr>
        <w:t>竞价方应将竞价文件加盖单位公章在202</w:t>
      </w:r>
      <w:r>
        <w:rPr>
          <w:rFonts w:hint="eastAsia" w:ascii="仿宋_GB2312" w:hAnsi="宋体" w:eastAsia="仿宋_GB2312"/>
          <w:sz w:val="28"/>
          <w:szCs w:val="28"/>
          <w:lang w:val="en-US" w:eastAsia="zh-CN"/>
        </w:rPr>
        <w:t>2</w:t>
      </w:r>
      <w:r>
        <w:rPr>
          <w:rFonts w:hint="eastAsia" w:ascii="仿宋_GB2312" w:hAnsi="宋体" w:eastAsia="仿宋_GB2312"/>
          <w:sz w:val="28"/>
          <w:szCs w:val="28"/>
        </w:rPr>
        <w:t>年</w:t>
      </w:r>
      <w:r>
        <w:rPr>
          <w:rFonts w:hint="eastAsia" w:ascii="仿宋_GB2312" w:hAnsi="宋体" w:eastAsia="仿宋_GB2312"/>
          <w:sz w:val="28"/>
          <w:szCs w:val="28"/>
          <w:u w:val="single"/>
          <w:lang w:val="en-US" w:eastAsia="zh-CN"/>
        </w:rPr>
        <w:t>8</w:t>
      </w:r>
      <w:r>
        <w:rPr>
          <w:rFonts w:hint="eastAsia" w:ascii="仿宋_GB2312" w:hAnsi="宋体" w:eastAsia="仿宋_GB2312"/>
          <w:sz w:val="28"/>
          <w:szCs w:val="28"/>
        </w:rPr>
        <w:t>月</w:t>
      </w:r>
      <w:r>
        <w:rPr>
          <w:rFonts w:hint="eastAsia" w:ascii="仿宋_GB2312" w:hAnsi="宋体" w:eastAsia="仿宋_GB2312"/>
          <w:sz w:val="28"/>
          <w:szCs w:val="28"/>
          <w:u w:val="single"/>
          <w:lang w:val="en-US" w:eastAsia="zh-CN"/>
        </w:rPr>
        <w:t>17</w:t>
      </w:r>
      <w:r>
        <w:rPr>
          <w:rFonts w:hint="eastAsia" w:ascii="仿宋_GB2312" w:hAnsi="宋体" w:eastAsia="仿宋_GB2312"/>
          <w:sz w:val="28"/>
          <w:szCs w:val="28"/>
        </w:rPr>
        <w:t>日1</w:t>
      </w:r>
      <w:r>
        <w:rPr>
          <w:rFonts w:hint="eastAsia" w:ascii="仿宋_GB2312" w:hAnsi="宋体" w:eastAsia="仿宋_GB2312"/>
          <w:sz w:val="28"/>
          <w:szCs w:val="28"/>
          <w:lang w:val="en-US" w:eastAsia="zh-CN"/>
        </w:rPr>
        <w:t>8</w:t>
      </w:r>
      <w:r>
        <w:rPr>
          <w:rFonts w:hint="eastAsia" w:ascii="仿宋_GB2312" w:hAnsi="宋体" w:eastAsia="仿宋_GB2312"/>
          <w:sz w:val="28"/>
          <w:szCs w:val="28"/>
        </w:rPr>
        <w:t>时00分前交</w:t>
      </w:r>
      <w:r>
        <w:rPr>
          <w:rFonts w:hint="eastAsia" w:ascii="仿宋_GB2312" w:hAnsi="宋体" w:eastAsia="仿宋_GB2312"/>
          <w:sz w:val="28"/>
          <w:szCs w:val="28"/>
          <w:lang w:eastAsia="zh-CN"/>
        </w:rPr>
        <w:t>至张掖</w:t>
      </w:r>
      <w:r>
        <w:rPr>
          <w:rFonts w:hint="eastAsia" w:ascii="仿宋_GB2312" w:hAnsi="宋体" w:eastAsia="仿宋_GB2312"/>
          <w:sz w:val="28"/>
          <w:szCs w:val="28"/>
        </w:rPr>
        <w:t>市</w:t>
      </w:r>
      <w:r>
        <w:rPr>
          <w:rFonts w:hint="eastAsia" w:ascii="仿宋_GB2312" w:hAnsi="宋体" w:eastAsia="仿宋_GB2312"/>
          <w:sz w:val="28"/>
          <w:szCs w:val="28"/>
          <w:lang w:eastAsia="zh-CN"/>
        </w:rPr>
        <w:t>动物卫生监督所</w:t>
      </w:r>
      <w:r>
        <w:rPr>
          <w:rFonts w:hint="eastAsia" w:ascii="仿宋_GB2312" w:hAnsi="宋体" w:eastAsia="仿宋_GB2312"/>
          <w:sz w:val="28"/>
          <w:szCs w:val="28"/>
        </w:rPr>
        <w:t>。</w:t>
      </w:r>
    </w:p>
    <w:p>
      <w:pPr>
        <w:spacing w:line="480" w:lineRule="exact"/>
        <w:ind w:firstLine="480"/>
        <w:rPr>
          <w:rFonts w:ascii="仿宋_GB2312" w:hAnsi="宋体" w:eastAsia="仿宋_GB2312"/>
          <w:sz w:val="28"/>
          <w:szCs w:val="28"/>
        </w:rPr>
      </w:pPr>
      <w:r>
        <w:rPr>
          <w:rFonts w:hint="eastAsia" w:ascii="仿宋_GB2312" w:hAnsi="宋体" w:eastAsia="仿宋_GB2312"/>
          <w:sz w:val="28"/>
          <w:szCs w:val="28"/>
        </w:rPr>
        <w:t>（</w:t>
      </w:r>
      <w:r>
        <w:rPr>
          <w:rFonts w:hint="eastAsia" w:ascii="仿宋_GB2312" w:hAnsi="宋体" w:eastAsia="仿宋_GB2312"/>
          <w:sz w:val="28"/>
          <w:szCs w:val="28"/>
          <w:lang w:eastAsia="zh-CN"/>
        </w:rPr>
        <w:t>三</w:t>
      </w:r>
      <w:r>
        <w:rPr>
          <w:rFonts w:hint="eastAsia" w:ascii="仿宋_GB2312" w:hAnsi="宋体" w:eastAsia="仿宋_GB2312"/>
          <w:sz w:val="28"/>
          <w:szCs w:val="28"/>
        </w:rPr>
        <w:t>）竞价人应在竞价前，就采购物的相关情况主动向采购人进行咨询，自行了解采购物品的特性；完成报名的意向竞价方都视同已确认了采购项目、规格等要求，自愿承担一切后果和法律责任。</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w:t>
      </w:r>
      <w:r>
        <w:rPr>
          <w:rFonts w:hint="eastAsia" w:ascii="仿宋_GB2312" w:hAnsi="宋体" w:eastAsia="仿宋_GB2312"/>
          <w:sz w:val="28"/>
          <w:szCs w:val="28"/>
          <w:lang w:eastAsia="zh-CN"/>
        </w:rPr>
        <w:t>四</w:t>
      </w:r>
      <w:r>
        <w:rPr>
          <w:rFonts w:hint="eastAsia" w:ascii="仿宋_GB2312" w:hAnsi="宋体" w:eastAsia="仿宋_GB2312"/>
          <w:sz w:val="28"/>
          <w:szCs w:val="28"/>
        </w:rPr>
        <w:t>）有下列情况之一者，竞价文件视为无效：</w:t>
      </w:r>
    </w:p>
    <w:p>
      <w:pPr>
        <w:spacing w:line="480" w:lineRule="exact"/>
        <w:ind w:firstLine="570"/>
        <w:rPr>
          <w:rFonts w:ascii="仿宋_GB2312" w:hAnsi="宋体" w:eastAsia="仿宋_GB2312"/>
          <w:sz w:val="28"/>
          <w:szCs w:val="28"/>
        </w:rPr>
      </w:pPr>
      <w:r>
        <w:rPr>
          <w:rFonts w:hint="eastAsia" w:ascii="仿宋_GB2312" w:hAnsi="宋体" w:eastAsia="仿宋_GB2312"/>
          <w:sz w:val="28"/>
          <w:szCs w:val="28"/>
        </w:rPr>
        <w:t>1．资质证明文件不全的；</w:t>
      </w:r>
    </w:p>
    <w:p>
      <w:pPr>
        <w:spacing w:line="480" w:lineRule="exact"/>
        <w:ind w:firstLine="570"/>
        <w:rPr>
          <w:rFonts w:ascii="仿宋_GB2312" w:hAnsi="宋体" w:eastAsia="仿宋_GB2312"/>
          <w:sz w:val="28"/>
          <w:szCs w:val="28"/>
        </w:rPr>
      </w:pPr>
      <w:r>
        <w:rPr>
          <w:rFonts w:hint="eastAsia" w:ascii="仿宋_GB2312" w:hAnsi="宋体" w:eastAsia="仿宋_GB2312"/>
          <w:sz w:val="28"/>
          <w:szCs w:val="28"/>
        </w:rPr>
        <w:t>2．《竞价文件》未按要求</w:t>
      </w:r>
      <w:r>
        <w:rPr>
          <w:rFonts w:ascii="仿宋_GB2312" w:hAnsi="宋体" w:eastAsia="仿宋_GB2312"/>
          <w:sz w:val="28"/>
          <w:szCs w:val="28"/>
        </w:rPr>
        <w:t>签章</w:t>
      </w:r>
      <w:r>
        <w:rPr>
          <w:rFonts w:hint="eastAsia" w:ascii="仿宋_GB2312" w:hAnsi="宋体" w:eastAsia="仿宋_GB2312"/>
          <w:sz w:val="28"/>
          <w:szCs w:val="28"/>
        </w:rPr>
        <w:t>的；</w:t>
      </w:r>
    </w:p>
    <w:p>
      <w:pPr>
        <w:spacing w:line="480" w:lineRule="exact"/>
        <w:ind w:firstLine="570"/>
        <w:rPr>
          <w:rFonts w:ascii="仿宋_GB2312" w:hAnsi="宋体" w:eastAsia="仿宋_GB2312"/>
          <w:sz w:val="28"/>
          <w:szCs w:val="28"/>
        </w:rPr>
      </w:pPr>
      <w:r>
        <w:rPr>
          <w:rFonts w:hint="eastAsia" w:ascii="仿宋_GB2312" w:hAnsi="宋体" w:eastAsia="仿宋_GB2312"/>
          <w:sz w:val="28"/>
          <w:szCs w:val="28"/>
        </w:rPr>
        <w:t>3．《竞价文件》填写潦草，字迹或数据难以辨认的；</w:t>
      </w:r>
    </w:p>
    <w:p>
      <w:pPr>
        <w:spacing w:line="480" w:lineRule="exact"/>
        <w:ind w:firstLine="570"/>
        <w:rPr>
          <w:rFonts w:ascii="仿宋_GB2312" w:hAnsi="宋体" w:eastAsia="仿宋_GB2312"/>
          <w:sz w:val="28"/>
          <w:szCs w:val="28"/>
        </w:rPr>
      </w:pPr>
      <w:r>
        <w:rPr>
          <w:rFonts w:ascii="仿宋_GB2312" w:hAnsi="宋体" w:eastAsia="仿宋_GB2312"/>
          <w:sz w:val="28"/>
          <w:szCs w:val="28"/>
        </w:rPr>
        <w:t>4</w:t>
      </w:r>
      <w:r>
        <w:rPr>
          <w:rFonts w:hint="eastAsia" w:ascii="仿宋_GB2312" w:hAnsi="宋体" w:eastAsia="仿宋_GB2312"/>
          <w:sz w:val="28"/>
          <w:szCs w:val="28"/>
        </w:rPr>
        <w:t>．竞价方代表未按时到会，又没有委托代理人的；</w:t>
      </w:r>
    </w:p>
    <w:p>
      <w:pPr>
        <w:spacing w:line="480" w:lineRule="exact"/>
        <w:ind w:firstLine="570"/>
        <w:rPr>
          <w:rFonts w:ascii="仿宋_GB2312" w:hAnsi="宋体" w:eastAsia="仿宋_GB2312"/>
          <w:sz w:val="28"/>
          <w:szCs w:val="28"/>
        </w:rPr>
      </w:pPr>
      <w:r>
        <w:rPr>
          <w:rFonts w:hint="eastAsia" w:ascii="仿宋_GB2312" w:hAnsi="宋体" w:eastAsia="仿宋_GB2312"/>
          <w:sz w:val="28"/>
          <w:szCs w:val="28"/>
        </w:rPr>
        <w:t>5．未交纳竞价保证金或竞价保证金交纳不足的；</w:t>
      </w:r>
    </w:p>
    <w:p>
      <w:pPr>
        <w:spacing w:line="480" w:lineRule="exact"/>
        <w:ind w:firstLine="570"/>
        <w:rPr>
          <w:rFonts w:ascii="仿宋_GB2312" w:hAnsi="宋体" w:eastAsia="仿宋_GB2312"/>
          <w:sz w:val="28"/>
          <w:szCs w:val="28"/>
        </w:rPr>
      </w:pPr>
      <w:r>
        <w:rPr>
          <w:rFonts w:hint="eastAsia" w:ascii="仿宋_GB2312" w:hAnsi="宋体" w:eastAsia="仿宋_GB2312"/>
          <w:sz w:val="28"/>
          <w:szCs w:val="28"/>
        </w:rPr>
        <w:t>6．未</w:t>
      </w:r>
      <w:r>
        <w:rPr>
          <w:rFonts w:ascii="仿宋_GB2312" w:hAnsi="宋体" w:eastAsia="仿宋_GB2312"/>
          <w:sz w:val="28"/>
          <w:szCs w:val="28"/>
        </w:rPr>
        <w:t>按</w:t>
      </w:r>
      <w:r>
        <w:rPr>
          <w:rFonts w:hint="eastAsia" w:ascii="仿宋_GB2312" w:hAnsi="宋体" w:eastAsia="仿宋_GB2312"/>
          <w:sz w:val="28"/>
          <w:szCs w:val="28"/>
        </w:rPr>
        <w:t>要求提交《竞价文件》的。</w:t>
      </w:r>
    </w:p>
    <w:p>
      <w:pPr>
        <w:spacing w:line="480" w:lineRule="exact"/>
        <w:ind w:firstLine="570"/>
        <w:rPr>
          <w:rFonts w:ascii="仿宋_GB2312" w:hAnsi="宋体" w:eastAsia="仿宋_GB2312"/>
          <w:sz w:val="28"/>
          <w:szCs w:val="28"/>
        </w:rPr>
      </w:pPr>
      <w:r>
        <w:rPr>
          <w:rFonts w:hint="eastAsia" w:ascii="仿宋_GB2312" w:hAnsi="宋体" w:eastAsia="仿宋_GB2312"/>
          <w:sz w:val="28"/>
          <w:szCs w:val="28"/>
        </w:rPr>
        <w:t>（</w:t>
      </w:r>
      <w:r>
        <w:rPr>
          <w:rFonts w:hint="eastAsia" w:ascii="仿宋_GB2312" w:hAnsi="宋体" w:eastAsia="仿宋_GB2312"/>
          <w:sz w:val="28"/>
          <w:szCs w:val="28"/>
          <w:lang w:eastAsia="zh-CN"/>
        </w:rPr>
        <w:t>五</w:t>
      </w:r>
      <w:r>
        <w:rPr>
          <w:rFonts w:hint="eastAsia" w:ascii="仿宋_GB2312" w:hAnsi="宋体" w:eastAsia="仿宋_GB2312"/>
          <w:sz w:val="28"/>
          <w:szCs w:val="28"/>
        </w:rPr>
        <w:t>）竞价</w:t>
      </w:r>
      <w:r>
        <w:rPr>
          <w:rFonts w:ascii="仿宋_GB2312" w:hAnsi="宋体" w:eastAsia="仿宋_GB2312"/>
          <w:sz w:val="28"/>
          <w:szCs w:val="28"/>
        </w:rPr>
        <w:t>要求</w:t>
      </w:r>
    </w:p>
    <w:p>
      <w:pPr>
        <w:spacing w:line="480" w:lineRule="exact"/>
        <w:ind w:firstLine="570"/>
        <w:rPr>
          <w:rFonts w:ascii="仿宋_GB2312" w:hAnsi="宋体" w:eastAsia="仿宋_GB2312"/>
          <w:color w:val="FF0000"/>
          <w:sz w:val="28"/>
          <w:szCs w:val="28"/>
        </w:rPr>
      </w:pPr>
      <w:r>
        <w:rPr>
          <w:rFonts w:hint="eastAsia" w:ascii="仿宋_GB2312" w:hAnsi="宋体" w:eastAsia="仿宋_GB2312"/>
          <w:sz w:val="28"/>
          <w:szCs w:val="28"/>
        </w:rPr>
        <w:t>请各位竞价人，保持谨慎性原则，在不高于国家收费标准且不低于公司成本价格的基础上，合理报价。</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w:t>
      </w:r>
      <w:r>
        <w:rPr>
          <w:rFonts w:hint="eastAsia" w:ascii="仿宋_GB2312" w:hAnsi="宋体" w:eastAsia="仿宋_GB2312"/>
          <w:sz w:val="28"/>
          <w:szCs w:val="28"/>
          <w:lang w:eastAsia="zh-CN"/>
        </w:rPr>
        <w:t>六</w:t>
      </w:r>
      <w:r>
        <w:rPr>
          <w:rFonts w:hint="eastAsia" w:ascii="仿宋_GB2312" w:hAnsi="宋体" w:eastAsia="仿宋_GB2312"/>
          <w:sz w:val="28"/>
          <w:szCs w:val="28"/>
        </w:rPr>
        <w:t>）竞价方法</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本次竞价采用</w:t>
      </w:r>
      <w:r>
        <w:rPr>
          <w:rFonts w:hint="eastAsia" w:ascii="仿宋_GB2312" w:hAnsi="仿宋" w:eastAsia="仿宋_GB2312"/>
          <w:sz w:val="28"/>
          <w:szCs w:val="28"/>
          <w:lang w:eastAsia="zh-CN"/>
        </w:rPr>
        <w:t>线上视频进行</w:t>
      </w:r>
      <w:r>
        <w:rPr>
          <w:rFonts w:hint="eastAsia" w:ascii="仿宋_GB2312" w:hAnsi="仿宋" w:eastAsia="仿宋_GB2312"/>
          <w:sz w:val="28"/>
          <w:szCs w:val="28"/>
        </w:rPr>
        <w:t>、有效最低报价者得的方式，确定成交人。即：报价顺序</w:t>
      </w:r>
      <w:r>
        <w:rPr>
          <w:rFonts w:hint="eastAsia" w:ascii="仿宋_GB2312" w:hAnsi="仿宋" w:eastAsia="仿宋_GB2312"/>
          <w:sz w:val="28"/>
          <w:szCs w:val="28"/>
          <w:lang w:eastAsia="zh-CN"/>
        </w:rPr>
        <w:t>按照回应的时间先后倒置</w:t>
      </w:r>
      <w:r>
        <w:rPr>
          <w:rFonts w:hint="eastAsia" w:ascii="仿宋_GB2312" w:hAnsi="仿宋" w:eastAsia="仿宋_GB2312"/>
          <w:sz w:val="28"/>
          <w:szCs w:val="28"/>
        </w:rPr>
        <w:t>，公司代表依次进行第一轮报价，宣布最低报价后，开始第二轮报价。第二轮报价结束后，宣布最低报价后，开始第三轮报价。如此循环报价，直至报出的最低价再无人竞价为止。</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w:t>
      </w:r>
      <w:r>
        <w:rPr>
          <w:rFonts w:hint="eastAsia" w:ascii="仿宋_GB2312" w:hAnsi="仿宋" w:eastAsia="仿宋_GB2312"/>
          <w:sz w:val="28"/>
          <w:szCs w:val="28"/>
          <w:lang w:eastAsia="zh-CN"/>
        </w:rPr>
        <w:t>七</w:t>
      </w:r>
      <w:r>
        <w:rPr>
          <w:rFonts w:hint="eastAsia" w:ascii="仿宋_GB2312" w:hAnsi="仿宋" w:eastAsia="仿宋_GB2312"/>
          <w:sz w:val="28"/>
          <w:szCs w:val="28"/>
        </w:rPr>
        <w:t>）结果确认</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竞价结束，成交公司当场签订《成交确认书》</w:t>
      </w:r>
      <w:r>
        <w:rPr>
          <w:rFonts w:hint="eastAsia" w:ascii="仿宋_GB2312" w:hAnsi="宋体" w:eastAsia="仿宋_GB2312"/>
          <w:sz w:val="28"/>
          <w:szCs w:val="28"/>
        </w:rPr>
        <w:t>(格式附后)</w:t>
      </w:r>
      <w:r>
        <w:rPr>
          <w:rFonts w:hint="eastAsia" w:ascii="仿宋_GB2312" w:hAnsi="仿宋" w:eastAsia="仿宋_GB2312"/>
          <w:sz w:val="28"/>
          <w:szCs w:val="28"/>
        </w:rPr>
        <w:t>。自《成交确认书》出具之日起3个工作日内，与成交人签订《采购合同》。</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w:t>
      </w:r>
      <w:r>
        <w:rPr>
          <w:rFonts w:hint="eastAsia" w:ascii="仿宋_GB2312" w:hAnsi="仿宋" w:eastAsia="仿宋_GB2312"/>
          <w:sz w:val="28"/>
          <w:szCs w:val="28"/>
          <w:lang w:eastAsia="zh-CN"/>
        </w:rPr>
        <w:t>八</w:t>
      </w:r>
      <w:r>
        <w:rPr>
          <w:rFonts w:hint="eastAsia" w:ascii="仿宋_GB2312" w:hAnsi="仿宋" w:eastAsia="仿宋_GB2312"/>
          <w:sz w:val="28"/>
          <w:szCs w:val="28"/>
        </w:rPr>
        <w:t>）竞价文件一经成交，自采购方签发《成交通知书》之日起生效。《成交通知书》与本《竞价文件》合为法律文件，各项条款即为竞价人承诺，自愿遵守。成</w:t>
      </w:r>
      <w:r>
        <w:rPr>
          <w:rFonts w:hint="eastAsia" w:ascii="仿宋_GB2312" w:hAnsi="仿宋" w:eastAsia="仿宋_GB2312"/>
          <w:sz w:val="28"/>
          <w:szCs w:val="28"/>
          <w:lang w:eastAsia="zh-CN"/>
        </w:rPr>
        <w:t>交</w:t>
      </w:r>
      <w:r>
        <w:rPr>
          <w:rFonts w:hint="eastAsia" w:ascii="仿宋_GB2312" w:hAnsi="仿宋" w:eastAsia="仿宋_GB2312"/>
          <w:sz w:val="28"/>
          <w:szCs w:val="28"/>
        </w:rPr>
        <w:t>人放弃中标项目的，必须承担法律责任。</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w:t>
      </w:r>
      <w:r>
        <w:rPr>
          <w:rFonts w:hint="eastAsia" w:ascii="仿宋_GB2312" w:hAnsi="仿宋" w:eastAsia="仿宋_GB2312"/>
          <w:sz w:val="28"/>
          <w:szCs w:val="28"/>
          <w:lang w:eastAsia="zh-CN"/>
        </w:rPr>
        <w:t>九</w:t>
      </w:r>
      <w:r>
        <w:rPr>
          <w:rFonts w:hint="eastAsia" w:ascii="仿宋_GB2312" w:hAnsi="仿宋" w:eastAsia="仿宋_GB2312"/>
          <w:sz w:val="28"/>
          <w:szCs w:val="28"/>
        </w:rPr>
        <w:t>）本竞价文件一经成交，成交人必须按照合同约定履行义务，成交人不得向他人转让成交项目，也不得将成交项目肢解后分别向他人转让。</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（十）本次竞价文件内容，由张掖市动物动物卫生监督</w:t>
      </w:r>
      <w:r>
        <w:rPr>
          <w:rFonts w:hint="eastAsia" w:ascii="仿宋_GB2312" w:hAnsi="仿宋" w:eastAsia="仿宋_GB2312"/>
          <w:sz w:val="28"/>
          <w:szCs w:val="28"/>
          <w:lang w:eastAsia="zh-CN"/>
        </w:rPr>
        <w:t>所</w:t>
      </w:r>
      <w:r>
        <w:rPr>
          <w:rFonts w:hint="eastAsia" w:ascii="仿宋_GB2312" w:hAnsi="仿宋" w:eastAsia="仿宋_GB2312"/>
          <w:sz w:val="28"/>
          <w:szCs w:val="28"/>
        </w:rPr>
        <w:t>负责解释。</w:t>
      </w:r>
    </w:p>
    <w:p>
      <w:pPr>
        <w:spacing w:line="660" w:lineRule="exact"/>
        <w:jc w:val="center"/>
        <w:outlineLvl w:val="0"/>
        <w:rPr>
          <w:rFonts w:ascii="宋体" w:hAnsi="宋体"/>
          <w:b/>
          <w:sz w:val="32"/>
          <w:szCs w:val="32"/>
        </w:rPr>
      </w:pPr>
      <w:r>
        <w:rPr>
          <w:rFonts w:ascii="仿宋_GB2312" w:hAnsi="仿宋" w:eastAsia="仿宋_GB2312"/>
          <w:sz w:val="28"/>
          <w:szCs w:val="28"/>
        </w:rPr>
        <w:br w:type="column"/>
      </w:r>
      <w:bookmarkStart w:id="3" w:name="_Toc481952790"/>
      <w:bookmarkStart w:id="4" w:name="_Toc523143574"/>
      <w:r>
        <w:rPr>
          <w:rFonts w:hint="eastAsia" w:ascii="宋体" w:hAnsi="宋体"/>
          <w:b/>
          <w:sz w:val="32"/>
          <w:szCs w:val="32"/>
        </w:rPr>
        <w:t>第三部分  竞价函</w:t>
      </w:r>
      <w:bookmarkEnd w:id="3"/>
      <w:bookmarkEnd w:id="4"/>
    </w:p>
    <w:p>
      <w:pPr>
        <w:spacing w:line="480" w:lineRule="exact"/>
        <w:rPr>
          <w:rFonts w:eastAsia="仿宋_GB2312"/>
          <w:sz w:val="32"/>
          <w:szCs w:val="28"/>
        </w:rPr>
      </w:pPr>
    </w:p>
    <w:p>
      <w:pPr>
        <w:spacing w:line="440" w:lineRule="exact"/>
        <w:rPr>
          <w:rFonts w:eastAsia="仿宋"/>
          <w:sz w:val="28"/>
        </w:rPr>
      </w:pPr>
      <w:bookmarkStart w:id="5" w:name="_Hlk523123931"/>
      <w:r>
        <w:rPr>
          <w:rFonts w:eastAsia="仿宋"/>
          <w:position w:val="6"/>
          <w:sz w:val="28"/>
        </w:rPr>
        <w:t>致</w:t>
      </w:r>
      <w:r>
        <w:rPr>
          <w:rFonts w:eastAsia="仿宋"/>
          <w:position w:val="6"/>
          <w:sz w:val="28"/>
          <w:u w:val="single"/>
        </w:rPr>
        <w:t>：</w:t>
      </w:r>
      <w:r>
        <w:rPr>
          <w:rFonts w:hint="eastAsia" w:eastAsia="仿宋"/>
          <w:position w:val="6"/>
          <w:sz w:val="28"/>
          <w:u w:val="single"/>
        </w:rPr>
        <w:t>张掖市动物卫生监督所</w:t>
      </w:r>
      <w:r>
        <w:rPr>
          <w:rFonts w:hint="eastAsia" w:eastAsia="仿宋"/>
          <w:sz w:val="28"/>
          <w:u w:val="single"/>
        </w:rPr>
        <w:t xml:space="preserve"> </w:t>
      </w:r>
    </w:p>
    <w:bookmarkEnd w:id="5"/>
    <w:p>
      <w:pPr>
        <w:spacing w:line="440" w:lineRule="exact"/>
        <w:ind w:firstLine="560" w:firstLineChars="200"/>
        <w:rPr>
          <w:rFonts w:eastAsia="仿宋"/>
          <w:sz w:val="28"/>
        </w:rPr>
      </w:pPr>
      <w:r>
        <w:rPr>
          <w:rFonts w:eastAsia="仿宋"/>
          <w:sz w:val="28"/>
        </w:rPr>
        <w:t>1</w:t>
      </w:r>
      <w:r>
        <w:rPr>
          <w:rFonts w:hint="eastAsia" w:eastAsia="仿宋"/>
          <w:sz w:val="28"/>
        </w:rPr>
        <w:t>．</w:t>
      </w:r>
      <w:r>
        <w:rPr>
          <w:rFonts w:eastAsia="仿宋"/>
          <w:sz w:val="28"/>
        </w:rPr>
        <w:t xml:space="preserve">根据已收到的招标编号为 </w:t>
      </w:r>
      <w:r>
        <w:rPr>
          <w:rFonts w:hint="eastAsia" w:eastAsia="仿宋"/>
          <w:sz w:val="28"/>
        </w:rPr>
        <w:t>Z</w:t>
      </w:r>
      <w:r>
        <w:rPr>
          <w:rFonts w:eastAsia="仿宋"/>
          <w:sz w:val="28"/>
        </w:rPr>
        <w:t>Y</w:t>
      </w:r>
      <w:r>
        <w:rPr>
          <w:rFonts w:hint="eastAsia" w:eastAsia="仿宋"/>
          <w:sz w:val="28"/>
        </w:rPr>
        <w:t>DJ2</w:t>
      </w:r>
      <w:r>
        <w:rPr>
          <w:rFonts w:eastAsia="仿宋"/>
          <w:sz w:val="28"/>
        </w:rPr>
        <w:t>0</w:t>
      </w:r>
      <w:r>
        <w:rPr>
          <w:rFonts w:hint="eastAsia" w:eastAsia="仿宋"/>
          <w:sz w:val="28"/>
        </w:rPr>
        <w:t>2</w:t>
      </w:r>
      <w:r>
        <w:rPr>
          <w:rFonts w:hint="eastAsia" w:eastAsia="仿宋"/>
          <w:sz w:val="28"/>
          <w:lang w:val="en-US" w:eastAsia="zh-CN"/>
        </w:rPr>
        <w:t>2</w:t>
      </w:r>
      <w:r>
        <w:rPr>
          <w:rFonts w:hint="eastAsia" w:eastAsia="仿宋"/>
          <w:sz w:val="28"/>
        </w:rPr>
        <w:t>00</w:t>
      </w:r>
      <w:r>
        <w:rPr>
          <w:rFonts w:hint="eastAsia" w:eastAsia="仿宋"/>
          <w:sz w:val="28"/>
          <w:lang w:val="en-US" w:eastAsia="zh-CN"/>
        </w:rPr>
        <w:t>9</w:t>
      </w:r>
      <w:r>
        <w:rPr>
          <w:rFonts w:eastAsia="仿宋"/>
          <w:sz w:val="28"/>
        </w:rPr>
        <w:t>的</w:t>
      </w:r>
      <w:r>
        <w:rPr>
          <w:rFonts w:hint="eastAsia" w:eastAsia="仿宋"/>
          <w:sz w:val="28"/>
        </w:rPr>
        <w:t>张掖市动物卫生监督所</w:t>
      </w:r>
      <w:r>
        <w:rPr>
          <w:rFonts w:hint="eastAsia" w:eastAsia="仿宋"/>
          <w:sz w:val="28"/>
          <w:lang w:eastAsia="zh-CN"/>
        </w:rPr>
        <w:t>检测</w:t>
      </w:r>
      <w:r>
        <w:rPr>
          <w:rFonts w:hint="eastAsia" w:eastAsia="仿宋"/>
          <w:sz w:val="28"/>
        </w:rPr>
        <w:t>试剂和耗材采购项目竞价文件</w:t>
      </w:r>
      <w:r>
        <w:rPr>
          <w:rFonts w:eastAsia="仿宋"/>
          <w:sz w:val="28"/>
        </w:rPr>
        <w:t>，我</w:t>
      </w:r>
      <w:r>
        <w:rPr>
          <w:rFonts w:hint="eastAsia" w:eastAsia="仿宋"/>
          <w:sz w:val="28"/>
        </w:rPr>
        <w:t>方</w:t>
      </w:r>
      <w:r>
        <w:rPr>
          <w:rFonts w:eastAsia="仿宋"/>
          <w:sz w:val="28"/>
        </w:rPr>
        <w:t>经考察和研究</w:t>
      </w:r>
      <w:r>
        <w:rPr>
          <w:rFonts w:hint="eastAsia" w:eastAsia="仿宋"/>
          <w:sz w:val="28"/>
        </w:rPr>
        <w:t>该竞价</w:t>
      </w:r>
      <w:r>
        <w:rPr>
          <w:rFonts w:eastAsia="仿宋"/>
          <w:sz w:val="28"/>
        </w:rPr>
        <w:t>文件的所有内容和有关文件后，</w:t>
      </w:r>
      <w:r>
        <w:rPr>
          <w:rFonts w:hint="eastAsia" w:eastAsia="仿宋"/>
          <w:sz w:val="28"/>
        </w:rPr>
        <w:t>我方愿意按照要求参与竞价，并</w:t>
      </w:r>
      <w:r>
        <w:rPr>
          <w:rFonts w:eastAsia="仿宋"/>
          <w:sz w:val="28"/>
        </w:rPr>
        <w:t>按</w:t>
      </w:r>
      <w:r>
        <w:rPr>
          <w:rFonts w:hint="eastAsia" w:eastAsia="仿宋"/>
          <w:sz w:val="28"/>
        </w:rPr>
        <w:t>相关规定</w:t>
      </w:r>
      <w:r>
        <w:rPr>
          <w:rFonts w:hint="eastAsia" w:eastAsia="仿宋"/>
          <w:sz w:val="28"/>
          <w:lang w:eastAsia="zh-CN"/>
        </w:rPr>
        <w:t>从合同签订之日起一周内</w:t>
      </w:r>
      <w:r>
        <w:rPr>
          <w:rFonts w:hint="eastAsia" w:eastAsia="仿宋"/>
          <w:sz w:val="28"/>
        </w:rPr>
        <w:t>完成所有采购项目。</w:t>
      </w:r>
    </w:p>
    <w:p>
      <w:pPr>
        <w:spacing w:line="440" w:lineRule="exact"/>
        <w:ind w:firstLine="567"/>
        <w:rPr>
          <w:rFonts w:eastAsia="仿宋"/>
          <w:sz w:val="28"/>
        </w:rPr>
      </w:pPr>
      <w:r>
        <w:rPr>
          <w:rFonts w:eastAsia="仿宋"/>
          <w:sz w:val="28"/>
        </w:rPr>
        <w:t>2</w:t>
      </w:r>
      <w:r>
        <w:rPr>
          <w:rFonts w:hint="eastAsia" w:eastAsia="仿宋"/>
          <w:sz w:val="28"/>
        </w:rPr>
        <w:t>．</w:t>
      </w:r>
      <w:r>
        <w:rPr>
          <w:rFonts w:eastAsia="仿宋"/>
          <w:sz w:val="28"/>
        </w:rPr>
        <w:t>我方同意所递交的</w:t>
      </w:r>
      <w:r>
        <w:rPr>
          <w:rFonts w:hint="eastAsia" w:eastAsia="仿宋"/>
          <w:sz w:val="28"/>
        </w:rPr>
        <w:t>竞价</w:t>
      </w:r>
      <w:r>
        <w:rPr>
          <w:rFonts w:eastAsia="仿宋"/>
          <w:sz w:val="28"/>
        </w:rPr>
        <w:t>文件在</w:t>
      </w:r>
      <w:r>
        <w:rPr>
          <w:rFonts w:hint="eastAsia" w:eastAsia="仿宋"/>
          <w:sz w:val="28"/>
        </w:rPr>
        <w:t>此次竞价项目</w:t>
      </w:r>
      <w:r>
        <w:rPr>
          <w:rFonts w:eastAsia="仿宋"/>
          <w:sz w:val="28"/>
        </w:rPr>
        <w:t>规定的投标有效期内有效，在此期间内我方的</w:t>
      </w:r>
      <w:r>
        <w:rPr>
          <w:rFonts w:hint="eastAsia" w:eastAsia="仿宋"/>
          <w:sz w:val="28"/>
        </w:rPr>
        <w:t>竞价</w:t>
      </w:r>
      <w:r>
        <w:rPr>
          <w:rFonts w:eastAsia="仿宋"/>
          <w:sz w:val="28"/>
        </w:rPr>
        <w:t>有可能</w:t>
      </w:r>
      <w:r>
        <w:rPr>
          <w:rFonts w:hint="eastAsia" w:eastAsia="仿宋"/>
          <w:sz w:val="28"/>
        </w:rPr>
        <w:t>成交</w:t>
      </w:r>
      <w:r>
        <w:rPr>
          <w:rFonts w:eastAsia="仿宋"/>
          <w:sz w:val="28"/>
        </w:rPr>
        <w:t>，我方将受此约束。</w:t>
      </w:r>
    </w:p>
    <w:p>
      <w:pPr>
        <w:spacing w:line="440" w:lineRule="exact"/>
        <w:ind w:firstLine="567"/>
        <w:rPr>
          <w:rFonts w:eastAsia="仿宋"/>
          <w:sz w:val="28"/>
        </w:rPr>
      </w:pPr>
      <w:r>
        <w:rPr>
          <w:rFonts w:eastAsia="仿宋"/>
          <w:sz w:val="28"/>
        </w:rPr>
        <w:t>3</w:t>
      </w:r>
      <w:r>
        <w:rPr>
          <w:rFonts w:hint="eastAsia" w:eastAsia="仿宋"/>
          <w:sz w:val="28"/>
        </w:rPr>
        <w:t>．</w:t>
      </w:r>
      <w:r>
        <w:rPr>
          <w:rFonts w:eastAsia="仿宋"/>
          <w:sz w:val="28"/>
        </w:rPr>
        <w:t>除非另外达成协议并生效，</w:t>
      </w:r>
      <w:r>
        <w:rPr>
          <w:rFonts w:hint="eastAsia" w:eastAsia="仿宋"/>
          <w:sz w:val="28"/>
        </w:rPr>
        <w:t>竞价</w:t>
      </w:r>
      <w:r>
        <w:rPr>
          <w:rFonts w:eastAsia="仿宋"/>
          <w:sz w:val="28"/>
        </w:rPr>
        <w:t>文件、</w:t>
      </w:r>
      <w:r>
        <w:rPr>
          <w:rFonts w:hint="eastAsia" w:eastAsia="仿宋"/>
          <w:sz w:val="28"/>
        </w:rPr>
        <w:t>竞价</w:t>
      </w:r>
      <w:r>
        <w:rPr>
          <w:rFonts w:eastAsia="仿宋"/>
          <w:sz w:val="28"/>
        </w:rPr>
        <w:t>文件澄清、修改通知、</w:t>
      </w:r>
      <w:r>
        <w:rPr>
          <w:rFonts w:hint="eastAsia" w:eastAsia="仿宋"/>
          <w:sz w:val="28"/>
        </w:rPr>
        <w:t>竞价</w:t>
      </w:r>
      <w:r>
        <w:rPr>
          <w:rFonts w:eastAsia="仿宋"/>
          <w:sz w:val="28"/>
        </w:rPr>
        <w:t>答疑纪要、</w:t>
      </w:r>
      <w:r>
        <w:rPr>
          <w:rFonts w:hint="eastAsia" w:eastAsia="仿宋"/>
          <w:sz w:val="28"/>
        </w:rPr>
        <w:t>成交</w:t>
      </w:r>
      <w:r>
        <w:rPr>
          <w:rFonts w:eastAsia="仿宋"/>
          <w:sz w:val="28"/>
        </w:rPr>
        <w:t>通知书和本</w:t>
      </w:r>
      <w:r>
        <w:rPr>
          <w:rFonts w:hint="eastAsia" w:eastAsia="仿宋"/>
          <w:sz w:val="28"/>
        </w:rPr>
        <w:t>竞价</w:t>
      </w:r>
      <w:r>
        <w:rPr>
          <w:rFonts w:eastAsia="仿宋"/>
          <w:sz w:val="28"/>
        </w:rPr>
        <w:t>文件将构成约束我们双方的合同。</w:t>
      </w:r>
    </w:p>
    <w:p>
      <w:pPr>
        <w:spacing w:line="440" w:lineRule="exact"/>
        <w:ind w:firstLine="567"/>
        <w:rPr>
          <w:rFonts w:eastAsia="仿宋"/>
          <w:sz w:val="28"/>
        </w:rPr>
      </w:pPr>
    </w:p>
    <w:p>
      <w:pPr>
        <w:spacing w:line="440" w:lineRule="exact"/>
        <w:ind w:firstLine="567"/>
        <w:rPr>
          <w:rFonts w:eastAsia="仿宋"/>
          <w:sz w:val="28"/>
        </w:rPr>
      </w:pPr>
    </w:p>
    <w:p>
      <w:pPr>
        <w:spacing w:line="440" w:lineRule="exact"/>
        <w:ind w:right="508" w:rightChars="242" w:firstLine="360"/>
        <w:jc w:val="right"/>
        <w:rPr>
          <w:rFonts w:eastAsia="仿宋"/>
          <w:sz w:val="28"/>
          <w:u w:val="single"/>
        </w:rPr>
      </w:pPr>
      <w:r>
        <w:rPr>
          <w:rFonts w:hint="eastAsia" w:eastAsia="仿宋"/>
          <w:sz w:val="28"/>
        </w:rPr>
        <w:t>竞价</w:t>
      </w:r>
      <w:r>
        <w:rPr>
          <w:rFonts w:eastAsia="仿宋"/>
          <w:sz w:val="28"/>
        </w:rPr>
        <w:t>人：</w:t>
      </w:r>
      <w:r>
        <w:rPr>
          <w:rFonts w:eastAsia="仿宋" w:cs="Calibri"/>
          <w:sz w:val="28"/>
          <w:u w:val="single"/>
        </w:rPr>
        <w:t xml:space="preserve">                    </w:t>
      </w:r>
      <w:r>
        <w:rPr>
          <w:rFonts w:eastAsia="仿宋"/>
          <w:sz w:val="28"/>
          <w:u w:val="single"/>
        </w:rPr>
        <w:t>（</w:t>
      </w:r>
      <w:r>
        <w:rPr>
          <w:rFonts w:hint="eastAsia" w:eastAsia="仿宋"/>
          <w:sz w:val="28"/>
          <w:u w:val="single"/>
        </w:rPr>
        <w:t>签章</w:t>
      </w:r>
      <w:r>
        <w:rPr>
          <w:rFonts w:eastAsia="仿宋"/>
          <w:sz w:val="28"/>
          <w:u w:val="single"/>
        </w:rPr>
        <w:t>）</w:t>
      </w:r>
    </w:p>
    <w:p>
      <w:pPr>
        <w:spacing w:line="360" w:lineRule="auto"/>
        <w:ind w:right="508" w:rightChars="242"/>
        <w:jc w:val="right"/>
        <w:rPr>
          <w:rFonts w:eastAsia="仿宋"/>
          <w:sz w:val="24"/>
        </w:rPr>
      </w:pPr>
    </w:p>
    <w:p>
      <w:pPr>
        <w:spacing w:line="440" w:lineRule="exact"/>
        <w:ind w:right="1359" w:rightChars="647" w:firstLine="360"/>
        <w:jc w:val="right"/>
        <w:rPr>
          <w:rFonts w:eastAsia="仿宋"/>
          <w:sz w:val="28"/>
        </w:rPr>
      </w:pPr>
      <w:r>
        <w:rPr>
          <w:rFonts w:eastAsia="仿宋"/>
          <w:sz w:val="28"/>
        </w:rPr>
        <w:t>日</w:t>
      </w:r>
      <w:r>
        <w:rPr>
          <w:rFonts w:hint="eastAsia" w:eastAsia="仿宋"/>
          <w:sz w:val="28"/>
        </w:rPr>
        <w:t xml:space="preserve">  </w:t>
      </w:r>
      <w:r>
        <w:rPr>
          <w:rFonts w:eastAsia="仿宋"/>
          <w:sz w:val="28"/>
        </w:rPr>
        <w:t>期：    年    月    日</w:t>
      </w:r>
    </w:p>
    <w:p>
      <w:pPr>
        <w:spacing w:line="660" w:lineRule="exact"/>
        <w:jc w:val="center"/>
        <w:outlineLvl w:val="0"/>
        <w:rPr>
          <w:rFonts w:ascii="宋体" w:hAnsi="宋体"/>
          <w:b/>
          <w:sz w:val="32"/>
          <w:szCs w:val="32"/>
        </w:rPr>
      </w:pPr>
      <w:r>
        <w:rPr>
          <w:rFonts w:ascii="仿宋_GB2312" w:hAnsi="仿宋" w:eastAsia="仿宋_GB2312"/>
          <w:sz w:val="28"/>
          <w:szCs w:val="28"/>
        </w:rPr>
        <w:br w:type="column"/>
      </w:r>
      <w:bookmarkStart w:id="6" w:name="_Toc523143575"/>
      <w:bookmarkStart w:id="7" w:name="_Toc481952791"/>
      <w:r>
        <w:rPr>
          <w:rFonts w:hint="eastAsia" w:ascii="宋体" w:hAnsi="宋体"/>
          <w:b/>
          <w:sz w:val="32"/>
          <w:szCs w:val="32"/>
        </w:rPr>
        <w:t>第四部分  竞价</w:t>
      </w:r>
      <w:r>
        <w:rPr>
          <w:rFonts w:ascii="宋体" w:hAnsi="宋体"/>
          <w:b/>
          <w:sz w:val="32"/>
          <w:szCs w:val="32"/>
        </w:rPr>
        <w:t>承诺书</w:t>
      </w:r>
      <w:bookmarkEnd w:id="6"/>
      <w:bookmarkEnd w:id="7"/>
    </w:p>
    <w:p>
      <w:pPr>
        <w:spacing w:line="520" w:lineRule="exact"/>
        <w:rPr>
          <w:rFonts w:ascii="宋体" w:hAnsi="宋体"/>
          <w:sz w:val="32"/>
        </w:rPr>
      </w:pPr>
    </w:p>
    <w:p>
      <w:pPr>
        <w:spacing w:line="440" w:lineRule="exact"/>
        <w:rPr>
          <w:rFonts w:ascii="仿宋_GB2312" w:hAnsi="宋体" w:eastAsia="仿宋_GB2312"/>
          <w:sz w:val="28"/>
          <w:szCs w:val="28"/>
        </w:rPr>
      </w:pPr>
      <w:r>
        <w:rPr>
          <w:rFonts w:ascii="仿宋_GB2312" w:hAnsi="宋体" w:eastAsia="仿宋_GB2312"/>
          <w:sz w:val="28"/>
          <w:szCs w:val="28"/>
        </w:rPr>
        <w:t>致：</w:t>
      </w:r>
      <w:r>
        <w:rPr>
          <w:rFonts w:hint="eastAsia" w:ascii="仿宋_GB2312" w:hAnsi="宋体" w:eastAsia="仿宋_GB2312"/>
          <w:sz w:val="28"/>
          <w:szCs w:val="28"/>
        </w:rPr>
        <w:t xml:space="preserve">张掖市动物卫生监督所 </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我方对张掖市动物卫生监督所</w:t>
      </w:r>
      <w:r>
        <w:rPr>
          <w:rFonts w:hint="eastAsia" w:ascii="仿宋_GB2312" w:hAnsi="宋体" w:eastAsia="仿宋_GB2312"/>
          <w:sz w:val="28"/>
          <w:szCs w:val="28"/>
          <w:lang w:eastAsia="zh-CN"/>
        </w:rPr>
        <w:t>检测</w:t>
      </w:r>
      <w:r>
        <w:rPr>
          <w:rFonts w:hint="eastAsia" w:ascii="仿宋_GB2312" w:hAnsi="宋体" w:eastAsia="仿宋_GB2312"/>
          <w:sz w:val="28"/>
          <w:szCs w:val="28"/>
        </w:rPr>
        <w:t>试剂和耗材竞价文件表示完全响应，遵照竞价文件的要求，特此确认并承诺：</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w:t>
      </w:r>
      <w:r>
        <w:rPr>
          <w:rFonts w:hint="eastAsia" w:ascii="仿宋_GB2312" w:hAnsi="宋体" w:eastAsia="仿宋_GB2312"/>
          <w:sz w:val="28"/>
          <w:szCs w:val="28"/>
        </w:rPr>
        <w:t>我方经认真研究考察标的，仔细阅读并研究贵方《张掖市动物卫生监督所</w:t>
      </w:r>
      <w:r>
        <w:rPr>
          <w:rFonts w:hint="eastAsia" w:ascii="仿宋_GB2312" w:hAnsi="宋体" w:eastAsia="仿宋_GB2312"/>
          <w:sz w:val="28"/>
          <w:szCs w:val="28"/>
          <w:lang w:eastAsia="zh-CN"/>
        </w:rPr>
        <w:t>检测</w:t>
      </w:r>
      <w:r>
        <w:rPr>
          <w:rFonts w:hint="eastAsia" w:ascii="仿宋_GB2312" w:hAnsi="宋体" w:eastAsia="仿宋_GB2312"/>
          <w:sz w:val="28"/>
          <w:szCs w:val="28"/>
        </w:rPr>
        <w:t>试剂和耗材项目</w:t>
      </w:r>
      <w:r>
        <w:rPr>
          <w:rFonts w:hint="eastAsia" w:ascii="仿宋_GB2312" w:hAnsi="宋体" w:eastAsia="仿宋_GB2312"/>
          <w:sz w:val="28"/>
          <w:szCs w:val="28"/>
          <w:lang w:eastAsia="zh-CN"/>
        </w:rPr>
        <w:t>采购</w:t>
      </w:r>
      <w:r>
        <w:rPr>
          <w:rFonts w:hint="eastAsia" w:ascii="仿宋_GB2312" w:hAnsi="宋体" w:eastAsia="仿宋_GB2312"/>
          <w:sz w:val="28"/>
          <w:szCs w:val="28"/>
        </w:rPr>
        <w:t>竞价文件》（招标编号：Z</w:t>
      </w:r>
      <w:r>
        <w:rPr>
          <w:rFonts w:ascii="仿宋_GB2312" w:hAnsi="宋体" w:eastAsia="仿宋_GB2312"/>
          <w:sz w:val="28"/>
          <w:szCs w:val="28"/>
        </w:rPr>
        <w:t>Y</w:t>
      </w:r>
      <w:r>
        <w:rPr>
          <w:rFonts w:hint="eastAsia" w:ascii="仿宋_GB2312" w:hAnsi="宋体" w:eastAsia="仿宋_GB2312"/>
          <w:sz w:val="28"/>
          <w:szCs w:val="28"/>
        </w:rPr>
        <w:t>DJ2</w:t>
      </w:r>
      <w:r>
        <w:rPr>
          <w:rFonts w:ascii="仿宋_GB2312" w:hAnsi="宋体" w:eastAsia="仿宋_GB2312"/>
          <w:sz w:val="28"/>
          <w:szCs w:val="28"/>
        </w:rPr>
        <w:t>0</w:t>
      </w:r>
      <w:r>
        <w:rPr>
          <w:rFonts w:hint="eastAsia" w:ascii="仿宋_GB2312" w:hAnsi="宋体" w:eastAsia="仿宋_GB2312"/>
          <w:sz w:val="28"/>
          <w:szCs w:val="28"/>
        </w:rPr>
        <w:t>2</w:t>
      </w:r>
      <w:r>
        <w:rPr>
          <w:rFonts w:hint="eastAsia" w:ascii="仿宋_GB2312" w:hAnsi="宋体" w:eastAsia="仿宋_GB2312"/>
          <w:sz w:val="28"/>
          <w:szCs w:val="28"/>
          <w:lang w:val="en-US" w:eastAsia="zh-CN"/>
        </w:rPr>
        <w:t>2</w:t>
      </w:r>
      <w:r>
        <w:rPr>
          <w:rFonts w:hint="eastAsia" w:ascii="仿宋_GB2312" w:hAnsi="宋体" w:eastAsia="仿宋_GB2312"/>
          <w:sz w:val="28"/>
          <w:szCs w:val="28"/>
        </w:rPr>
        <w:t>00</w:t>
      </w:r>
      <w:r>
        <w:rPr>
          <w:rFonts w:hint="eastAsia" w:ascii="仿宋_GB2312" w:hAnsi="宋体" w:eastAsia="仿宋_GB2312"/>
          <w:sz w:val="28"/>
          <w:szCs w:val="28"/>
          <w:lang w:val="en-US" w:eastAsia="zh-CN"/>
        </w:rPr>
        <w:t>9</w:t>
      </w:r>
      <w:r>
        <w:rPr>
          <w:rFonts w:hint="eastAsia" w:ascii="仿宋_GB2312" w:hAnsi="宋体" w:eastAsia="仿宋_GB2312"/>
          <w:sz w:val="28"/>
          <w:szCs w:val="28"/>
        </w:rPr>
        <w:t>，我方确认，已完全熟悉并遵循其中的要求、条款和条件，充分了解标的情况。</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w:t>
      </w:r>
      <w:r>
        <w:rPr>
          <w:rFonts w:hint="eastAsia" w:ascii="仿宋_GB2312" w:hAnsi="宋体" w:eastAsia="仿宋_GB2312"/>
          <w:sz w:val="28"/>
          <w:szCs w:val="28"/>
        </w:rPr>
        <w:t>我方确认，我方完全同意竞价文件制定的竞价规则。</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w:t>
      </w:r>
      <w:r>
        <w:rPr>
          <w:rFonts w:ascii="仿宋_GB2312" w:hAnsi="宋体" w:eastAsia="仿宋_GB2312"/>
          <w:sz w:val="28"/>
          <w:szCs w:val="28"/>
        </w:rPr>
        <w:t>.</w:t>
      </w:r>
      <w:r>
        <w:rPr>
          <w:rFonts w:hint="eastAsia" w:ascii="仿宋_GB2312" w:hAnsi="宋体" w:eastAsia="仿宋_GB2312"/>
          <w:sz w:val="28"/>
          <w:szCs w:val="28"/>
        </w:rPr>
        <w:t>我方保证：以个人名义真实竞价，不做串通竞价，不被其他单位挂靠。不卖标、不买标。</w:t>
      </w:r>
    </w:p>
    <w:p>
      <w:pPr>
        <w:spacing w:line="520" w:lineRule="exact"/>
        <w:ind w:firstLine="560" w:firstLineChars="200"/>
        <w:rPr>
          <w:rFonts w:ascii="仿宋_GB2312" w:hAnsi="宋体" w:eastAsia="仿宋_GB2312"/>
          <w:sz w:val="28"/>
          <w:szCs w:val="28"/>
        </w:rPr>
      </w:pPr>
      <w:r>
        <w:rPr>
          <w:rFonts w:ascii="仿宋_GB2312" w:hAnsi="宋体" w:eastAsia="仿宋_GB2312"/>
          <w:sz w:val="28"/>
          <w:szCs w:val="28"/>
        </w:rPr>
        <w:t>4.</w:t>
      </w:r>
      <w:r>
        <w:rPr>
          <w:rFonts w:hint="eastAsia" w:ascii="仿宋_GB2312" w:hAnsi="宋体" w:eastAsia="仿宋_GB2312"/>
          <w:sz w:val="28"/>
          <w:szCs w:val="28"/>
        </w:rPr>
        <w:t>我方保证：我方为参与本项目所提供的材料均为真实、合法、完整，否则承担由此引起的一切经济责任和法律责任。</w:t>
      </w:r>
    </w:p>
    <w:p>
      <w:pPr>
        <w:spacing w:line="520" w:lineRule="exact"/>
        <w:ind w:firstLine="560" w:firstLineChars="200"/>
        <w:rPr>
          <w:rFonts w:ascii="仿宋_GB2312" w:hAnsi="宋体" w:eastAsia="仿宋_GB2312"/>
          <w:sz w:val="28"/>
          <w:szCs w:val="28"/>
        </w:rPr>
      </w:pPr>
      <w:r>
        <w:rPr>
          <w:rFonts w:ascii="仿宋_GB2312" w:hAnsi="宋体" w:eastAsia="仿宋_GB2312"/>
          <w:sz w:val="28"/>
          <w:szCs w:val="28"/>
        </w:rPr>
        <w:t>5.</w:t>
      </w:r>
      <w:r>
        <w:rPr>
          <w:rFonts w:hint="eastAsia" w:ascii="仿宋_GB2312" w:hAnsi="宋体" w:eastAsia="仿宋_GB2312"/>
          <w:sz w:val="28"/>
          <w:szCs w:val="28"/>
        </w:rPr>
        <w:t>我方承诺：经现场竞标，当我方被确认为成交人时，我方当场签订并领取《成交确认书》，竞价保证金即转为履约保证金。自《成交确认书》出具之日起3个工作日内，与贵单位签订采购合同。</w:t>
      </w:r>
    </w:p>
    <w:p>
      <w:pPr>
        <w:spacing w:line="520" w:lineRule="exact"/>
        <w:ind w:right="3486" w:rightChars="1660" w:firstLine="560" w:firstLineChars="200"/>
        <w:jc w:val="right"/>
        <w:rPr>
          <w:rFonts w:ascii="仿宋_GB2312" w:hAnsi="宋体" w:eastAsia="仿宋_GB2312"/>
          <w:sz w:val="28"/>
          <w:szCs w:val="28"/>
        </w:rPr>
      </w:pPr>
      <w:r>
        <w:rPr>
          <w:rFonts w:hint="eastAsia" w:ascii="仿宋_GB2312" w:hAnsi="宋体" w:eastAsia="仿宋_GB2312"/>
          <w:sz w:val="28"/>
          <w:szCs w:val="28"/>
        </w:rPr>
        <w:t>承诺人（签章）：</w:t>
      </w:r>
    </w:p>
    <w:p>
      <w:pPr>
        <w:spacing w:line="520" w:lineRule="exact"/>
        <w:ind w:firstLine="560" w:firstLineChars="200"/>
        <w:jc w:val="right"/>
        <w:rPr>
          <w:rFonts w:ascii="仿宋_GB2312" w:hAnsi="宋体" w:eastAsia="仿宋_GB2312"/>
          <w:sz w:val="28"/>
          <w:szCs w:val="28"/>
        </w:rPr>
      </w:pPr>
    </w:p>
    <w:p>
      <w:pPr>
        <w:spacing w:line="520" w:lineRule="exact"/>
        <w:ind w:right="1218" w:rightChars="580" w:firstLine="560" w:firstLineChars="200"/>
        <w:jc w:val="right"/>
        <w:rPr>
          <w:rFonts w:ascii="仿宋_GB2312" w:hAnsi="宋体" w:eastAsia="仿宋_GB2312"/>
          <w:sz w:val="28"/>
          <w:szCs w:val="28"/>
        </w:rPr>
      </w:pPr>
      <w:r>
        <w:rPr>
          <w:rFonts w:hint="eastAsia" w:ascii="仿宋_GB2312" w:hAnsi="宋体" w:eastAsia="仿宋_GB2312"/>
          <w:sz w:val="28"/>
          <w:szCs w:val="28"/>
        </w:rPr>
        <w:t xml:space="preserve">时  间：     年   月  </w:t>
      </w:r>
      <w:r>
        <w:rPr>
          <w:rFonts w:ascii="仿宋_GB2312" w:hAnsi="宋体" w:eastAsia="仿宋_GB2312"/>
          <w:sz w:val="28"/>
          <w:szCs w:val="28"/>
        </w:rPr>
        <w:t xml:space="preserve"> </w:t>
      </w:r>
      <w:r>
        <w:rPr>
          <w:rFonts w:hint="eastAsia" w:ascii="仿宋_GB2312" w:hAnsi="宋体" w:eastAsia="仿宋_GB2312"/>
          <w:sz w:val="28"/>
          <w:szCs w:val="28"/>
        </w:rPr>
        <w:t>日</w:t>
      </w:r>
    </w:p>
    <w:p>
      <w:pPr>
        <w:spacing w:line="660" w:lineRule="exact"/>
        <w:jc w:val="center"/>
        <w:outlineLvl w:val="0"/>
        <w:rPr>
          <w:rFonts w:ascii="宋体" w:hAnsi="宋体"/>
          <w:b/>
          <w:sz w:val="32"/>
          <w:szCs w:val="32"/>
        </w:rPr>
      </w:pPr>
      <w:r>
        <w:rPr>
          <w:rFonts w:ascii="仿宋_GB2312" w:hAnsi="宋体" w:eastAsia="仿宋_GB2312"/>
          <w:sz w:val="28"/>
          <w:szCs w:val="28"/>
        </w:rPr>
        <w:br w:type="column"/>
      </w:r>
      <w:bookmarkStart w:id="8" w:name="_Toc523143576"/>
      <w:bookmarkStart w:id="9" w:name="_Hlk524706789"/>
      <w:bookmarkStart w:id="10" w:name="_Toc481952792"/>
      <w:r>
        <w:rPr>
          <w:rFonts w:hint="eastAsia" w:ascii="宋体" w:hAnsi="宋体"/>
          <w:b/>
          <w:sz w:val="32"/>
          <w:szCs w:val="32"/>
        </w:rPr>
        <w:t xml:space="preserve">第五部分 </w:t>
      </w:r>
      <w:r>
        <w:rPr>
          <w:rFonts w:ascii="宋体" w:hAnsi="宋体"/>
          <w:b/>
          <w:sz w:val="32"/>
          <w:szCs w:val="32"/>
        </w:rPr>
        <w:t xml:space="preserve"> </w:t>
      </w:r>
      <w:r>
        <w:rPr>
          <w:rFonts w:hint="eastAsia" w:ascii="宋体" w:hAnsi="宋体"/>
          <w:b/>
          <w:sz w:val="32"/>
          <w:szCs w:val="32"/>
        </w:rPr>
        <w:t>成交确认书</w:t>
      </w:r>
      <w:bookmarkEnd w:id="8"/>
    </w:p>
    <w:p>
      <w:pPr>
        <w:spacing w:line="440" w:lineRule="exact"/>
        <w:rPr>
          <w:rFonts w:eastAsia="仿宋"/>
          <w:position w:val="6"/>
          <w:sz w:val="28"/>
        </w:rPr>
      </w:pPr>
      <w:r>
        <w:rPr>
          <w:rFonts w:hint="eastAsia" w:eastAsia="仿宋"/>
          <w:position w:val="6"/>
          <w:sz w:val="28"/>
          <w:u w:val="single"/>
        </w:rPr>
        <w:t xml:space="preserve">   </w:t>
      </w:r>
      <w:r>
        <w:rPr>
          <w:rFonts w:eastAsia="仿宋"/>
          <w:position w:val="6"/>
          <w:sz w:val="28"/>
          <w:u w:val="single"/>
        </w:rPr>
        <w:t xml:space="preserve">     </w:t>
      </w:r>
      <w:r>
        <w:rPr>
          <w:rFonts w:hint="eastAsia" w:eastAsia="仿宋"/>
          <w:position w:val="6"/>
          <w:sz w:val="28"/>
          <w:u w:val="single"/>
        </w:rPr>
        <w:t xml:space="preserve">    </w:t>
      </w:r>
      <w:r>
        <w:rPr>
          <w:rFonts w:eastAsia="仿宋"/>
          <w:position w:val="6"/>
          <w:sz w:val="28"/>
          <w:u w:val="single"/>
        </w:rPr>
        <w:t xml:space="preserve">         </w:t>
      </w:r>
      <w:r>
        <w:rPr>
          <w:rFonts w:hint="eastAsia" w:eastAsia="仿宋"/>
          <w:position w:val="6"/>
          <w:sz w:val="28"/>
        </w:rPr>
        <w:t>：</w:t>
      </w:r>
    </w:p>
    <w:p>
      <w:pPr>
        <w:spacing w:line="440" w:lineRule="exact"/>
        <w:ind w:firstLine="560" w:firstLineChars="200"/>
        <w:rPr>
          <w:rFonts w:eastAsia="仿宋"/>
          <w:position w:val="6"/>
          <w:sz w:val="28"/>
        </w:rPr>
      </w:pPr>
      <w:r>
        <w:rPr>
          <w:rFonts w:hint="eastAsia" w:eastAsia="仿宋"/>
          <w:position w:val="6"/>
          <w:sz w:val="28"/>
        </w:rPr>
        <w:t>在张掖市动物卫生监督所</w:t>
      </w:r>
      <w:r>
        <w:rPr>
          <w:rFonts w:hint="eastAsia" w:eastAsia="仿宋"/>
          <w:position w:val="6"/>
          <w:sz w:val="28"/>
          <w:lang w:eastAsia="zh-CN"/>
        </w:rPr>
        <w:t>检测</w:t>
      </w:r>
      <w:r>
        <w:rPr>
          <w:rFonts w:hint="eastAsia" w:eastAsia="仿宋"/>
          <w:position w:val="6"/>
          <w:sz w:val="28"/>
        </w:rPr>
        <w:t>试剂和耗材采购（竞价</w:t>
      </w:r>
      <w:r>
        <w:rPr>
          <w:rFonts w:eastAsia="仿宋"/>
          <w:position w:val="6"/>
          <w:sz w:val="28"/>
        </w:rPr>
        <w:t>编号：ZY</w:t>
      </w:r>
      <w:r>
        <w:rPr>
          <w:rFonts w:hint="eastAsia" w:eastAsia="仿宋"/>
          <w:position w:val="6"/>
          <w:sz w:val="28"/>
        </w:rPr>
        <w:t>YK202</w:t>
      </w:r>
      <w:r>
        <w:rPr>
          <w:rFonts w:hint="eastAsia" w:eastAsia="仿宋"/>
          <w:position w:val="6"/>
          <w:sz w:val="28"/>
          <w:lang w:val="en-US" w:eastAsia="zh-CN"/>
        </w:rPr>
        <w:t>2</w:t>
      </w:r>
      <w:r>
        <w:rPr>
          <w:rFonts w:hint="eastAsia" w:eastAsia="仿宋"/>
          <w:position w:val="6"/>
          <w:sz w:val="28"/>
        </w:rPr>
        <w:t>00</w:t>
      </w:r>
      <w:r>
        <w:rPr>
          <w:rFonts w:hint="eastAsia" w:eastAsia="仿宋"/>
          <w:position w:val="6"/>
          <w:sz w:val="28"/>
          <w:lang w:val="en-US" w:eastAsia="zh-CN"/>
        </w:rPr>
        <w:t>9</w:t>
      </w:r>
      <w:r>
        <w:rPr>
          <w:rFonts w:hint="eastAsia" w:eastAsia="仿宋"/>
          <w:position w:val="6"/>
          <w:sz w:val="28"/>
        </w:rPr>
        <w:t>）竞价中，经公开</w:t>
      </w:r>
      <w:r>
        <w:rPr>
          <w:rFonts w:eastAsia="仿宋"/>
          <w:position w:val="6"/>
          <w:sz w:val="28"/>
        </w:rPr>
        <w:t>竞价，报请</w:t>
      </w:r>
      <w:r>
        <w:rPr>
          <w:rFonts w:hint="eastAsia" w:eastAsia="仿宋"/>
          <w:position w:val="6"/>
          <w:sz w:val="28"/>
        </w:rPr>
        <w:t>单位研究</w:t>
      </w:r>
      <w:r>
        <w:rPr>
          <w:rFonts w:eastAsia="仿宋"/>
          <w:position w:val="6"/>
          <w:sz w:val="28"/>
        </w:rPr>
        <w:t>确认</w:t>
      </w:r>
      <w:r>
        <w:rPr>
          <w:rFonts w:hint="eastAsia" w:eastAsia="仿宋"/>
          <w:position w:val="6"/>
          <w:sz w:val="28"/>
        </w:rPr>
        <w:t>，同意你</w:t>
      </w:r>
      <w:r>
        <w:rPr>
          <w:rFonts w:eastAsia="仿宋"/>
          <w:position w:val="6"/>
          <w:sz w:val="28"/>
        </w:rPr>
        <w:t>方</w:t>
      </w:r>
      <w:r>
        <w:rPr>
          <w:rFonts w:hint="eastAsia" w:eastAsia="仿宋"/>
          <w:position w:val="6"/>
          <w:sz w:val="28"/>
        </w:rPr>
        <w:t>开展</w:t>
      </w:r>
      <w:r>
        <w:rPr>
          <w:rFonts w:hint="eastAsia" w:eastAsia="仿宋"/>
          <w:position w:val="6"/>
          <w:sz w:val="28"/>
          <w:lang w:eastAsia="zh-CN"/>
        </w:rPr>
        <w:t>本项目</w:t>
      </w:r>
      <w:r>
        <w:rPr>
          <w:rFonts w:hint="eastAsia" w:eastAsia="仿宋"/>
          <w:position w:val="6"/>
          <w:sz w:val="28"/>
        </w:rPr>
        <w:t>采购工作</w:t>
      </w:r>
      <w:r>
        <w:rPr>
          <w:rFonts w:eastAsia="仿宋"/>
          <w:position w:val="6"/>
          <w:sz w:val="28"/>
        </w:rPr>
        <w:t>。</w:t>
      </w:r>
      <w:r>
        <w:rPr>
          <w:rFonts w:hint="eastAsia" w:eastAsia="仿宋"/>
          <w:position w:val="6"/>
          <w:sz w:val="28"/>
        </w:rPr>
        <w:t>成交价为</w:t>
      </w:r>
      <w:r>
        <w:rPr>
          <w:rFonts w:hint="eastAsia" w:eastAsia="仿宋"/>
          <w:position w:val="6"/>
          <w:sz w:val="28"/>
          <w:u w:val="single"/>
        </w:rPr>
        <w:t xml:space="preserve">     </w:t>
      </w:r>
      <w:r>
        <w:rPr>
          <w:rFonts w:eastAsia="仿宋"/>
          <w:position w:val="6"/>
          <w:sz w:val="28"/>
          <w:u w:val="single"/>
        </w:rPr>
        <w:t xml:space="preserve">  </w:t>
      </w:r>
      <w:r>
        <w:rPr>
          <w:rFonts w:hint="eastAsia" w:eastAsia="仿宋"/>
          <w:position w:val="6"/>
          <w:sz w:val="28"/>
        </w:rPr>
        <w:t>（￥</w:t>
      </w:r>
      <w:r>
        <w:rPr>
          <w:rFonts w:eastAsia="仿宋"/>
          <w:position w:val="6"/>
          <w:sz w:val="28"/>
          <w:u w:val="single"/>
        </w:rPr>
        <w:t xml:space="preserve">            </w:t>
      </w:r>
      <w:r>
        <w:rPr>
          <w:rFonts w:hint="eastAsia" w:eastAsia="仿宋"/>
          <w:position w:val="6"/>
          <w:sz w:val="28"/>
        </w:rPr>
        <w:t>）。</w:t>
      </w:r>
    </w:p>
    <w:p>
      <w:pPr>
        <w:spacing w:line="440" w:lineRule="exact"/>
        <w:ind w:firstLine="560" w:firstLineChars="200"/>
        <w:rPr>
          <w:rFonts w:eastAsia="仿宋"/>
          <w:position w:val="6"/>
          <w:sz w:val="28"/>
        </w:rPr>
      </w:pPr>
      <w:r>
        <w:rPr>
          <w:rFonts w:hint="eastAsia" w:eastAsia="仿宋"/>
          <w:position w:val="6"/>
          <w:sz w:val="28"/>
        </w:rPr>
        <w:t>请于202</w:t>
      </w:r>
      <w:r>
        <w:rPr>
          <w:rFonts w:hint="eastAsia" w:eastAsia="仿宋"/>
          <w:position w:val="6"/>
          <w:sz w:val="28"/>
          <w:lang w:val="en-US" w:eastAsia="zh-CN"/>
        </w:rPr>
        <w:t>2</w:t>
      </w:r>
      <w:r>
        <w:rPr>
          <w:rFonts w:hint="eastAsia" w:eastAsia="仿宋"/>
          <w:position w:val="6"/>
          <w:sz w:val="28"/>
        </w:rPr>
        <w:t>年</w:t>
      </w:r>
      <w:r>
        <w:rPr>
          <w:rFonts w:eastAsia="仿宋"/>
          <w:position w:val="6"/>
          <w:sz w:val="28"/>
          <w:u w:val="single"/>
        </w:rPr>
        <w:t xml:space="preserve">  </w:t>
      </w:r>
      <w:r>
        <w:rPr>
          <w:rFonts w:hint="eastAsia" w:eastAsia="仿宋"/>
          <w:position w:val="6"/>
          <w:sz w:val="28"/>
        </w:rPr>
        <w:t>月</w:t>
      </w:r>
      <w:r>
        <w:rPr>
          <w:rFonts w:eastAsia="仿宋"/>
          <w:position w:val="6"/>
          <w:sz w:val="28"/>
          <w:u w:val="single"/>
        </w:rPr>
        <w:t xml:space="preserve">  </w:t>
      </w:r>
      <w:r>
        <w:rPr>
          <w:rFonts w:hint="eastAsia" w:eastAsia="仿宋"/>
          <w:position w:val="6"/>
          <w:sz w:val="28"/>
        </w:rPr>
        <w:t>日</w:t>
      </w:r>
      <w:r>
        <w:rPr>
          <w:rFonts w:eastAsia="仿宋"/>
          <w:position w:val="6"/>
          <w:sz w:val="28"/>
        </w:rPr>
        <w:t>前到我</w:t>
      </w:r>
      <w:r>
        <w:rPr>
          <w:rFonts w:hint="eastAsia" w:eastAsia="仿宋"/>
          <w:position w:val="6"/>
          <w:sz w:val="28"/>
        </w:rPr>
        <w:t>单位办理</w:t>
      </w:r>
      <w:r>
        <w:rPr>
          <w:rFonts w:eastAsia="仿宋"/>
          <w:position w:val="6"/>
          <w:sz w:val="28"/>
        </w:rPr>
        <w:t>合同签订等有关手续，</w:t>
      </w:r>
      <w:r>
        <w:rPr>
          <w:rFonts w:hint="eastAsia" w:eastAsia="仿宋"/>
          <w:position w:val="6"/>
          <w:sz w:val="28"/>
        </w:rPr>
        <w:t>过期</w:t>
      </w:r>
      <w:r>
        <w:rPr>
          <w:rFonts w:eastAsia="仿宋"/>
          <w:position w:val="6"/>
          <w:sz w:val="28"/>
        </w:rPr>
        <w:t>按</w:t>
      </w:r>
      <w:r>
        <w:rPr>
          <w:rFonts w:hint="eastAsia" w:eastAsia="仿宋"/>
          <w:position w:val="6"/>
          <w:sz w:val="28"/>
        </w:rPr>
        <w:t>自动</w:t>
      </w:r>
      <w:r>
        <w:rPr>
          <w:rFonts w:eastAsia="仿宋"/>
          <w:position w:val="6"/>
          <w:sz w:val="28"/>
        </w:rPr>
        <w:t>弃权</w:t>
      </w:r>
      <w:r>
        <w:rPr>
          <w:rFonts w:hint="eastAsia" w:eastAsia="仿宋"/>
          <w:position w:val="6"/>
          <w:sz w:val="28"/>
        </w:rPr>
        <w:t>及违约</w:t>
      </w:r>
      <w:r>
        <w:rPr>
          <w:rFonts w:eastAsia="仿宋"/>
          <w:position w:val="6"/>
          <w:sz w:val="28"/>
        </w:rPr>
        <w:t>论处</w:t>
      </w:r>
      <w:r>
        <w:rPr>
          <w:rFonts w:hint="eastAsia" w:eastAsia="仿宋"/>
          <w:position w:val="6"/>
          <w:sz w:val="28"/>
        </w:rPr>
        <w:t>。</w:t>
      </w:r>
    </w:p>
    <w:p>
      <w:pPr>
        <w:spacing w:line="440" w:lineRule="exact"/>
        <w:rPr>
          <w:rFonts w:eastAsia="仿宋"/>
          <w:position w:val="6"/>
          <w:sz w:val="28"/>
        </w:rPr>
      </w:pPr>
    </w:p>
    <w:p>
      <w:pPr>
        <w:spacing w:line="440" w:lineRule="exact"/>
        <w:rPr>
          <w:rFonts w:eastAsia="仿宋"/>
          <w:position w:val="6"/>
          <w:sz w:val="28"/>
        </w:rPr>
      </w:pPr>
      <w:r>
        <w:rPr>
          <w:rFonts w:hint="eastAsia" w:eastAsia="仿宋"/>
          <w:position w:val="6"/>
          <w:sz w:val="28"/>
        </w:rPr>
        <w:t>成交人（签章）：</w:t>
      </w:r>
    </w:p>
    <w:p>
      <w:pPr>
        <w:spacing w:line="600" w:lineRule="exact"/>
        <w:ind w:firstLine="640" w:firstLineChars="200"/>
        <w:rPr>
          <w:rFonts w:ascii="宋体" w:hAnsi="宋体" w:eastAsiaTheme="minorEastAsia" w:cstheme="minorBidi"/>
          <w:sz w:val="32"/>
          <w:szCs w:val="32"/>
        </w:rPr>
      </w:pPr>
    </w:p>
    <w:p>
      <w:pPr>
        <w:spacing w:line="600" w:lineRule="exact"/>
        <w:ind w:firstLine="640" w:firstLineChars="200"/>
        <w:rPr>
          <w:rFonts w:ascii="宋体" w:hAnsi="宋体" w:eastAsiaTheme="minorEastAsia" w:cstheme="minorBidi"/>
          <w:sz w:val="32"/>
          <w:szCs w:val="32"/>
        </w:rPr>
      </w:pPr>
    </w:p>
    <w:p>
      <w:pPr>
        <w:ind w:right="1075" w:rightChars="512" w:firstLine="3920" w:firstLineChars="1400"/>
        <w:rPr>
          <w:rFonts w:eastAsia="仿宋"/>
          <w:position w:val="6"/>
          <w:sz w:val="28"/>
        </w:rPr>
      </w:pPr>
      <w:r>
        <w:rPr>
          <w:rFonts w:hint="eastAsia" w:eastAsia="仿宋"/>
          <w:position w:val="6"/>
          <w:sz w:val="28"/>
        </w:rPr>
        <w:t>张掖市动物卫生监督所</w:t>
      </w:r>
    </w:p>
    <w:p>
      <w:pPr>
        <w:wordWrap w:val="0"/>
        <w:ind w:right="2068" w:rightChars="985"/>
        <w:jc w:val="right"/>
        <w:rPr>
          <w:rFonts w:eastAsia="仿宋"/>
          <w:position w:val="6"/>
          <w:sz w:val="28"/>
        </w:rPr>
      </w:pPr>
      <w:r>
        <w:rPr>
          <w:rFonts w:eastAsia="仿宋"/>
          <w:position w:val="6"/>
          <w:sz w:val="28"/>
        </w:rPr>
        <w:t>20</w:t>
      </w:r>
      <w:r>
        <w:rPr>
          <w:rFonts w:hint="eastAsia" w:eastAsia="仿宋"/>
          <w:position w:val="6"/>
          <w:sz w:val="28"/>
        </w:rPr>
        <w:t>2</w:t>
      </w:r>
      <w:r>
        <w:rPr>
          <w:rFonts w:hint="eastAsia" w:eastAsia="仿宋"/>
          <w:position w:val="6"/>
          <w:sz w:val="28"/>
          <w:lang w:val="en-US" w:eastAsia="zh-CN"/>
        </w:rPr>
        <w:t>2</w:t>
      </w:r>
      <w:r>
        <w:rPr>
          <w:rFonts w:eastAsia="仿宋"/>
          <w:position w:val="6"/>
          <w:sz w:val="28"/>
        </w:rPr>
        <w:t>年</w:t>
      </w:r>
      <w:r>
        <w:rPr>
          <w:rFonts w:eastAsia="仿宋"/>
          <w:position w:val="6"/>
          <w:sz w:val="28"/>
          <w:u w:val="single"/>
        </w:rPr>
        <w:t xml:space="preserve">  </w:t>
      </w:r>
      <w:r>
        <w:rPr>
          <w:rFonts w:eastAsia="仿宋"/>
          <w:position w:val="6"/>
          <w:sz w:val="28"/>
        </w:rPr>
        <w:t>月</w:t>
      </w:r>
      <w:r>
        <w:rPr>
          <w:rFonts w:eastAsia="仿宋"/>
          <w:position w:val="6"/>
          <w:sz w:val="28"/>
          <w:u w:val="single"/>
        </w:rPr>
        <w:t xml:space="preserve">  </w:t>
      </w:r>
      <w:r>
        <w:rPr>
          <w:rFonts w:eastAsia="仿宋"/>
          <w:position w:val="6"/>
          <w:sz w:val="28"/>
        </w:rPr>
        <w:t>日</w:t>
      </w:r>
    </w:p>
    <w:bookmarkEnd w:id="9"/>
    <w:p>
      <w:pPr>
        <w:spacing w:line="660" w:lineRule="exact"/>
        <w:jc w:val="center"/>
        <w:outlineLvl w:val="0"/>
        <w:rPr>
          <w:rFonts w:ascii="宋体" w:hAnsi="宋体"/>
          <w:b/>
          <w:sz w:val="32"/>
          <w:szCs w:val="32"/>
        </w:rPr>
      </w:pPr>
      <w:r>
        <w:rPr>
          <w:rFonts w:ascii="仿宋_GB2312" w:hAnsi="宋体" w:eastAsia="仿宋_GB2312"/>
          <w:sz w:val="28"/>
          <w:szCs w:val="28"/>
        </w:rPr>
        <w:br w:type="column"/>
      </w:r>
      <w:bookmarkStart w:id="11" w:name="_Toc523143577"/>
      <w:r>
        <w:rPr>
          <w:rFonts w:hint="eastAsia" w:ascii="宋体" w:hAnsi="宋体"/>
          <w:b/>
          <w:sz w:val="32"/>
          <w:szCs w:val="32"/>
        </w:rPr>
        <w:t>第六</w:t>
      </w:r>
      <w:r>
        <w:rPr>
          <w:rFonts w:ascii="宋体" w:hAnsi="宋体"/>
          <w:b/>
          <w:sz w:val="32"/>
          <w:szCs w:val="32"/>
        </w:rPr>
        <w:t xml:space="preserve">部分  </w:t>
      </w:r>
      <w:r>
        <w:rPr>
          <w:rFonts w:hint="eastAsia" w:ascii="宋体" w:hAnsi="宋体"/>
          <w:b/>
          <w:sz w:val="32"/>
          <w:szCs w:val="32"/>
        </w:rPr>
        <w:t>法定代表人身份证明</w:t>
      </w:r>
      <w:bookmarkEnd w:id="10"/>
      <w:bookmarkEnd w:id="11"/>
    </w:p>
    <w:p>
      <w:pPr>
        <w:spacing w:line="360" w:lineRule="auto"/>
        <w:rPr>
          <w:rFonts w:ascii="宋体" w:hAnsi="宋体"/>
          <w:sz w:val="32"/>
        </w:rPr>
      </w:pPr>
    </w:p>
    <w:p>
      <w:pPr>
        <w:spacing w:line="660" w:lineRule="exact"/>
        <w:outlineLvl w:val="0"/>
        <w:rPr>
          <w:rFonts w:hint="eastAsia" w:ascii="仿宋_GB2312" w:hAnsi="宋体" w:eastAsia="仿宋_GB2312"/>
          <w:sz w:val="28"/>
          <w:szCs w:val="28"/>
        </w:rPr>
      </w:pPr>
      <w:r>
        <w:rPr>
          <w:rFonts w:hint="eastAsia" w:ascii="仿宋_GB2312" w:hAnsi="宋体" w:eastAsia="仿宋_GB2312"/>
          <w:sz w:val="28"/>
          <w:szCs w:val="28"/>
        </w:rPr>
        <w:t>张掖市动物卫生监督所：</w:t>
      </w:r>
    </w:p>
    <w:p>
      <w:pPr>
        <w:spacing w:line="660" w:lineRule="exact"/>
        <w:outlineLvl w:val="0"/>
        <w:rPr>
          <w:rFonts w:hint="eastAsia" w:ascii="仿宋_GB2312" w:hAnsi="宋体" w:eastAsia="仿宋_GB2312"/>
          <w:sz w:val="28"/>
          <w:szCs w:val="28"/>
        </w:rPr>
      </w:pPr>
      <w:r>
        <w:rPr>
          <w:rFonts w:hint="eastAsia" w:ascii="仿宋_GB2312" w:hAnsi="宋体" w:eastAsia="仿宋_GB2312"/>
          <w:sz w:val="28"/>
          <w:szCs w:val="28"/>
        </w:rPr>
        <w:t>兹有            （单位名称）法定代表人     （姓名）委托      （姓名）作为我公司的全权代表，参与你单位                  招标采购事宜。委托人     （姓名）在本次招标采购中的所有行为均代表我公司的意愿，具有完全法律效力。</w:t>
      </w:r>
    </w:p>
    <w:p>
      <w:pPr>
        <w:spacing w:line="660" w:lineRule="exact"/>
        <w:outlineLvl w:val="0"/>
        <w:rPr>
          <w:rFonts w:hint="eastAsia" w:ascii="仿宋_GB2312" w:hAnsi="宋体" w:eastAsia="仿宋_GB2312"/>
          <w:sz w:val="28"/>
          <w:szCs w:val="28"/>
        </w:rPr>
      </w:pPr>
    </w:p>
    <w:p>
      <w:pPr>
        <w:spacing w:line="660" w:lineRule="exact"/>
        <w:outlineLvl w:val="0"/>
        <w:rPr>
          <w:rFonts w:hint="eastAsia" w:ascii="仿宋_GB2312" w:hAnsi="宋体" w:eastAsia="仿宋_GB2312"/>
          <w:sz w:val="28"/>
          <w:szCs w:val="28"/>
        </w:rPr>
      </w:pPr>
      <w:r>
        <w:rPr>
          <w:rFonts w:hint="eastAsia" w:ascii="仿宋_GB2312" w:hAnsi="宋体" w:eastAsia="仿宋_GB2312"/>
          <w:sz w:val="28"/>
          <w:szCs w:val="28"/>
        </w:rPr>
        <w:t>法定代表人（签字）：</w:t>
      </w:r>
    </w:p>
    <w:p>
      <w:pPr>
        <w:spacing w:line="660" w:lineRule="exact"/>
        <w:outlineLvl w:val="0"/>
        <w:rPr>
          <w:rFonts w:hint="eastAsia" w:ascii="仿宋_GB2312" w:hAnsi="宋体" w:eastAsia="仿宋_GB2312"/>
          <w:sz w:val="28"/>
          <w:szCs w:val="28"/>
        </w:rPr>
      </w:pPr>
    </w:p>
    <w:p>
      <w:pPr>
        <w:spacing w:line="660" w:lineRule="exact"/>
        <w:outlineLvl w:val="0"/>
        <w:rPr>
          <w:rFonts w:hint="eastAsia" w:ascii="仿宋_GB2312" w:hAnsi="宋体" w:eastAsia="仿宋_GB2312"/>
          <w:sz w:val="28"/>
          <w:szCs w:val="28"/>
        </w:rPr>
      </w:pPr>
    </w:p>
    <w:p>
      <w:pPr>
        <w:spacing w:line="660" w:lineRule="exact"/>
        <w:outlineLvl w:val="0"/>
        <w:rPr>
          <w:rFonts w:hint="eastAsia" w:ascii="仿宋_GB2312" w:hAnsi="宋体" w:eastAsia="仿宋_GB2312"/>
          <w:sz w:val="28"/>
          <w:szCs w:val="28"/>
        </w:rPr>
      </w:pPr>
      <w:r>
        <w:rPr>
          <w:rFonts w:hint="eastAsia" w:ascii="仿宋_GB2312" w:hAnsi="宋体" w:eastAsia="仿宋_GB2312"/>
          <w:sz w:val="28"/>
          <w:szCs w:val="28"/>
        </w:rPr>
        <w:t>单位盖章（行政公章）：</w:t>
      </w:r>
    </w:p>
    <w:p>
      <w:pPr>
        <w:spacing w:line="660" w:lineRule="exact"/>
        <w:outlineLvl w:val="0"/>
        <w:rPr>
          <w:rFonts w:hint="eastAsia" w:ascii="仿宋_GB2312" w:hAnsi="宋体" w:eastAsia="仿宋_GB2312"/>
          <w:sz w:val="28"/>
          <w:szCs w:val="28"/>
        </w:rPr>
      </w:pPr>
    </w:p>
    <w:p>
      <w:pPr>
        <w:spacing w:line="660" w:lineRule="exact"/>
        <w:outlineLvl w:val="0"/>
        <w:rPr>
          <w:rFonts w:hint="eastAsia" w:ascii="仿宋_GB2312" w:hAnsi="宋体" w:eastAsia="仿宋_GB2312"/>
          <w:sz w:val="28"/>
          <w:szCs w:val="28"/>
        </w:rPr>
      </w:pPr>
      <w:r>
        <w:rPr>
          <w:rFonts w:hint="eastAsia" w:ascii="仿宋_GB2312" w:hAnsi="宋体" w:eastAsia="仿宋_GB2312"/>
          <w:sz w:val="28"/>
          <w:szCs w:val="28"/>
        </w:rPr>
        <w:t>年    月    日</w:t>
      </w:r>
    </w:p>
    <w:p>
      <w:pPr>
        <w:spacing w:line="660" w:lineRule="exact"/>
        <w:outlineLvl w:val="0"/>
        <w:rPr>
          <w:rFonts w:hint="eastAsia" w:ascii="仿宋_GB2312" w:hAnsi="宋体" w:eastAsia="仿宋_GB2312"/>
          <w:sz w:val="28"/>
          <w:szCs w:val="28"/>
        </w:rPr>
      </w:pPr>
    </w:p>
    <w:p>
      <w:pPr>
        <w:spacing w:line="660" w:lineRule="exact"/>
        <w:outlineLvl w:val="0"/>
        <w:rPr>
          <w:rFonts w:hint="eastAsia" w:ascii="仿宋_GB2312" w:hAnsi="宋体" w:eastAsia="仿宋_GB2312"/>
          <w:sz w:val="28"/>
          <w:szCs w:val="28"/>
        </w:rPr>
      </w:pPr>
    </w:p>
    <w:p>
      <w:pPr>
        <w:spacing w:line="660" w:lineRule="exact"/>
        <w:outlineLvl w:val="0"/>
        <w:rPr>
          <w:rFonts w:hint="eastAsia" w:ascii="仿宋_GB2312" w:hAnsi="宋体" w:eastAsia="仿宋_GB2312"/>
          <w:sz w:val="28"/>
          <w:szCs w:val="28"/>
        </w:rPr>
      </w:pPr>
      <w:r>
        <w:rPr>
          <w:rFonts w:hint="eastAsia" w:ascii="仿宋_GB2312" w:hAnsi="宋体" w:eastAsia="仿宋_GB2312"/>
          <w:sz w:val="28"/>
          <w:szCs w:val="28"/>
        </w:rPr>
        <w:t>法定代表人基本信息：</w:t>
      </w:r>
    </w:p>
    <w:p>
      <w:pPr>
        <w:spacing w:line="660" w:lineRule="exact"/>
        <w:outlineLvl w:val="0"/>
        <w:rPr>
          <w:rFonts w:hint="eastAsia" w:ascii="仿宋_GB2312" w:hAnsi="宋体" w:eastAsia="仿宋_GB2312"/>
          <w:sz w:val="28"/>
          <w:szCs w:val="28"/>
        </w:rPr>
      </w:pPr>
      <w:r>
        <w:rPr>
          <w:rFonts w:hint="eastAsia" w:ascii="仿宋_GB2312" w:hAnsi="宋体" w:eastAsia="仿宋_GB2312"/>
          <w:sz w:val="28"/>
          <w:szCs w:val="28"/>
        </w:rPr>
        <w:t xml:space="preserve">姓名：         性别：   年龄：      职务：       </w:t>
      </w:r>
    </w:p>
    <w:p>
      <w:pPr>
        <w:spacing w:line="660" w:lineRule="exact"/>
        <w:outlineLvl w:val="0"/>
        <w:rPr>
          <w:rFonts w:hint="eastAsia" w:ascii="仿宋_GB2312" w:hAnsi="宋体" w:eastAsia="仿宋_GB2312"/>
          <w:sz w:val="28"/>
          <w:szCs w:val="28"/>
        </w:rPr>
      </w:pPr>
      <w:r>
        <w:rPr>
          <w:rFonts w:hint="eastAsia" w:ascii="仿宋_GB2312" w:hAnsi="宋体" w:eastAsia="仿宋_GB2312"/>
          <w:sz w:val="28"/>
          <w:szCs w:val="28"/>
        </w:rPr>
        <w:t xml:space="preserve">身份证号码：                                     </w:t>
      </w:r>
    </w:p>
    <w:p>
      <w:pPr>
        <w:spacing w:line="660" w:lineRule="exact"/>
        <w:outlineLvl w:val="0"/>
        <w:rPr>
          <w:rFonts w:hint="eastAsia" w:ascii="仿宋_GB2312" w:hAnsi="宋体" w:eastAsia="仿宋_GB2312"/>
          <w:sz w:val="28"/>
          <w:szCs w:val="28"/>
        </w:rPr>
      </w:pPr>
      <w:r>
        <w:rPr>
          <w:rFonts w:hint="eastAsia" w:ascii="仿宋_GB2312" w:hAnsi="宋体" w:eastAsia="仿宋_GB2312"/>
          <w:sz w:val="28"/>
          <w:szCs w:val="28"/>
        </w:rPr>
        <w:t xml:space="preserve">通讯地址：                                       </w:t>
      </w:r>
    </w:p>
    <w:p>
      <w:pPr>
        <w:spacing w:line="660" w:lineRule="exact"/>
        <w:outlineLvl w:val="0"/>
        <w:rPr>
          <w:rFonts w:hint="eastAsia" w:ascii="仿宋_GB2312" w:hAnsi="宋体" w:eastAsia="仿宋_GB2312"/>
          <w:sz w:val="28"/>
          <w:szCs w:val="28"/>
        </w:rPr>
      </w:pPr>
      <w:r>
        <w:rPr>
          <w:rFonts w:hint="eastAsia" w:ascii="仿宋_GB2312" w:hAnsi="宋体" w:eastAsia="仿宋_GB2312"/>
          <w:sz w:val="28"/>
          <w:szCs w:val="28"/>
        </w:rPr>
        <w:t xml:space="preserve">电话号码：                                       </w:t>
      </w:r>
    </w:p>
    <w:p>
      <w:pPr>
        <w:spacing w:line="660" w:lineRule="exact"/>
        <w:outlineLvl w:val="0"/>
        <w:rPr>
          <w:rFonts w:hint="eastAsia" w:ascii="仿宋_GB2312" w:hAnsi="宋体" w:eastAsia="仿宋_GB2312"/>
          <w:sz w:val="28"/>
          <w:szCs w:val="28"/>
        </w:rPr>
      </w:pPr>
      <w:r>
        <w:rPr>
          <w:rFonts w:hint="eastAsia" w:ascii="仿宋_GB2312" w:hAnsi="宋体" w:eastAsia="仿宋_GB2312"/>
          <w:sz w:val="28"/>
          <w:szCs w:val="28"/>
        </w:rPr>
        <w:t>全权委托人基本信息：</w:t>
      </w:r>
    </w:p>
    <w:p>
      <w:pPr>
        <w:spacing w:line="660" w:lineRule="exact"/>
        <w:outlineLvl w:val="0"/>
        <w:rPr>
          <w:rFonts w:hint="eastAsia" w:ascii="仿宋_GB2312" w:hAnsi="宋体" w:eastAsia="仿宋_GB2312"/>
          <w:sz w:val="28"/>
          <w:szCs w:val="28"/>
        </w:rPr>
      </w:pPr>
      <w:r>
        <w:rPr>
          <w:rFonts w:hint="eastAsia" w:ascii="仿宋_GB2312" w:hAnsi="宋体" w:eastAsia="仿宋_GB2312"/>
          <w:sz w:val="28"/>
          <w:szCs w:val="28"/>
        </w:rPr>
        <w:t xml:space="preserve">姓名：         性别：   年龄：      职务：       </w:t>
      </w:r>
    </w:p>
    <w:p>
      <w:pPr>
        <w:spacing w:line="660" w:lineRule="exact"/>
        <w:outlineLvl w:val="0"/>
        <w:rPr>
          <w:rFonts w:hint="eastAsia" w:ascii="仿宋_GB2312" w:hAnsi="宋体" w:eastAsia="仿宋_GB2312"/>
          <w:sz w:val="28"/>
          <w:szCs w:val="28"/>
        </w:rPr>
      </w:pPr>
      <w:r>
        <w:rPr>
          <w:rFonts w:hint="eastAsia" w:ascii="仿宋_GB2312" w:hAnsi="宋体" w:eastAsia="仿宋_GB2312"/>
          <w:sz w:val="28"/>
          <w:szCs w:val="28"/>
        </w:rPr>
        <w:t xml:space="preserve">身份证号码：                                     </w:t>
      </w:r>
    </w:p>
    <w:p>
      <w:pPr>
        <w:spacing w:line="660" w:lineRule="exact"/>
        <w:outlineLvl w:val="0"/>
        <w:rPr>
          <w:rFonts w:hint="eastAsia" w:ascii="仿宋_GB2312" w:hAnsi="宋体" w:eastAsia="仿宋_GB2312"/>
          <w:sz w:val="28"/>
          <w:szCs w:val="28"/>
        </w:rPr>
      </w:pPr>
      <w:r>
        <w:rPr>
          <w:rFonts w:hint="eastAsia" w:ascii="仿宋_GB2312" w:hAnsi="宋体" w:eastAsia="仿宋_GB2312"/>
          <w:sz w:val="28"/>
          <w:szCs w:val="28"/>
        </w:rPr>
        <w:t xml:space="preserve">通讯地址：                                       </w:t>
      </w:r>
    </w:p>
    <w:p>
      <w:pPr>
        <w:spacing w:line="660" w:lineRule="exact"/>
        <w:outlineLvl w:val="0"/>
        <w:rPr>
          <w:rFonts w:hint="eastAsia" w:ascii="仿宋_GB2312" w:hAnsi="宋体" w:eastAsia="仿宋_GB2312"/>
          <w:sz w:val="28"/>
          <w:szCs w:val="28"/>
        </w:rPr>
      </w:pPr>
      <w:r>
        <w:rPr>
          <w:rFonts w:hint="eastAsia" w:ascii="仿宋_GB2312" w:hAnsi="宋体" w:eastAsia="仿宋_GB2312"/>
          <w:sz w:val="28"/>
          <w:szCs w:val="28"/>
        </w:rPr>
        <w:t xml:space="preserve">电话号码：                                       </w:t>
      </w:r>
    </w:p>
    <w:p>
      <w:pPr>
        <w:spacing w:line="660" w:lineRule="exact"/>
        <w:outlineLvl w:val="0"/>
        <w:rPr>
          <w:rFonts w:hint="eastAsia" w:ascii="仿宋_GB2312" w:hAnsi="宋体" w:eastAsia="仿宋_GB2312"/>
          <w:sz w:val="28"/>
          <w:szCs w:val="28"/>
        </w:rPr>
      </w:pPr>
    </w:p>
    <w:p>
      <w:pPr>
        <w:spacing w:line="660" w:lineRule="exact"/>
        <w:outlineLvl w:val="0"/>
        <w:rPr>
          <w:rFonts w:hint="eastAsia" w:ascii="仿宋_GB2312" w:hAnsi="宋体" w:eastAsia="仿宋_GB2312"/>
          <w:sz w:val="28"/>
          <w:szCs w:val="28"/>
        </w:rPr>
      </w:pPr>
      <w:r>
        <w:rPr>
          <w:rFonts w:hint="eastAsia" w:ascii="仿宋_GB2312" w:hAnsi="宋体" w:eastAsia="仿宋_GB2312"/>
          <w:sz w:val="28"/>
          <w:szCs w:val="28"/>
        </w:rPr>
        <w:t>备注：法定代表人、全权委托人《居民身份证》复印件附后</w:t>
      </w:r>
    </w:p>
    <w:sectPr>
      <w:footerReference r:id="rId5" w:type="default"/>
      <w:pgSz w:w="11906" w:h="16838"/>
      <w:pgMar w:top="1440" w:right="1800" w:bottom="1440" w:left="1800" w:header="851" w:footer="56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swiss"/>
    <w:pitch w:val="default"/>
    <w:sig w:usb0="00000000" w:usb1="00000000" w:usb2="00000010" w:usb3="00000000" w:csb0="2000019F" w:csb1="00000000"/>
  </w:font>
  <w:font w:name="Calibri Light">
    <w:altName w:val="DejaVu Sans"/>
    <w:panose1 w:val="020F0302020204030204"/>
    <w:charset w:val="00"/>
    <w:family w:val="swiss"/>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黑体简体">
    <w:altName w:val="方正黑体_GBK"/>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CESI仿宋-GB2312">
    <w:panose1 w:val="02000500000000000000"/>
    <w:charset w:val="86"/>
    <w:family w:val="auto"/>
    <w:pitch w:val="default"/>
    <w:sig w:usb0="800002AF" w:usb1="084F6CF8" w:usb2="00000010"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3136050"/>
    </w:sdtPr>
    <w:sdtEndPr>
      <w:rPr>
        <w:sz w:val="24"/>
        <w:szCs w:val="24"/>
      </w:rPr>
    </w:sdtEndPr>
    <w:sdtContent>
      <w:p>
        <w:pPr>
          <w:pStyle w:val="4"/>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9E"/>
    <w:rsid w:val="0000629D"/>
    <w:rsid w:val="00022259"/>
    <w:rsid w:val="00025685"/>
    <w:rsid w:val="00043D87"/>
    <w:rsid w:val="00047BF7"/>
    <w:rsid w:val="0006216E"/>
    <w:rsid w:val="0007632D"/>
    <w:rsid w:val="00092700"/>
    <w:rsid w:val="00093EAA"/>
    <w:rsid w:val="000B3FC2"/>
    <w:rsid w:val="000B7F90"/>
    <w:rsid w:val="000C7A7F"/>
    <w:rsid w:val="000D305A"/>
    <w:rsid w:val="000D43D8"/>
    <w:rsid w:val="000E68FD"/>
    <w:rsid w:val="000F3B94"/>
    <w:rsid w:val="000F4399"/>
    <w:rsid w:val="000F4402"/>
    <w:rsid w:val="0011053E"/>
    <w:rsid w:val="00115ADF"/>
    <w:rsid w:val="0012445E"/>
    <w:rsid w:val="00125DDA"/>
    <w:rsid w:val="00132125"/>
    <w:rsid w:val="00152E4E"/>
    <w:rsid w:val="00165864"/>
    <w:rsid w:val="00166539"/>
    <w:rsid w:val="00177DD3"/>
    <w:rsid w:val="001862A9"/>
    <w:rsid w:val="00194305"/>
    <w:rsid w:val="00194760"/>
    <w:rsid w:val="001B4D82"/>
    <w:rsid w:val="001B4E18"/>
    <w:rsid w:val="001C63F2"/>
    <w:rsid w:val="001C7503"/>
    <w:rsid w:val="001D05CE"/>
    <w:rsid w:val="001E08D6"/>
    <w:rsid w:val="001E6DBE"/>
    <w:rsid w:val="00203912"/>
    <w:rsid w:val="002040C9"/>
    <w:rsid w:val="00206889"/>
    <w:rsid w:val="00206AC8"/>
    <w:rsid w:val="00211191"/>
    <w:rsid w:val="002173E2"/>
    <w:rsid w:val="00223C54"/>
    <w:rsid w:val="00224270"/>
    <w:rsid w:val="00227BE3"/>
    <w:rsid w:val="00233A50"/>
    <w:rsid w:val="0023408E"/>
    <w:rsid w:val="00260F94"/>
    <w:rsid w:val="00286F04"/>
    <w:rsid w:val="002A5AC2"/>
    <w:rsid w:val="002B0F7F"/>
    <w:rsid w:val="002B215E"/>
    <w:rsid w:val="002E1417"/>
    <w:rsid w:val="00310681"/>
    <w:rsid w:val="00316719"/>
    <w:rsid w:val="003168CA"/>
    <w:rsid w:val="003314E2"/>
    <w:rsid w:val="00336158"/>
    <w:rsid w:val="00344752"/>
    <w:rsid w:val="00355B7B"/>
    <w:rsid w:val="003620B5"/>
    <w:rsid w:val="003645EF"/>
    <w:rsid w:val="00373DFB"/>
    <w:rsid w:val="0039376F"/>
    <w:rsid w:val="00393B77"/>
    <w:rsid w:val="003955F3"/>
    <w:rsid w:val="003A74AD"/>
    <w:rsid w:val="003C2DA7"/>
    <w:rsid w:val="003C2E34"/>
    <w:rsid w:val="003E0CC6"/>
    <w:rsid w:val="003E2EF1"/>
    <w:rsid w:val="003E476D"/>
    <w:rsid w:val="003E595F"/>
    <w:rsid w:val="003E7C36"/>
    <w:rsid w:val="003F423A"/>
    <w:rsid w:val="003F795D"/>
    <w:rsid w:val="004217C9"/>
    <w:rsid w:val="00427DF0"/>
    <w:rsid w:val="004332E4"/>
    <w:rsid w:val="00446A84"/>
    <w:rsid w:val="0046046E"/>
    <w:rsid w:val="00464034"/>
    <w:rsid w:val="0046555A"/>
    <w:rsid w:val="00467047"/>
    <w:rsid w:val="00475275"/>
    <w:rsid w:val="00481135"/>
    <w:rsid w:val="004A6169"/>
    <w:rsid w:val="004B1871"/>
    <w:rsid w:val="004B3012"/>
    <w:rsid w:val="004B5DD6"/>
    <w:rsid w:val="004D4D01"/>
    <w:rsid w:val="004F34DC"/>
    <w:rsid w:val="00503A28"/>
    <w:rsid w:val="00556AC8"/>
    <w:rsid w:val="00563C5E"/>
    <w:rsid w:val="00586EB9"/>
    <w:rsid w:val="00590A96"/>
    <w:rsid w:val="0059235D"/>
    <w:rsid w:val="005958C4"/>
    <w:rsid w:val="005978A7"/>
    <w:rsid w:val="005D0EF3"/>
    <w:rsid w:val="005D1AF1"/>
    <w:rsid w:val="005D2F85"/>
    <w:rsid w:val="005D7942"/>
    <w:rsid w:val="005E4862"/>
    <w:rsid w:val="005F2902"/>
    <w:rsid w:val="006019CF"/>
    <w:rsid w:val="00605AE7"/>
    <w:rsid w:val="0060699C"/>
    <w:rsid w:val="00615E74"/>
    <w:rsid w:val="0061624F"/>
    <w:rsid w:val="006270C9"/>
    <w:rsid w:val="00646171"/>
    <w:rsid w:val="006468A1"/>
    <w:rsid w:val="006771A8"/>
    <w:rsid w:val="006850A2"/>
    <w:rsid w:val="006B1F0A"/>
    <w:rsid w:val="006C0654"/>
    <w:rsid w:val="006C157A"/>
    <w:rsid w:val="006E2812"/>
    <w:rsid w:val="006E60FB"/>
    <w:rsid w:val="006E74CB"/>
    <w:rsid w:val="007014CE"/>
    <w:rsid w:val="00707869"/>
    <w:rsid w:val="007207DA"/>
    <w:rsid w:val="00735DF9"/>
    <w:rsid w:val="00741578"/>
    <w:rsid w:val="00743DD3"/>
    <w:rsid w:val="0074739E"/>
    <w:rsid w:val="00747563"/>
    <w:rsid w:val="0074778C"/>
    <w:rsid w:val="00750E4E"/>
    <w:rsid w:val="007539EA"/>
    <w:rsid w:val="00757CE7"/>
    <w:rsid w:val="007868B7"/>
    <w:rsid w:val="0079474E"/>
    <w:rsid w:val="007955D4"/>
    <w:rsid w:val="007971E1"/>
    <w:rsid w:val="007B1365"/>
    <w:rsid w:val="007B14CF"/>
    <w:rsid w:val="007C0ACF"/>
    <w:rsid w:val="007E361B"/>
    <w:rsid w:val="007E7F08"/>
    <w:rsid w:val="00817BEB"/>
    <w:rsid w:val="008235DD"/>
    <w:rsid w:val="008350C4"/>
    <w:rsid w:val="00840901"/>
    <w:rsid w:val="00853595"/>
    <w:rsid w:val="008563E9"/>
    <w:rsid w:val="00857232"/>
    <w:rsid w:val="0086227F"/>
    <w:rsid w:val="00873F1E"/>
    <w:rsid w:val="00885958"/>
    <w:rsid w:val="008926C0"/>
    <w:rsid w:val="008C468C"/>
    <w:rsid w:val="008C7508"/>
    <w:rsid w:val="008D6FC0"/>
    <w:rsid w:val="008E44DE"/>
    <w:rsid w:val="008F09E3"/>
    <w:rsid w:val="008F4DD7"/>
    <w:rsid w:val="009125DB"/>
    <w:rsid w:val="00945445"/>
    <w:rsid w:val="009478D9"/>
    <w:rsid w:val="00952F3F"/>
    <w:rsid w:val="00955B84"/>
    <w:rsid w:val="00965C92"/>
    <w:rsid w:val="0097145F"/>
    <w:rsid w:val="009812AA"/>
    <w:rsid w:val="00981D4B"/>
    <w:rsid w:val="009B4CC3"/>
    <w:rsid w:val="009C196D"/>
    <w:rsid w:val="009C1A06"/>
    <w:rsid w:val="009C2A9E"/>
    <w:rsid w:val="009E045B"/>
    <w:rsid w:val="009E10EE"/>
    <w:rsid w:val="009E405E"/>
    <w:rsid w:val="009F57A8"/>
    <w:rsid w:val="00A04880"/>
    <w:rsid w:val="00A04E32"/>
    <w:rsid w:val="00A15D49"/>
    <w:rsid w:val="00A1710E"/>
    <w:rsid w:val="00A207A2"/>
    <w:rsid w:val="00A35E28"/>
    <w:rsid w:val="00A37079"/>
    <w:rsid w:val="00A522B9"/>
    <w:rsid w:val="00A57862"/>
    <w:rsid w:val="00A72B9E"/>
    <w:rsid w:val="00A97278"/>
    <w:rsid w:val="00AA2F5A"/>
    <w:rsid w:val="00AB2B8A"/>
    <w:rsid w:val="00AC317A"/>
    <w:rsid w:val="00AC4788"/>
    <w:rsid w:val="00AC50AA"/>
    <w:rsid w:val="00AC6046"/>
    <w:rsid w:val="00AD083E"/>
    <w:rsid w:val="00AE7033"/>
    <w:rsid w:val="00AF1750"/>
    <w:rsid w:val="00AF59EA"/>
    <w:rsid w:val="00AF659E"/>
    <w:rsid w:val="00B12790"/>
    <w:rsid w:val="00B177F4"/>
    <w:rsid w:val="00B24DCF"/>
    <w:rsid w:val="00B36232"/>
    <w:rsid w:val="00B444BA"/>
    <w:rsid w:val="00B60997"/>
    <w:rsid w:val="00B64148"/>
    <w:rsid w:val="00B72250"/>
    <w:rsid w:val="00B91213"/>
    <w:rsid w:val="00BF1108"/>
    <w:rsid w:val="00C0188F"/>
    <w:rsid w:val="00C04E56"/>
    <w:rsid w:val="00C07BC1"/>
    <w:rsid w:val="00C15315"/>
    <w:rsid w:val="00C20BB4"/>
    <w:rsid w:val="00C3031F"/>
    <w:rsid w:val="00C34FA3"/>
    <w:rsid w:val="00C37A97"/>
    <w:rsid w:val="00C41BD5"/>
    <w:rsid w:val="00C56110"/>
    <w:rsid w:val="00C60326"/>
    <w:rsid w:val="00C62D73"/>
    <w:rsid w:val="00C63BFA"/>
    <w:rsid w:val="00C66E19"/>
    <w:rsid w:val="00C754D9"/>
    <w:rsid w:val="00C8270A"/>
    <w:rsid w:val="00CB0D5D"/>
    <w:rsid w:val="00CB1C26"/>
    <w:rsid w:val="00CB357D"/>
    <w:rsid w:val="00CF6AD1"/>
    <w:rsid w:val="00D045D5"/>
    <w:rsid w:val="00D16438"/>
    <w:rsid w:val="00D573C1"/>
    <w:rsid w:val="00D632A8"/>
    <w:rsid w:val="00D856B1"/>
    <w:rsid w:val="00D90795"/>
    <w:rsid w:val="00D9673B"/>
    <w:rsid w:val="00DB205F"/>
    <w:rsid w:val="00DB320C"/>
    <w:rsid w:val="00DC4D18"/>
    <w:rsid w:val="00DE1216"/>
    <w:rsid w:val="00DE17B0"/>
    <w:rsid w:val="00DE31DF"/>
    <w:rsid w:val="00DE6739"/>
    <w:rsid w:val="00E03E24"/>
    <w:rsid w:val="00E0623F"/>
    <w:rsid w:val="00E34098"/>
    <w:rsid w:val="00E41C61"/>
    <w:rsid w:val="00E51A30"/>
    <w:rsid w:val="00E60ED1"/>
    <w:rsid w:val="00EA0C2B"/>
    <w:rsid w:val="00EA59C2"/>
    <w:rsid w:val="00EB3FB1"/>
    <w:rsid w:val="00EC33EB"/>
    <w:rsid w:val="00EC4C06"/>
    <w:rsid w:val="00EC68AF"/>
    <w:rsid w:val="00EE36F8"/>
    <w:rsid w:val="00EE3E27"/>
    <w:rsid w:val="00EF2252"/>
    <w:rsid w:val="00EF5C44"/>
    <w:rsid w:val="00F03C26"/>
    <w:rsid w:val="00F12835"/>
    <w:rsid w:val="00F34AB5"/>
    <w:rsid w:val="00F4319A"/>
    <w:rsid w:val="00F67907"/>
    <w:rsid w:val="00F723F0"/>
    <w:rsid w:val="00FA3C64"/>
    <w:rsid w:val="00FA45B3"/>
    <w:rsid w:val="00FA79E7"/>
    <w:rsid w:val="00FC4842"/>
    <w:rsid w:val="00FC7646"/>
    <w:rsid w:val="00FE462B"/>
    <w:rsid w:val="00FE4DA7"/>
    <w:rsid w:val="00FE7FB1"/>
    <w:rsid w:val="00FF3716"/>
    <w:rsid w:val="0167241F"/>
    <w:rsid w:val="071F3928"/>
    <w:rsid w:val="0A401581"/>
    <w:rsid w:val="0DCA630E"/>
    <w:rsid w:val="102D3F55"/>
    <w:rsid w:val="115649DD"/>
    <w:rsid w:val="1A88093A"/>
    <w:rsid w:val="1A927A11"/>
    <w:rsid w:val="271D1EAF"/>
    <w:rsid w:val="2FAF9013"/>
    <w:rsid w:val="31DD0F98"/>
    <w:rsid w:val="34734C40"/>
    <w:rsid w:val="37741471"/>
    <w:rsid w:val="3D57AA41"/>
    <w:rsid w:val="3FEFB408"/>
    <w:rsid w:val="3FF99223"/>
    <w:rsid w:val="4C341CB7"/>
    <w:rsid w:val="4D482A6C"/>
    <w:rsid w:val="4D652D9F"/>
    <w:rsid w:val="50F21CED"/>
    <w:rsid w:val="52DB008C"/>
    <w:rsid w:val="543E29F1"/>
    <w:rsid w:val="560260F1"/>
    <w:rsid w:val="597803DD"/>
    <w:rsid w:val="5BFF9906"/>
    <w:rsid w:val="5C1D496C"/>
    <w:rsid w:val="5DF264A5"/>
    <w:rsid w:val="5DFD3FDD"/>
    <w:rsid w:val="5F7704A8"/>
    <w:rsid w:val="5FA39D10"/>
    <w:rsid w:val="605007B2"/>
    <w:rsid w:val="610B5CEB"/>
    <w:rsid w:val="65FF5573"/>
    <w:rsid w:val="6BE371B5"/>
    <w:rsid w:val="6DFE88B1"/>
    <w:rsid w:val="6E3FC83E"/>
    <w:rsid w:val="72056001"/>
    <w:rsid w:val="73574C2B"/>
    <w:rsid w:val="75E39BE6"/>
    <w:rsid w:val="775BB93F"/>
    <w:rsid w:val="781A0279"/>
    <w:rsid w:val="7939EDF2"/>
    <w:rsid w:val="7BFE2C52"/>
    <w:rsid w:val="ADC8F40E"/>
    <w:rsid w:val="B4EDC411"/>
    <w:rsid w:val="B7EE1211"/>
    <w:rsid w:val="C6F929B4"/>
    <w:rsid w:val="CDFFE601"/>
    <w:rsid w:val="E8F8EA2D"/>
    <w:rsid w:val="F77E1A4D"/>
    <w:rsid w:val="FD7BBD75"/>
    <w:rsid w:val="FE3BAC60"/>
    <w:rsid w:val="FED6E719"/>
    <w:rsid w:val="FEFD6B09"/>
    <w:rsid w:val="FF751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paragraph" w:customStyle="1" w:styleId="11">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styleId="12">
    <w:name w:val="List Paragraph"/>
    <w:basedOn w:val="1"/>
    <w:qFormat/>
    <w:uiPriority w:val="34"/>
    <w:pPr>
      <w:ind w:firstLine="420" w:firstLineChars="200"/>
    </w:pPr>
    <w:rPr>
      <w:rFonts w:ascii="Calibri" w:hAnsi="Calibri"/>
      <w:szCs w:val="22"/>
    </w:rPr>
  </w:style>
  <w:style w:type="character" w:customStyle="1" w:styleId="13">
    <w:name w:val="页眉 Char"/>
    <w:basedOn w:val="9"/>
    <w:link w:val="5"/>
    <w:qFormat/>
    <w:uiPriority w:val="99"/>
    <w:rPr>
      <w:rFonts w:ascii="Times New Roman" w:hAnsi="Times New Roman" w:eastAsia="宋体" w:cs="Times New Roman"/>
      <w:sz w:val="18"/>
      <w:szCs w:val="18"/>
    </w:rPr>
  </w:style>
  <w:style w:type="character" w:customStyle="1" w:styleId="14">
    <w:name w:val="页脚 Char"/>
    <w:basedOn w:val="9"/>
    <w:link w:val="4"/>
    <w:qFormat/>
    <w:uiPriority w:val="99"/>
    <w:rPr>
      <w:rFonts w:ascii="Times New Roman" w:hAnsi="Times New Roman" w:eastAsia="宋体" w:cs="Times New Roman"/>
      <w:sz w:val="18"/>
      <w:szCs w:val="18"/>
    </w:rPr>
  </w:style>
  <w:style w:type="character" w:customStyle="1" w:styleId="15">
    <w:name w:val="标题 1 Char"/>
    <w:basedOn w:val="9"/>
    <w:link w:val="2"/>
    <w:qFormat/>
    <w:uiPriority w:val="9"/>
    <w:rPr>
      <w:rFonts w:ascii="Times New Roman" w:hAnsi="Times New Roman" w:eastAsia="宋体" w:cs="Times New Roman"/>
      <w:b/>
      <w:bCs/>
      <w:kern w:val="44"/>
      <w:sz w:val="44"/>
      <w:szCs w:val="44"/>
    </w:rPr>
  </w:style>
  <w:style w:type="paragraph" w:customStyle="1" w:styleId="1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17">
    <w:name w:val="批注框文本 Char"/>
    <w:basedOn w:val="9"/>
    <w:link w:val="3"/>
    <w:semiHidden/>
    <w:qFormat/>
    <w:uiPriority w:val="99"/>
    <w:rPr>
      <w:rFonts w:ascii="Times New Roman" w:hAnsi="Times New Roman" w:eastAsia="宋体" w:cs="Times New Roman"/>
      <w:sz w:val="18"/>
      <w:szCs w:val="18"/>
    </w:rPr>
  </w:style>
  <w:style w:type="paragraph" w:styleId="1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table" w:customStyle="1" w:styleId="1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zynt</Company>
  <Pages>12</Pages>
  <Words>726</Words>
  <Characters>4139</Characters>
  <Lines>34</Lines>
  <Paragraphs>9</Paragraphs>
  <TotalTime>0</TotalTime>
  <ScaleCrop>false</ScaleCrop>
  <LinksUpToDate>false</LinksUpToDate>
  <CharactersWithSpaces>4856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2020-04-09T17:18:00Z</dcterms:created>
  <dc:creator>李振海</dc:creator>
  <cp:lastModifiedBy>uos</cp:lastModifiedBy>
  <cp:lastPrinted>2022-08-05T19:54:00Z</cp:lastPrinted>
  <dcterms:modified xsi:type="dcterms:W3CDTF">2022-08-05T10:21:19Z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