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19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19"/>
          <w:shd w:val="clear" w:fill="FFFFFF"/>
        </w:rPr>
        <w:t>张掖市市级非物质文化遗产代表性项目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19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19"/>
          <w:shd w:val="clear" w:fill="FFFFFF"/>
        </w:rPr>
        <w:t>认定与管理办法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19"/>
          <w:shd w:val="clear" w:fill="FFFFFF"/>
          <w:lang w:eastAsia="zh-CN"/>
        </w:rPr>
        <w:t>（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19"/>
          <w:shd w:val="clear" w:fill="FFFFFF"/>
          <w:lang w:val="en-US" w:eastAsia="zh-CN"/>
        </w:rPr>
        <w:t>征求意见稿）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65" w:beforeAutospacing="0" w:after="165" w:afterAutospacing="0" w:line="343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第一章 总则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第一条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 为加强张掖市非物质文化遗产保护工作，规范市级非物质文化遗产代表性项目（以下简称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市级非遗项目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）的认定与管理，根据《中华人民共和国非物质文化遗产法》《甘肃省非物质文化遗产条例》等法律法规，结合本市实际，制定本办法。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第二条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 本办法适用于张掖市行政区域内市级非遗项目的申报、认定、保护、管理和利用。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第三条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 市级非遗项目的认定与管理应遵循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保护为主、抢救第一、合理利用、传承发展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的方针，坚持真实性、整体性和传承性原则。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第四条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 市文化和旅游行政主管部门负责市级非遗项目的组织申报、评审认定、监督管理工作。县（区）文化和旅游行政主管部门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  <w:lang w:val="en-US" w:eastAsia="zh-CN"/>
        </w:rPr>
        <w:t>和市直项目保护单位分别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负责本行政区域内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非遗项目的初审、推荐和日常保护工作。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65" w:beforeAutospacing="0" w:after="165" w:afterAutospacing="0" w:line="343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第二章 申报与认定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第五条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 申报市级非遗项目应具备下列条件：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（一）具有突出的历史、文学、艺术、科学价值；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（二）体现张掖市优秀传统文化和地域特色，具有典型性、代表性；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（三）在一定群体或地域范围内世代传承，活态存在；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（四）有明确的传承人和保护责任单位。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第六条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 申报程序：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（一）由项目保护单位向所在县（区）文化和旅游行政主管部门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  <w:lang w:val="en-US" w:eastAsia="zh-CN"/>
        </w:rPr>
        <w:t>或市局直属相关单位（如市文化馆、市七一剧团演艺公司）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提出申请；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（二）县（区）文化和旅游行政主管部门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  <w:lang w:val="en-US" w:eastAsia="zh-CN"/>
        </w:rPr>
        <w:t>或市局直属相关单位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初审后报市文化和旅游行政主管部门；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（三）市文化和旅游行政主管部门组织专家评审委员会进行评审。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第七条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 评审内容包括：项目的文化价值、存续状况、保护计划、传承谱系等。评审结果应向社会公示，公示期不少于20日。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第八条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 经公示无异议的项目，由市文化和旅游行政主管部门报市政府批准后公布，并颁发标牌和证书。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65" w:beforeAutospacing="0" w:after="165" w:afterAutospacing="0" w:line="343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第三章 保护与管理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第九条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 实行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保护单位责任制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。保护单位应履行下列职责：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（一）制定并实施项目保护计划；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（二）收集、整理项目资料，建立档案；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（三）支持传承人开展传习活动；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（四）定期向主管部门报告保护情况。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第十条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 市级非遗项目传承人应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  <w:lang w:val="en-US" w:eastAsia="zh-CN"/>
        </w:rPr>
        <w:t>按照《张掖市市级非物质文化遗产代表性传承人认定与管理办法》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履行传承义务，开展授徒、教学、交流等活动。无正当理由不履行义务的，可取消其传承人资格。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第十一条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 市、县（区）文化和旅游行政主管部门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  <w:lang w:val="en-US" w:eastAsia="zh-CN"/>
        </w:rPr>
        <w:t>和市直项目保护单位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应定期对项目保护情况进行检查评估。评估不合格的，责令限期整改；整改后仍不合格的，取消市级非遗项目资格。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65" w:beforeAutospacing="0" w:after="165" w:afterAutospacing="0" w:line="343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第四章 保障措施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第十二条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 市、县（区）人民政府应将非遗保护经费纳入财政预算，用于项目调查、记录、研究、传承和传播。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第十三条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 鼓励社会力量通过捐赠、设立基金等方式参与非遗保护。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第十四条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 支持非遗项目与旅游、文创等产业融合发展，对成效显著的单位和个人给予表彰奖励。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65" w:beforeAutospacing="0" w:after="165" w:afterAutospacing="0" w:line="343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第五章 附则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第十五条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 本办法由张掖市文化和旅游行政主管部门负责解释。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第十六条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 本办法自发布之日起施行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19"/>
          <w:shd w:val="clear" w:fill="FFFFFF"/>
        </w:rPr>
        <w:t>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D741B"/>
    <w:rsid w:val="31DE4CF4"/>
    <w:rsid w:val="400C7744"/>
    <w:rsid w:val="75AFF7CF"/>
    <w:rsid w:val="76DBF478"/>
    <w:rsid w:val="7BF245D2"/>
    <w:rsid w:val="A45AF09D"/>
    <w:rsid w:val="C759A0D7"/>
    <w:rsid w:val="F7FE8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1147</Words>
  <Characters>1152</Characters>
  <Lines>0</Lines>
  <Paragraphs>0</Paragraphs>
  <TotalTime>11</TotalTime>
  <ScaleCrop>false</ScaleCrop>
  <LinksUpToDate>false</LinksUpToDate>
  <CharactersWithSpaces>1175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2025-08-13T21:32:00Z</dcterms:created>
  <dc:creator>HUAWEI</dc:creator>
  <cp:lastModifiedBy>uos</cp:lastModifiedBy>
  <cp:lastPrinted>2025-08-26T22:42:00Z</cp:lastPrinted>
  <dcterms:modified xsi:type="dcterms:W3CDTF">2025-11-13T17:16:37Z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eyJoZGlkIjoiNDVlNGNmOTk2YmRlMzJhMTU0ZjM0NWU4YjE0NjZmYjgiLCJ1c2VySWQiOiI4MzA3MjExMTIifQ==</vt:lpwstr>
  </property>
  <property fmtid="{D5CDD505-2E9C-101B-9397-08002B2CF9AE}" pid="4" name="ICV">
    <vt:lpwstr>DC3B5F45FCC4452CB513422DC35E5EEB_12</vt:lpwstr>
  </property>
</Properties>
</file>