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1A4D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95C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FF8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2167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张掖市水利工程建设领域重大项目</w:t>
      </w:r>
    </w:p>
    <w:p w14:paraId="3566B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监督管理应急预案</w:t>
      </w:r>
    </w:p>
    <w:p w14:paraId="2E14C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6901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40B1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  <w:bookmarkStart w:id="36" w:name="_GoBack"/>
      <w:bookmarkEnd w:id="36"/>
    </w:p>
    <w:p w14:paraId="36A5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36C0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6241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5769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</w:p>
    <w:p w14:paraId="17F8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张掖市水务局</w:t>
      </w:r>
    </w:p>
    <w:p w14:paraId="23F0A3C3">
      <w:pPr>
        <w:pStyle w:val="2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二○二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二月</w:t>
      </w:r>
    </w:p>
    <w:p w14:paraId="3DF47B69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9E93875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0F42AB14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640C4AF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4172647E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9E659BB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224137B5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2A355BCF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2B3211A6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5F4A9A8C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27BA1A93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34134444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2CFD67C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87E8005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2263F4BC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3D4E912F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15D636EE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7EE06877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0051FA46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3EA7CCBC">
      <w:pPr>
        <w:pStyle w:val="2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66266256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</w:p>
    <w:p w14:paraId="51FB2EB8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目  录</w:t>
      </w:r>
    </w:p>
    <w:p w14:paraId="746E06B4">
      <w:pPr>
        <w:rPr>
          <w:highlight w:val="none"/>
        </w:rPr>
      </w:pPr>
    </w:p>
    <w:p w14:paraId="1E2703B7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TOC \o "1-2" \h \u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_Toc31298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1.总则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_Toc31298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B36714A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_Toc5421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1.1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编制目的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_Toc5421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7C0CCCBC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_Toc1010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1.2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编制依据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_Toc1010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60AF0D69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_Toc25091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1.3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适用范围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_Toc25091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2F05CA0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_Toc19939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1.4工作原则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_Toc19939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4255230C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_Toc10365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2.应急组织体系及职责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_Toc10365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2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D759268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_Toc27819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2.1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应急领导小组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_Toc27819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2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7A20A15F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_Toc22556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2.2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应急工作小组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_Toc22556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3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1064C3FC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_Toc4617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3.风险识别与预防措施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_Toc4617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4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556C84F3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_Toc17144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3.1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主要风险类型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_Toc17144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4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6954503A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_Toc22970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3.2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预防措施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_Toc22970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5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3387DCD4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_Toc1973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3.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 xml:space="preserve"> 预警发布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_Toc1973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6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38596711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_Toc6700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4.应急响应流程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_Toc6700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6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2958FE87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_Toc29700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信息报告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_Toc29700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8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65770EF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_Toc16249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4.2 响应分级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_Toc16249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8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4EA7444A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_Toc27665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3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应急启动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_Toc27665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8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6FCB77C0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_Toc11156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现场核查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_Toc11156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9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8000909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_Toc1689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处置实施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_Toc1689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9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15224F8B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_Toc11411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6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过程跟踪与调整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_Toc11411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10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1CA05D0B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</w:p>
    <w:p w14:paraId="1DEC1626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_Toc19067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4.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7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应急终止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_Toc19067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10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27277AC8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_Toc25198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5.后期处置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_Toc25198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53C450AF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_Toc8704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5.1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总结评估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_Toc8704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7204A61B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_Toc30650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5.2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整改复查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_Toc30650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3BAD87E2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_Toc31020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5.3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问责处理</w:t>
      </w:r>
      <w:r>
        <w:rPr>
          <w:sz w:val="28"/>
          <w:szCs w:val="28"/>
          <w:highlight w:val="none"/>
        </w:rPr>
        <w:tab/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begin"/>
      </w:r>
      <w:r>
        <w:rPr>
          <w:rFonts w:hint="default" w:asciiTheme="minorAscii" w:hAnsiTheme="minorAscii"/>
          <w:sz w:val="28"/>
          <w:szCs w:val="28"/>
          <w:highlight w:val="none"/>
        </w:rPr>
        <w:instrText xml:space="preserve"> PAGEREF _Toc31020 \h </w:instrTex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separate"/>
      </w:r>
      <w:r>
        <w:rPr>
          <w:rFonts w:hint="default" w:asciiTheme="minorAscii" w:hAnsiTheme="minorAscii"/>
          <w:sz w:val="28"/>
          <w:szCs w:val="28"/>
          <w:highlight w:val="none"/>
        </w:rPr>
        <w:t>11</w:t>
      </w:r>
      <w:r>
        <w:rPr>
          <w:rFonts w:hint="default" w:asciiTheme="minorAscii" w:hAnsiTheme="minorAscii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2CA65260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_Toc27936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5.4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信息公开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_Toc27936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11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53ADCD9E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_Toc26586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5.5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完善制度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_Toc26586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11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237897EF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_Toc30109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6.应急保障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_Toc30109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1354D941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_Toc3439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6.1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人员保障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_Toc3439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3DC3B270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_Toc4570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6.2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物资保障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_Toc4570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4A32C25C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_Toc13157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6.3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经费保障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_Toc13157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5AA3696E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_Toc19220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6.4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技术保障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_Toc19220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45863AEF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_Toc13571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6.5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通讯保障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_Toc13571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9DD05C5">
      <w:pPr>
        <w:pStyle w:val="5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_Toc12909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highlight w:val="none"/>
        </w:rPr>
        <w:t>7.附则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_Toc12909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12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14ADDCA9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_Toc24059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7.1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预案管理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_Toc24059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13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E13477F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_Toc12190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7.2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 xml:space="preserve"> 培训</w:t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</w:rPr>
        <w:t>要求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_Toc12190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13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0FA1AC68">
      <w:pPr>
        <w:pStyle w:val="6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\l _Toc16065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/>
          <w:sz w:val="28"/>
          <w:szCs w:val="28"/>
          <w:highlight w:val="none"/>
          <w:lang w:val="en-US" w:eastAsia="zh-CN"/>
        </w:rPr>
        <w:t>7.3 生效日期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PAGEREF _Toc16065 \h 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13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fldChar w:fldCharType="end"/>
      </w:r>
    </w:p>
    <w:p w14:paraId="4CD2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highlight w:val="none"/>
        </w:rPr>
      </w:pPr>
      <w:r>
        <w:rPr>
          <w:sz w:val="28"/>
          <w:szCs w:val="28"/>
          <w:highlight w:val="none"/>
        </w:rPr>
        <w:fldChar w:fldCharType="end"/>
      </w:r>
    </w:p>
    <w:p w14:paraId="6739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6D7E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19E4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Toc31298"/>
    </w:p>
    <w:p w14:paraId="46F9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</w:p>
    <w:p w14:paraId="7478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1.总则</w:t>
      </w:r>
      <w:bookmarkEnd w:id="0"/>
    </w:p>
    <w:p w14:paraId="4288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" w:name="_Toc5421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1.1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编制目的</w:t>
      </w:r>
      <w:bookmarkEnd w:id="1"/>
    </w:p>
    <w:p w14:paraId="5A2C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为有效防范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、快速应对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和妥善处置水利工程建设领域重大项目监督管理过程中出现的各类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重大风险、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严重违规问题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，规范应急处置流程，强化监督管理效能，保障项目审批合规、招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投标公平公正、工程质量合格、施工安全可控、资金使用规范，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最大限度减少损失和不良影响，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确保项目顺利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，发挥效益，特制定本预案。</w:t>
      </w:r>
    </w:p>
    <w:p w14:paraId="6805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_Toc101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1.2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编制依据</w:t>
      </w:r>
      <w:bookmarkEnd w:id="2"/>
    </w:p>
    <w:p w14:paraId="0EC7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《中华人民共和国水法》《中华人民共和国招标投标法》《建设工程质量管理条例》《水利工程质量管理规定》《建设工程安全生产管理条例》《政府投资条例》等相关法律法规及水利行业相关规范标准，结合我市水利工程建设领域重大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实际情况编制。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B86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3" w:name="_Toc25091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1.3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适用范围</w:t>
      </w:r>
      <w:bookmarkEnd w:id="3"/>
    </w:p>
    <w:p w14:paraId="0679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本预案适用于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市行政区域内由市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水务局负责监督管理的各类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重大水利工程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【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val="en-US" w:eastAsia="zh-CN"/>
        </w:rPr>
        <w:t>项目批复总投资1亿元及以上】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全流程监督环节中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发生的审批监管风险、招标投标异常、工程质量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隐患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、安全生产事故、资金使用失控等突发性、紧急性事件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的应急处置工作。</w:t>
      </w:r>
    </w:p>
    <w:p w14:paraId="2B8CA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" w:name="_Toc1993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1.4工作原则</w:t>
      </w:r>
      <w:bookmarkEnd w:id="4"/>
    </w:p>
    <w:p w14:paraId="4187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1.4.1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预防为主，防处结合。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坚持日常监督与风险排查相结合，提前预判潜在风险，完善防范措施，做到早发现、早预警、早处置。</w:t>
      </w:r>
    </w:p>
    <w:p w14:paraId="250D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1.4.2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统一领导，分级负责。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水务局统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一领导下，县（区）水务局牵头组织应急处置工作，明确各部门、各单位职责分工，协同配合开展工作。</w:t>
      </w:r>
    </w:p>
    <w:p w14:paraId="4D75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1.4.3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依法依规，规范处置。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严格遵循相关法律法规和规章制度，规范应急处置程序，确保处置过程合法合规、公正透明。</w:t>
      </w:r>
    </w:p>
    <w:p w14:paraId="5D10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1.4.4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快速响应，高效处置。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建立快速响应机制，接到突发问题报告后，第一时间启动应急处置流程，及时采取有效措施控制事态发展，降低损失。</w:t>
      </w:r>
    </w:p>
    <w:p w14:paraId="58AD3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3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公开透明，加强引导。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按规定做好信息发布和舆论引导，维护社会稳定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63D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5" w:name="_Toc10365"/>
      <w:r>
        <w:rPr>
          <w:rFonts w:hint="eastAsia" w:ascii="黑体" w:hAnsi="黑体" w:eastAsia="黑体" w:cs="黑体"/>
          <w:sz w:val="32"/>
          <w:szCs w:val="32"/>
          <w:highlight w:val="none"/>
        </w:rPr>
        <w:t>2.应急组织体系及职责</w:t>
      </w:r>
      <w:bookmarkEnd w:id="5"/>
    </w:p>
    <w:p w14:paraId="0F65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6" w:name="_Toc2781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2.1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应急领导小组</w:t>
      </w:r>
      <w:bookmarkEnd w:id="6"/>
    </w:p>
    <w:p w14:paraId="0BF3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成立由市水务局局长任组长，分管副局长任副组长，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市水务局办公室、规计科（项目办）、建管科（农水办）、监督科、水政科、质监站、财审科、机关纪委主要负责人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县（区）水务局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为成员的应急领导小组。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应急领导小组办公室设在建管科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（农水办）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30F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主要职责：</w:t>
      </w:r>
    </w:p>
    <w:p w14:paraId="5831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（1）决定启动和终止应急响应，制定应急处置方案；</w:t>
      </w:r>
    </w:p>
    <w:p w14:paraId="06CA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（2）贯彻落实应急处置决策部署，统筹协调应急处置工作；</w:t>
      </w:r>
    </w:p>
    <w:p w14:paraId="4ADB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（3）协调解决应急处置过程中的重大问题，调动应急资源；</w:t>
      </w:r>
    </w:p>
    <w:p w14:paraId="2A6C9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（4）负责信息上报、发布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与相关部门沟通协调。</w:t>
      </w:r>
    </w:p>
    <w:p w14:paraId="5C05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7" w:name="_Toc2255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2.2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应急工作小组</w:t>
      </w:r>
      <w:bookmarkEnd w:id="7"/>
    </w:p>
    <w:p w14:paraId="3A98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应急领导小组下设4个应急工作小组，具体承担应急处置相关工作：</w:t>
      </w:r>
    </w:p>
    <w:p w14:paraId="1F7B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2.2.1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综合协调组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局办公室牵头，县（区）水务局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分管负责人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组成。主要职责：负责应急处置的综合协调工作，收集、汇总、分析应急信息；做好会议组织、文件起草、物资保障、后勤服务等工作；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与应急管理、自然资源、财政、公安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的协调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联动，明确征地纠纷、安全事故、资金诈骗等事件的协同处置流程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建立协调联动清单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214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2.2.2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现场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核查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由市水务局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建管科（农水办）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牵头，市水务局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规计科（项目办）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、监督科、质监站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负责人，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县（区）水务局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分管负责人及项目法人单位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组成。主要职责：接到突发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报告后，立即赶赴现场开展核查工作，分析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发生原因，查明问题事实、性质、规模及影响范围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收集相关证据材料，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提出有关应急措施和对策，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形成核查报告上报应急领导小组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为应急指挥提供决策依据和技术支持。</w:t>
      </w:r>
    </w:p>
    <w:p w14:paraId="79772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2.2.3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处置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执行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根据问题类型，相关业务科室牵头组成：</w:t>
      </w:r>
    </w:p>
    <w:p w14:paraId="3DDB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（1）审批类问题：由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市水务局规计科（项目办）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建管科（农水办）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，县（区）水务局对应科室、项目法人单位配合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F787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投标类问题：由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市水务局建管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（农水办）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牵头，县（区）水务局对应科室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、项目法人单位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配合；</w:t>
      </w:r>
    </w:p>
    <w:p w14:paraId="10FB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）质量类问题：由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市水务局质监站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牵头，县（区）水务局对应科室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、项目法人单位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配合；</w:t>
      </w:r>
    </w:p>
    <w:p w14:paraId="21D9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）安全类问题：由市水务局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牵头，县（区）水务局对应科室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、项目法人单位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配合；</w:t>
      </w:r>
    </w:p>
    <w:p w14:paraId="6D7C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）资金类问题：由市水务局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建管科（农水办）、财审科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牵头，县（区）水务局对应科室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、项目法人单位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配合；</w:t>
      </w:r>
    </w:p>
    <w:p w14:paraId="3AEE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主要职责：根据应急领导小组制定的处置方案，具体落实处置措施；督促相关责任单位限期整改；跟踪整改进度，及时向应急领导小组反馈处置进展情况。</w:t>
      </w:r>
    </w:p>
    <w:p w14:paraId="0828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2.2.4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整改督导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机关纪委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规计科（项目办）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、建管科（农水办）、水政科负责人，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县（区）水务局对应科室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组成。主要职责：监督应急处置措施落实情况；对在项目监督管理及应急处置过程中存在失职渎职、弄虚作假等行为的单位和个人进行问责；涉嫌违法犯罪的，移交司法机关处理。</w:t>
      </w:r>
    </w:p>
    <w:p w14:paraId="7365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8" w:name="_Toc4617"/>
      <w:r>
        <w:rPr>
          <w:rFonts w:hint="eastAsia" w:ascii="黑体" w:hAnsi="黑体" w:eastAsia="黑体" w:cs="黑体"/>
          <w:sz w:val="32"/>
          <w:szCs w:val="32"/>
          <w:highlight w:val="none"/>
        </w:rPr>
        <w:t>3.风险识别与预防措施</w:t>
      </w:r>
      <w:bookmarkEnd w:id="8"/>
    </w:p>
    <w:p w14:paraId="6766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9" w:name="_Toc17144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3.1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主要风险类型</w:t>
      </w:r>
      <w:bookmarkEnd w:id="9"/>
    </w:p>
    <w:p w14:paraId="05C7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3.1.1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审批环节风险：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未批先建、批建不符、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前期手续办理不全、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审批材料弄虚作假、审批流程不规范等。</w:t>
      </w:r>
    </w:p>
    <w:p w14:paraId="4450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3.1.2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投标环节风险：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规避招标、虚假招标、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围标串标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、评标不公、中标后违法分包转包等。</w:t>
      </w:r>
    </w:p>
    <w:p w14:paraId="76D1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3.1.3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质量管理风险：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施工工艺不规范、原材料或设备质量不合格、工程实体质量存在隐患、质量检测数据造假等。</w:t>
      </w:r>
    </w:p>
    <w:p w14:paraId="236C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3.1.4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安全管理风险：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安全管理制度不健全、安全防护措施不到位、施工现场安全隐患突出、突发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安全事故（如坍塌、溺水、触电等）。</w:t>
      </w:r>
    </w:p>
    <w:p w14:paraId="2702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3.1.5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资金管理风险：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截留、挤占、挪用项目资金，虚报工程量套取资金，资金使用不规范、超概算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农名工工资支付不规范、不及时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6DC5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0" w:name="_Toc2297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3.2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预防措施</w:t>
      </w:r>
      <w:bookmarkEnd w:id="10"/>
    </w:p>
    <w:p w14:paraId="56CEC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强化日常监督检查。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建立常态化监督检查机制，定期对项目审批、招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投标、施工质量、安全生产、资金使用等环节开展监督检查，及时发现和纠正苗头性、倾向性问题。</w:t>
      </w:r>
    </w:p>
    <w:p w14:paraId="4786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完善风险排查机制。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项目开工前，对项目各环节进行全面风险排查，建立风险台账，制定防控措施；项目实施过程中，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开展专项风险排查，动态更新风险台账，强化防控力度。</w:t>
      </w:r>
    </w:p>
    <w:p w14:paraId="693C5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加强宣传培训。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定期组织项目建设单位、施工单位、监理单位等相关主体开展法律法规和业务知识培训，提升其合规意识和责任意识；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畅通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监督举报渠道，鼓励社会公众参与监督。</w:t>
      </w:r>
    </w:p>
    <w:p w14:paraId="41A0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规范审批流程。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严格执行项目审批程序，逐事项精准厘清各阶段审批事项和办理流程、时限，加强审批材料审核，确保审批合规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，持续优化营商环境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1C2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规范招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投标流程。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投标全过程管理，强化对招标公告发布、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投标文件审核、评标过程、合同签订等环节的监督，保障招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投标公平公正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，增强市场主体的获得感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DBD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强化质量安全管控。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落实项目法人首要责任和勘察、设计、施工、监理等参建单位质量安全主体责任，健全完善质量安全管理体系；加强对施工现场原材料、中间产品、施工质量检验验收、实体质量等重点环节和关键部位的质量安全巡查，及时发现质量安全隐患，督促全面整改落实。</w:t>
      </w:r>
    </w:p>
    <w:p w14:paraId="088B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严格资金监管。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建立项目资金专项监管机制，加强对资金拨付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使用的审核把关，确保资金专款专用；定期开展资金使用情况审计，及时发现和纠正资金使用不规范问题。</w:t>
      </w:r>
    </w:p>
    <w:p w14:paraId="353A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1" w:name="_Toc1973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 xml:space="preserve"> 预警发布</w:t>
      </w:r>
      <w:bookmarkEnd w:id="11"/>
    </w:p>
    <w:p w14:paraId="16BF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对监测发现的可能引发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监管事件的风险，应急领导小组应及时组织分析研判。根据风险可能造成的危害程度、紧急程度和发展态势，预警级别可分为Ⅰ级（特别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）、Ⅱ级（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）、Ⅲ级（较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）、Ⅳ级（一般），分别用红、橙、黄、蓝四色标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，并通过适当方式向相关单位和项目法人发布预警信息。</w:t>
      </w:r>
    </w:p>
    <w:p w14:paraId="06E7F102">
      <w:pPr>
        <w:pStyle w:val="2"/>
        <w:rPr>
          <w:rFonts w:hint="eastAsia"/>
        </w:rPr>
      </w:pP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73"/>
        <w:gridCol w:w="6595"/>
      </w:tblGrid>
      <w:tr w14:paraId="50BF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9F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2" w:name="_Toc670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张掖市水利工程建设领域重大项目监督管理事故判定标准</w:t>
            </w:r>
          </w:p>
        </w:tc>
      </w:tr>
      <w:tr w14:paraId="6316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事故类别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事故等级</w:t>
            </w:r>
          </w:p>
        </w:tc>
        <w:tc>
          <w:tcPr>
            <w:tcW w:w="36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判定标准</w:t>
            </w:r>
          </w:p>
        </w:tc>
      </w:tr>
      <w:tr w14:paraId="231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审批类</w:t>
            </w:r>
          </w:p>
          <w:p w14:paraId="7584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  <w:p w14:paraId="2558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（特别重大）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未取得可研批复、初设批复、施工许可等核心审批文件，擅自开工建设；已实施主体工程施工，引发省级及以上群体性事件。</w:t>
            </w:r>
          </w:p>
        </w:tc>
      </w:tr>
      <w:tr w14:paraId="3A7D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  <w:p w14:paraId="6EB4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项目审批过程中存在弄虚作假、权钱交易等违法违规行为，影响省级水利建设规划实施，引发省级负面舆情，社会影响恶劣。</w:t>
            </w:r>
          </w:p>
        </w:tc>
      </w:tr>
      <w:tr w14:paraId="3CB6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  <w:p w14:paraId="20BA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（较大）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未取得环评、水保、稳评批复等关键审批文件，擅自开工建设；已实施主体工程施工，引发市、县级群体性事件。</w:t>
            </w:r>
          </w:p>
        </w:tc>
      </w:tr>
      <w:tr w14:paraId="66ED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Ⅳ级</w:t>
            </w:r>
          </w:p>
          <w:p w14:paraId="6435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（一般）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项目审批过程中存在违规审批、履职不到位、程序不规范、资料不全等违规问题，影响水利建设项目推进，引发市、县级负面舆情，社会影响较大。</w:t>
            </w:r>
          </w:p>
        </w:tc>
      </w:tr>
      <w:tr w14:paraId="6EED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事故类别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事故等级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判定标准</w:t>
            </w:r>
          </w:p>
        </w:tc>
      </w:tr>
      <w:tr w14:paraId="1EC0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招标投标</w:t>
            </w:r>
          </w:p>
          <w:p w14:paraId="11CA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类事故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  <w:p w14:paraId="69A4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（特别重大）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施工、监理、设计等核心标段存在大范围围标串标等违法违规行为，泄露标底、受贿舞弊等严重违法犯罪行为，被国家级监管部门挂牌督办。</w:t>
            </w:r>
          </w:p>
        </w:tc>
      </w:tr>
      <w:tr w14:paraId="75EB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  <w:p w14:paraId="0EBC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施工、监理、设计等核心标段存在评委违规打分、代理机构弄虚作假、操控中标结果、中标单位资质不符等违法违规行为，被省级监管部门挂牌督办。</w:t>
            </w:r>
          </w:p>
        </w:tc>
      </w:tr>
      <w:tr w14:paraId="7601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  <w:p w14:paraId="331F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（较大）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招投标过程中存在围标串标嫌疑或虚假投标、挂靠投标、规避公开招标、资格审查不严等行为，被市、县级监管部门挂牌督办。</w:t>
            </w:r>
          </w:p>
        </w:tc>
      </w:tr>
      <w:tr w14:paraId="2957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Ⅳ级</w:t>
            </w:r>
          </w:p>
          <w:p w14:paraId="1F7B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（一般）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招投标过程中存在轻微违规投标或流程不规范等问题，未影响中标结果，引发局部投诉。</w:t>
            </w:r>
          </w:p>
        </w:tc>
      </w:tr>
      <w:tr w14:paraId="73C2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质量类</w:t>
            </w:r>
          </w:p>
          <w:p w14:paraId="02F0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  <w:p w14:paraId="559B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（特别重大）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造成直接经济损失1亿元及以上，或者事故处理所需合理工期6个月以上。</w:t>
            </w:r>
          </w:p>
        </w:tc>
      </w:tr>
      <w:tr w14:paraId="5190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  <w:p w14:paraId="2799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造成直接经济损失5000万元及以上1亿元以下，或者事故处理所需合理工期3个月以上6个月以下。</w:t>
            </w:r>
          </w:p>
        </w:tc>
      </w:tr>
      <w:tr w14:paraId="04D4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  <w:p w14:paraId="129D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（较大）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造成直接经济损失1000万元及以上5000万元以下，或者事故处理所需合理工期1个月以上3个月以下。</w:t>
            </w:r>
          </w:p>
        </w:tc>
      </w:tr>
      <w:tr w14:paraId="05F2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Ⅳ级</w:t>
            </w:r>
          </w:p>
          <w:p w14:paraId="0413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（一般）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造成直接经济损失100万元及以上1000万元以下，或者事故处理所需合理工期15日以上1个月以下。</w:t>
            </w:r>
          </w:p>
        </w:tc>
      </w:tr>
      <w:tr w14:paraId="6925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安全类</w:t>
            </w:r>
          </w:p>
          <w:p w14:paraId="6AA2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  <w:p w14:paraId="62AB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（特别重大）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造成30人以上死亡，或者100人以上重伤，或者1亿元以上直接经济损失。</w:t>
            </w:r>
          </w:p>
        </w:tc>
      </w:tr>
      <w:tr w14:paraId="2E8D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  <w:p w14:paraId="4CC9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造成10人以上30人以下死亡，或者50人以上100人以下重伤，或者5000万元以上1亿元以下直接经济损失。</w:t>
            </w:r>
          </w:p>
        </w:tc>
      </w:tr>
      <w:tr w14:paraId="6FEB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  <w:p w14:paraId="63AB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（较大）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造成3人以上10人以下死亡，或者10人以上50人以下重伤，或者1000万元以上5000万元以下直接经济损失。</w:t>
            </w:r>
          </w:p>
        </w:tc>
      </w:tr>
      <w:tr w14:paraId="7F8B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Ⅳ级</w:t>
            </w:r>
          </w:p>
          <w:p w14:paraId="61F6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（一般）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造成3人以下死亡，或者10人以下重伤，或者直接经济损失1000万元以下。</w:t>
            </w:r>
          </w:p>
        </w:tc>
      </w:tr>
      <w:tr w14:paraId="4AD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</w:t>
            </w:r>
          </w:p>
          <w:p w14:paraId="0EA3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Ⅰ级</w:t>
            </w:r>
          </w:p>
          <w:p w14:paraId="0FD1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（特别重大）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项目资金违规使用金额占批复总投资的20%以上，存在资金挪用、贪污、诈骗等严重违法犯罪行为，导致资金无法追回，项目全面停工，严重影响项目实施，被国家级纪检监察、审计部门挂牌督办。</w:t>
            </w:r>
          </w:p>
        </w:tc>
      </w:tr>
      <w:tr w14:paraId="23DB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Ⅱ级</w:t>
            </w:r>
          </w:p>
          <w:p w14:paraId="38EF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项目资金违规使用金额占批复总投资的10%-20%，存在资金挪用、虚报冒领等违法违规行为，部分资金无法追回，项目局部停工，影响项目实施，被省级纪检监察、审计部门挂牌督办。</w:t>
            </w:r>
          </w:p>
        </w:tc>
      </w:tr>
      <w:tr w14:paraId="07C9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Ⅲ级</w:t>
            </w:r>
          </w:p>
          <w:p w14:paraId="60E0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（较大）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项目资金违规使用金额占批复总投资的5%-10%，存在资金使用不规范、挤占挪用等违规行为，大部分资金可通过整改追回，项目施工受到一定影响，被市、县级纪检监察、审计部门挂牌督办。</w:t>
            </w:r>
          </w:p>
        </w:tc>
      </w:tr>
      <w:tr w14:paraId="3B9E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Ⅳ级</w:t>
            </w:r>
          </w:p>
          <w:p w14:paraId="3F5D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（一般）</w:t>
            </w:r>
          </w:p>
        </w:tc>
        <w:tc>
          <w:tcPr>
            <w:tcW w:w="3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项目资金违规使用金额占批复总投资的5%以下，存在资金支付流程不规范、票据不合规等轻微违规问题，资金可全部追回，不影响项目正常施工，未引发负面舆情，仅造成局部轻微影响。</w:t>
            </w:r>
          </w:p>
        </w:tc>
      </w:tr>
    </w:tbl>
    <w:p w14:paraId="38A0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4.应急响应流程</w:t>
      </w:r>
      <w:bookmarkEnd w:id="12"/>
    </w:p>
    <w:p w14:paraId="2FE2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3" w:name="_Toc2970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信息报告</w:t>
      </w:r>
      <w:bookmarkEnd w:id="13"/>
    </w:p>
    <w:p w14:paraId="2562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4.1.1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报告渠道。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任何单位或个人发现重大水利工程项目监督管理相关突发问题，可通过监督举报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向市水务局应急领导小组或相关科室报告。</w:t>
      </w:r>
    </w:p>
    <w:p w14:paraId="43DC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4.1.2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报告内容。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报告应包括以下内容：问题发生的项目名称、时间、地点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问题类型、主要事实、涉及单位及人员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问题造成的影响或潜在风险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报告单位（人）及联系方式等。</w:t>
      </w:r>
    </w:p>
    <w:p w14:paraId="674B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4.1.3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报告时限。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接到问题报告后，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在24小时内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核实情况，并向应急领导小组汇报；对于情况紧急、可能造成重大损失或恶劣影响的，应立即上报，不得迟报、漏报、瞒报。</w:t>
      </w:r>
    </w:p>
    <w:p w14:paraId="6525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4" w:name="_Toc1624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4.2 响应分级</w:t>
      </w:r>
      <w:bookmarkEnd w:id="14"/>
    </w:p>
    <w:p w14:paraId="0AA7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对应预警级别，应急响应分为四级：</w:t>
      </w:r>
    </w:p>
    <w:p w14:paraId="52E94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Ⅰ级响应（特别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重大突发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事件）： 由领导小组报请市政府，在市政府统一指挥下开展应急处置。</w:t>
      </w:r>
    </w:p>
    <w:p w14:paraId="7CE8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Ⅱ级响应（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突发事件）： 由领导小组组长启动，调动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全部应急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资源，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各应急工作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组全面开展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8CE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Ⅲ级响应（较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突发事件）： 由领导小组副组长启动，牵头科室组织应急工作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组开展处置。</w:t>
      </w:r>
    </w:p>
    <w:p w14:paraId="0A94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Ⅳ级响应（一般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突发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事件）： 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市水务局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相关业务科室负责人组织处置，报领导小组办公室备案。</w:t>
      </w:r>
    </w:p>
    <w:p w14:paraId="5C90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5" w:name="_Toc27665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应急启动</w:t>
      </w:r>
      <w:bookmarkEnd w:id="15"/>
    </w:p>
    <w:p w14:paraId="6EF9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应急领导小组接到报告后，应在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小时内召开紧急会议，对问题进行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研判。根据问题的严重程度、影响范围及发展态势，决定是否启动应急响应。若启动应急响应，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明确应急处置责任分工、处置措施及时间要求，下达应急处置指令。</w:t>
      </w:r>
    </w:p>
    <w:p w14:paraId="7F218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6" w:name="_Toc1115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现场核查</w:t>
      </w:r>
      <w:bookmarkEnd w:id="16"/>
    </w:p>
    <w:p w14:paraId="2A62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核查组接到指令后，应在24小时内赶赴现场开展核查工作。通过查阅资料、现场勘查、询问相关人员等方式，全面核实问题情况，收集相关证据（如文件资料、照片、视频、检测报告等），形成核查报告，在核查结束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上报应急领导小组。</w:t>
      </w:r>
    </w:p>
    <w:p w14:paraId="7273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7" w:name="_Toc168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处置实施</w:t>
      </w:r>
      <w:bookmarkEnd w:id="17"/>
    </w:p>
    <w:p w14:paraId="70A4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处置执行组根据应急领导小组制定的处置方案，立即开展处置工作：</w:t>
      </w:r>
    </w:p>
    <w:p w14:paraId="4F65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审批类问题：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对未批先建、批建不符、前期手续办理不全的，责令停止建设，限期补办相关手续；对审批材料弄虚作假的，依法撤销相关审批文件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对相关责任单位和人员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依纪依规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进行处罚。</w:t>
      </w:r>
    </w:p>
    <w:p w14:paraId="60FE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投标类问题：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投标违法违规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的，依法撤销中标结果，责令重新组织招标，对相关责任单位和人员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依纪依规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进行处罚。</w:t>
      </w:r>
    </w:p>
    <w:p w14:paraId="1348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质量管理类问题：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原材料或设备质量不合格的，责令停止使用并更换合格材料或设备；对施工工艺不规范、存在质量隐患的，责令限期整改，必要时下达停工整改通知书；对质量检测数据造假的，严肃追究检测单位及相关人员责任，并重新组织进行检测；对已形成质量问题的，责令相关单位制定整改方案，限期整改落实，确保工程质量符合设计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对发生质量事故的，严格按照《水利工程质量事故处理规定》执行。</w:t>
      </w:r>
    </w:p>
    <w:p w14:paraId="12CF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安全管理类问题：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安全管理制度不健全、防护措施不到位的，责令限期整改；对施工现场存在重大安全隐患的，立即下达停工整改通知书，督促整改到位；发生安全事故的，立即组织开展应急救援，协调相关部门做好人员救治、现场管控等工作，查明事故原因，依法追究相关责任。</w:t>
      </w:r>
    </w:p>
    <w:p w14:paraId="032E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资金管理类问题：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对截留、挤占、挪用项目资金的，责令限期追回资金，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对相关责任单位和人员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依纪依规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进行处罚；对虚报工程量套取资金的，责令退回套取资金，核减相应工程款；对资金使用不规范、超概算的，责令整改，规范资金使用流程，严格控制概算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对农民工工资支付不规范、不及时的，责令按照法定程序足额补发，规范农民工工资支付流程，保障农民工权益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99E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18" w:name="_Toc11411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过程跟踪与调整</w:t>
      </w:r>
      <w:bookmarkEnd w:id="18"/>
    </w:p>
    <w:p w14:paraId="705B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处置执行组在处置过程中，应定期向应急领导小组汇报处置进展情况。应急领导小组根据处置进展及问题变化情况，及时调整处置措施，确保处置工作有效推进。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整改督导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组全程监督处置过程，及时发现和纠正处置过程中存在的问题。</w:t>
      </w:r>
    </w:p>
    <w:p w14:paraId="0DEF7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9" w:name="_Toc19067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应急终止</w:t>
      </w:r>
      <w:bookmarkEnd w:id="19"/>
    </w:p>
    <w:p w14:paraId="4511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当突发问题得到妥善处置，相关隐患已消除，整改工作完成并通过验收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，应急领导小组召开会议研究决定终止应急响应。</w:t>
      </w:r>
    </w:p>
    <w:p w14:paraId="341F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0" w:name="_Toc25198"/>
      <w:r>
        <w:rPr>
          <w:rFonts w:hint="eastAsia" w:ascii="黑体" w:hAnsi="黑体" w:eastAsia="黑体" w:cs="黑体"/>
          <w:sz w:val="32"/>
          <w:szCs w:val="32"/>
          <w:highlight w:val="none"/>
        </w:rPr>
        <w:t>5.后期处置</w:t>
      </w:r>
      <w:bookmarkEnd w:id="20"/>
    </w:p>
    <w:p w14:paraId="7516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1" w:name="_Toc8704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5.1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总结评估</w:t>
      </w:r>
      <w:bookmarkEnd w:id="21"/>
    </w:p>
    <w:p w14:paraId="64D1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应急响应终止后，各应急工作小组应对应急处置工作进行总结，分析问题产生原因，评估应急处置效果，总结经验教训，形成总结报告上报应急领导小组。</w:t>
      </w:r>
    </w:p>
    <w:p w14:paraId="3D53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2" w:name="_Toc3065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5.2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整改复查</w:t>
      </w:r>
      <w:bookmarkEnd w:id="22"/>
    </w:p>
    <w:p w14:paraId="57D9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实行三级复查机制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项目法人自查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水务局初查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对相关责任单位的整改情况进行复查，确保整改措施落实到位，问题彻底解决。对整改不到位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或反复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的，责令继续整改，直至符合要求。</w:t>
      </w:r>
    </w:p>
    <w:p w14:paraId="3083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3" w:name="_Toc3102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5.3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问责处理</w:t>
      </w:r>
      <w:bookmarkEnd w:id="23"/>
    </w:p>
    <w:p w14:paraId="7A86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整改督导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组根据核查结果及处置情况，对存在违法违规行为的单位和个人，依法依规进行问责；涉嫌犯罪的，移交司法机关处理。</w:t>
      </w:r>
    </w:p>
    <w:p w14:paraId="08D6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4" w:name="_Toc2793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5.4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信息公开</w:t>
      </w:r>
      <w:bookmarkEnd w:id="24"/>
    </w:p>
    <w:p w14:paraId="1635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在不涉及保密内容的前提下，应急领导小组适时向社会公开突发问题的处置情况，接受社会监督。</w:t>
      </w:r>
    </w:p>
    <w:p w14:paraId="0335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5" w:name="_Toc2658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5.5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完善制度</w:t>
      </w:r>
      <w:bookmarkEnd w:id="25"/>
    </w:p>
    <w:p w14:paraId="5506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根据应急处置过程中发现的问题及总结的经验教训，及时完善项目监督管理制度，优化监督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流程，强化风险防控措施，提升项目监督管理水平。</w:t>
      </w:r>
    </w:p>
    <w:p w14:paraId="1DC6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26" w:name="_Toc30109"/>
      <w:r>
        <w:rPr>
          <w:rFonts w:hint="eastAsia" w:ascii="黑体" w:hAnsi="黑体" w:eastAsia="黑体" w:cs="黑体"/>
          <w:sz w:val="32"/>
          <w:szCs w:val="32"/>
          <w:highlight w:val="none"/>
        </w:rPr>
        <w:t>6.应急保障</w:t>
      </w:r>
      <w:bookmarkEnd w:id="26"/>
    </w:p>
    <w:p w14:paraId="0AC0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7" w:name="_Toc343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6.1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人员保障</w:t>
      </w:r>
      <w:bookmarkEnd w:id="27"/>
    </w:p>
    <w:p w14:paraId="1A83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明确各应急工作小组的人员组成，确保应急处置人员到位；定期组织应急处置培训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，提升应急处置人员的业务能力和应急响应能力。</w:t>
      </w:r>
    </w:p>
    <w:p w14:paraId="21BC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8" w:name="_Toc457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6.2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物资保障</w:t>
      </w:r>
      <w:bookmarkEnd w:id="28"/>
    </w:p>
    <w:p w14:paraId="3044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配备必要的应急处置物资，如现场核查设备（相机、记录仪、检测工具等）、通讯设备（手机、对讲机等）、防护用品（安全帽、防护服、救生设备等）及办公物资等，定期检查维护，确保物资完好可用。</w:t>
      </w:r>
    </w:p>
    <w:p w14:paraId="759F4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9" w:name="_Toc13157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6.3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经费保障</w:t>
      </w:r>
      <w:bookmarkEnd w:id="29"/>
    </w:p>
    <w:p w14:paraId="538D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统筹安排应急处置专项经费，保障应急处置工作的顺利开展，经费专款专用，严格管理。</w:t>
      </w:r>
    </w:p>
    <w:p w14:paraId="103A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30" w:name="_Toc1922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6.4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技术保障</w:t>
      </w:r>
      <w:bookmarkEnd w:id="30"/>
    </w:p>
    <w:p w14:paraId="3A4C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水利工程、质量检测、安全管理、财务审计等领域的专家组成技术支撑团队，为应急处置工作提供技术指导和专业咨询，确保处置措施科学有效。</w:t>
      </w:r>
    </w:p>
    <w:p w14:paraId="14B6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31" w:name="_Toc13571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6.5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通讯保障</w:t>
      </w:r>
      <w:bookmarkEnd w:id="31"/>
    </w:p>
    <w:p w14:paraId="4082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建立健全应急通讯联络机制，明确应急领导小组及各工作小组成员的联系方式，确保应急处置过程中信息传递畅通、及时。</w:t>
      </w:r>
    </w:p>
    <w:p w14:paraId="16A3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32" w:name="_Toc12909"/>
      <w:r>
        <w:rPr>
          <w:rFonts w:hint="eastAsia" w:ascii="黑体" w:hAnsi="黑体" w:eastAsia="黑体" w:cs="黑体"/>
          <w:sz w:val="32"/>
          <w:szCs w:val="32"/>
          <w:highlight w:val="none"/>
        </w:rPr>
        <w:t>7.附则</w:t>
      </w:r>
      <w:bookmarkEnd w:id="32"/>
    </w:p>
    <w:p w14:paraId="470B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33" w:name="_Toc2405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7.1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预案管理</w:t>
      </w:r>
      <w:bookmarkEnd w:id="33"/>
    </w:p>
    <w:p w14:paraId="6E8E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本预案由市水务局负责解释和修订，根据实际情况变化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应急处置实践经验，及时对预案进行更新完善。</w:t>
      </w:r>
    </w:p>
    <w:p w14:paraId="7745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34" w:name="_Toc1219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7.2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培训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要求</w:t>
      </w:r>
      <w:bookmarkEnd w:id="34"/>
    </w:p>
    <w:p w14:paraId="7275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市、县（区）水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务局每年至少组织一次应急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，提升应急处置能力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，提高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应急组织体系的运行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效率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培训工作应做到合理规范，培训内容需包含县（区）典型案例解读，保证培训工作质量和实际效果。培训情况要留有记录并建立培训档案，便于后期对应急预案的优化管理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053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bookmarkStart w:id="35" w:name="_Toc16065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7.3 生效日期</w:t>
      </w:r>
      <w:bookmarkEnd w:id="35"/>
    </w:p>
    <w:p w14:paraId="049B7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本预案自发布之日起施行。</w:t>
      </w:r>
    </w:p>
    <w:sectPr>
      <w:footerReference r:id="rId6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8036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3B59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5C05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4CD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D8D7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D8D7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6AD2"/>
    <w:rsid w:val="01057174"/>
    <w:rsid w:val="018A58CB"/>
    <w:rsid w:val="01F86CD9"/>
    <w:rsid w:val="020C62E0"/>
    <w:rsid w:val="04402271"/>
    <w:rsid w:val="05D9418A"/>
    <w:rsid w:val="0AED4318"/>
    <w:rsid w:val="0B252643"/>
    <w:rsid w:val="0DAD4E1B"/>
    <w:rsid w:val="0F4277E5"/>
    <w:rsid w:val="0FCB728E"/>
    <w:rsid w:val="10345380"/>
    <w:rsid w:val="112F3D99"/>
    <w:rsid w:val="114A472F"/>
    <w:rsid w:val="120044FC"/>
    <w:rsid w:val="123959B6"/>
    <w:rsid w:val="12BD76DB"/>
    <w:rsid w:val="14777F31"/>
    <w:rsid w:val="15673B02"/>
    <w:rsid w:val="164B3423"/>
    <w:rsid w:val="165225B7"/>
    <w:rsid w:val="17D905BB"/>
    <w:rsid w:val="195B426E"/>
    <w:rsid w:val="196547FC"/>
    <w:rsid w:val="1AA41354"/>
    <w:rsid w:val="1B744BA6"/>
    <w:rsid w:val="1C844F99"/>
    <w:rsid w:val="1C8E5E18"/>
    <w:rsid w:val="1D8E3BF5"/>
    <w:rsid w:val="1EC65D3D"/>
    <w:rsid w:val="22841AE6"/>
    <w:rsid w:val="22FE0D03"/>
    <w:rsid w:val="25007ACF"/>
    <w:rsid w:val="25A0096A"/>
    <w:rsid w:val="269C3827"/>
    <w:rsid w:val="26C93166"/>
    <w:rsid w:val="26E0713D"/>
    <w:rsid w:val="26E45C68"/>
    <w:rsid w:val="277A2A43"/>
    <w:rsid w:val="29003681"/>
    <w:rsid w:val="29B31706"/>
    <w:rsid w:val="2AEA7D30"/>
    <w:rsid w:val="2EBF6305"/>
    <w:rsid w:val="2FCA1CB5"/>
    <w:rsid w:val="316311C9"/>
    <w:rsid w:val="324A70A0"/>
    <w:rsid w:val="324C3E11"/>
    <w:rsid w:val="32690A61"/>
    <w:rsid w:val="33237917"/>
    <w:rsid w:val="33550FE6"/>
    <w:rsid w:val="35643762"/>
    <w:rsid w:val="358B230A"/>
    <w:rsid w:val="399836BD"/>
    <w:rsid w:val="399860D0"/>
    <w:rsid w:val="3B430B81"/>
    <w:rsid w:val="3C410359"/>
    <w:rsid w:val="3DF7AF8B"/>
    <w:rsid w:val="3E4F1453"/>
    <w:rsid w:val="3FFF47D1"/>
    <w:rsid w:val="40646D0C"/>
    <w:rsid w:val="412F2E76"/>
    <w:rsid w:val="41313092"/>
    <w:rsid w:val="418A09F4"/>
    <w:rsid w:val="41BD66D4"/>
    <w:rsid w:val="423303C7"/>
    <w:rsid w:val="43160791"/>
    <w:rsid w:val="43B72198"/>
    <w:rsid w:val="44703ED1"/>
    <w:rsid w:val="4A4E6A63"/>
    <w:rsid w:val="4A835FE1"/>
    <w:rsid w:val="4E6E013B"/>
    <w:rsid w:val="4F5F43CA"/>
    <w:rsid w:val="5003209D"/>
    <w:rsid w:val="51C13FBE"/>
    <w:rsid w:val="543A0058"/>
    <w:rsid w:val="54972DB4"/>
    <w:rsid w:val="55453619"/>
    <w:rsid w:val="56EF6ED8"/>
    <w:rsid w:val="5EAB30AC"/>
    <w:rsid w:val="5EBB7FE7"/>
    <w:rsid w:val="5ED45ACE"/>
    <w:rsid w:val="5F5656C0"/>
    <w:rsid w:val="601C6864"/>
    <w:rsid w:val="6182292A"/>
    <w:rsid w:val="61AA57C0"/>
    <w:rsid w:val="63870498"/>
    <w:rsid w:val="64B82FFF"/>
    <w:rsid w:val="64EA7150"/>
    <w:rsid w:val="652F0DE7"/>
    <w:rsid w:val="67E91721"/>
    <w:rsid w:val="684302E5"/>
    <w:rsid w:val="6AB029CA"/>
    <w:rsid w:val="6C034E15"/>
    <w:rsid w:val="6D081BCB"/>
    <w:rsid w:val="6E11552E"/>
    <w:rsid w:val="6FF779F7"/>
    <w:rsid w:val="73832A2A"/>
    <w:rsid w:val="73BB1BC0"/>
    <w:rsid w:val="73F6AB51"/>
    <w:rsid w:val="73FF8D62"/>
    <w:rsid w:val="75930F1E"/>
    <w:rsid w:val="75F93E43"/>
    <w:rsid w:val="773C186D"/>
    <w:rsid w:val="7776D0CB"/>
    <w:rsid w:val="77AB4787"/>
    <w:rsid w:val="79BF6696"/>
    <w:rsid w:val="79FF8769"/>
    <w:rsid w:val="7ACF49CF"/>
    <w:rsid w:val="7B9242DA"/>
    <w:rsid w:val="7BE3445D"/>
    <w:rsid w:val="7DEF1ACF"/>
    <w:rsid w:val="7DF509C8"/>
    <w:rsid w:val="7E462FD2"/>
    <w:rsid w:val="7FDC59C8"/>
    <w:rsid w:val="7FFE89FA"/>
    <w:rsid w:val="CFF5D148"/>
    <w:rsid w:val="DD9714ED"/>
    <w:rsid w:val="E71417C4"/>
    <w:rsid w:val="E8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3062</Words>
  <Characters>3250</Characters>
  <Lines>0</Lines>
  <Paragraphs>0</Paragraphs>
  <TotalTime>15</TotalTime>
  <ScaleCrop>false</ScaleCrop>
  <LinksUpToDate>false</LinksUpToDate>
  <CharactersWithSpaces>3346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2026-01-16T00:43:00Z</dcterms:created>
  <dc:creator>Administrator</dc:creator>
  <cp:lastModifiedBy>颐明</cp:lastModifiedBy>
  <cp:lastPrinted>2026-02-04T01:18:33Z</cp:lastPrinted>
  <dcterms:modified xsi:type="dcterms:W3CDTF">2026-02-04T02:02:52Z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eyJoZGlkIjoiZjliODQ1ZDAwMjBlNzliYzIwNDdjNWUyZjc1YTRiODgiLCJ1c2VySWQiOiIyNjc4MDE4OTkifQ==</vt:lpwstr>
  </property>
  <property fmtid="{D5CDD505-2E9C-101B-9397-08002B2CF9AE}" pid="4" name="ICV">
    <vt:lpwstr>940C107C046D49F8BBA54C49A578A061_12</vt:lpwstr>
  </property>
</Properties>
</file>