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bookmarkStart w:id="0" w:name="_GoBack"/>
      <w:r>
        <w:rPr>
          <w:rFonts w:hint="eastAsia" w:ascii="方正小标宋简体" w:eastAsia="方正小标宋简体"/>
          <w:sz w:val="44"/>
          <w:szCs w:val="44"/>
        </w:rPr>
        <w:t>张掖市水权交易管理办法</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征求意见</w:t>
      </w:r>
      <w:r>
        <w:rPr>
          <w:rFonts w:hint="eastAsia" w:ascii="楷体_GB2312" w:eastAsia="楷体_GB2312"/>
          <w:sz w:val="32"/>
          <w:szCs w:val="32"/>
        </w:rPr>
        <w:t>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第一条</w:t>
      </w:r>
      <w:r>
        <w:rPr>
          <w:rFonts w:hint="eastAsia"/>
          <w:sz w:val="32"/>
          <w:szCs w:val="32"/>
        </w:rPr>
        <w:t>【</w:t>
      </w:r>
      <w:r>
        <w:rPr>
          <w:rFonts w:hint="eastAsia" w:ascii="楷体_GB2312" w:hAnsi="楷体_GB2312" w:eastAsia="楷体_GB2312" w:cs="楷体_GB2312"/>
          <w:sz w:val="32"/>
          <w:szCs w:val="32"/>
        </w:rPr>
        <w:t>立法目的和依据</w:t>
      </w:r>
      <w:r>
        <w:rPr>
          <w:rFonts w:hint="eastAsia"/>
          <w:sz w:val="32"/>
          <w:szCs w:val="32"/>
        </w:rPr>
        <w:t>】</w:t>
      </w:r>
      <w:r>
        <w:rPr>
          <w:rFonts w:hint="eastAsia" w:ascii="Times New Roman" w:hAnsi="Times New Roman" w:eastAsia="仿宋_GB2312" w:cs="Times New Roman"/>
          <w:sz w:val="32"/>
          <w:szCs w:val="20"/>
          <w:lang w:val="en-US" w:eastAsia="zh-CN"/>
        </w:rPr>
        <w:t>为充分发挥市场机制优化配置水资源，规范水权交易行为、促进水资源集约节约利用，根据《中华人民共和国水法》《取水许可和水资源费征收管理条例》《水权交易暂行管理办法》《甘肃省取水许可和水资源费征收管理办法》等法律法规和有关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第二条</w:t>
      </w:r>
      <w:r>
        <w:rPr>
          <w:rFonts w:hint="eastAsia"/>
          <w:sz w:val="32"/>
          <w:szCs w:val="32"/>
        </w:rPr>
        <w:t>【</w:t>
      </w:r>
      <w:r>
        <w:rPr>
          <w:rFonts w:hint="eastAsia" w:ascii="楷体_GB2312" w:hAnsi="楷体_GB2312" w:eastAsia="楷体_GB2312" w:cs="楷体_GB2312"/>
          <w:sz w:val="32"/>
          <w:szCs w:val="32"/>
        </w:rPr>
        <w:t>适用范围</w:t>
      </w:r>
      <w:r>
        <w:rPr>
          <w:rFonts w:hint="eastAsia"/>
          <w:sz w:val="32"/>
          <w:szCs w:val="32"/>
        </w:rPr>
        <w:t>】</w:t>
      </w:r>
      <w:r>
        <w:rPr>
          <w:rFonts w:hint="eastAsia" w:ascii="Times New Roman" w:hAnsi="Times New Roman" w:eastAsia="仿宋_GB2312" w:cs="Times New Roman"/>
          <w:sz w:val="32"/>
          <w:szCs w:val="20"/>
          <w:lang w:val="en-US" w:eastAsia="zh-CN"/>
        </w:rPr>
        <w:t>本办法适用于本市行政区域内的水权交易及其监督管理。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本办法所称水权交易，是指在合理界定和分配用水权的</w:t>
      </w:r>
      <w:r>
        <w:rPr>
          <w:rFonts w:hint="eastAsia" w:ascii="Times New Roman" w:hAnsi="Times New Roman" w:eastAsia="仿宋_GB2312" w:cs="Times New Roman"/>
          <w:spacing w:val="-11"/>
          <w:sz w:val="32"/>
          <w:szCs w:val="20"/>
          <w:lang w:val="en-US" w:eastAsia="zh-CN"/>
        </w:rPr>
        <w:t>基础上，用水权在交易主体之间通过市场机制进行流转的行为。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本办法所称交易主体，是指通过交易转让用水权的转让方和取得用水权的受让方。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第三条【</w:t>
      </w:r>
      <w:r>
        <w:rPr>
          <w:rFonts w:hint="eastAsia" w:ascii="楷体_GB2312" w:hAnsi="楷体_GB2312" w:eastAsia="楷体_GB2312" w:cs="楷体_GB2312"/>
          <w:sz w:val="32"/>
          <w:szCs w:val="32"/>
        </w:rPr>
        <w:t>基本原则</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水权交易应当坚持以水而定、量水而行，政府调控、市场调节，因地制宜、分类施策、统一规则、规范交易的原则，有利于水资源优化配置和节约集约高效利用，不得损害公共利益或者利害关系人合法权益，不得挤占城乡居民生活和生态环境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第四条</w:t>
      </w:r>
      <w:r>
        <w:rPr>
          <w:rFonts w:hint="eastAsia"/>
          <w:sz w:val="32"/>
          <w:szCs w:val="32"/>
        </w:rPr>
        <w:t>【职责分工】</w:t>
      </w:r>
      <w:r>
        <w:rPr>
          <w:rFonts w:hint="eastAsia" w:ascii="Times New Roman" w:hAnsi="Times New Roman" w:eastAsia="仿宋_GB2312" w:cs="Times New Roman"/>
          <w:sz w:val="32"/>
          <w:szCs w:val="20"/>
          <w:lang w:val="en-US" w:eastAsia="zh-CN"/>
        </w:rPr>
        <w:t>市级水行政主管部门负责全市水权交易的指导和监督管理，县级水行政主管部门负责本行政区域内水权交易的实施和监督管理，灌区管理单位负责本灌区内水权交易的实施和管理。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第五条</w:t>
      </w:r>
      <w:r>
        <w:rPr>
          <w:rFonts w:hint="eastAsia"/>
          <w:sz w:val="32"/>
          <w:szCs w:val="32"/>
        </w:rPr>
        <w:t>【</w:t>
      </w:r>
      <w:r>
        <w:rPr>
          <w:rFonts w:hint="eastAsia" w:ascii="楷体_GB2312" w:hAnsi="楷体_GB2312" w:eastAsia="楷体_GB2312" w:cs="楷体_GB2312"/>
          <w:sz w:val="32"/>
          <w:szCs w:val="32"/>
        </w:rPr>
        <w:t>交易水权要求</w:t>
      </w:r>
      <w:r>
        <w:rPr>
          <w:rFonts w:hint="eastAsia"/>
          <w:sz w:val="32"/>
          <w:szCs w:val="32"/>
        </w:rPr>
        <w:t>】</w:t>
      </w:r>
      <w:r>
        <w:rPr>
          <w:rFonts w:hint="eastAsia" w:ascii="Times New Roman" w:hAnsi="Times New Roman" w:eastAsia="仿宋_GB2312" w:cs="Times New Roman"/>
          <w:sz w:val="32"/>
          <w:szCs w:val="20"/>
          <w:lang w:val="en-US" w:eastAsia="zh-CN"/>
        </w:rPr>
        <w:t>用于交易的水权应当已明晰区域水权、取水权、用水权的水权指标，在取水许可有效期和取水限额内，或者是分配到用水户节余的用水指标。用于交易的水权应当具备交易实施的相应工程条件。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2"/>
          <w:szCs w:val="32"/>
        </w:rPr>
      </w:pPr>
      <w:r>
        <w:rPr>
          <w:rFonts w:hint="eastAsia" w:ascii="黑体" w:hAnsi="黑体" w:eastAsia="黑体"/>
          <w:sz w:val="32"/>
          <w:szCs w:val="32"/>
        </w:rPr>
        <w:t>第二章</w:t>
      </w:r>
      <w:r>
        <w:rPr>
          <w:rFonts w:hint="eastAsia"/>
          <w:sz w:val="32"/>
          <w:szCs w:val="32"/>
        </w:rPr>
        <w:t xml:space="preserve">  </w:t>
      </w:r>
      <w:r>
        <w:rPr>
          <w:rFonts w:hint="eastAsia" w:ascii="黑体" w:hAnsi="黑体" w:eastAsia="黑体"/>
          <w:sz w:val="32"/>
          <w:szCs w:val="32"/>
        </w:rPr>
        <w:t>水权交易的类型和范围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第六条【</w:t>
      </w:r>
      <w:r>
        <w:rPr>
          <w:rFonts w:hint="eastAsia" w:ascii="楷体_GB2312" w:hAnsi="楷体_GB2312" w:eastAsia="楷体_GB2312" w:cs="楷体_GB2312"/>
          <w:sz w:val="32"/>
          <w:szCs w:val="32"/>
        </w:rPr>
        <w:t>可交易水权的类型</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水权交易类型主要包括区域水权交易、取水权交易、灌溉用水户水权交易。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(一)区域水权交易：县级人民政府或者其授权的部门、单位为主体，以用水总量控制指标（含地下水管控指标）范</w:t>
      </w:r>
      <w:r>
        <w:rPr>
          <w:rFonts w:hint="eastAsia" w:ascii="Times New Roman" w:hAnsi="Times New Roman" w:eastAsia="仿宋_GB2312" w:cs="Times New Roman"/>
          <w:spacing w:val="-11"/>
          <w:sz w:val="32"/>
          <w:szCs w:val="20"/>
          <w:lang w:val="en-US" w:eastAsia="zh-CN"/>
        </w:rPr>
        <w:t>围内结余或预留水量为标的，可以开展跨县域的区域水权交易。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(二)取水权交易：依法获得取水权的单位或者个人（城镇公共供水企业除外），通过调整产品和产业结构、改革工艺、节水等措施节约水资源的，在取水许可有效期和取水许可水量内，其节约的取水权可以交易。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灌溉用水户水权交易：同一灌区内有农业用水权的用水协会、村民委员会、专业大户或家庭农场等农业经营主体（以下统称灌溉用水户）可以开展水权交易，其交易水量不得超过水权凭证载明的水量，交易期限不得超过水权凭证载明的有效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土地承包经营权流转时，所对应面积的灌溉用水权一并</w:t>
      </w:r>
      <w:r>
        <w:rPr>
          <w:rFonts w:hint="eastAsia" w:ascii="Times New Roman" w:hAnsi="Times New Roman" w:eastAsia="仿宋_GB2312" w:cs="Times New Roman"/>
          <w:spacing w:val="-11"/>
          <w:sz w:val="32"/>
          <w:szCs w:val="20"/>
          <w:lang w:val="en-US" w:eastAsia="zh-CN"/>
        </w:rPr>
        <w:t>流转，土地承包经营权流转费应当包含灌溉用水户水权转让费。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第七条【</w:t>
      </w:r>
      <w:r>
        <w:rPr>
          <w:rFonts w:hint="eastAsia" w:ascii="楷体_GB2312" w:hAnsi="楷体_GB2312" w:eastAsia="楷体_GB2312" w:cs="楷体_GB2312"/>
          <w:sz w:val="32"/>
          <w:szCs w:val="32"/>
        </w:rPr>
        <w:t>政府水权收储</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县级人民政府可以无偿收储国家投资节水项目和节水措施节约水量，对个人和工业企业投资节水项目和节水措施节约水量按照基本水价的120%回购，收储和回购的水权纳入区域水权交易，优先保证生活用水和生态用水，可以通过市场竞争方式进行配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第八条【</w:t>
      </w:r>
      <w:r>
        <w:rPr>
          <w:rFonts w:hint="eastAsia" w:ascii="楷体_GB2312" w:hAnsi="楷体_GB2312" w:eastAsia="楷体_GB2312" w:cs="楷体_GB2312"/>
          <w:sz w:val="32"/>
          <w:szCs w:val="32"/>
        </w:rPr>
        <w:t>收储水权交易</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收储的水权需通过水权交易转让给受让方。收储的水权在转让完成后，对直接从江河、湖泊或者地下取用水资源的，由县级以上水行政主管部门依法办理取水许可手续；对其他方式取用水资源的，由县级水行政主管部门依法办理水权确认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第九条【</w:t>
      </w:r>
      <w:r>
        <w:rPr>
          <w:rFonts w:hint="eastAsia" w:ascii="楷体_GB2312" w:hAnsi="楷体_GB2312" w:eastAsia="楷体_GB2312" w:cs="楷体_GB2312"/>
          <w:sz w:val="32"/>
          <w:szCs w:val="32"/>
        </w:rPr>
        <w:t>交易水权的范围</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交易的水权应当取得取水许</w:t>
      </w:r>
      <w:r>
        <w:rPr>
          <w:rFonts w:hint="eastAsia" w:ascii="Times New Roman" w:hAnsi="Times New Roman" w:eastAsia="仿宋_GB2312" w:cs="Times New Roman"/>
          <w:spacing w:val="-11"/>
          <w:sz w:val="32"/>
          <w:szCs w:val="20"/>
          <w:lang w:val="en-US" w:eastAsia="zh-CN"/>
        </w:rPr>
        <w:t>可或水权分配指标，并具备相应的工程条件和计量监测能力。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可交易的水权包括以下部分：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（一）县级人民政府依法收储的水权；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（二）取得取水许可或用水权的单位和个人（公共供水单位除外）采取节水措施节约水资源的，在取水许可证、水权凭证有效期和限额内，其节约或闲置的水权；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（三）企业通过水权交易有偿获得的水权；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（四）拥有农业水权的农户、集约化种植业用水大户、规模化畜禽养殖业用水户等农业经营主体及农村集体经济组织采取节水措施节约或闲置的水权。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（五）法律、法规和规章等规定的其他情形。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黑体" w:hAnsi="黑体" w:eastAsia="黑体"/>
          <w:sz w:val="32"/>
          <w:szCs w:val="32"/>
        </w:rPr>
        <w:t>第十条</w:t>
      </w:r>
      <w:r>
        <w:rPr>
          <w:rFonts w:hint="eastAsia"/>
          <w:sz w:val="32"/>
          <w:szCs w:val="32"/>
        </w:rPr>
        <w:t>【</w:t>
      </w:r>
      <w:r>
        <w:rPr>
          <w:rFonts w:hint="eastAsia" w:ascii="楷体_GB2312" w:hAnsi="楷体_GB2312" w:eastAsia="楷体_GB2312" w:cs="楷体_GB2312"/>
          <w:sz w:val="32"/>
          <w:szCs w:val="32"/>
        </w:rPr>
        <w:t>区域水权交易</w:t>
      </w:r>
      <w:r>
        <w:rPr>
          <w:rFonts w:hint="eastAsia"/>
          <w:sz w:val="32"/>
          <w:szCs w:val="32"/>
        </w:rPr>
        <w:t>】</w:t>
      </w:r>
      <w:r>
        <w:rPr>
          <w:rFonts w:hint="eastAsia" w:ascii="Times New Roman" w:hAnsi="Times New Roman" w:eastAsia="仿宋_GB2312" w:cs="Times New Roman"/>
          <w:sz w:val="32"/>
          <w:szCs w:val="20"/>
          <w:lang w:val="en-US" w:eastAsia="zh-CN"/>
        </w:rPr>
        <w:t>在交易期限内，区域水权交易转让方转让水量占用本行政区域用水总量控制指标，受让方实收水量不占用本行政区域用水总量控制指标。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olor w:val="FF0000"/>
          <w:sz w:val="32"/>
          <w:szCs w:val="32"/>
        </w:rPr>
      </w:pPr>
      <w:r>
        <w:rPr>
          <w:rFonts w:hint="eastAsia" w:ascii="黑体" w:hAnsi="黑体" w:eastAsia="黑体"/>
          <w:sz w:val="32"/>
          <w:szCs w:val="32"/>
        </w:rPr>
        <w:t>第三章  水权交易价格及期限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第十一条</w:t>
      </w:r>
      <w:r>
        <w:rPr>
          <w:rFonts w:hint="eastAsia"/>
          <w:sz w:val="32"/>
          <w:szCs w:val="32"/>
        </w:rPr>
        <w:t>【</w:t>
      </w:r>
      <w:r>
        <w:rPr>
          <w:rFonts w:hint="eastAsia" w:ascii="楷体_GB2312" w:hAnsi="楷体_GB2312" w:eastAsia="楷体_GB2312" w:cs="楷体_GB2312"/>
          <w:sz w:val="32"/>
          <w:szCs w:val="32"/>
        </w:rPr>
        <w:t>交易费用</w:t>
      </w:r>
      <w:r>
        <w:rPr>
          <w:rFonts w:hint="eastAsia"/>
          <w:sz w:val="32"/>
          <w:szCs w:val="32"/>
        </w:rPr>
        <w:t>】</w:t>
      </w:r>
      <w:r>
        <w:rPr>
          <w:rFonts w:hint="eastAsia" w:ascii="Times New Roman" w:hAnsi="Times New Roman" w:eastAsia="仿宋_GB2312" w:cs="Times New Roman"/>
          <w:sz w:val="32"/>
          <w:szCs w:val="20"/>
          <w:lang w:val="en-US" w:eastAsia="zh-CN"/>
        </w:rPr>
        <w:t>取水权交易的价格应当根据补偿节约水资源成本、合理收益的原则确定，根据以下因素合理确定：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（一）节水工程设施建设费用、节水设施的运行维护费用、节水工程更新改造费用;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（二）为取水权转让而建设的计量、监测设施的建设和运行维护费用;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（三）必要的经济利益补偿和生态补偿费用;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（四）其他因取水权转让产生的费用。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第十二条</w:t>
      </w:r>
      <w:r>
        <w:rPr>
          <w:rFonts w:hint="eastAsia" w:ascii="仿宋_GB2312"/>
          <w:sz w:val="32"/>
          <w:szCs w:val="32"/>
        </w:rPr>
        <w:t>【</w:t>
      </w:r>
      <w:r>
        <w:rPr>
          <w:rFonts w:hint="eastAsia" w:ascii="楷体_GB2312" w:hAnsi="楷体_GB2312" w:eastAsia="楷体_GB2312" w:cs="楷体_GB2312"/>
          <w:sz w:val="32"/>
          <w:szCs w:val="32"/>
        </w:rPr>
        <w:t>水权交易期限</w:t>
      </w:r>
      <w:r>
        <w:rPr>
          <w:rFonts w:hint="eastAsia" w:ascii="仿宋_GB2312"/>
          <w:sz w:val="32"/>
          <w:szCs w:val="32"/>
        </w:rPr>
        <w:t>】</w:t>
      </w:r>
      <w:r>
        <w:rPr>
          <w:rFonts w:hint="eastAsia" w:ascii="Times New Roman" w:hAnsi="Times New Roman" w:eastAsia="仿宋_GB2312" w:cs="Times New Roman"/>
          <w:sz w:val="32"/>
          <w:szCs w:val="20"/>
          <w:lang w:val="en-US" w:eastAsia="zh-CN"/>
        </w:rPr>
        <w:t>水权交易期限应当综合考虑水权来源、产业生命周期、水工程使用期限等因素合理确定，并应当在转让方取水许可证、水权凭证或者水权分配指标确定的有效期限内。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Times New Roman" w:hAnsi="Times New Roman" w:eastAsia="仿宋_GB2312" w:cs="Times New Roman"/>
          <w:sz w:val="32"/>
          <w:szCs w:val="20"/>
          <w:lang w:val="en-US" w:eastAsia="zh-CN"/>
        </w:rPr>
        <w:t>水权交易期限届满后，经双方同意可以延续开展交易并办理相关手续；交易终止时转让方仍拥有原水权的，水权自动归还转让方。涉及取水许可的，需依法办理取水许可延续批准，方可续签交易协议。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r>
        <w:rPr>
          <w:rFonts w:hint="eastAsia" w:ascii="黑体" w:hAnsi="黑体" w:eastAsia="黑体"/>
          <w:sz w:val="32"/>
          <w:szCs w:val="32"/>
        </w:rPr>
        <w:t>第四章  水权交易程序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水权交易平台</w:t>
      </w:r>
      <w:r>
        <w:rPr>
          <w:rFonts w:hint="eastAsia" w:ascii="仿宋_GB2312"/>
          <w:sz w:val="32"/>
          <w:szCs w:val="32"/>
        </w:rPr>
        <w:t>】</w:t>
      </w:r>
      <w:r>
        <w:rPr>
          <w:rFonts w:hint="eastAsia" w:ascii="Times New Roman" w:hAnsi="Times New Roman" w:eastAsia="仿宋_GB2312" w:cs="Times New Roman"/>
          <w:sz w:val="32"/>
          <w:szCs w:val="20"/>
          <w:lang w:val="en-US" w:eastAsia="zh-CN"/>
        </w:rPr>
        <w:t>水权交易应当运用水权交易系统，并按规定在国家水权交易平台（即中国水权交易所）或者依法设立的省、市、县级水权交易平台进行交易。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区域水权交易</w:t>
      </w:r>
      <w:r>
        <w:rPr>
          <w:rFonts w:hint="eastAsia" w:ascii="仿宋_GB2312"/>
          <w:sz w:val="32"/>
          <w:szCs w:val="32"/>
        </w:rPr>
        <w:t>】</w:t>
      </w:r>
      <w:r>
        <w:rPr>
          <w:rFonts w:hint="eastAsia" w:ascii="Times New Roman" w:hAnsi="Times New Roman" w:eastAsia="仿宋_GB2312" w:cs="Times New Roman"/>
          <w:sz w:val="32"/>
          <w:szCs w:val="20"/>
          <w:lang w:val="en-US" w:eastAsia="zh-CN"/>
        </w:rPr>
        <w:t>开展跨县域的区域水权交易，双方应当在交易前向市级水行政主管部门报备，县域内的区域水权交易，双方应当在交易前向县级水行政主管部门报备，提供下列材料：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（一）区域水权交易指标的相关支撑文件；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（二）拟交易的水权指标数量、期限及价格；</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jc w:val="left"/>
        <w:textAlignment w:val="auto"/>
        <w:rPr>
          <w:rFonts w:hint="eastAsia" w:ascii="Times New Roman" w:hAnsi="Times New Roman" w:eastAsia="仿宋_GB2312" w:cs="Times New Roman"/>
          <w:spacing w:val="-11"/>
          <w:sz w:val="32"/>
          <w:szCs w:val="20"/>
          <w:lang w:val="en-US" w:eastAsia="zh-CN"/>
        </w:rPr>
      </w:pPr>
      <w:r>
        <w:rPr>
          <w:rFonts w:hint="eastAsia" w:ascii="Times New Roman" w:hAnsi="Times New Roman" w:eastAsia="仿宋_GB2312" w:cs="Times New Roman"/>
          <w:spacing w:val="-11"/>
          <w:sz w:val="32"/>
          <w:szCs w:val="20"/>
          <w:lang w:val="en-US" w:eastAsia="zh-CN"/>
        </w:rPr>
        <w:t>（三）对收储的水权进行交易的，应提供水权收储等材料；</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jc w:val="left"/>
        <w:textAlignment w:val="auto"/>
        <w:rPr>
          <w:rFonts w:hint="eastAsia" w:ascii="Times New Roman" w:hAnsi="Times New Roman" w:eastAsia="仿宋_GB2312" w:cs="Times New Roman"/>
          <w:spacing w:val="-11"/>
          <w:sz w:val="32"/>
          <w:szCs w:val="20"/>
          <w:lang w:val="en-US" w:eastAsia="zh-CN"/>
        </w:rPr>
      </w:pPr>
      <w:r>
        <w:rPr>
          <w:rFonts w:hint="eastAsia" w:ascii="Times New Roman" w:hAnsi="Times New Roman" w:eastAsia="仿宋_GB2312" w:cs="Times New Roman"/>
          <w:spacing w:val="-11"/>
          <w:sz w:val="32"/>
          <w:szCs w:val="20"/>
          <w:lang w:val="en-US" w:eastAsia="zh-CN"/>
        </w:rPr>
        <w:t>（四）涉及调水工程的，应提供调水工程管理单位的意见。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取水权交易</w:t>
      </w:r>
      <w:r>
        <w:rPr>
          <w:rFonts w:hint="eastAsia" w:ascii="仿宋_GB2312"/>
          <w:sz w:val="32"/>
          <w:szCs w:val="32"/>
        </w:rPr>
        <w:t>】</w:t>
      </w:r>
      <w:r>
        <w:rPr>
          <w:rFonts w:hint="eastAsia" w:ascii="Times New Roman" w:hAnsi="Times New Roman" w:eastAsia="仿宋_GB2312" w:cs="Times New Roman"/>
          <w:sz w:val="32"/>
          <w:szCs w:val="20"/>
          <w:lang w:val="en-US" w:eastAsia="zh-CN"/>
        </w:rPr>
        <w:t>开展取水权交易，双方应当在交易前向县级水行政主管部门报备，提供下列材料：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（一）水权转让、受让计划；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（二）取水许可证;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（三）拟转让水量、拟转让价格或交易基准价格；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（四）项目水权交易可行性研究报告及审查意见；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（五）拟交易水权标的为地下水的，需提供符合转让方和受让方区域地下水管控相关要求的材料。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灌溉用水权交易</w:t>
      </w:r>
      <w:r>
        <w:rPr>
          <w:rFonts w:hint="eastAsia" w:ascii="仿宋_GB2312"/>
          <w:sz w:val="32"/>
          <w:szCs w:val="32"/>
        </w:rPr>
        <w:t>】</w:t>
      </w:r>
      <w:r>
        <w:rPr>
          <w:rFonts w:hint="eastAsia" w:ascii="Times New Roman" w:hAnsi="Times New Roman" w:eastAsia="仿宋_GB2312" w:cs="Times New Roman"/>
          <w:sz w:val="32"/>
          <w:szCs w:val="20"/>
          <w:lang w:val="en-US" w:eastAsia="zh-CN"/>
        </w:rPr>
        <w:t>开展灌溉用水权交易，灌溉用水户水权交易期限不超过一年的，不需审批，由双方平等协商自主开展;交易期限超过一年的，双方应当在交易前向</w:t>
      </w:r>
      <w:r>
        <w:rPr>
          <w:rFonts w:hint="eastAsia" w:ascii="Times New Roman" w:hAnsi="Times New Roman" w:eastAsia="仿宋_GB2312" w:cs="Times New Roman"/>
          <w:spacing w:val="-11"/>
          <w:sz w:val="32"/>
          <w:szCs w:val="20"/>
          <w:lang w:val="en-US" w:eastAsia="zh-CN"/>
        </w:rPr>
        <w:t>灌区管理单位或者县级水行政主管部门报备，提供下列材料：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（一）水权转让、受让计划；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（二）水权凭证；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（三）拟转让水量、拟转让价格或交易基准价格；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（四）乡镇人民政府或农民用水协会等集体组织代表农户进行水权交易的，应提交水权交易涉及的所有农户意愿的书面资料或者相关农民用水协会意见书。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楷体_GB2312" w:hAnsi="楷体_GB2312" w:eastAsia="楷体_GB2312" w:cs="楷体_GB2312"/>
          <w:sz w:val="32"/>
          <w:szCs w:val="32"/>
        </w:rPr>
        <w:t>【平台交易要求】</w:t>
      </w:r>
      <w:r>
        <w:rPr>
          <w:rFonts w:hint="eastAsia" w:ascii="Times New Roman" w:hAnsi="Times New Roman" w:eastAsia="仿宋_GB2312" w:cs="Times New Roman"/>
          <w:sz w:val="32"/>
          <w:szCs w:val="20"/>
          <w:lang w:val="en-US" w:eastAsia="zh-CN"/>
        </w:rPr>
        <w:t>下列水权交易应当依法通过水权交易平台进行：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（一）跨县域的区域水权交易；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（二）水权收储机构收储水权后开展的交易；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（三）拟交易的水量地表水非农业用水达到10万立方米以上、农业达到50万立方米以上、地下水达到5万立方米以上的水权交易；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楷体_GB2312" w:hAnsi="楷体_GB2312" w:eastAsia="楷体_GB2312" w:cs="楷体_GB2312"/>
          <w:sz w:val="32"/>
          <w:szCs w:val="32"/>
        </w:rPr>
        <w:t>【平台交易程序】</w:t>
      </w:r>
      <w:r>
        <w:rPr>
          <w:rFonts w:hint="eastAsia" w:ascii="Times New Roman" w:hAnsi="Times New Roman" w:eastAsia="仿宋_GB2312" w:cs="Times New Roman"/>
          <w:sz w:val="32"/>
          <w:szCs w:val="20"/>
          <w:lang w:val="en-US" w:eastAsia="zh-CN"/>
        </w:rPr>
        <w:t>在水权交易平台进行水权交易的，交易双方应当遵守水权交易平台规定，依法开展交易竞价、成交确认、交易协议签订、交易协议履行等水权交易活动。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（一）水权持有人向水权交易平台提出申请，由交易平台审核后发布交易信息，在买卖双方达成购买意向后，在水权交易平台公示3日，无异议后向有管辖权限的水行政主管部门报备水权交易合同文本。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依据项目水权交易可行性研究报告审查意见，交易双方协商交易价格并签订合同。合同应明确交易水量、交易期限、受让方取水地点、计量断面和取水用途、交易价格、结算方式、违约责任以及争议解决办法等。</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jc w:val="left"/>
        <w:textAlignment w:val="auto"/>
        <w:rPr>
          <w:rFonts w:hint="eastAsia" w:ascii="Times New Roman" w:hAnsi="Times New Roman" w:eastAsia="仿宋_GB2312" w:cs="Times New Roman"/>
          <w:spacing w:val="-11"/>
          <w:sz w:val="32"/>
          <w:szCs w:val="20"/>
          <w:lang w:val="en-US" w:eastAsia="zh-CN"/>
        </w:rPr>
      </w:pPr>
      <w:r>
        <w:rPr>
          <w:rFonts w:hint="eastAsia" w:ascii="Times New Roman" w:hAnsi="Times New Roman" w:eastAsia="仿宋_GB2312" w:cs="Times New Roman"/>
          <w:spacing w:val="-11"/>
          <w:sz w:val="32"/>
          <w:szCs w:val="20"/>
          <w:lang w:val="en-US" w:eastAsia="zh-CN"/>
        </w:rPr>
        <w:t>（三）交易完成后，向有管辖权限的水行政主管部门备案。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w:t>
      </w:r>
      <w:r>
        <w:rPr>
          <w:rFonts w:hint="eastAsia" w:ascii="黑体" w:hAnsi="黑体" w:eastAsia="黑体"/>
          <w:sz w:val="32"/>
          <w:szCs w:val="32"/>
          <w:lang w:eastAsia="zh-CN"/>
        </w:rPr>
        <w:t>十九</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交易水权办理取水许可规定</w:t>
      </w:r>
      <w:r>
        <w:rPr>
          <w:rFonts w:hint="eastAsia" w:ascii="仿宋_GB2312"/>
          <w:sz w:val="32"/>
          <w:szCs w:val="32"/>
        </w:rPr>
        <w:t>】</w:t>
      </w:r>
      <w:r>
        <w:rPr>
          <w:rFonts w:hint="eastAsia" w:ascii="Times New Roman" w:hAnsi="Times New Roman" w:eastAsia="仿宋_GB2312" w:cs="Times New Roman"/>
          <w:sz w:val="32"/>
          <w:szCs w:val="20"/>
          <w:lang w:val="en-US" w:eastAsia="zh-CN"/>
        </w:rPr>
        <w:t>交易完成后，</w:t>
      </w:r>
      <w:r>
        <w:rPr>
          <w:rFonts w:hint="eastAsia" w:ascii="Times New Roman" w:hAnsi="Times New Roman" w:eastAsia="仿宋_GB2312" w:cs="Times New Roman"/>
          <w:spacing w:val="-11"/>
          <w:sz w:val="32"/>
          <w:szCs w:val="20"/>
          <w:lang w:val="en-US" w:eastAsia="zh-CN"/>
        </w:rPr>
        <w:t>转让方和受让方依法办理取水许可证或者取水许可变更手续。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第二十条</w:t>
      </w:r>
      <w:r>
        <w:rPr>
          <w:rFonts w:hint="eastAsia" w:ascii="楷体_GB2312" w:hAnsi="楷体_GB2312" w:eastAsia="楷体_GB2312" w:cs="楷体_GB2312"/>
          <w:sz w:val="32"/>
          <w:szCs w:val="32"/>
        </w:rPr>
        <w:t>【平台外交易程序】</w:t>
      </w:r>
      <w:r>
        <w:rPr>
          <w:rFonts w:hint="eastAsia" w:ascii="Times New Roman" w:hAnsi="Times New Roman" w:eastAsia="仿宋_GB2312" w:cs="Times New Roman"/>
          <w:sz w:val="32"/>
          <w:szCs w:val="20"/>
          <w:lang w:val="en-US" w:eastAsia="zh-CN"/>
        </w:rPr>
        <w:t>本办法第十八条规定之外的其他水权交通过灌区管理单位、水管站等发布供求信息，经交易双方协商一致后开展交易，交易过程需在县级水行政主管部门或其授权机构的监督下开展，交易结果向县级水行政主管部门或其授权机构备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r>
        <w:rPr>
          <w:rFonts w:hint="eastAsia" w:ascii="黑体" w:hAnsi="黑体" w:eastAsia="黑体"/>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用途管理</w:t>
      </w:r>
      <w:r>
        <w:rPr>
          <w:rFonts w:hint="eastAsia"/>
          <w:sz w:val="32"/>
          <w:szCs w:val="32"/>
        </w:rPr>
        <w:t>】</w:t>
      </w:r>
      <w:r>
        <w:rPr>
          <w:rFonts w:hint="eastAsia" w:ascii="Times New Roman" w:hAnsi="Times New Roman" w:eastAsia="仿宋_GB2312" w:cs="Times New Roman"/>
          <w:sz w:val="32"/>
          <w:szCs w:val="20"/>
          <w:lang w:val="en-US" w:eastAsia="zh-CN"/>
        </w:rPr>
        <w:t>受让方应严格按照取水许可证或其他确认用水权文件上载明的用途取用水资源，未经批准不得擅自改变用途。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部门责任</w:t>
      </w:r>
      <w:r>
        <w:rPr>
          <w:rFonts w:hint="eastAsia"/>
          <w:sz w:val="32"/>
          <w:szCs w:val="32"/>
        </w:rPr>
        <w:t>】</w:t>
      </w:r>
      <w:r>
        <w:rPr>
          <w:rFonts w:hint="eastAsia" w:ascii="Times New Roman" w:hAnsi="Times New Roman" w:eastAsia="仿宋_GB2312" w:cs="Times New Roman"/>
          <w:sz w:val="32"/>
          <w:szCs w:val="20"/>
          <w:lang w:val="en-US" w:eastAsia="zh-CN"/>
        </w:rPr>
        <w:t>市、县区水行政主管部门和灌区管理单位应当为各类水权交易活动的开展创造条件，并将依法确定的用水权益及其变动情况向社会公布。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计量设施</w:t>
      </w:r>
      <w:r>
        <w:rPr>
          <w:rFonts w:hint="eastAsia"/>
          <w:sz w:val="32"/>
          <w:szCs w:val="32"/>
        </w:rPr>
        <w:t>】</w:t>
      </w:r>
      <w:r>
        <w:rPr>
          <w:rFonts w:hint="eastAsia" w:ascii="Times New Roman" w:hAnsi="Times New Roman" w:eastAsia="仿宋_GB2312" w:cs="Times New Roman"/>
          <w:sz w:val="32"/>
          <w:szCs w:val="20"/>
          <w:lang w:val="en-US" w:eastAsia="zh-CN"/>
        </w:rPr>
        <w:t>交易各方应当建设计量监测设施，完善计量监测措施，将水权交易实施后水资源水环境变化情况及时报送有关水行政主管部门。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监督管理</w:t>
      </w:r>
      <w:r>
        <w:rPr>
          <w:rFonts w:hint="eastAsia"/>
          <w:sz w:val="32"/>
          <w:szCs w:val="32"/>
        </w:rPr>
        <w:t>】</w:t>
      </w:r>
      <w:r>
        <w:rPr>
          <w:rFonts w:hint="eastAsia" w:ascii="Times New Roman" w:hAnsi="Times New Roman" w:eastAsia="仿宋_GB2312" w:cs="Times New Roman"/>
          <w:sz w:val="32"/>
          <w:szCs w:val="20"/>
          <w:lang w:val="en-US" w:eastAsia="zh-CN"/>
        </w:rPr>
        <w:t>市、县区水行政主管部门应当加强</w:t>
      </w:r>
      <w:r>
        <w:rPr>
          <w:rFonts w:hint="eastAsia" w:ascii="Times New Roman" w:hAnsi="Times New Roman" w:eastAsia="仿宋_GB2312" w:cs="Times New Roman"/>
          <w:spacing w:val="-11"/>
          <w:sz w:val="32"/>
          <w:szCs w:val="20"/>
          <w:lang w:val="en-US" w:eastAsia="zh-CN"/>
        </w:rPr>
        <w:t>对水权交易实施情况的跟踪检查，适时组织水权交易后评估工作。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交易纠纷处理</w:t>
      </w:r>
      <w:r>
        <w:rPr>
          <w:rFonts w:hint="eastAsia" w:ascii="仿宋_GB2312"/>
          <w:sz w:val="32"/>
          <w:szCs w:val="32"/>
        </w:rPr>
        <w:t>】</w:t>
      </w:r>
      <w:r>
        <w:rPr>
          <w:rFonts w:hint="eastAsia" w:ascii="Times New Roman" w:hAnsi="Times New Roman" w:eastAsia="仿宋_GB2312" w:cs="Times New Roman"/>
          <w:sz w:val="32"/>
          <w:szCs w:val="20"/>
          <w:lang w:val="en-US" w:eastAsia="zh-CN"/>
        </w:rPr>
        <w:t>水权交易发生争议或纠纷，由当事人协商解决；协商不成的，可以向县级水行政主管部门申请调解或向人民法院依法提起诉讼。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责任追究</w:t>
      </w:r>
      <w:r>
        <w:rPr>
          <w:rFonts w:hint="eastAsia"/>
          <w:sz w:val="32"/>
          <w:szCs w:val="32"/>
        </w:rPr>
        <w:t>】</w:t>
      </w:r>
      <w:r>
        <w:rPr>
          <w:rFonts w:hint="eastAsia" w:ascii="Times New Roman" w:hAnsi="Times New Roman" w:eastAsia="仿宋_GB2312" w:cs="Times New Roman"/>
          <w:sz w:val="32"/>
          <w:szCs w:val="20"/>
          <w:lang w:val="en-US" w:eastAsia="zh-CN"/>
        </w:rPr>
        <w:t>水行政主管部门及其工作人员在水权交易监管工作中滥用职权、玩忽职守、徇私舞弊的，由其上级行政机关或者监察机关责令改正；情节严重的，依法追究责任。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违法处理</w:t>
      </w:r>
      <w:r>
        <w:rPr>
          <w:rFonts w:hint="eastAsia"/>
          <w:sz w:val="32"/>
          <w:szCs w:val="32"/>
        </w:rPr>
        <w:t>】</w:t>
      </w:r>
      <w:r>
        <w:rPr>
          <w:rFonts w:hint="eastAsia" w:ascii="Times New Roman" w:hAnsi="Times New Roman" w:eastAsia="仿宋_GB2312" w:cs="Times New Roman"/>
          <w:sz w:val="32"/>
          <w:szCs w:val="20"/>
          <w:lang w:val="en-US" w:eastAsia="zh-CN"/>
        </w:rPr>
        <w:t>转让方或者受让方违反本办法规定，隐瞒有关情况或者提供虚假材料骗取水权交易批准文件的，未经原取水审批机关批准擅自转让水权的，水权转让无效，按照相关规定进行处理。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r>
        <w:rPr>
          <w:rFonts w:hint="eastAsia" w:ascii="黑体" w:hAnsi="黑体" w:eastAsia="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楷体_GB2312" w:hAnsi="楷体_GB2312" w:eastAsia="楷体_GB2312" w:cs="楷体_GB2312"/>
          <w:sz w:val="32"/>
          <w:szCs w:val="32"/>
        </w:rPr>
        <w:t>【实施时间】</w:t>
      </w:r>
      <w:r>
        <w:rPr>
          <w:rFonts w:hint="eastAsia" w:ascii="Times New Roman" w:hAnsi="Times New Roman" w:eastAsia="仿宋_GB2312" w:cs="Times New Roman"/>
          <w:sz w:val="32"/>
          <w:szCs w:val="20"/>
          <w:lang w:val="en-US" w:eastAsia="zh-CN"/>
        </w:rPr>
        <w:t>本办法自公布之日起施行。</w:t>
      </w:r>
    </w:p>
    <w:p>
      <w:pPr>
        <w:spacing w:line="600" w:lineRule="exact"/>
        <w:jc w:val="left"/>
        <w:rPr>
          <w:rFonts w:hint="eastAsia" w:ascii="仿宋_GB2312" w:eastAsia="仿宋_GB2312"/>
          <w:sz w:val="28"/>
          <w:szCs w:val="28"/>
          <w:u w:val="single"/>
        </w:rPr>
      </w:pPr>
    </w:p>
    <w:p>
      <w:pPr>
        <w:spacing w:line="600" w:lineRule="exact"/>
        <w:jc w:val="left"/>
        <w:rPr>
          <w:rFonts w:hint="eastAsia" w:ascii="仿宋_GB2312" w:eastAsia="仿宋_GB2312"/>
          <w:sz w:val="28"/>
          <w:szCs w:val="28"/>
          <w:u w:val="single"/>
        </w:rPr>
      </w:pP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MGQwYTU3YzcyMjg1ZGEyZDE1NmY5Yzk3NWVmZTkifQ=="/>
  </w:docVars>
  <w:rsids>
    <w:rsidRoot w:val="79AC14F4"/>
    <w:rsid w:val="03ED6DB1"/>
    <w:rsid w:val="08EE2A82"/>
    <w:rsid w:val="118A09A1"/>
    <w:rsid w:val="16E26413"/>
    <w:rsid w:val="1736641D"/>
    <w:rsid w:val="1F144CA5"/>
    <w:rsid w:val="32BB07CD"/>
    <w:rsid w:val="38CF3C38"/>
    <w:rsid w:val="3A01723C"/>
    <w:rsid w:val="3D827E02"/>
    <w:rsid w:val="3ED367FE"/>
    <w:rsid w:val="42B304FE"/>
    <w:rsid w:val="43792157"/>
    <w:rsid w:val="46981D9D"/>
    <w:rsid w:val="47AC53FE"/>
    <w:rsid w:val="4B436F37"/>
    <w:rsid w:val="4C20754B"/>
    <w:rsid w:val="4CD30955"/>
    <w:rsid w:val="4D693665"/>
    <w:rsid w:val="516D50E6"/>
    <w:rsid w:val="51F046D3"/>
    <w:rsid w:val="522F7C57"/>
    <w:rsid w:val="537475DD"/>
    <w:rsid w:val="55436555"/>
    <w:rsid w:val="57B84378"/>
    <w:rsid w:val="5C393664"/>
    <w:rsid w:val="607D4523"/>
    <w:rsid w:val="63092C5B"/>
    <w:rsid w:val="63115F91"/>
    <w:rsid w:val="6482787D"/>
    <w:rsid w:val="6CBC49B6"/>
    <w:rsid w:val="7697419C"/>
    <w:rsid w:val="76F11958"/>
    <w:rsid w:val="78AB1FDD"/>
    <w:rsid w:val="79AC14F4"/>
    <w:rsid w:val="7E193B81"/>
    <w:rsid w:val="7F42026F"/>
    <w:rsid w:val="7F51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2024-06-27T02:00:00Z</dcterms:created>
  <dc:creator>王晓荣</dc:creator>
  <cp:lastModifiedBy>王晓荣</cp:lastModifiedBy>
  <dcterms:modified xsi:type="dcterms:W3CDTF">2024-06-27T02:01:14Z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AF8409933A2446D8868D09E530A7E565_11</vt:lpwstr>
  </property>
</Properties>
</file>