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张掖市中心城区“十五五”城市更新规划</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张掖市住房和城乡建设局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bookmarkStart w:id="0" w:name="_Toc13030"/>
      <w:bookmarkStart w:id="1" w:name="_Toc138632898"/>
      <w:bookmarkStart w:id="2" w:name="_Toc14159"/>
      <w:r>
        <w:rPr>
          <w:rFonts w:hint="eastAsia" w:ascii="仿宋_GB2312" w:hAnsi="仿宋_GB2312" w:eastAsia="仿宋_GB2312" w:cs="仿宋_GB2312"/>
          <w:sz w:val="32"/>
          <w:szCs w:val="32"/>
        </w:rPr>
        <w:t>前言</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张掖市</w:t>
      </w:r>
      <w:r>
        <w:rPr>
          <w:rFonts w:hint="eastAsia" w:ascii="仿宋_GB2312" w:hAnsi="仿宋_GB2312" w:eastAsia="仿宋_GB2312" w:cs="仿宋_GB2312"/>
          <w:sz w:val="32"/>
          <w:szCs w:val="32"/>
        </w:rPr>
        <w:t>地处河西走廊中部，</w:t>
      </w:r>
      <w:r>
        <w:rPr>
          <w:rFonts w:hint="eastAsia" w:ascii="仿宋_GB2312" w:hAnsi="仿宋_GB2312" w:eastAsia="仿宋_GB2312" w:cs="仿宋_GB2312"/>
          <w:sz w:val="32"/>
          <w:szCs w:val="32"/>
          <w:lang w:eastAsia="zh-CN"/>
        </w:rPr>
        <w:t>古丝绸之路南、北、中三条线路在此汇合</w:t>
      </w:r>
      <w:r>
        <w:rPr>
          <w:rFonts w:hint="eastAsia" w:ascii="仿宋_GB2312" w:hAnsi="仿宋_GB2312" w:eastAsia="仿宋_GB2312" w:cs="仿宋_GB2312"/>
          <w:sz w:val="32"/>
          <w:szCs w:val="32"/>
        </w:rPr>
        <w:t>。为全面贯彻党的二十大精神，深度融入</w:t>
      </w:r>
      <w:r>
        <w:rPr>
          <w:rFonts w:hint="eastAsia" w:ascii="仿宋_GB2312" w:hAnsi="仿宋_GB2312" w:eastAsia="仿宋_GB2312" w:cs="仿宋_GB2312"/>
          <w:sz w:val="32"/>
          <w:szCs w:val="32"/>
          <w:lang w:val="en-US" w:eastAsia="zh-CN"/>
        </w:rPr>
        <w:t>甘肃省</w:t>
      </w:r>
      <w:r>
        <w:rPr>
          <w:rFonts w:hint="eastAsia" w:ascii="仿宋_GB2312" w:hAnsi="仿宋_GB2312" w:eastAsia="仿宋_GB2312" w:cs="仿宋_GB2312"/>
          <w:sz w:val="32"/>
          <w:szCs w:val="32"/>
        </w:rPr>
        <w:t>“一核三带”区域发展格局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强”行动，</w:t>
      </w:r>
      <w:r>
        <w:rPr>
          <w:rFonts w:hint="eastAsia" w:ascii="仿宋_GB2312" w:hAnsi="仿宋_GB2312" w:eastAsia="仿宋_GB2312" w:cs="仿宋_GB2312"/>
          <w:sz w:val="32"/>
          <w:szCs w:val="32"/>
          <w:lang w:val="en-US" w:eastAsia="zh-CN"/>
        </w:rPr>
        <w:t>以推进城市更新为重要抓手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聚力推动</w:t>
      </w:r>
      <w:r>
        <w:rPr>
          <w:rFonts w:hint="eastAsia" w:ascii="仿宋_GB2312" w:hAnsi="仿宋_GB2312" w:eastAsia="仿宋_GB2312" w:cs="仿宋_GB2312"/>
          <w:sz w:val="32"/>
          <w:szCs w:val="32"/>
          <w:lang w:eastAsia="zh-CN"/>
        </w:rPr>
        <w:t>“六宜”城市建设</w:t>
      </w:r>
      <w:r>
        <w:rPr>
          <w:rFonts w:hint="eastAsia" w:ascii="仿宋_GB2312" w:hAnsi="仿宋_GB2312" w:eastAsia="仿宋_GB2312" w:cs="仿宋_GB2312"/>
          <w:sz w:val="32"/>
          <w:szCs w:val="32"/>
        </w:rPr>
        <w:t>，以推动城市高质量发展、提升土地集约节约利用水平和人居环境品质为核心，以持续强化政府统筹力度、全面盘活城市低效用地、补齐城市功能设施短板为方向，依据相关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和上层次规划，制定本规划。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本规划是</w:t>
      </w:r>
      <w:r>
        <w:rPr>
          <w:rFonts w:hint="eastAsia" w:ascii="仿宋_GB2312" w:hAnsi="仿宋_GB2312" w:eastAsia="仿宋_GB2312" w:cs="仿宋_GB2312"/>
          <w:sz w:val="32"/>
          <w:szCs w:val="32"/>
          <w:lang w:eastAsia="zh-CN"/>
        </w:rPr>
        <w:t>张掖市</w:t>
      </w:r>
      <w:r>
        <w:rPr>
          <w:rFonts w:hint="eastAsia" w:ascii="仿宋_GB2312" w:hAnsi="仿宋_GB2312" w:eastAsia="仿宋_GB2312" w:cs="仿宋_GB2312"/>
          <w:sz w:val="32"/>
          <w:szCs w:val="32"/>
          <w:lang w:val="en-US" w:eastAsia="zh-CN"/>
        </w:rPr>
        <w:t>中心城区</w:t>
      </w:r>
      <w:r>
        <w:rPr>
          <w:rFonts w:hint="eastAsia" w:ascii="仿宋_GB2312" w:hAnsi="仿宋_GB2312" w:eastAsia="仿宋_GB2312" w:cs="仿宋_GB2312"/>
          <w:sz w:val="32"/>
          <w:szCs w:val="32"/>
        </w:rPr>
        <w:t>城市更新工作的纲领性文件。通过本规划编制逐步建立健全</w:t>
      </w:r>
      <w:r>
        <w:rPr>
          <w:rFonts w:hint="eastAsia" w:ascii="仿宋_GB2312" w:hAnsi="仿宋_GB2312" w:eastAsia="仿宋_GB2312" w:cs="仿宋_GB2312"/>
          <w:sz w:val="32"/>
          <w:szCs w:val="32"/>
          <w:lang w:val="en-US" w:eastAsia="zh-CN"/>
        </w:rPr>
        <w:t>中心城区</w:t>
      </w:r>
      <w:r>
        <w:rPr>
          <w:rFonts w:hint="eastAsia" w:ascii="仿宋_GB2312" w:hAnsi="仿宋_GB2312" w:eastAsia="仿宋_GB2312" w:cs="仿宋_GB2312"/>
          <w:sz w:val="32"/>
          <w:szCs w:val="32"/>
        </w:rPr>
        <w:t>城市更新规划、建设、管理的政策体系，突出规划引领、强化政府统筹、提升更新动力，统筹存量更新资源与要素合理配置，强化资源的有序供给与精准施策，促进经济社会持续健康发展，为建设生态美、产业优、文化兴、百姓富的幸福美好新甘州提供强大支撑和有力保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sdt>
      <w:sdtPr>
        <w:rPr>
          <w:rFonts w:ascii="宋体" w:hAnsi="宋体" w:eastAsia="宋体" w:cstheme="minorBidi"/>
          <w:kern w:val="2"/>
          <w:sz w:val="21"/>
          <w:szCs w:val="24"/>
          <w:lang w:val="en-US" w:eastAsia="zh-CN" w:bidi="ar-SA"/>
        </w:rPr>
        <w:id w:val="187647168"/>
        <w15:color w:val="DBDBDB"/>
        <w:docPartObj>
          <w:docPartGallery w:val="Table of Contents"/>
          <w:docPartUnique/>
        </w:docPartObj>
      </w:sdtPr>
      <w:sdtEndPr>
        <w:rPr>
          <w:rFonts w:ascii="宋体" w:hAnsi="宋体" w:eastAsia="宋体" w:cstheme="minorBidi"/>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目录</w:t>
          </w:r>
        </w:p>
        <w:p>
          <w:pPr>
            <w:pStyle w:val="12"/>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TOC \o "1-2" \h \u </w:instrText>
          </w:r>
          <w:r>
            <w:rPr>
              <w:rFonts w:hint="eastAsia" w:ascii="黑体" w:hAnsi="黑体" w:eastAsia="黑体" w:cs="黑体"/>
              <w:sz w:val="32"/>
              <w:szCs w:val="32"/>
            </w:rPr>
            <w:fldChar w:fldCharType="separate"/>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_Toc775711901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第一章  总则</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_Toc775711901 </w:instrText>
          </w:r>
          <w:r>
            <w:rPr>
              <w:rFonts w:hint="eastAsia" w:ascii="黑体" w:hAnsi="黑体" w:eastAsia="黑体" w:cs="黑体"/>
              <w:sz w:val="32"/>
              <w:szCs w:val="32"/>
            </w:rPr>
            <w:fldChar w:fldCharType="separate"/>
          </w:r>
          <w:r>
            <w:rPr>
              <w:rFonts w:hint="eastAsia" w:ascii="黑体" w:hAnsi="黑体" w:eastAsia="黑体" w:cs="黑体"/>
              <w:sz w:val="32"/>
              <w:szCs w:val="32"/>
            </w:rPr>
            <w:t>4</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_Toc1799103580 </w:instrText>
          </w:r>
          <w:r>
            <w:rPr>
              <w:rFonts w:hint="eastAsia" w:ascii="黑体" w:hAnsi="黑体" w:eastAsia="黑体" w:cs="黑体"/>
              <w:sz w:val="32"/>
              <w:szCs w:val="32"/>
            </w:rPr>
            <w:fldChar w:fldCharType="separate"/>
          </w:r>
          <w:r>
            <w:rPr>
              <w:rFonts w:hint="eastAsia" w:ascii="黑体" w:hAnsi="黑体" w:eastAsia="黑体" w:cs="黑体"/>
              <w:sz w:val="32"/>
              <w:szCs w:val="32"/>
            </w:rPr>
            <w:t>一、</w:t>
          </w:r>
          <w:r>
            <w:rPr>
              <w:rFonts w:hint="eastAsia" w:ascii="黑体" w:hAnsi="黑体" w:eastAsia="黑体" w:cs="黑体"/>
              <w:sz w:val="32"/>
              <w:szCs w:val="32"/>
              <w:lang w:eastAsia="zh-CN"/>
            </w:rPr>
            <w:t>编制目的</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_Toc1799103580 </w:instrText>
          </w:r>
          <w:r>
            <w:rPr>
              <w:rFonts w:hint="eastAsia" w:ascii="黑体" w:hAnsi="黑体" w:eastAsia="黑体" w:cs="黑体"/>
              <w:sz w:val="32"/>
              <w:szCs w:val="32"/>
            </w:rPr>
            <w:fldChar w:fldCharType="separate"/>
          </w:r>
          <w:r>
            <w:rPr>
              <w:rFonts w:hint="eastAsia" w:ascii="黑体" w:hAnsi="黑体" w:eastAsia="黑体" w:cs="黑体"/>
              <w:sz w:val="32"/>
              <w:szCs w:val="32"/>
            </w:rPr>
            <w:t>4</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_Toc1427253258 </w:instrText>
          </w:r>
          <w:r>
            <w:rPr>
              <w:rFonts w:hint="eastAsia" w:ascii="黑体" w:hAnsi="黑体" w:eastAsia="黑体" w:cs="黑体"/>
              <w:sz w:val="32"/>
              <w:szCs w:val="32"/>
            </w:rPr>
            <w:fldChar w:fldCharType="separate"/>
          </w:r>
          <w:r>
            <w:rPr>
              <w:rFonts w:hint="eastAsia" w:ascii="黑体" w:hAnsi="黑体" w:eastAsia="黑体" w:cs="黑体"/>
              <w:sz w:val="32"/>
              <w:szCs w:val="32"/>
              <w:lang w:eastAsia="zh-CN"/>
            </w:rPr>
            <w:t>二、适用范围</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_Toc1427253258 </w:instrText>
          </w:r>
          <w:r>
            <w:rPr>
              <w:rFonts w:hint="eastAsia" w:ascii="黑体" w:hAnsi="黑体" w:eastAsia="黑体" w:cs="黑体"/>
              <w:sz w:val="32"/>
              <w:szCs w:val="32"/>
            </w:rPr>
            <w:fldChar w:fldCharType="separate"/>
          </w:r>
          <w:r>
            <w:rPr>
              <w:rFonts w:hint="eastAsia" w:ascii="黑体" w:hAnsi="黑体" w:eastAsia="黑体" w:cs="黑体"/>
              <w:sz w:val="32"/>
              <w:szCs w:val="32"/>
            </w:rPr>
            <w:t>4</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_Toc1286847974 </w:instrText>
          </w:r>
          <w:r>
            <w:rPr>
              <w:rFonts w:hint="eastAsia" w:ascii="黑体" w:hAnsi="黑体" w:eastAsia="黑体" w:cs="黑体"/>
              <w:sz w:val="32"/>
              <w:szCs w:val="32"/>
            </w:rPr>
            <w:fldChar w:fldCharType="separate"/>
          </w:r>
          <w:r>
            <w:rPr>
              <w:rFonts w:hint="eastAsia" w:ascii="黑体" w:hAnsi="黑体" w:eastAsia="黑体" w:cs="黑体"/>
              <w:sz w:val="32"/>
              <w:szCs w:val="32"/>
              <w:lang w:eastAsia="zh-CN"/>
            </w:rPr>
            <w:t>三、定位作用</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_Toc1286847974 </w:instrText>
          </w:r>
          <w:r>
            <w:rPr>
              <w:rFonts w:hint="eastAsia" w:ascii="黑体" w:hAnsi="黑体" w:eastAsia="黑体" w:cs="黑体"/>
              <w:sz w:val="32"/>
              <w:szCs w:val="32"/>
            </w:rPr>
            <w:fldChar w:fldCharType="separate"/>
          </w:r>
          <w:r>
            <w:rPr>
              <w:rFonts w:hint="eastAsia" w:ascii="黑体" w:hAnsi="黑体" w:eastAsia="黑体" w:cs="黑体"/>
              <w:sz w:val="32"/>
              <w:szCs w:val="32"/>
            </w:rPr>
            <w:t>4</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_Toc1959293152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四、基本原则</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_Toc1959293152 </w:instrText>
          </w:r>
          <w:r>
            <w:rPr>
              <w:rFonts w:hint="eastAsia" w:ascii="黑体" w:hAnsi="黑体" w:eastAsia="黑体" w:cs="黑体"/>
              <w:sz w:val="32"/>
              <w:szCs w:val="32"/>
            </w:rPr>
            <w:fldChar w:fldCharType="separate"/>
          </w:r>
          <w:r>
            <w:rPr>
              <w:rFonts w:hint="eastAsia" w:ascii="黑体" w:hAnsi="黑体" w:eastAsia="黑体" w:cs="黑体"/>
              <w:sz w:val="32"/>
              <w:szCs w:val="32"/>
            </w:rPr>
            <w:t>5</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_Toc1914866363 </w:instrText>
          </w:r>
          <w:r>
            <w:rPr>
              <w:rFonts w:hint="eastAsia" w:ascii="黑体" w:hAnsi="黑体" w:eastAsia="黑体" w:cs="黑体"/>
              <w:sz w:val="32"/>
              <w:szCs w:val="32"/>
            </w:rPr>
            <w:fldChar w:fldCharType="separate"/>
          </w:r>
          <w:r>
            <w:rPr>
              <w:rFonts w:hint="eastAsia" w:ascii="黑体" w:hAnsi="黑体" w:eastAsia="黑体" w:cs="黑体"/>
              <w:sz w:val="32"/>
              <w:szCs w:val="32"/>
              <w:lang w:eastAsia="zh-CN"/>
            </w:rPr>
            <w:t>五、</w:t>
          </w:r>
          <w:r>
            <w:rPr>
              <w:rFonts w:hint="eastAsia" w:ascii="黑体" w:hAnsi="黑体" w:eastAsia="黑体" w:cs="黑体"/>
              <w:sz w:val="32"/>
              <w:szCs w:val="32"/>
            </w:rPr>
            <w:t>规划期限</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_Toc1914866363 </w:instrText>
          </w:r>
          <w:r>
            <w:rPr>
              <w:rFonts w:hint="eastAsia" w:ascii="黑体" w:hAnsi="黑体" w:eastAsia="黑体" w:cs="黑体"/>
              <w:sz w:val="32"/>
              <w:szCs w:val="32"/>
            </w:rPr>
            <w:fldChar w:fldCharType="separate"/>
          </w:r>
          <w:r>
            <w:rPr>
              <w:rFonts w:hint="eastAsia" w:ascii="黑体" w:hAnsi="黑体" w:eastAsia="黑体" w:cs="黑体"/>
              <w:sz w:val="32"/>
              <w:szCs w:val="32"/>
            </w:rPr>
            <w:t>8</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_Toc547777247 </w:instrText>
          </w:r>
          <w:r>
            <w:rPr>
              <w:rFonts w:hint="eastAsia" w:ascii="黑体" w:hAnsi="黑体" w:eastAsia="黑体" w:cs="黑体"/>
              <w:sz w:val="32"/>
              <w:szCs w:val="32"/>
            </w:rPr>
            <w:fldChar w:fldCharType="separate"/>
          </w:r>
          <w:r>
            <w:rPr>
              <w:rFonts w:hint="eastAsia" w:ascii="黑体" w:hAnsi="黑体" w:eastAsia="黑体" w:cs="黑体"/>
              <w:sz w:val="32"/>
              <w:szCs w:val="32"/>
              <w:lang w:eastAsia="zh-CN"/>
            </w:rPr>
            <w:t>六、规划编制实施体系</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_Toc547777247 </w:instrText>
          </w:r>
          <w:r>
            <w:rPr>
              <w:rFonts w:hint="eastAsia" w:ascii="黑体" w:hAnsi="黑体" w:eastAsia="黑体" w:cs="黑体"/>
              <w:sz w:val="32"/>
              <w:szCs w:val="32"/>
            </w:rPr>
            <w:fldChar w:fldCharType="separate"/>
          </w:r>
          <w:r>
            <w:rPr>
              <w:rFonts w:hint="eastAsia" w:ascii="黑体" w:hAnsi="黑体" w:eastAsia="黑体" w:cs="黑体"/>
              <w:sz w:val="32"/>
              <w:szCs w:val="32"/>
            </w:rPr>
            <w:t>8</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_Toc1077265565 </w:instrText>
          </w:r>
          <w:r>
            <w:rPr>
              <w:rFonts w:hint="eastAsia" w:ascii="黑体" w:hAnsi="黑体" w:eastAsia="黑体" w:cs="黑体"/>
              <w:sz w:val="32"/>
              <w:szCs w:val="32"/>
            </w:rPr>
            <w:fldChar w:fldCharType="separate"/>
          </w:r>
          <w:r>
            <w:rPr>
              <w:rFonts w:hint="eastAsia" w:ascii="黑体" w:hAnsi="黑体" w:eastAsia="黑体" w:cs="黑体"/>
              <w:sz w:val="32"/>
              <w:szCs w:val="32"/>
              <w:lang w:eastAsia="zh-CN"/>
            </w:rPr>
            <w:t>七</w:t>
          </w:r>
          <w:r>
            <w:rPr>
              <w:rFonts w:hint="eastAsia" w:ascii="黑体" w:hAnsi="黑体" w:eastAsia="黑体" w:cs="黑体"/>
              <w:sz w:val="32"/>
              <w:szCs w:val="32"/>
            </w:rPr>
            <w:t>、</w:t>
          </w:r>
          <w:r>
            <w:rPr>
              <w:rFonts w:hint="eastAsia" w:ascii="黑体" w:hAnsi="黑体" w:eastAsia="黑体" w:cs="黑体"/>
              <w:sz w:val="32"/>
              <w:szCs w:val="32"/>
              <w:lang w:eastAsia="zh-CN"/>
            </w:rPr>
            <w:t>编制</w:t>
          </w:r>
          <w:r>
            <w:rPr>
              <w:rFonts w:hint="eastAsia" w:ascii="黑体" w:hAnsi="黑体" w:eastAsia="黑体" w:cs="黑体"/>
              <w:sz w:val="32"/>
              <w:szCs w:val="32"/>
            </w:rPr>
            <w:t>依据</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_Toc1077265565 </w:instrText>
          </w:r>
          <w:r>
            <w:rPr>
              <w:rFonts w:hint="eastAsia" w:ascii="黑体" w:hAnsi="黑体" w:eastAsia="黑体" w:cs="黑体"/>
              <w:sz w:val="32"/>
              <w:szCs w:val="32"/>
            </w:rPr>
            <w:fldChar w:fldCharType="separate"/>
          </w:r>
          <w:r>
            <w:rPr>
              <w:rFonts w:hint="eastAsia" w:ascii="黑体" w:hAnsi="黑体" w:eastAsia="黑体" w:cs="黑体"/>
              <w:sz w:val="32"/>
              <w:szCs w:val="32"/>
            </w:rPr>
            <w:t>10</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2"/>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_Toc1790055647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第二章  现状与形势</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_Toc1790055647 </w:instrText>
          </w:r>
          <w:r>
            <w:rPr>
              <w:rFonts w:hint="eastAsia" w:ascii="黑体" w:hAnsi="黑体" w:eastAsia="黑体" w:cs="黑体"/>
              <w:sz w:val="32"/>
              <w:szCs w:val="32"/>
            </w:rPr>
            <w:fldChar w:fldCharType="separate"/>
          </w:r>
          <w:r>
            <w:rPr>
              <w:rFonts w:hint="eastAsia" w:ascii="黑体" w:hAnsi="黑体" w:eastAsia="黑体" w:cs="黑体"/>
              <w:sz w:val="32"/>
              <w:szCs w:val="32"/>
            </w:rPr>
            <w:t>13</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_Toc453404677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一、</w:t>
          </w:r>
          <w:r>
            <w:rPr>
              <w:rFonts w:hint="eastAsia" w:ascii="黑体" w:hAnsi="黑体" w:eastAsia="黑体" w:cs="黑体"/>
              <w:bCs w:val="0"/>
              <w:sz w:val="32"/>
              <w:szCs w:val="32"/>
              <w:lang w:val="en-US" w:eastAsia="zh-CN"/>
            </w:rPr>
            <w:t>发展现状</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_Toc453404677 </w:instrText>
          </w:r>
          <w:r>
            <w:rPr>
              <w:rFonts w:hint="eastAsia" w:ascii="黑体" w:hAnsi="黑体" w:eastAsia="黑体" w:cs="黑体"/>
              <w:sz w:val="32"/>
              <w:szCs w:val="32"/>
            </w:rPr>
            <w:fldChar w:fldCharType="separate"/>
          </w:r>
          <w:r>
            <w:rPr>
              <w:rFonts w:hint="eastAsia" w:ascii="黑体" w:hAnsi="黑体" w:eastAsia="黑体" w:cs="黑体"/>
              <w:sz w:val="32"/>
              <w:szCs w:val="32"/>
            </w:rPr>
            <w:t>13</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_Toc1837176766 </w:instrText>
          </w:r>
          <w:r>
            <w:rPr>
              <w:rFonts w:hint="eastAsia" w:ascii="黑体" w:hAnsi="黑体" w:eastAsia="黑体" w:cs="黑体"/>
              <w:sz w:val="32"/>
              <w:szCs w:val="32"/>
            </w:rPr>
            <w:fldChar w:fldCharType="separate"/>
          </w:r>
          <w:r>
            <w:rPr>
              <w:rFonts w:hint="eastAsia" w:ascii="黑体" w:hAnsi="黑体" w:eastAsia="黑体" w:cs="黑体"/>
              <w:bCs w:val="0"/>
              <w:sz w:val="32"/>
              <w:szCs w:val="32"/>
              <w:lang w:val="en-US" w:eastAsia="zh-CN"/>
            </w:rPr>
            <w:t>二、发展成效</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_Toc1837176766 </w:instrText>
          </w:r>
          <w:r>
            <w:rPr>
              <w:rFonts w:hint="eastAsia" w:ascii="黑体" w:hAnsi="黑体" w:eastAsia="黑体" w:cs="黑体"/>
              <w:sz w:val="32"/>
              <w:szCs w:val="32"/>
            </w:rPr>
            <w:fldChar w:fldCharType="separate"/>
          </w:r>
          <w:r>
            <w:rPr>
              <w:rFonts w:hint="eastAsia" w:ascii="黑体" w:hAnsi="黑体" w:eastAsia="黑体" w:cs="黑体"/>
              <w:sz w:val="32"/>
              <w:szCs w:val="32"/>
            </w:rPr>
            <w:t>13</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_Toc1156429384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三、面临的形势</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_Toc1156429384 </w:instrText>
          </w:r>
          <w:r>
            <w:rPr>
              <w:rFonts w:hint="eastAsia" w:ascii="黑体" w:hAnsi="黑体" w:eastAsia="黑体" w:cs="黑体"/>
              <w:sz w:val="32"/>
              <w:szCs w:val="32"/>
            </w:rPr>
            <w:fldChar w:fldCharType="separate"/>
          </w:r>
          <w:r>
            <w:rPr>
              <w:rFonts w:hint="eastAsia" w:ascii="黑体" w:hAnsi="黑体" w:eastAsia="黑体" w:cs="黑体"/>
              <w:sz w:val="32"/>
              <w:szCs w:val="32"/>
            </w:rPr>
            <w:t>17</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2"/>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_Toc1404323127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第三章  体检评估</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_Toc1404323127 </w:instrText>
          </w:r>
          <w:r>
            <w:rPr>
              <w:rFonts w:hint="eastAsia" w:ascii="黑体" w:hAnsi="黑体" w:eastAsia="黑体" w:cs="黑体"/>
              <w:sz w:val="32"/>
              <w:szCs w:val="32"/>
            </w:rPr>
            <w:fldChar w:fldCharType="separate"/>
          </w:r>
          <w:r>
            <w:rPr>
              <w:rFonts w:hint="eastAsia" w:ascii="黑体" w:hAnsi="黑体" w:eastAsia="黑体" w:cs="黑体"/>
              <w:sz w:val="32"/>
              <w:szCs w:val="32"/>
            </w:rPr>
            <w:t>20</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_Toc64647808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一、体检指标</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_Toc64647808 </w:instrText>
          </w:r>
          <w:r>
            <w:rPr>
              <w:rFonts w:hint="eastAsia" w:ascii="黑体" w:hAnsi="黑体" w:eastAsia="黑体" w:cs="黑体"/>
              <w:sz w:val="32"/>
              <w:szCs w:val="32"/>
            </w:rPr>
            <w:fldChar w:fldCharType="separate"/>
          </w:r>
          <w:r>
            <w:rPr>
              <w:rFonts w:hint="eastAsia" w:ascii="黑体" w:hAnsi="黑体" w:eastAsia="黑体" w:cs="黑体"/>
              <w:sz w:val="32"/>
              <w:szCs w:val="32"/>
            </w:rPr>
            <w:t>20</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_Toc1719696291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二、数据采集方式及结果</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_Toc1719696291 </w:instrText>
          </w:r>
          <w:r>
            <w:rPr>
              <w:rFonts w:hint="eastAsia" w:ascii="黑体" w:hAnsi="黑体" w:eastAsia="黑体" w:cs="黑体"/>
              <w:sz w:val="32"/>
              <w:szCs w:val="32"/>
            </w:rPr>
            <w:fldChar w:fldCharType="separate"/>
          </w:r>
          <w:r>
            <w:rPr>
              <w:rFonts w:hint="eastAsia" w:ascii="黑体" w:hAnsi="黑体" w:eastAsia="黑体" w:cs="黑体"/>
              <w:sz w:val="32"/>
              <w:szCs w:val="32"/>
            </w:rPr>
            <w:t>22</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_Toc961778184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三、分析与评价</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_Toc961778184 </w:instrText>
          </w:r>
          <w:r>
            <w:rPr>
              <w:rFonts w:hint="eastAsia" w:ascii="黑体" w:hAnsi="黑体" w:eastAsia="黑体" w:cs="黑体"/>
              <w:sz w:val="32"/>
              <w:szCs w:val="32"/>
            </w:rPr>
            <w:fldChar w:fldCharType="separate"/>
          </w:r>
          <w:r>
            <w:rPr>
              <w:rFonts w:hint="eastAsia" w:ascii="黑体" w:hAnsi="黑体" w:eastAsia="黑体" w:cs="黑体"/>
              <w:sz w:val="32"/>
              <w:szCs w:val="32"/>
            </w:rPr>
            <w:t>23</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_Toc531304477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四、存在的问题</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_Toc531304477 </w:instrText>
          </w:r>
          <w:r>
            <w:rPr>
              <w:rFonts w:hint="eastAsia" w:ascii="黑体" w:hAnsi="黑体" w:eastAsia="黑体" w:cs="黑体"/>
              <w:sz w:val="32"/>
              <w:szCs w:val="32"/>
            </w:rPr>
            <w:fldChar w:fldCharType="separate"/>
          </w:r>
          <w:r>
            <w:rPr>
              <w:rFonts w:hint="eastAsia" w:ascii="黑体" w:hAnsi="黑体" w:eastAsia="黑体" w:cs="黑体"/>
              <w:sz w:val="32"/>
              <w:szCs w:val="32"/>
            </w:rPr>
            <w:t>26</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2"/>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_Toc1531639320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第四章  规划目标</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_Toc1531639320 </w:instrText>
          </w:r>
          <w:r>
            <w:rPr>
              <w:rFonts w:hint="eastAsia" w:ascii="黑体" w:hAnsi="黑体" w:eastAsia="黑体" w:cs="黑体"/>
              <w:sz w:val="32"/>
              <w:szCs w:val="32"/>
            </w:rPr>
            <w:fldChar w:fldCharType="separate"/>
          </w:r>
          <w:r>
            <w:rPr>
              <w:rFonts w:hint="eastAsia" w:ascii="黑体" w:hAnsi="黑体" w:eastAsia="黑体" w:cs="黑体"/>
              <w:sz w:val="32"/>
              <w:szCs w:val="32"/>
            </w:rPr>
            <w:t>30</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_Toc930542385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一、总体目标</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_Toc930542385 </w:instrText>
          </w:r>
          <w:r>
            <w:rPr>
              <w:rFonts w:hint="eastAsia" w:ascii="黑体" w:hAnsi="黑体" w:eastAsia="黑体" w:cs="黑体"/>
              <w:sz w:val="32"/>
              <w:szCs w:val="32"/>
            </w:rPr>
            <w:fldChar w:fldCharType="separate"/>
          </w:r>
          <w:r>
            <w:rPr>
              <w:rFonts w:hint="eastAsia" w:ascii="黑体" w:hAnsi="黑体" w:eastAsia="黑体" w:cs="黑体"/>
              <w:sz w:val="32"/>
              <w:szCs w:val="32"/>
            </w:rPr>
            <w:t>30</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_Toc817648533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二、分项目标</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_Toc817648533 </w:instrText>
          </w:r>
          <w:r>
            <w:rPr>
              <w:rFonts w:hint="eastAsia" w:ascii="黑体" w:hAnsi="黑体" w:eastAsia="黑体" w:cs="黑体"/>
              <w:sz w:val="32"/>
              <w:szCs w:val="32"/>
            </w:rPr>
            <w:fldChar w:fldCharType="separate"/>
          </w:r>
          <w:r>
            <w:rPr>
              <w:rFonts w:hint="eastAsia" w:ascii="黑体" w:hAnsi="黑体" w:eastAsia="黑体" w:cs="黑体"/>
              <w:sz w:val="32"/>
              <w:szCs w:val="32"/>
            </w:rPr>
            <w:t>30</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2"/>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_Toc1477788760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第五章  主要任务</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_Toc1477788760 </w:instrText>
          </w:r>
          <w:r>
            <w:rPr>
              <w:rFonts w:hint="eastAsia" w:ascii="黑体" w:hAnsi="黑体" w:eastAsia="黑体" w:cs="黑体"/>
              <w:sz w:val="32"/>
              <w:szCs w:val="32"/>
            </w:rPr>
            <w:fldChar w:fldCharType="separate"/>
          </w:r>
          <w:r>
            <w:rPr>
              <w:rFonts w:hint="eastAsia" w:ascii="黑体" w:hAnsi="黑体" w:eastAsia="黑体" w:cs="黑体"/>
              <w:sz w:val="32"/>
              <w:szCs w:val="32"/>
            </w:rPr>
            <w:t>34</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_Toc878179324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一、加强既有建筑改造，提升居住安全品质</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_Toc878179324 </w:instrText>
          </w:r>
          <w:r>
            <w:rPr>
              <w:rFonts w:hint="eastAsia" w:ascii="黑体" w:hAnsi="黑体" w:eastAsia="黑体" w:cs="黑体"/>
              <w:sz w:val="32"/>
              <w:szCs w:val="32"/>
            </w:rPr>
            <w:fldChar w:fldCharType="separate"/>
          </w:r>
          <w:r>
            <w:rPr>
              <w:rFonts w:hint="eastAsia" w:ascii="黑体" w:hAnsi="黑体" w:eastAsia="黑体" w:cs="黑体"/>
              <w:sz w:val="32"/>
              <w:szCs w:val="32"/>
            </w:rPr>
            <w:t>34</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_Toc1316385417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二、推进老旧小区整治，打造宜居生活单元</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_Toc1316385417 </w:instrText>
          </w:r>
          <w:r>
            <w:rPr>
              <w:rFonts w:hint="eastAsia" w:ascii="黑体" w:hAnsi="黑体" w:eastAsia="黑体" w:cs="黑体"/>
              <w:sz w:val="32"/>
              <w:szCs w:val="32"/>
            </w:rPr>
            <w:fldChar w:fldCharType="separate"/>
          </w:r>
          <w:r>
            <w:rPr>
              <w:rFonts w:hint="eastAsia" w:ascii="黑体" w:hAnsi="黑体" w:eastAsia="黑体" w:cs="黑体"/>
              <w:sz w:val="32"/>
              <w:szCs w:val="32"/>
            </w:rPr>
            <w:t>37</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_Toc1143169092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三、加快完整社区建设，构建一刻钟便民圈</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_Toc1143169092 </w:instrText>
          </w:r>
          <w:r>
            <w:rPr>
              <w:rFonts w:hint="eastAsia" w:ascii="黑体" w:hAnsi="黑体" w:eastAsia="黑体" w:cs="黑体"/>
              <w:sz w:val="32"/>
              <w:szCs w:val="32"/>
            </w:rPr>
            <w:fldChar w:fldCharType="separate"/>
          </w:r>
          <w:r>
            <w:rPr>
              <w:rFonts w:hint="eastAsia" w:ascii="黑体" w:hAnsi="黑体" w:eastAsia="黑体" w:cs="黑体"/>
              <w:sz w:val="32"/>
              <w:szCs w:val="32"/>
            </w:rPr>
            <w:t>40</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_Toc473906543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四、推进老旧片区更新，焕发城市内生活力</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_Toc473906543 </w:instrText>
          </w:r>
          <w:r>
            <w:rPr>
              <w:rFonts w:hint="eastAsia" w:ascii="黑体" w:hAnsi="黑体" w:eastAsia="黑体" w:cs="黑体"/>
              <w:sz w:val="32"/>
              <w:szCs w:val="32"/>
            </w:rPr>
            <w:fldChar w:fldCharType="separate"/>
          </w:r>
          <w:r>
            <w:rPr>
              <w:rFonts w:hint="eastAsia" w:ascii="黑体" w:hAnsi="黑体" w:eastAsia="黑体" w:cs="黑体"/>
              <w:sz w:val="32"/>
              <w:szCs w:val="32"/>
            </w:rPr>
            <w:t>43</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_Toc835820893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五、完善城市功能配套，补齐民生服务短板</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_Toc835820893 </w:instrText>
          </w:r>
          <w:r>
            <w:rPr>
              <w:rFonts w:hint="eastAsia" w:ascii="黑体" w:hAnsi="黑体" w:eastAsia="黑体" w:cs="黑体"/>
              <w:sz w:val="32"/>
              <w:szCs w:val="32"/>
            </w:rPr>
            <w:fldChar w:fldCharType="separate"/>
          </w:r>
          <w:r>
            <w:rPr>
              <w:rFonts w:hint="eastAsia" w:ascii="黑体" w:hAnsi="黑体" w:eastAsia="黑体" w:cs="黑体"/>
              <w:sz w:val="32"/>
              <w:szCs w:val="32"/>
            </w:rPr>
            <w:t>48</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_Toc2009930251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六、完善城市基础设施，提升城市承载能力</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_Toc2009930251 </w:instrText>
          </w:r>
          <w:r>
            <w:rPr>
              <w:rFonts w:hint="eastAsia" w:ascii="黑体" w:hAnsi="黑体" w:eastAsia="黑体" w:cs="黑体"/>
              <w:sz w:val="32"/>
              <w:szCs w:val="32"/>
            </w:rPr>
            <w:fldChar w:fldCharType="separate"/>
          </w:r>
          <w:r>
            <w:rPr>
              <w:rFonts w:hint="eastAsia" w:ascii="黑体" w:hAnsi="黑体" w:eastAsia="黑体" w:cs="黑体"/>
              <w:sz w:val="32"/>
              <w:szCs w:val="32"/>
            </w:rPr>
            <w:t>51</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_Toc199287384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七、加强城市生态修复，打造绿色低碳空间</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_Toc199287384 </w:instrText>
          </w:r>
          <w:r>
            <w:rPr>
              <w:rFonts w:hint="eastAsia" w:ascii="黑体" w:hAnsi="黑体" w:eastAsia="黑体" w:cs="黑体"/>
              <w:sz w:val="32"/>
              <w:szCs w:val="32"/>
            </w:rPr>
            <w:fldChar w:fldCharType="separate"/>
          </w:r>
          <w:r>
            <w:rPr>
              <w:rFonts w:hint="eastAsia" w:ascii="黑体" w:hAnsi="黑体" w:eastAsia="黑体" w:cs="黑体"/>
              <w:sz w:val="32"/>
              <w:szCs w:val="32"/>
            </w:rPr>
            <w:t>58</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_Toc2135019264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八、保护历史文化遗产，活化焕新历史空间</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_Toc2135019264 </w:instrText>
          </w:r>
          <w:r>
            <w:rPr>
              <w:rFonts w:hint="eastAsia" w:ascii="黑体" w:hAnsi="黑体" w:eastAsia="黑体" w:cs="黑体"/>
              <w:sz w:val="32"/>
              <w:szCs w:val="32"/>
            </w:rPr>
            <w:fldChar w:fldCharType="separate"/>
          </w:r>
          <w:r>
            <w:rPr>
              <w:rFonts w:hint="eastAsia" w:ascii="黑体" w:hAnsi="黑体" w:eastAsia="黑体" w:cs="黑体"/>
              <w:sz w:val="32"/>
              <w:szCs w:val="32"/>
            </w:rPr>
            <w:t>61</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2"/>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_Toc1651751651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第六章  片区划分及更新指引</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_Toc1651751651 </w:instrText>
          </w:r>
          <w:r>
            <w:rPr>
              <w:rFonts w:hint="eastAsia" w:ascii="黑体" w:hAnsi="黑体" w:eastAsia="黑体" w:cs="黑体"/>
              <w:sz w:val="32"/>
              <w:szCs w:val="32"/>
            </w:rPr>
            <w:fldChar w:fldCharType="separate"/>
          </w:r>
          <w:r>
            <w:rPr>
              <w:rFonts w:hint="eastAsia" w:ascii="黑体" w:hAnsi="黑体" w:eastAsia="黑体" w:cs="黑体"/>
              <w:sz w:val="32"/>
              <w:szCs w:val="32"/>
            </w:rPr>
            <w:t>67</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_Toc1455304828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一、城市更新片区划分</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_Toc1455304828 </w:instrText>
          </w:r>
          <w:r>
            <w:rPr>
              <w:rFonts w:hint="eastAsia" w:ascii="黑体" w:hAnsi="黑体" w:eastAsia="黑体" w:cs="黑体"/>
              <w:sz w:val="32"/>
              <w:szCs w:val="32"/>
            </w:rPr>
            <w:fldChar w:fldCharType="separate"/>
          </w:r>
          <w:r>
            <w:rPr>
              <w:rFonts w:hint="eastAsia" w:ascii="黑体" w:hAnsi="黑体" w:eastAsia="黑体" w:cs="黑体"/>
              <w:sz w:val="32"/>
              <w:szCs w:val="32"/>
            </w:rPr>
            <w:t>67</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_Toc763247517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二、城市更新片区设计指引</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_Toc763247517 </w:instrText>
          </w:r>
          <w:r>
            <w:rPr>
              <w:rFonts w:hint="eastAsia" w:ascii="黑体" w:hAnsi="黑体" w:eastAsia="黑体" w:cs="黑体"/>
              <w:sz w:val="32"/>
              <w:szCs w:val="32"/>
            </w:rPr>
            <w:fldChar w:fldCharType="separate"/>
          </w:r>
          <w:r>
            <w:rPr>
              <w:rFonts w:hint="eastAsia" w:ascii="黑体" w:hAnsi="黑体" w:eastAsia="黑体" w:cs="黑体"/>
              <w:sz w:val="32"/>
              <w:szCs w:val="32"/>
            </w:rPr>
            <w:t>68</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2"/>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_Toc1303371583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第七章  保障措施</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_Toc1303371583 </w:instrText>
          </w:r>
          <w:r>
            <w:rPr>
              <w:rFonts w:hint="eastAsia" w:ascii="黑体" w:hAnsi="黑体" w:eastAsia="黑体" w:cs="黑体"/>
              <w:sz w:val="32"/>
              <w:szCs w:val="32"/>
            </w:rPr>
            <w:fldChar w:fldCharType="separate"/>
          </w:r>
          <w:r>
            <w:rPr>
              <w:rFonts w:hint="eastAsia" w:ascii="黑体" w:hAnsi="黑体" w:eastAsia="黑体" w:cs="黑体"/>
              <w:sz w:val="32"/>
              <w:szCs w:val="32"/>
            </w:rPr>
            <w:t>75</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_Toc735074438 </w:instrText>
          </w:r>
          <w:r>
            <w:rPr>
              <w:rFonts w:hint="eastAsia" w:ascii="黑体" w:hAnsi="黑体" w:eastAsia="黑体" w:cs="黑体"/>
              <w:sz w:val="32"/>
              <w:szCs w:val="32"/>
            </w:rPr>
            <w:fldChar w:fldCharType="separate"/>
          </w:r>
          <w:r>
            <w:rPr>
              <w:rFonts w:hint="eastAsia" w:ascii="黑体" w:hAnsi="黑体" w:eastAsia="黑体" w:cs="黑体"/>
              <w:sz w:val="32"/>
              <w:szCs w:val="32"/>
              <w:lang w:eastAsia="zh-CN"/>
            </w:rPr>
            <w:t>一、</w:t>
          </w:r>
          <w:r>
            <w:rPr>
              <w:rFonts w:hint="eastAsia" w:ascii="黑体" w:hAnsi="黑体" w:eastAsia="黑体" w:cs="黑体"/>
              <w:sz w:val="32"/>
              <w:szCs w:val="32"/>
            </w:rPr>
            <w:t>加强组织领导，明确职责分工</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_Toc735074438 </w:instrText>
          </w:r>
          <w:r>
            <w:rPr>
              <w:rFonts w:hint="eastAsia" w:ascii="黑体" w:hAnsi="黑体" w:eastAsia="黑体" w:cs="黑体"/>
              <w:sz w:val="32"/>
              <w:szCs w:val="32"/>
            </w:rPr>
            <w:fldChar w:fldCharType="separate"/>
          </w:r>
          <w:r>
            <w:rPr>
              <w:rFonts w:hint="eastAsia" w:ascii="黑体" w:hAnsi="黑体" w:eastAsia="黑体" w:cs="黑体"/>
              <w:sz w:val="32"/>
              <w:szCs w:val="32"/>
            </w:rPr>
            <w:t>75</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_Toc2050095491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二、强化规划传导，保障实施落地</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_Toc2050095491 </w:instrText>
          </w:r>
          <w:r>
            <w:rPr>
              <w:rFonts w:hint="eastAsia" w:ascii="黑体" w:hAnsi="黑体" w:eastAsia="黑体" w:cs="黑体"/>
              <w:sz w:val="32"/>
              <w:szCs w:val="32"/>
            </w:rPr>
            <w:fldChar w:fldCharType="separate"/>
          </w:r>
          <w:r>
            <w:rPr>
              <w:rFonts w:hint="eastAsia" w:ascii="黑体" w:hAnsi="黑体" w:eastAsia="黑体" w:cs="黑体"/>
              <w:sz w:val="32"/>
              <w:szCs w:val="32"/>
            </w:rPr>
            <w:t>75</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_Toc1115181088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三、拓宽筹资渠道，保障项目资金</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_Toc1115181088 </w:instrText>
          </w:r>
          <w:r>
            <w:rPr>
              <w:rFonts w:hint="eastAsia" w:ascii="黑体" w:hAnsi="黑体" w:eastAsia="黑体" w:cs="黑体"/>
              <w:sz w:val="32"/>
              <w:szCs w:val="32"/>
            </w:rPr>
            <w:fldChar w:fldCharType="separate"/>
          </w:r>
          <w:r>
            <w:rPr>
              <w:rFonts w:hint="eastAsia" w:ascii="黑体" w:hAnsi="黑体" w:eastAsia="黑体" w:cs="黑体"/>
              <w:sz w:val="32"/>
              <w:szCs w:val="32"/>
            </w:rPr>
            <w:t>76</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_Toc502457154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四、加强宣传引导，强化监督问责</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_Toc502457154 </w:instrText>
          </w:r>
          <w:r>
            <w:rPr>
              <w:rFonts w:hint="eastAsia" w:ascii="黑体" w:hAnsi="黑体" w:eastAsia="黑体" w:cs="黑体"/>
              <w:sz w:val="32"/>
              <w:szCs w:val="32"/>
            </w:rPr>
            <w:fldChar w:fldCharType="separate"/>
          </w:r>
          <w:r>
            <w:rPr>
              <w:rFonts w:hint="eastAsia" w:ascii="黑体" w:hAnsi="黑体" w:eastAsia="黑体" w:cs="黑体"/>
              <w:sz w:val="32"/>
              <w:szCs w:val="32"/>
            </w:rPr>
            <w:t>76</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_Toc450389090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五、凝聚工作合力，形成联动格局</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_Toc450389090 </w:instrText>
          </w:r>
          <w:r>
            <w:rPr>
              <w:rFonts w:hint="eastAsia" w:ascii="黑体" w:hAnsi="黑体" w:eastAsia="黑体" w:cs="黑体"/>
              <w:sz w:val="32"/>
              <w:szCs w:val="32"/>
            </w:rPr>
            <w:fldChar w:fldCharType="separate"/>
          </w:r>
          <w:r>
            <w:rPr>
              <w:rFonts w:hint="eastAsia" w:ascii="黑体" w:hAnsi="黑体" w:eastAsia="黑体" w:cs="黑体"/>
              <w:sz w:val="32"/>
              <w:szCs w:val="32"/>
            </w:rPr>
            <w:t>77</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3"/>
            <w:tabs>
              <w:tab w:val="right" w:leader="dot" w:pos="8732"/>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_Toc44963005 </w:instrText>
          </w:r>
          <w:r>
            <w:rPr>
              <w:rFonts w:hint="eastAsia" w:ascii="黑体" w:hAnsi="黑体" w:eastAsia="黑体" w:cs="黑体"/>
              <w:sz w:val="32"/>
              <w:szCs w:val="32"/>
            </w:rPr>
            <w:fldChar w:fldCharType="separate"/>
          </w:r>
          <w:r>
            <w:rPr>
              <w:rFonts w:hint="eastAsia" w:ascii="黑体" w:hAnsi="黑体" w:eastAsia="黑体" w:cs="黑体"/>
              <w:sz w:val="32"/>
              <w:szCs w:val="32"/>
              <w:lang w:eastAsia="zh-CN"/>
            </w:rPr>
            <w:t>附件：张掖市中心城区“十五五”城市更新项目清单</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_Toc44963005 </w:instrText>
          </w:r>
          <w:r>
            <w:rPr>
              <w:rFonts w:hint="eastAsia" w:ascii="黑体" w:hAnsi="黑体" w:eastAsia="黑体" w:cs="黑体"/>
              <w:sz w:val="32"/>
              <w:szCs w:val="32"/>
            </w:rPr>
            <w:fldChar w:fldCharType="separate"/>
          </w:r>
          <w:r>
            <w:rPr>
              <w:rFonts w:hint="eastAsia" w:ascii="黑体" w:hAnsi="黑体" w:eastAsia="黑体" w:cs="黑体"/>
              <w:sz w:val="32"/>
              <w:szCs w:val="32"/>
            </w:rPr>
            <w:t>77</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r>
            <w:rPr>
              <w:rFonts w:hint="eastAsia" w:ascii="黑体" w:hAnsi="黑体" w:eastAsia="黑体" w:cs="黑体"/>
              <w:sz w:val="32"/>
              <w:szCs w:val="32"/>
            </w:rPr>
            <w:fldChar w:fldCharType="end"/>
          </w:r>
        </w:p>
      </w:sdtContent>
    </w:sdt>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仿宋_GB2312" w:hAnsi="仿宋_GB2312" w:eastAsia="仿宋_GB2312" w:cs="仿宋_GB2312"/>
          <w:sz w:val="32"/>
          <w:szCs w:val="32"/>
          <w:lang w:val="en-US" w:eastAsia="zh-CN"/>
        </w:rPr>
      </w:pPr>
      <w:bookmarkStart w:id="3" w:name="_Toc775711901"/>
      <w:r>
        <w:rPr>
          <w:rFonts w:hint="eastAsia" w:ascii="方正小标宋简体" w:hAnsi="方正小标宋简体" w:eastAsia="方正小标宋简体" w:cs="方正小标宋简体"/>
          <w:sz w:val="32"/>
          <w:szCs w:val="32"/>
          <w:lang w:val="en-US" w:eastAsia="zh-CN"/>
        </w:rPr>
        <w:t>第一章  总则</w:t>
      </w:r>
      <w:bookmarkEnd w:id="3"/>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1"/>
        <w:rPr>
          <w:rFonts w:hint="eastAsia" w:ascii="仿宋_GB2312" w:hAnsi="仿宋_GB2312" w:eastAsia="方正黑体_GBK" w:cs="仿宋_GB2312"/>
          <w:sz w:val="32"/>
          <w:szCs w:val="32"/>
          <w:lang w:eastAsia="zh-CN"/>
        </w:rPr>
      </w:pPr>
      <w:bookmarkStart w:id="4" w:name="_Toc1799103580"/>
      <w:bookmarkStart w:id="5" w:name="_Toc19325567"/>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编制目的</w:t>
      </w:r>
      <w:bookmarkEnd w:id="4"/>
      <w:bookmarkEnd w:id="5"/>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为全面贯彻落实</w:t>
      </w:r>
      <w:r>
        <w:rPr>
          <w:rFonts w:hint="eastAsia" w:ascii="仿宋_GB2312" w:hAnsi="仿宋_GB2312" w:eastAsia="仿宋_GB2312" w:cs="仿宋_GB2312"/>
          <w:sz w:val="32"/>
          <w:szCs w:val="32"/>
          <w:lang w:eastAsia="zh-CN"/>
        </w:rPr>
        <w:t>中央城市工作会议和习近平总书记关于城市工作的重要论述和指示精神，牢固树立并践行人民城市理念，紧跟中央及全省城市工作会议部署，按照</w:t>
      </w:r>
      <w:r>
        <w:rPr>
          <w:rFonts w:hint="eastAsia" w:ascii="仿宋_GB2312" w:hAnsi="仿宋_GB2312" w:eastAsia="仿宋_GB2312" w:cs="仿宋_GB2312"/>
          <w:sz w:val="32"/>
          <w:szCs w:val="32"/>
        </w:rPr>
        <w:t>《中共中央办公厅 国务院办公厅关于持续推进城市更新行动的意见》和《甘肃省深入实施城市更新行动的若干措施》</w:t>
      </w:r>
      <w:r>
        <w:rPr>
          <w:rFonts w:hint="eastAsia" w:ascii="仿宋_GB2312" w:hAnsi="仿宋_GB2312" w:eastAsia="仿宋_GB2312" w:cs="仿宋_GB2312"/>
          <w:sz w:val="32"/>
          <w:szCs w:val="32"/>
          <w:lang w:eastAsia="zh-CN"/>
        </w:rPr>
        <w:t>工作要求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坚持生态型、旅游型城市发展定位，</w:t>
      </w:r>
      <w:r>
        <w:rPr>
          <w:rFonts w:hint="eastAsia" w:ascii="仿宋_GB2312" w:hAnsi="仿宋_GB2312" w:eastAsia="仿宋_GB2312" w:cs="仿宋_GB2312"/>
          <w:sz w:val="32"/>
          <w:szCs w:val="32"/>
        </w:rPr>
        <w:t>深入实施城市更新行动，推动城市高质量发展，</w:t>
      </w:r>
      <w:r>
        <w:rPr>
          <w:rFonts w:hint="eastAsia" w:ascii="仿宋_GB2312" w:hAnsi="仿宋_GB2312" w:eastAsia="仿宋_GB2312" w:cs="仿宋_GB2312"/>
          <w:sz w:val="32"/>
          <w:szCs w:val="32"/>
          <w:lang w:eastAsia="zh-CN"/>
        </w:rPr>
        <w:t>特编制《张掖市中心城区“十五五”城市更新规划》（以下简称《规划》）。</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1"/>
        <w:rPr>
          <w:rFonts w:hint="eastAsia" w:ascii="方正黑体_GBK" w:hAnsi="方正黑体_GBK" w:eastAsia="方正黑体_GBK" w:cs="方正黑体_GBK"/>
          <w:sz w:val="32"/>
          <w:szCs w:val="32"/>
          <w:lang w:eastAsia="zh-CN"/>
        </w:rPr>
      </w:pPr>
      <w:bookmarkStart w:id="6" w:name="_Toc1427253258"/>
      <w:bookmarkStart w:id="7" w:name="_Toc1705756759"/>
      <w:r>
        <w:rPr>
          <w:rFonts w:hint="eastAsia" w:ascii="方正黑体_GBK" w:hAnsi="方正黑体_GBK" w:eastAsia="方正黑体_GBK" w:cs="方正黑体_GBK"/>
          <w:sz w:val="32"/>
          <w:szCs w:val="32"/>
          <w:lang w:eastAsia="zh-CN"/>
        </w:rPr>
        <w:t>二、适用范围</w:t>
      </w:r>
      <w:bookmarkEnd w:id="6"/>
      <w:bookmarkEnd w:id="7"/>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本规划与《张掖市国土空间总体规划（2021—2035年）》进行充分衔接，规划研究范围主要为国土空间规划划定的中心城区范围。</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1"/>
        <w:rPr>
          <w:rFonts w:hint="eastAsia" w:ascii="方正黑体_GBK" w:hAnsi="方正黑体_GBK" w:eastAsia="方正黑体_GBK" w:cs="方正黑体_GBK"/>
          <w:sz w:val="32"/>
          <w:szCs w:val="32"/>
          <w:lang w:eastAsia="zh-CN"/>
        </w:rPr>
      </w:pPr>
      <w:bookmarkStart w:id="8" w:name="_Toc1286847974"/>
      <w:bookmarkStart w:id="9" w:name="_Toc217671128"/>
      <w:r>
        <w:rPr>
          <w:rFonts w:hint="eastAsia" w:ascii="方正黑体_GBK" w:hAnsi="方正黑体_GBK" w:eastAsia="方正黑体_GBK" w:cs="方正黑体_GBK"/>
          <w:sz w:val="32"/>
          <w:szCs w:val="32"/>
          <w:lang w:eastAsia="zh-CN"/>
        </w:rPr>
        <w:t>三、定位作用</w:t>
      </w:r>
      <w:bookmarkEnd w:id="8"/>
      <w:bookmarkEnd w:id="9"/>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本规划是指导张掖市</w:t>
      </w:r>
      <w:r>
        <w:rPr>
          <w:rFonts w:hint="eastAsia" w:ascii="仿宋_GB2312" w:hAnsi="仿宋_GB2312" w:eastAsia="仿宋_GB2312" w:cs="仿宋_GB2312"/>
          <w:sz w:val="32"/>
          <w:szCs w:val="32"/>
          <w:lang w:val="en-US" w:eastAsia="zh-CN"/>
        </w:rPr>
        <w:t>中心城区</w:t>
      </w:r>
      <w:r>
        <w:rPr>
          <w:rFonts w:hint="eastAsia" w:ascii="仿宋_GB2312" w:hAnsi="仿宋_GB2312" w:eastAsia="仿宋_GB2312" w:cs="仿宋_GB2312"/>
          <w:sz w:val="32"/>
          <w:szCs w:val="32"/>
          <w:lang w:eastAsia="zh-CN"/>
        </w:rPr>
        <w:t>城市更新工作的纲领性文件，具有战略性、指导性与约束性。通过规划编制与实施，将逐步建立健全覆盖张掖市城市更新规划、建设、管理全流程的政策体系，进一步突出规划引领作用、强化政府统筹职能、激发市场与社会参与更新的动力活力。统筹城镇开发边界内城市更新活动，谋划实施城市更新项目，推动城市结构优化、功能转换、品质提升、绿色转型、文脉赓续、治理增效，为张掖市建设现代化高品质城市奠定坚实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sz w:val="32"/>
          <w:szCs w:val="32"/>
          <w:lang w:val="en-US" w:eastAsia="zh-CN"/>
        </w:rPr>
      </w:pPr>
      <w:bookmarkStart w:id="10" w:name="_Toc1959293152"/>
      <w:r>
        <w:rPr>
          <w:rFonts w:hint="eastAsia" w:ascii="方正黑体_GBK" w:hAnsi="方正黑体_GBK" w:eastAsia="方正黑体_GBK" w:cs="方正黑体_GBK"/>
          <w:sz w:val="32"/>
          <w:szCs w:val="32"/>
          <w:lang w:val="en-US" w:eastAsia="zh-CN"/>
        </w:rPr>
        <w:t>四、</w:t>
      </w:r>
      <w:bookmarkStart w:id="11" w:name="_Toc113166555"/>
      <w:r>
        <w:rPr>
          <w:rFonts w:hint="eastAsia" w:ascii="方正黑体_GBK" w:hAnsi="方正黑体_GBK" w:eastAsia="方正黑体_GBK" w:cs="方正黑体_GBK"/>
          <w:sz w:val="32"/>
          <w:szCs w:val="32"/>
          <w:lang w:val="en-US" w:eastAsia="zh-CN"/>
        </w:rPr>
        <w:t>基本原则</w:t>
      </w:r>
      <w:bookmarkEnd w:id="10"/>
      <w:bookmarkEnd w:id="11"/>
      <w:bookmarkStart w:id="12" w:name="_Toc1190200354"/>
    </w:p>
    <w:bookmarkEnd w:id="12"/>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outlineLvl w:val="2"/>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（一）坚持政府统筹，多元参与原则</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强化政府主导作用。</w:t>
      </w:r>
      <w:r>
        <w:rPr>
          <w:rFonts w:hint="eastAsia" w:ascii="仿宋_GB2312" w:hAnsi="仿宋_GB2312" w:eastAsia="仿宋_GB2312" w:cs="仿宋_GB2312"/>
          <w:sz w:val="32"/>
          <w:szCs w:val="32"/>
          <w:lang w:eastAsia="zh-CN"/>
        </w:rPr>
        <w:t>遵循城市发展规律，建立“市级统筹—县区落实—部门协同”的管理机制，明确更新项目的管控底线（如公共服务设施配建、历史文化保护等），通过政策制定、资金引导、审批优化等手段把控工作方向。</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激活市场主体活力。</w:t>
      </w:r>
      <w:r>
        <w:rPr>
          <w:rFonts w:hint="eastAsia" w:ascii="仿宋_GB2312" w:hAnsi="仿宋_GB2312" w:eastAsia="仿宋_GB2312" w:cs="仿宋_GB2312"/>
          <w:sz w:val="32"/>
          <w:szCs w:val="32"/>
          <w:lang w:eastAsia="zh-CN"/>
        </w:rPr>
        <w:t>根据《中共中央办公厅国务院办公厅关于持续推进城市更新行动的意见》，从加强即有建筑改造利用等八个方面确定城市更新内容，完善土地出让、资金筹措、项目审批、特许经营等政策工具。建立政府引导，居民、产权人、企业等多元社会主体参与城市更新的工作机制，鼓励社会资本参与更新，推动策划、建设、运营一体化，实现政府引导与市场效率的有机结合。</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outlineLvl w:val="2"/>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（二）坚持服务人民，资源共享原则</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聚焦民生需求导向。</w:t>
      </w:r>
      <w:r>
        <w:rPr>
          <w:rFonts w:hint="eastAsia" w:ascii="仿宋_GB2312" w:hAnsi="仿宋_GB2312" w:eastAsia="仿宋_GB2312" w:cs="仿宋_GB2312"/>
          <w:sz w:val="32"/>
          <w:szCs w:val="32"/>
          <w:lang w:eastAsia="zh-CN"/>
        </w:rPr>
        <w:t>依据城市体检评估结果，针对群众反映强烈的急难愁盼问题，分类确定城市更新措施，以改善居住条件、提升公共服务为核心，优先推进老旧小区改造、市政管网更新、社区养老托育设施建设，通过“留改拆”结合方式优化生活空间。</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推动公共资源整合。</w:t>
      </w:r>
      <w:r>
        <w:rPr>
          <w:rFonts w:hint="eastAsia" w:ascii="仿宋_GB2312" w:hAnsi="仿宋_GB2312" w:eastAsia="仿宋_GB2312" w:cs="仿宋_GB2312"/>
          <w:sz w:val="32"/>
          <w:szCs w:val="32"/>
          <w:lang w:eastAsia="zh-CN"/>
        </w:rPr>
        <w:t>打破行政壁垒，开放机关、学校、公园等公共空间资源，构建“15分钟生活圈”；建立公众参与机制，广泛吸纳居民意见，实现更新成果全民共享。</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outlineLvl w:val="2"/>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（三）坚持系统观念，守正创新原则</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坚持系统更新观念。</w:t>
      </w:r>
      <w:r>
        <w:rPr>
          <w:rFonts w:hint="eastAsia" w:ascii="仿宋_GB2312" w:hAnsi="仿宋_GB2312" w:eastAsia="仿宋_GB2312" w:cs="仿宋_GB2312"/>
          <w:sz w:val="32"/>
          <w:szCs w:val="32"/>
          <w:lang w:eastAsia="zh-CN"/>
        </w:rPr>
        <w:t>统筹发展和安全，将城市更新规划贯穿于城市建设、运营和治理全周期，做到资金和要素跟着项目走，项目跟着规划走，发挥稳增长、扩内需、惠民生的重要作用，让城市更宜居、更韧性、更智慧。</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坚持守正创新理念。</w:t>
      </w:r>
      <w:r>
        <w:rPr>
          <w:rFonts w:hint="eastAsia" w:ascii="仿宋_GB2312" w:hAnsi="仿宋_GB2312" w:eastAsia="仿宋_GB2312" w:cs="仿宋_GB2312"/>
          <w:sz w:val="32"/>
          <w:szCs w:val="32"/>
          <w:lang w:eastAsia="zh-CN"/>
        </w:rPr>
        <w:t>科学把握城市发展规律，建立可持续发展的城市更新模式和政策法规，提高城市规划、建设、治理水平，推进城市治理体系和治理能力现代化。</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outlineLvl w:val="2"/>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（四）坚持规划引领，多规协同原则</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强化规划战略传导。</w:t>
      </w:r>
      <w:r>
        <w:rPr>
          <w:rFonts w:hint="eastAsia" w:ascii="仿宋_GB2312" w:hAnsi="仿宋_GB2312" w:eastAsia="仿宋_GB2312" w:cs="仿宋_GB2312"/>
          <w:sz w:val="32"/>
          <w:szCs w:val="32"/>
          <w:lang w:eastAsia="zh-CN"/>
        </w:rPr>
        <w:t>以国土空间规划“三区三线”为约束，将城市更新纳入“总体规划</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专项规划</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实施方案”体系，明确更新目标、时序与重点区域，确保“一张蓝图”刚性实施。探索“存量更新带规划方案开发”模式，统筹推进好房子、好小区、好社区、好城区“四好”建设，对更新片区内的低效用地通过“空间置换、混合开发”提升利用率，同时保障公共服务用地供给。</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加强跨领域协同。</w:t>
      </w:r>
      <w:r>
        <w:rPr>
          <w:rFonts w:hint="eastAsia" w:ascii="仿宋_GB2312" w:hAnsi="仿宋_GB2312" w:eastAsia="仿宋_GB2312" w:cs="仿宋_GB2312"/>
          <w:sz w:val="32"/>
          <w:szCs w:val="32"/>
          <w:lang w:eastAsia="zh-CN"/>
        </w:rPr>
        <w:t>衔接交通、生态、文化等专项规划，统筹地上地下空间开发，实现多规数据融合，提升规划的科学性与可操作性。建立跨部门协调平台，针对城中村、老旧街区等多元权属区域，通过产权置换、权益分成等方式推动土地整合，实现从“分散管理”到“全域统筹”的升级。</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outlineLvl w:val="2"/>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（五）坚持全盘计划，有序实施原则</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系统开展城市体检。</w:t>
      </w:r>
      <w:r>
        <w:rPr>
          <w:rFonts w:hint="eastAsia" w:ascii="仿宋_GB2312" w:hAnsi="仿宋_GB2312" w:eastAsia="仿宋_GB2312" w:cs="仿宋_GB2312"/>
          <w:sz w:val="32"/>
          <w:szCs w:val="32"/>
          <w:lang w:eastAsia="zh-CN"/>
        </w:rPr>
        <w:t>坚持先体检后更新、无体检不更新，以城市体检为前置环节，将城市体检发现的问题作为城市更新工作重点。通过现状调查、问题诊断、潜力评估等工作，建立“底数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问题</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需求”三本台账，对低效用地、危旧建筑、基础设施缺口等进行数字化建档，为更新计划提供数据支撑。精准识别更新重点与对象，建立“体检发现问题、更新解决问题、评估更新效果、推动巩固提升”的闭环工作机制，确保规划内容与实际需求高度匹配。</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优化实施路径设计。</w:t>
      </w:r>
      <w:r>
        <w:rPr>
          <w:rFonts w:hint="eastAsia" w:ascii="仿宋_GB2312" w:hAnsi="仿宋_GB2312" w:eastAsia="仿宋_GB2312" w:cs="仿宋_GB2312"/>
          <w:sz w:val="32"/>
          <w:szCs w:val="32"/>
          <w:lang w:eastAsia="zh-CN"/>
        </w:rPr>
        <w:t>按照“重点片区先行、民生项目优先”原则，建立与城市更新相适应的城市规划设计制度，强化城市风貌管理，将城市设计融入片区策划、项目实施方案全过程，明确房屋、小区、社区、城区等不同尺度的规划设计管理要求，引导城市更新项目精准落地实施，避免碎片化改造。</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outlineLvl w:val="2"/>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（六）坚持保护文脉，修复生态原则</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构建文化保护体系。</w:t>
      </w:r>
      <w:r>
        <w:rPr>
          <w:rFonts w:hint="eastAsia" w:ascii="仿宋_GB2312" w:hAnsi="仿宋_GB2312" w:eastAsia="仿宋_GB2312" w:cs="仿宋_GB2312"/>
          <w:sz w:val="32"/>
          <w:szCs w:val="32"/>
          <w:lang w:eastAsia="zh-CN"/>
        </w:rPr>
        <w:t>梳理历史街区、传统建筑、非物质文化遗产、</w:t>
      </w:r>
      <w:r>
        <w:rPr>
          <w:rFonts w:hint="eastAsia" w:ascii="仿宋_GB2312" w:hAnsi="仿宋_GB2312" w:eastAsia="仿宋_GB2312" w:cs="仿宋_GB2312"/>
          <w:sz w:val="32"/>
          <w:szCs w:val="32"/>
          <w:lang w:val="en-US" w:eastAsia="zh-CN"/>
        </w:rPr>
        <w:t>不可移动文物保护单位</w:t>
      </w:r>
      <w:r>
        <w:rPr>
          <w:rFonts w:hint="eastAsia" w:ascii="仿宋_GB2312" w:hAnsi="仿宋_GB2312" w:eastAsia="仿宋_GB2312" w:cs="仿宋_GB2312"/>
          <w:sz w:val="32"/>
          <w:szCs w:val="32"/>
          <w:lang w:eastAsia="zh-CN"/>
        </w:rPr>
        <w:t>清单，制定“保护</w:t>
      </w:r>
      <w:r>
        <w:rPr>
          <w:rFonts w:hint="eastAsia" w:ascii="仿宋_GB2312" w:hAnsi="仿宋_GB2312" w:eastAsia="仿宋_GB2312" w:cs="仿宋_GB2312"/>
          <w:sz w:val="32"/>
          <w:szCs w:val="32"/>
          <w:lang w:val="en-US" w:eastAsia="zh-CN"/>
        </w:rPr>
        <w:t>传承</w:t>
      </w:r>
      <w:r>
        <w:rPr>
          <w:rFonts w:hint="eastAsia" w:ascii="仿宋_GB2312" w:hAnsi="仿宋_GB2312" w:eastAsia="仿宋_GB2312" w:cs="仿宋_GB2312"/>
          <w:sz w:val="32"/>
          <w:szCs w:val="32"/>
          <w:lang w:eastAsia="zh-CN"/>
        </w:rPr>
        <w:t>—活化利用”方案，在更新中保留街巷肌理、建筑风貌，打造特色文化地标。</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提升生态安全韧性。</w:t>
      </w:r>
      <w:r>
        <w:rPr>
          <w:rFonts w:hint="eastAsia" w:ascii="仿宋_GB2312" w:hAnsi="仿宋_GB2312" w:eastAsia="仿宋_GB2312" w:cs="仿宋_GB2312"/>
          <w:sz w:val="32"/>
          <w:szCs w:val="32"/>
          <w:lang w:eastAsia="zh-CN"/>
        </w:rPr>
        <w:t>大力实施节水型城市建设，推进雨污分流改造，修复城市湿地、水系等生态系统，提高防洪排涝能力；同步实施“见缝插绿”“立体绿化”，增加生态空间，实现“人文传承”与“生态修复”双提升。</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1"/>
        <w:rPr>
          <w:rFonts w:hint="eastAsia" w:ascii="方正黑体_GBK" w:hAnsi="方正黑体_GBK" w:eastAsia="方正黑体_GBK" w:cs="方正黑体_GBK"/>
          <w:sz w:val="32"/>
          <w:szCs w:val="32"/>
        </w:rPr>
      </w:pPr>
      <w:bookmarkStart w:id="13" w:name="_Toc1914866363"/>
      <w:bookmarkStart w:id="14" w:name="_Toc391207321"/>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规划期限</w:t>
      </w:r>
      <w:bookmarkEnd w:id="13"/>
      <w:bookmarkEnd w:id="14"/>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本规划是张掖市</w:t>
      </w:r>
      <w:r>
        <w:rPr>
          <w:rFonts w:hint="eastAsia" w:ascii="仿宋_GB2312" w:hAnsi="仿宋_GB2312" w:eastAsia="仿宋_GB2312" w:cs="仿宋_GB2312"/>
          <w:sz w:val="32"/>
          <w:szCs w:val="32"/>
          <w:lang w:eastAsia="zh-CN"/>
        </w:rPr>
        <w:t>中心城区</w:t>
      </w:r>
      <w:r>
        <w:rPr>
          <w:rFonts w:hint="eastAsia" w:ascii="仿宋_GB2312" w:hAnsi="仿宋_GB2312" w:eastAsia="仿宋_GB2312" w:cs="仿宋_GB2312"/>
          <w:sz w:val="32"/>
          <w:szCs w:val="32"/>
        </w:rPr>
        <w:t>城市更新工作的规划，规划期设定为202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—203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年。</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1"/>
        <w:rPr>
          <w:rFonts w:hint="eastAsia" w:ascii="方正黑体_GBK" w:hAnsi="方正黑体_GBK" w:eastAsia="方正黑体_GBK" w:cs="方正黑体_GBK"/>
          <w:sz w:val="32"/>
          <w:szCs w:val="32"/>
          <w:lang w:eastAsia="zh-CN"/>
        </w:rPr>
      </w:pPr>
      <w:bookmarkStart w:id="15" w:name="_Toc547777247"/>
      <w:r>
        <w:rPr>
          <w:rFonts w:hint="eastAsia" w:ascii="方正黑体_GBK" w:hAnsi="方正黑体_GBK" w:eastAsia="方正黑体_GBK" w:cs="方正黑体_GBK"/>
          <w:sz w:val="32"/>
          <w:szCs w:val="32"/>
          <w:lang w:eastAsia="zh-CN"/>
        </w:rPr>
        <w:t>六、规划编制实施体系</w:t>
      </w:r>
      <w:bookmarkEnd w:id="15"/>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outlineLvl w:val="9"/>
        <w:rPr>
          <w:rFonts w:hint="eastAsia" w:ascii="仿宋_GB2312" w:hAnsi="仿宋_GB2312" w:eastAsia="仿宋_GB2312" w:cs="仿宋_GB2312"/>
          <w:sz w:val="32"/>
          <w:szCs w:val="32"/>
          <w:lang w:eastAsia="zh-CN"/>
        </w:rPr>
      </w:pPr>
      <w:bookmarkStart w:id="16" w:name="_Toc1428746971"/>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城市更新规划。</w:t>
      </w:r>
      <w:r>
        <w:rPr>
          <w:rFonts w:hint="eastAsia" w:ascii="仿宋_GB2312" w:hAnsi="仿宋_GB2312" w:eastAsia="仿宋_GB2312" w:cs="仿宋_GB2312"/>
          <w:sz w:val="32"/>
          <w:szCs w:val="32"/>
          <w:lang w:eastAsia="zh-CN"/>
        </w:rPr>
        <w:t>该《规划》作为城市更新工作的总纲领，衔接国土空间总体规划，明确更新总体目标、空间布局、重点领域及实施路径，划定更新片区与管控要求，统筹公共服务设施、基础设施、生态绿地等资源配置，为片区策划和项目实施提供刚性依据。</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刚性衔接上位规划，落实城市发展战略，确保更新方向与城市整体定位一致；</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建立动态评估机制，结合人口变化、产业升级等因素定期调整规划内容；</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强化底线管控，严格保护历史文化街区、生态保护红线等核心资源；</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lang w:eastAsia="zh-CN"/>
        </w:rPr>
        <w:t>公开规划成果，广泛征求公众意见，提升规划科学性与认可度。​</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城市更新片区策划。</w:t>
      </w:r>
      <w:r>
        <w:rPr>
          <w:rFonts w:hint="eastAsia" w:ascii="仿宋_GB2312" w:hAnsi="仿宋_GB2312" w:eastAsia="仿宋_GB2312" w:cs="仿宋_GB2312"/>
          <w:sz w:val="32"/>
          <w:szCs w:val="32"/>
          <w:lang w:eastAsia="zh-CN"/>
        </w:rPr>
        <w:t>聚焦特定片区开展精准定位，明确更新主题、功能业态、改造模式及开发强度，梳理片区存量资源，分析经济可行性与社会效益，制定分期实施计划，搭建规划与项目方案的衔接桥梁。</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深入开展现状调研，精准识别片区短板，如基础设施老化、功能配套不足等问题；</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融合产业升级与民生需求，合理规划商业、居住、公共服务等功能布局；</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街区内更新项目须同步编制保护利用方案，制定历史建筑活化利用负面清单，禁止改变文物本体原状、破坏历史风貌、过度商业化等行为。</w:t>
      </w:r>
      <w:r>
        <w:rPr>
          <w:rFonts w:hint="eastAsia" w:ascii="仿宋_GB2312" w:hAnsi="仿宋_GB2312" w:eastAsia="仿宋_GB2312" w:cs="仿宋_GB2312"/>
          <w:sz w:val="32"/>
          <w:szCs w:val="32"/>
          <w:lang w:eastAsia="zh-CN"/>
        </w:rPr>
        <w:t>优先保留利用既有建筑，推广微改造、精提升模式，避免大拆大建；</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lang w:eastAsia="zh-CN"/>
        </w:rPr>
        <w:t>建立多方协商机制，吸纳企业、居民等主体参与策划过程，平衡各方利益。​</w:t>
      </w:r>
    </w:p>
    <w:p>
      <w:pPr>
        <w:keepNext w:val="0"/>
        <w:keepLines w:val="0"/>
        <w:pageBreakBefore w:val="0"/>
        <w:widowControl w:val="0"/>
        <w:kinsoku/>
        <w:wordWrap/>
        <w:overflowPunct/>
        <w:topLinePunct w:val="0"/>
        <w:autoSpaceDE/>
        <w:autoSpaceDN/>
        <w:bidi w:val="0"/>
        <w:adjustRightInd/>
        <w:snapToGrid/>
        <w:spacing w:line="587" w:lineRule="exact"/>
        <w:ind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城市更新项目实施方案。</w:t>
      </w:r>
      <w:r>
        <w:rPr>
          <w:rFonts w:hint="eastAsia" w:ascii="仿宋_GB2312" w:hAnsi="仿宋_GB2312" w:eastAsia="仿宋_GB2312" w:cs="仿宋_GB2312"/>
          <w:sz w:val="32"/>
          <w:szCs w:val="32"/>
          <w:lang w:eastAsia="zh-CN"/>
        </w:rPr>
        <w:t>明确改造内容、技术标准、投资估算、建设时序、资金来源及运营管理方案，细化建筑改造、环境整治、设施完善等具体举措，制定风险防控预案。</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val="0"/>
          <w:bCs w:val="0"/>
          <w:sz w:val="32"/>
          <w:szCs w:val="32"/>
          <w:lang w:eastAsia="zh-CN"/>
        </w:rPr>
        <w:t>坚持</w:t>
      </w:r>
      <w:r>
        <w:rPr>
          <w:rFonts w:hint="eastAsia" w:ascii="仿宋_GB2312" w:hAnsi="仿宋_GB2312" w:eastAsia="仿宋_GB2312" w:cs="仿宋_GB2312"/>
          <w:sz w:val="32"/>
          <w:szCs w:val="32"/>
        </w:rPr>
        <w:t>“无体检不更新”</w:t>
      </w:r>
      <w:r>
        <w:rPr>
          <w:rFonts w:hint="eastAsia" w:ascii="仿宋_GB2312" w:hAnsi="仿宋_GB2312" w:eastAsia="仿宋_GB2312" w:cs="仿宋_GB2312"/>
          <w:sz w:val="32"/>
          <w:szCs w:val="32"/>
          <w:lang w:eastAsia="zh-CN"/>
        </w:rPr>
        <w:t>原则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建立</w:t>
      </w:r>
      <w:r>
        <w:rPr>
          <w:rFonts w:hint="eastAsia" w:ascii="仿宋_GB2312" w:hAnsi="仿宋_GB2312" w:eastAsia="仿宋_GB2312" w:cs="仿宋_GB2312"/>
          <w:sz w:val="32"/>
          <w:szCs w:val="32"/>
        </w:rPr>
        <w:t>年度体检结果与项目库动态调整、年度城建计划编制、资金配置等环节的联动机制，确保“体检发现问题、更新解决问题”闭环运行。</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严格对接片区策划定位，确保项目建设符合片区整体发展目标；细化工程管控标准，落实绿色建筑、海绵城市等技术要求，保障工程质量；</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制定清晰的资金平衡方案，鼓励多元主体投资，规范资金使用管理；</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lang w:eastAsia="zh-CN"/>
        </w:rPr>
        <w:t>同步规划运营维护机制，明确后期管理责任主体，确保项目长效运行；</w:t>
      </w:r>
      <w:r>
        <w:rPr>
          <w:rFonts w:hint="eastAsia" w:ascii="仿宋_GB2312" w:hAnsi="仿宋_GB2312" w:eastAsia="仿宋_GB2312" w:cs="仿宋_GB2312"/>
          <w:b/>
          <w:bCs/>
          <w:sz w:val="32"/>
          <w:szCs w:val="32"/>
          <w:lang w:eastAsia="zh-CN"/>
        </w:rPr>
        <w:t>五是</w:t>
      </w:r>
      <w:r>
        <w:rPr>
          <w:rFonts w:hint="eastAsia" w:ascii="仿宋_GB2312" w:hAnsi="仿宋_GB2312" w:eastAsia="仿宋_GB2312" w:cs="仿宋_GB2312"/>
          <w:sz w:val="32"/>
          <w:szCs w:val="32"/>
          <w:lang w:eastAsia="zh-CN"/>
        </w:rPr>
        <w:t>落实安全生产要求，制定施工期间交通疏导、居民安置等配套措施。</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1"/>
        <w:rPr>
          <w:rFonts w:hint="eastAsia" w:ascii="方正黑体_GBK" w:hAnsi="方正黑体_GBK" w:eastAsia="方正黑体_GBK" w:cs="方正黑体_GBK"/>
          <w:sz w:val="32"/>
          <w:szCs w:val="32"/>
        </w:rPr>
      </w:pPr>
      <w:bookmarkStart w:id="17" w:name="_Toc1077265565"/>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编制</w:t>
      </w:r>
      <w:r>
        <w:rPr>
          <w:rFonts w:hint="eastAsia" w:ascii="方正黑体_GBK" w:hAnsi="方正黑体_GBK" w:eastAsia="方正黑体_GBK" w:cs="方正黑体_GBK"/>
          <w:sz w:val="32"/>
          <w:szCs w:val="32"/>
        </w:rPr>
        <w:t>依据</w:t>
      </w:r>
      <w:bookmarkEnd w:id="16"/>
      <w:bookmarkEnd w:id="17"/>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2"/>
        <w:rPr>
          <w:rFonts w:hint="eastAsia" w:ascii="楷体_GB2312" w:hAnsi="楷体_GB2312" w:eastAsia="楷体_GB2312" w:cs="楷体_GB2312"/>
          <w:b w:val="0"/>
          <w:bCs w:val="0"/>
          <w:sz w:val="32"/>
          <w:szCs w:val="32"/>
        </w:rPr>
      </w:pPr>
      <w:bookmarkStart w:id="18" w:name="_Toc2013062783"/>
      <w:r>
        <w:rPr>
          <w:rFonts w:hint="eastAsia" w:ascii="楷体_GB2312" w:hAnsi="楷体_GB2312" w:eastAsia="楷体_GB2312" w:cs="楷体_GB2312"/>
          <w:b w:val="0"/>
          <w:bCs w:val="0"/>
          <w:sz w:val="32"/>
          <w:szCs w:val="32"/>
        </w:rPr>
        <w:t>（一）法律法规</w:t>
      </w:r>
      <w:bookmarkEnd w:id="18"/>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（1）《中华人民共和国城乡规划法》；</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（2）《中华人民共和国土地管理法》；</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（3）《中华人民共和国</w:t>
      </w:r>
      <w:r>
        <w:rPr>
          <w:rFonts w:hint="eastAsia" w:ascii="仿宋_GB2312" w:hAnsi="仿宋_GB2312" w:eastAsia="仿宋_GB2312" w:cs="仿宋_GB2312"/>
          <w:sz w:val="32"/>
          <w:szCs w:val="32"/>
          <w:lang w:eastAsia="zh-CN"/>
        </w:rPr>
        <w:t>城市房地产管理</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《中华人民共和国文物保护法》；</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）《中华人民共和国土地管理法实施条例》；</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）《中华人民共和国环境保护法》；</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）《中华人民共和国无障碍环境建设法》；</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）《城市规划编制办法》。</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2"/>
        <w:rPr>
          <w:rFonts w:hint="eastAsia" w:ascii="楷体_GB2312" w:hAnsi="楷体_GB2312" w:eastAsia="楷体_GB2312" w:cs="楷体_GB2312"/>
          <w:b w:val="0"/>
          <w:bCs w:val="0"/>
          <w:sz w:val="32"/>
          <w:szCs w:val="32"/>
        </w:rPr>
      </w:pPr>
      <w:bookmarkStart w:id="19" w:name="_Toc1468498364"/>
      <w:r>
        <w:rPr>
          <w:rFonts w:hint="eastAsia" w:ascii="楷体_GB2312" w:hAnsi="楷体_GB2312" w:eastAsia="楷体_GB2312" w:cs="楷体_GB2312"/>
          <w:b w:val="0"/>
          <w:bCs w:val="0"/>
          <w:sz w:val="32"/>
          <w:szCs w:val="32"/>
        </w:rPr>
        <w:t>（二）技术标准</w:t>
      </w:r>
      <w:bookmarkEnd w:id="19"/>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（1）《城市居住区规划设计标准》（GB50180-2018）；</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）《建筑设计防火规范》（GB50016-2014）（2018年修订版）；</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）《民用建筑设计统一标准》（GB50352-2019）；</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）《城市停车设施规划导则》（2015）；</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）《城镇道路路面设计规范》（CJJ169-2012）；</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）《建筑给水排水设计标准》（GB50015-2019）；</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）《民用建筑电气设计标准》（GB51348-2019）；</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）《通信线路工程设计规范》（GB51158-2015）；</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）《通信管道与通道工程设计标准》(GB50373-2019)；</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）《安全防范工程技术标准》（GB50348-2018）。</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2"/>
        <w:rPr>
          <w:rFonts w:hint="eastAsia" w:ascii="楷体_GB2312" w:hAnsi="楷体_GB2312" w:eastAsia="楷体_GB2312" w:cs="楷体_GB2312"/>
          <w:b w:val="0"/>
          <w:bCs w:val="0"/>
          <w:sz w:val="32"/>
          <w:szCs w:val="32"/>
        </w:rPr>
      </w:pPr>
      <w:bookmarkStart w:id="20" w:name="_Toc1342550678"/>
      <w:r>
        <w:rPr>
          <w:rFonts w:hint="eastAsia" w:ascii="楷体_GB2312" w:hAnsi="楷体_GB2312" w:eastAsia="楷体_GB2312" w:cs="楷体_GB2312"/>
          <w:b w:val="0"/>
          <w:bCs w:val="0"/>
          <w:sz w:val="32"/>
          <w:szCs w:val="32"/>
        </w:rPr>
        <w:t>（三）相关政策</w:t>
      </w:r>
      <w:bookmarkEnd w:id="20"/>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（1）《中华人民共和国国民经济和社会发展第十四个五年规划和2035年远景目标纲要》；</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（2）财政部关于印发《城镇保障性安居工程贷款贴息办法》的通知；</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（3）国家发展改革委住房城乡建设部《关于加强保障安居工程配套基础设施建设中央预算内投资管理》的通知；</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（4）国务院办公厅《关于全面推进城镇老旧小区改造工作的指导意见》；</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（5）国务院办公厅《关于全面推进城镇老旧小区改造工作的指导意见》；</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（6）中共中央国务院《关于</w:t>
      </w:r>
      <w:r>
        <w:rPr>
          <w:rFonts w:hint="eastAsia" w:ascii="仿宋_GB2312" w:hAnsi="仿宋_GB2312" w:eastAsia="仿宋_GB2312" w:cs="仿宋_GB2312"/>
          <w:sz w:val="32"/>
          <w:szCs w:val="32"/>
          <w:lang w:eastAsia="zh-CN"/>
        </w:rPr>
        <w:t>推动城市高质量发展</w:t>
      </w:r>
      <w:r>
        <w:rPr>
          <w:rFonts w:hint="eastAsia" w:ascii="仿宋_GB2312" w:hAnsi="仿宋_GB2312" w:eastAsia="仿宋_GB2312" w:cs="仿宋_GB2312"/>
          <w:sz w:val="32"/>
          <w:szCs w:val="32"/>
        </w:rPr>
        <w:t>的意见》；</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（7）中共中央办公厅国务院办公厅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关于持续推进城市更新行动的意见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住房和城乡建设部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关于扎实有序推进城市更新工作的通知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）住房和城乡建设部《关于在实施城市更新行动中防止大拆大建问题的通知》；</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住房城乡建设部办公厅《关于印发城市更新规划编制导则的通知》</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住房和城乡建设部</w:t>
      </w:r>
      <w:r>
        <w:rPr>
          <w:rFonts w:hint="eastAsia" w:ascii="仿宋_GB2312" w:hAnsi="仿宋_GB2312" w:eastAsia="仿宋_GB2312" w:cs="仿宋_GB2312"/>
          <w:sz w:val="32"/>
          <w:szCs w:val="32"/>
          <w:lang w:eastAsia="zh-CN"/>
        </w:rPr>
        <w:t>《城市更新规划编制导则》；</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）自然资源部《国土空间规划城市设计指南》；</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）自然资源部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住房城乡建设部《关于进一步支持城市更新行动若干措施的通知》</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）住房和城乡建设部办公厅《关于印发完整居住社区建设指南的通知》；</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）甘肃省《好房子住宅评价标准》；</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甘肃省政府办公厅《关于全面推进城镇老旧小区改造工作的实施意见》；</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eastAsia="zh-CN"/>
        </w:rPr>
        <w:t>）甘肃省委办公厅省政府办公厅《甘肃省深入实施城市更新行动的若干措施》；</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2"/>
        <w:rPr>
          <w:rFonts w:hint="eastAsia" w:ascii="楷体_GB2312" w:hAnsi="楷体_GB2312" w:eastAsia="楷体_GB2312" w:cs="楷体_GB2312"/>
          <w:b w:val="0"/>
          <w:bCs w:val="0"/>
          <w:sz w:val="32"/>
          <w:szCs w:val="32"/>
        </w:rPr>
      </w:pPr>
      <w:bookmarkStart w:id="21" w:name="_Toc1669831006"/>
      <w:r>
        <w:rPr>
          <w:rFonts w:hint="eastAsia" w:ascii="楷体_GB2312" w:hAnsi="楷体_GB2312" w:eastAsia="楷体_GB2312" w:cs="楷体_GB2312"/>
          <w:b w:val="0"/>
          <w:bCs w:val="0"/>
          <w:sz w:val="32"/>
          <w:szCs w:val="32"/>
        </w:rPr>
        <w:t>（四）相关规划</w:t>
      </w:r>
      <w:bookmarkEnd w:id="21"/>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（1）《张掖市国民经济和社会发展第十四个五年规划和2035年远景目标纲要》；</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）《张掖市国土空间总体规划（2021—2035年）》；</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）《张掖市主城区停车设施专项规划（2023-2035年）》；</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）《张掖市</w:t>
      </w:r>
      <w:r>
        <w:rPr>
          <w:rFonts w:hint="eastAsia" w:ascii="仿宋_GB2312" w:hAnsi="仿宋_GB2312" w:eastAsia="仿宋_GB2312" w:cs="仿宋_GB2312"/>
          <w:sz w:val="32"/>
          <w:szCs w:val="32"/>
          <w:lang w:eastAsia="zh-CN"/>
        </w:rPr>
        <w:t>城市</w:t>
      </w:r>
      <w:r>
        <w:rPr>
          <w:rFonts w:hint="eastAsia" w:ascii="仿宋_GB2312" w:hAnsi="仿宋_GB2312" w:eastAsia="仿宋_GB2312" w:cs="仿宋_GB2312"/>
          <w:sz w:val="32"/>
          <w:szCs w:val="32"/>
        </w:rPr>
        <w:t>公共服务设施专项规划（20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—2035年）》；</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（6）《张掖市城市绿地系统专项规划（2016—2035年）》；</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）《张掖市公园体系规划（2021-2035）》；</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t>（</w:t>
      </w:r>
      <w:r>
        <w:rPr>
          <w:rFonts w:hint="eastAsia" w:ascii="仿宋_GB2312" w:hAnsi="仿宋_GB2312" w:eastAsia="仿宋_GB2312" w:cs="仿宋_GB2312"/>
          <w:sz w:val="32"/>
          <w:szCs w:val="32"/>
          <w:highlight w:val="yellow"/>
          <w:lang w:val="en-US" w:eastAsia="zh-CN"/>
        </w:rPr>
        <w:t>8</w:t>
      </w:r>
      <w:r>
        <w:rPr>
          <w:rFonts w:hint="eastAsia" w:ascii="仿宋_GB2312" w:hAnsi="仿宋_GB2312" w:eastAsia="仿宋_GB2312" w:cs="仿宋_GB2312"/>
          <w:sz w:val="32"/>
          <w:szCs w:val="32"/>
          <w:highlight w:val="yellow"/>
          <w:lang w:eastAsia="zh-CN"/>
        </w:rPr>
        <w:t>）《张掖历史文化名城保护规划》；</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32"/>
          <w:szCs w:val="32"/>
          <w:lang w:val="en-US" w:eastAsia="zh-CN"/>
        </w:rPr>
      </w:pPr>
      <w:bookmarkStart w:id="22" w:name="_Toc1790055647"/>
      <w:r>
        <w:rPr>
          <w:rFonts w:hint="eastAsia" w:ascii="方正小标宋简体" w:hAnsi="方正小标宋简体" w:eastAsia="方正小标宋简体" w:cs="方正小标宋简体"/>
          <w:sz w:val="32"/>
          <w:szCs w:val="32"/>
          <w:lang w:val="en-US" w:eastAsia="zh-CN"/>
        </w:rPr>
        <w:t>第二章  现状与形势</w:t>
      </w:r>
      <w:bookmarkEnd w:id="2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b/>
          <w:bCs/>
          <w:sz w:val="32"/>
          <w:szCs w:val="32"/>
          <w:lang w:val="en-US" w:eastAsia="zh-CN"/>
        </w:rPr>
      </w:pPr>
      <w:bookmarkStart w:id="23" w:name="_Toc453404677"/>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b w:val="0"/>
          <w:bCs w:val="0"/>
          <w:sz w:val="32"/>
          <w:szCs w:val="32"/>
          <w:lang w:val="en-US" w:eastAsia="zh-CN"/>
        </w:rPr>
        <w:t>发展现状</w:t>
      </w:r>
      <w:bookmarkEnd w:id="2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甘州区作为张掖市中心城区，2024年地区生产总值294.49亿元，经济总量偏小、增速偏低，产业结构以服务业为主，文旅与特色农业为支柱，新兴产业培育不足。中心城区常住人口29.74万，城镇化率58.44%，老龄化率20.87%，城镇集聚能力不足，产城融合有待提升。农业现代化水平领先，为国家现代农业示范区，玉米制种、设施蔬菜等产业优势突出；文旅融合成效显著，年接待游客1570万人次，消费市场活跃。但发展仍面临产城空间挤压、土地利用粗放、文化遗产活化不足、生态环境脆弱、水资源短缺等挑战，需进一步优化空间布局、挖掘存量空间潜力、持续推动生态修复，实现高质量发展。</w:t>
      </w:r>
      <w:bookmarkStart w:id="24" w:name="_Toc117278668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b w:val="0"/>
          <w:bCs w:val="0"/>
          <w:sz w:val="32"/>
          <w:szCs w:val="32"/>
          <w:lang w:val="en-US" w:eastAsia="zh-CN"/>
        </w:rPr>
      </w:pPr>
      <w:bookmarkStart w:id="25" w:name="_Toc1837176766"/>
      <w:r>
        <w:rPr>
          <w:rFonts w:hint="eastAsia" w:ascii="方正黑体_GBK" w:hAnsi="方正黑体_GBK" w:eastAsia="方正黑体_GBK" w:cs="方正黑体_GBK"/>
          <w:b w:val="0"/>
          <w:bCs w:val="0"/>
          <w:sz w:val="32"/>
          <w:szCs w:val="32"/>
          <w:lang w:val="en-US" w:eastAsia="zh-CN"/>
        </w:rPr>
        <w:t>二、发展成效</w:t>
      </w:r>
      <w:bookmarkEnd w:id="24"/>
      <w:bookmarkEnd w:id="2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五”期间，张掖市积极落实国家政策，连续两年开展中心城区城市体检，全方位评估城市建设状况，重点查找制约城市高质量发展的短板弱项。并制定张掖市中心城区城市建设三年行动方案，聚力推动“六宜”城市建设，在以下七个方面取得了显著成效。</w:t>
      </w:r>
      <w:bookmarkStart w:id="26" w:name="_Toc1557927477"/>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1.危房改造持续推进，节能改造成效显著</w:t>
      </w:r>
      <w:bookmarkEnd w:id="26"/>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十四五”期间，中心城区累计实施棚户区改造项目308个，惠及居民4.4万户，总投资53亿元；实施城市危旧房改造项目1个，共计改造367套，完成投资840万元，持续推进有化解存量住房安全风险。“十四五”期间，中心城区新建建筑竣工面积95.74万平方米，绿色建筑占比达100%，其中达到一星级及以上标准项目9项、建筑面积28.69万平方米，绿色建筑质量实现梯次提升，为城市低碳建设奠定了坚实基础。</w:t>
      </w:r>
      <w:bookmarkStart w:id="27" w:name="_Toc778170340"/>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老旧小区改造提速，民生福祉持续提升</w:t>
      </w:r>
      <w:bookmarkEnd w:id="27"/>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“十四五”期间，全面完成2005年前建成的老旧小区改造任务，中心城区</w:t>
      </w:r>
      <w:r>
        <w:rPr>
          <w:rFonts w:hint="eastAsia" w:ascii="仿宋_GB2312" w:hAnsi="仿宋_GB2312" w:eastAsia="仿宋_GB2312" w:cs="仿宋_GB2312"/>
          <w:sz w:val="32"/>
          <w:szCs w:val="32"/>
        </w:rPr>
        <w:t>累计改造</w:t>
      </w:r>
      <w:r>
        <w:rPr>
          <w:rFonts w:hint="eastAsia" w:ascii="仿宋_GB2312" w:hAnsi="仿宋_GB2312" w:eastAsia="仿宋_GB2312" w:cs="仿宋_GB2312"/>
          <w:sz w:val="32"/>
          <w:szCs w:val="32"/>
          <w:lang w:eastAsia="zh-CN"/>
        </w:rPr>
        <w:t>老旧</w:t>
      </w:r>
      <w:r>
        <w:rPr>
          <w:rFonts w:hint="eastAsia" w:ascii="仿宋_GB2312" w:hAnsi="仿宋_GB2312" w:eastAsia="仿宋_GB2312" w:cs="仿宋_GB2312"/>
          <w:sz w:val="32"/>
          <w:szCs w:val="32"/>
        </w:rPr>
        <w:t>小区153个、住宅楼348栋，惠及居民11272户。自2021年起，以东湖小区、丝路春酒厂家属院为试点，创新采用“拆违治乱+空间融通+设施补短板”模式，整合7个独栋楼院为1个开放式社区，有效拓展公共空间。累计加装电梯205部，新增停车位18362个、电动自行车充电桩23642处、健身区域713处，同步完善绿地布局，实现路灯、门禁及安防监控系统全覆盖，显著提升居住品质与社区功能</w:t>
      </w:r>
      <w:r>
        <w:rPr>
          <w:rFonts w:hint="eastAsia" w:ascii="仿宋_GB2312" w:hAnsi="仿宋_GB2312" w:eastAsia="仿宋_GB2312" w:cs="仿宋_GB2312"/>
          <w:sz w:val="32"/>
          <w:szCs w:val="32"/>
          <w:lang w:eastAsia="zh-CN"/>
        </w:rPr>
        <w:t>。</w:t>
      </w:r>
      <w:bookmarkStart w:id="28" w:name="_Toc1148920480"/>
    </w:p>
    <w:bookmarkEnd w:id="28"/>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bookmarkStart w:id="29" w:name="_Toc1362181087"/>
      <w:r>
        <w:rPr>
          <w:rFonts w:hint="eastAsia" w:ascii="仿宋_GB2312" w:hAnsi="仿宋_GB2312" w:eastAsia="仿宋_GB2312" w:cs="仿宋_GB2312"/>
          <w:b/>
          <w:bCs/>
          <w:sz w:val="32"/>
          <w:szCs w:val="32"/>
          <w:lang w:val="en-US" w:eastAsia="zh-CN"/>
        </w:rPr>
        <w:t>3.推进老旧厂区街区改造，城市风貌稳步提升。</w:t>
      </w:r>
      <w:r>
        <w:rPr>
          <w:rFonts w:hint="eastAsia" w:ascii="仿宋_GB2312" w:hAnsi="仿宋_GB2312" w:eastAsia="仿宋_GB2312" w:cs="仿宋_GB2312"/>
          <w:sz w:val="32"/>
          <w:szCs w:val="32"/>
          <w:lang w:val="en-US" w:eastAsia="zh-CN"/>
        </w:rPr>
        <w:t>“十四五”期间，以甘州市场、南大池片区改造为重点，积极盘活厂区闲置资源，引导传统工业向文创、科技服务等新业态转型，为区域产业升级与城市发展注入新动力。</w:t>
      </w:r>
      <w:r>
        <w:rPr>
          <w:rFonts w:hint="eastAsia" w:ascii="仿宋_GB2312" w:hAnsi="仿宋_GB2312" w:eastAsia="仿宋_GB2312" w:cs="仿宋_GB2312"/>
          <w:bCs/>
          <w:snapToGrid w:val="0"/>
          <w:spacing w:val="0"/>
          <w:kern w:val="0"/>
          <w:sz w:val="32"/>
          <w:szCs w:val="32"/>
          <w:lang w:val="en-US" w:eastAsia="zh-CN"/>
        </w:rPr>
        <w:t>实施</w:t>
      </w:r>
      <w:r>
        <w:rPr>
          <w:rFonts w:hint="eastAsia" w:ascii="仿宋_GB2312" w:hAnsi="仿宋_GB2312" w:eastAsia="仿宋_GB2312" w:cs="仿宋_GB2312"/>
          <w:bCs/>
          <w:snapToGrid w:val="0"/>
          <w:kern w:val="0"/>
          <w:sz w:val="32"/>
          <w:szCs w:val="32"/>
          <w:lang w:val="en-US" w:eastAsia="zh-CN"/>
        </w:rPr>
        <w:t>“清雅甘州”既有建筑风貌节能改造、“六大市场”整治搬迁、老旧房屋拆除、</w:t>
      </w:r>
      <w:r>
        <w:rPr>
          <w:rFonts w:hint="eastAsia" w:ascii="仿宋_GB2312" w:hAnsi="仿宋_GB2312" w:eastAsia="仿宋_GB2312" w:cs="仿宋_GB2312"/>
          <w:bCs/>
          <w:snapToGrid w:val="0"/>
          <w:spacing w:val="0"/>
          <w:kern w:val="0"/>
          <w:sz w:val="32"/>
          <w:szCs w:val="32"/>
          <w:lang w:val="en-US" w:eastAsia="zh-CN"/>
        </w:rPr>
        <w:t>违法建设专项治理等行动，总体管控城市空间立体性、平面协调性、色彩风貌整体性、文脉延续性，城市建筑和景观相互协调、交相辉映、融为一体。</w:t>
      </w:r>
      <w:r>
        <w:rPr>
          <w:rFonts w:hint="eastAsia" w:ascii="仿宋_GB2312" w:hAnsi="仿宋_GB2312" w:eastAsia="仿宋_GB2312" w:cs="仿宋_GB2312"/>
          <w:sz w:val="32"/>
          <w:szCs w:val="32"/>
          <w:lang w:val="en-US" w:eastAsia="zh-CN"/>
        </w:rPr>
        <w:t>依托甘州市场核心区域，采用新中式建筑风格，恢复传统街巷肌理，同步推进道路拓宽、停车位增设与排水系统优化，实现老旧街区更新完善与商业功能提升有机统一。在糖厂家属院等城中村片区，以居住环境改造和治理机制完善为突破口，有效改善人居环境，推动基层治理体系和治理能力现代化。</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4.公共服务提质增效，服务网络更趋完善</w:t>
      </w:r>
      <w:bookmarkEnd w:id="29"/>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十四五”期间，持续完善公共服务体系，教育、医疗、养老、文化体育等设施布局更加均衡，人均公共服务设施用地达到国家相关标准要求。中心城区适龄儿童义务教育巩固率达100%、学前教育三年毛入园率达99.54%，每千人医疗机构床位数达4张，养老服务体系不断健全，文化体育场所进一步丰富。依托“一刻钟生活圈”配置理念，推动社区服务中心、卫生服务站等设施集成建设，有效补齐基层服务与卫生防疫短板，公共服务便利度、可及性和服务质量全面提升，更好满足居民多样化生活需求。</w:t>
      </w:r>
      <w:bookmarkStart w:id="30" w:name="_Toc1478710577"/>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基础设施系统升级，城市韧性逐步增强</w:t>
      </w:r>
      <w:bookmarkEnd w:id="30"/>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十四五”期间，中心城区持续完善路网结构与地下管网设施，系统提升城市承载能力。路网体系持续完善，累计新建改建城市主次干道114条，主次干道路设施完好率保持在98%以上，打通“断头路”15条，改造背街小巷29条；市政设施运维安全高效，供水普及率、水质达标率稳定保持100%；供热面积2532万平方米；燃气管网覆盖12.7万户，污水处理率达98.92%，生活垃圾无害化处理率100%。安全韧性基础不断筑牢，城市消防站服务半径覆盖率达92.4%，排水防涝应急抢险能力达153立方米/小时。智慧赋能管理升级，建成智慧城管平台，实现对市政设施的全时段动态监测，问题处置效率提升40%</w:t>
      </w:r>
      <w:r>
        <w:rPr>
          <w:rFonts w:hint="eastAsia" w:ascii="仿宋_GB2312" w:hAnsi="仿宋_GB2312" w:eastAsia="仿宋_GB2312" w:cs="仿宋_GB2312"/>
          <w:sz w:val="32"/>
          <w:szCs w:val="32"/>
          <w:lang w:eastAsia="zh-CN"/>
        </w:rPr>
        <w:t>。</w:t>
      </w:r>
      <w:bookmarkStart w:id="31" w:name="_Toc1027218103"/>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生态空间持续优化，人居环境绿色赋能</w:t>
      </w:r>
      <w:bookmarkEnd w:id="31"/>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十四五”期间，通过实施山水林田湖草系统治理及黑河防护林工程，有效控制了风蚀沙化，提升了流域生态功能。启动新时代节水型社会新标杆建设，甘州区建成全国节水型社会建设达标县，助力张掖市入选全国首批区域再生水循环利用试点城市。环境质量持续向好，水环境稳定达标，无黑臭水体。城市绿色空间大幅拓展，通过多元增绿与“拆墙透绿”，已建成白塔彩虹公园、流泉公园、“水云乡”生态公园等84处城市绿地公园，建成区绿化覆盖率达42.8%，人均公园绿地26.13平方米，并建成122公里健身绿道，形成了蓝绿交织、功能融合的高品质生态网络，人居环境得到系统性提升。</w:t>
      </w:r>
      <w:bookmarkStart w:id="32" w:name="_Toc808184484"/>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历史</w:t>
      </w:r>
      <w:r>
        <w:rPr>
          <w:rFonts w:hint="eastAsia" w:ascii="仿宋_GB2312" w:hAnsi="仿宋_GB2312" w:eastAsia="仿宋_GB2312" w:cs="仿宋_GB2312"/>
          <w:b/>
          <w:bCs/>
          <w:sz w:val="32"/>
          <w:szCs w:val="32"/>
          <w:lang w:val="en-US" w:eastAsia="zh-CN"/>
        </w:rPr>
        <w:t>文脉延续传承</w:t>
      </w:r>
      <w:r>
        <w:rPr>
          <w:rFonts w:hint="eastAsia" w:ascii="仿宋_GB2312" w:hAnsi="仿宋_GB2312" w:eastAsia="仿宋_GB2312" w:cs="仿宋_GB2312"/>
          <w:b/>
          <w:bCs/>
          <w:sz w:val="32"/>
          <w:szCs w:val="32"/>
        </w:rPr>
        <w:t>，古城</w:t>
      </w:r>
      <w:r>
        <w:rPr>
          <w:rFonts w:hint="eastAsia" w:ascii="仿宋_GB2312" w:hAnsi="仿宋_GB2312" w:eastAsia="仿宋_GB2312" w:cs="仿宋_GB2312"/>
          <w:b/>
          <w:bCs/>
          <w:sz w:val="32"/>
          <w:szCs w:val="32"/>
          <w:lang w:val="en-US" w:eastAsia="zh-CN"/>
        </w:rPr>
        <w:t>韵味焕新升级</w:t>
      </w:r>
      <w:bookmarkEnd w:id="32"/>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eastAsia="zh-CN"/>
        </w:rPr>
        <w:t>“十四五”期间，坚持“保护为主、抢救第一、合理利用、加强管理”方针，编制完成西来寺历史文化街区保护规划、西街—劳动南街和文庙巷2个历史文化街区文化环境整治提升方案，开展历史文化名城专项体检评估。甘州区通过全面摸排，新增历史建筑38处，累计批复实施文保项目15个，落实资金4600余万元，完成古籍数字化、可移动文物预防性保护及鼓楼彩画修缮等重点工程，全国重点文保单位安全防护覆盖率达77.78%，</w:t>
      </w:r>
      <w:r>
        <w:rPr>
          <w:rFonts w:hint="eastAsia" w:ascii="仿宋_GB2312" w:hAnsi="仿宋_GB2312" w:eastAsia="仿宋_GB2312" w:cs="仿宋_GB2312"/>
          <w:sz w:val="32"/>
          <w:szCs w:val="32"/>
          <w:lang w:val="en-US" w:eastAsia="zh-CN"/>
        </w:rPr>
        <w:t>有效</w:t>
      </w:r>
      <w:r>
        <w:rPr>
          <w:rFonts w:hint="eastAsia" w:ascii="仿宋_GB2312" w:hAnsi="仿宋_GB2312" w:eastAsia="仿宋_GB2312" w:cs="仿宋_GB2312"/>
          <w:sz w:val="32"/>
          <w:szCs w:val="32"/>
          <w:lang w:eastAsia="zh-CN"/>
        </w:rPr>
        <w:t>构建人防、物防、技防协同体系。深入挖掘“丝路名城”文化内涵，推动历史文化资源创造性转化、创新性发展，注重保护历史文化遗产和城市风貌，严格管控历史城区建筑体量、色彩及天际线，系统性彰显“丝路名城”文化肌理。</w:t>
      </w:r>
      <w:bookmarkStart w:id="33" w:name="_Toc759304175"/>
    </w:p>
    <w:bookmarkEnd w:id="33"/>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sz w:val="32"/>
          <w:szCs w:val="32"/>
          <w:lang w:val="en-US" w:eastAsia="zh-CN"/>
        </w:rPr>
      </w:pPr>
      <w:bookmarkStart w:id="34" w:name="_Toc1000510281"/>
      <w:bookmarkStart w:id="35" w:name="_Toc1156429384"/>
      <w:r>
        <w:rPr>
          <w:rFonts w:hint="eastAsia" w:ascii="方正黑体_GBK" w:hAnsi="方正黑体_GBK" w:eastAsia="方正黑体_GBK" w:cs="方正黑体_GBK"/>
          <w:sz w:val="32"/>
          <w:szCs w:val="32"/>
          <w:lang w:val="en-US" w:eastAsia="zh-CN"/>
        </w:rPr>
        <w:t>三、面临的形势</w:t>
      </w:r>
      <w:bookmarkEnd w:id="34"/>
      <w:bookmarkEnd w:id="35"/>
      <w:bookmarkStart w:id="36" w:name="_Toc1246302593"/>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（一）党中央国务院要求推动城市高质量发展</w:t>
      </w:r>
      <w:bookmarkEnd w:id="3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中央城市工作会议和《中共中央国务院关于推动城市高质量发展的意见》深刻阐释了城市更新的核心要义，提出认真践行人民城市理念，坚持因地制宜、分类指导，以建设创新、宜居、美丽、韧性、文明、智慧的现代化人民城市为目标，以推动城市高质量发展为主题，以推进城市更新为重要抓手，大力推动城市结构优化、动能转换、品质提升、绿色转型、文脉赓续、治理增效。为中心城区城市更新工作确立了核心遵循、指明了实践方向，我市将立足生态型、旅游型城市功能定位，将中央部署转化为具体行动，聚力推进“六宜”城市建设，系统推动城市结构优化、功能完善与品质提升，着力擦亮历史文化名城名片，走出一条内涵式、集约型、绿色化的高质量发展新路。</w:t>
      </w:r>
      <w:bookmarkStart w:id="37" w:name="_Toc1883220217"/>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（二）国家战略叠加下的政策支持与资金倾斜</w:t>
      </w:r>
      <w:bookmarkEnd w:id="3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中央办公厅国务院办公厅关于持续推进城市更新行动的意见》提出加大城市更新力度。根据《关于开展2025年度中央财政支持实施城市更新行动的通知》（财办建〔2025〕11号），中央财政对西部城市更新项目给予最高12亿元定额补助，重点支持历史文化街区改造、地下管网更新等民生工程。我市中心城区作为历史文化名城核心区，紧抓政策机遇，积极争取国家资金，打造“丝路文化体验带”。同时需要严格遵循“留改拆”并举原则，坚守历史文化遗产保护底线，杜绝大拆大建，推动城市更新规范有序开展。</w:t>
      </w:r>
      <w:bookmarkStart w:id="38" w:name="_Toc1364170642"/>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（三）省级区域规划与新型城镇化的战略牵引</w:t>
      </w:r>
      <w:bookmarkEnd w:id="3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甘肃省明确将张掖市甘州区纳入河西走廊经济带“市域中心城市”建设，省委、省政府要求“奋力开创经济社会发展新局面”，要求城市更新必须超越基础修补，转向以产兴城、以城促产。依据省级新型城镇化战略部署，中心城区需强化规划衔接、推动“多规合一”，确保更新项目精准服务于公共服务设施补短板、市政基础设施智慧化升级等领域，从而实质性提升中心城区对人口和产业的承载力与辐射力，实现从“城市更新”到“城市高质量发展”的跃升。</w:t>
      </w:r>
      <w:bookmarkStart w:id="39" w:name="_Toc1883844040"/>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（四）市级战略布局与地方实践支撑城市更新</w:t>
      </w:r>
      <w:bookmarkEnd w:id="3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掖市国土空间总体规划（2021—2035年）》确立“一心一带三轴多点”空间格局，明确张掖市甘州区作为市域发展核心定位，要求优化城镇空间布局、推进“甘临一体化”，重点实施老旧小区改造、地下管网更新及智慧城市建设。中心城区已完成住房、社区、街区、城区四维城市体检，系统建立问题台账，精准锁定更新改造重点领域与薄弱环节，为科学谋划项目、高效推进实施提供了坚实的数据支撑与实践依据。</w:t>
      </w:r>
      <w:bookmarkStart w:id="40" w:name="_Toc2021853115"/>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（五）数字时代赋能与需求升级激发内在需求</w:t>
      </w:r>
      <w:bookmarkEnd w:id="4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随着5G、物联网、大数据、人工智能等技术普及，智慧城市和智能建造已成为城市更新的重要技术路径。甘州区可通过城市更新，系统推进“城市数字底座”建设，完善城市信息模型（CIM）平台，实现城市运行“一网统管”、政务服务“一网通办”，提升治理科学化、精细化、智能化水平。同时，人口结构变化与生活水平提高，催生了居民对“好房子、好小区”、优质公共服务、宜居环境的强烈改善型需求。城市更新需积极响应，系统推进“四好”建设，并与文旅融合、消费升级相结合，活化利用历史文化资源，培育新业态、新场景，激发老城活力，满足人民群众对高品质生活的新期待。</w:t>
      </w:r>
      <w:bookmarkStart w:id="41" w:name="_Toc1741366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32"/>
          <w:szCs w:val="32"/>
          <w:lang w:val="en-US" w:eastAsia="zh-CN"/>
        </w:rPr>
      </w:pPr>
      <w:bookmarkStart w:id="42" w:name="_Toc1404323127"/>
      <w:r>
        <w:rPr>
          <w:rFonts w:hint="eastAsia" w:ascii="方正小标宋简体" w:hAnsi="方正小标宋简体" w:eastAsia="方正小标宋简体" w:cs="方正小标宋简体"/>
          <w:sz w:val="32"/>
          <w:szCs w:val="32"/>
          <w:lang w:val="en-US" w:eastAsia="zh-CN"/>
        </w:rPr>
        <w:t>第三章  体检评估</w:t>
      </w:r>
      <w:bookmarkEnd w:id="4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sz w:val="32"/>
          <w:szCs w:val="32"/>
          <w:lang w:val="en-US" w:eastAsia="zh-CN"/>
        </w:rPr>
      </w:pPr>
      <w:bookmarkStart w:id="43" w:name="_Toc64647808"/>
      <w:r>
        <w:rPr>
          <w:rFonts w:hint="eastAsia" w:ascii="方正黑体_GBK" w:hAnsi="方正黑体_GBK" w:eastAsia="方正黑体_GBK" w:cs="方正黑体_GBK"/>
          <w:sz w:val="32"/>
          <w:szCs w:val="32"/>
          <w:lang w:val="en-US" w:eastAsia="zh-CN"/>
        </w:rPr>
        <w:t>一、</w:t>
      </w:r>
      <w:bookmarkStart w:id="44" w:name="_Toc517550771"/>
      <w:r>
        <w:rPr>
          <w:rFonts w:hint="eastAsia" w:ascii="方正黑体_GBK" w:hAnsi="方正黑体_GBK" w:eastAsia="方正黑体_GBK" w:cs="方正黑体_GBK"/>
          <w:sz w:val="32"/>
          <w:szCs w:val="32"/>
          <w:lang w:val="en-US" w:eastAsia="zh-CN"/>
        </w:rPr>
        <w:t>体检指标</w:t>
      </w:r>
      <w:bookmarkEnd w:id="43"/>
      <w:bookmarkEnd w:id="4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住建部《2025年城市体检基础指标体系》确定的住房、小区（社区）、街区、城区（城市）等4个维度60项指标，结合城市实际，增设2025年特色指标，构建市级综合体检指标体系，形成张掖市2025年城市体检指标体系，具体包括“城市体检基础指标”和“城市体检特色指标”两部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（一）基础指标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落实住建部基础指标体系，结合张掖市城市建设实际，删除2项张掖市现状不具备的基础指标，即“轨道站点周边覆盖通勤比例”和“平急两用公共基础设施数量”（超大特大城市应具备），共落实住建部59项基础指标。</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（二）特色指标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张掖市住房和城乡建设局关于印发《张掖市2024年城市体检工作实施方案》，结合张掖城市建设发展特征与实际问题，增加反映张掖城市建设管理实际的评价指标，城区维度补充了“T1人均口袋公园面积（㎡/人）”、“社区低碳能源设施覆盖率”、“T3再生水利用率（%）”和“完整居住社区覆盖率（%）”4个特色指标，旨在强化城区生态宜居相关的建设评价。</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（三）专项指标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张掖市国土空间总体规划（2021—2035年）》、《甘州区国土空间总体规划（2021—2035年）》、张掖市城市建设发展实际情况、以前年度短板及关注问题，增加符合张掖城市特色、反映张掖城市城市建设管理实际、科学合理的特色评价指标，共计4个专题研究、21项专项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国家园林城市专题增加了对城市绿地率、人均公园绿地面积、每10万人拥有综合公园个数、建成区蓝绿空间占比、城市湿地保护实施率和历史文化名城古树名木及后备资源保护率（%）6项专项指标，旨于配合生态园林城市相关的建设与申报工作，系统性检查城市在生态建设方面存在的问题短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国家历史文化名城专题增加了“历史文化街区、历史建筑、文物保护单位保护修缮率占比”、“各级文物保护单位数量（处）”、“完善保护管理规定、健全保护管理机制”、“近3年未发生大拆大建、拆真建假、破坏保护对象等致使城市(县)历史文化价值受到严重影响的事件，未发生重大文物安全事故和重大文物违法事件。（起）”6项专项指标，基于张掖市作为国家级历史文化名城的文化底蕴以及近年发生的关于“两片历史文化街区保护范围内的老建筑被成片拆除”的问题，故设立相关指标综合评价本地对于历史建筑及文保单位的保护修缮及活化利用等相关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国优秀旅游城市专题增加了旅游总收入、旅游人均消费支出、旅游业产值占GDP比重、国内外游客数量、旅游休闲街区数量共计5项专项指标，基于中国优秀旅游城市评价标准和张掖市文化旅游相关发展要求，设置相应指标梳理城市文旅相关的问题，进一步明确未来文化旅游相关的建设发展方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4.城市地下管网及设施专项增加了老旧供水管网待改造比率、老旧排水（雨污）管网待改造比率、老旧再生水管网待改造比率、老旧供热管网待改造比率4项专项指标，旨在全面梳理城市地下管网建设的问题短板。</w:t>
      </w:r>
      <w:bookmarkStart w:id="45" w:name="_Toc47769624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sz w:val="32"/>
          <w:szCs w:val="32"/>
          <w:lang w:val="en-US" w:eastAsia="zh-CN"/>
        </w:rPr>
      </w:pPr>
      <w:bookmarkStart w:id="46" w:name="_Toc1719696291"/>
      <w:r>
        <w:rPr>
          <w:rFonts w:hint="eastAsia" w:ascii="方正黑体_GBK" w:hAnsi="方正黑体_GBK" w:eastAsia="方正黑体_GBK" w:cs="方正黑体_GBK"/>
          <w:sz w:val="32"/>
          <w:szCs w:val="32"/>
          <w:lang w:val="en-US" w:eastAsia="zh-CN"/>
        </w:rPr>
        <w:t>二、数据采集方式及结果</w:t>
      </w:r>
      <w:bookmarkEnd w:id="45"/>
      <w:bookmarkEnd w:id="4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着“应采尽采，能矢量化尽矢量化”的原则，采取“现场调查、专业公司普查、现场填报、入户调查、线上问卷调查、部门填报、网络抓取”等方式，强化城市多源数据收集，丰富城市体检数据库，助力城市体检指标分析评价和常态化城市更新项目包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利用采集程序和无人机，开展住房、社区、街区现场调查，共整理形成5个街道和滨河新区、30个社区，683个小区及其相关3511个楼栋的台账数据。按照每个社区50-100份的标准，通过线上问卷调查，共收集居民抽样有效问卷2185份，城市改善建议959条。引入12345热线数据3135条，为民意精准识别提供坚实基础。同时采用部门资料填报方式，收集二十余个相关部门的基础数据，便于城区维度指标分析评价和问题治理。同步收集手机信令数据等网络大数据，便于相关数据结果的校核和问题研判。</w:t>
      </w:r>
      <w:bookmarkStart w:id="47" w:name="_Toc193590717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sz w:val="32"/>
          <w:szCs w:val="32"/>
          <w:lang w:val="en-US" w:eastAsia="zh-CN"/>
        </w:rPr>
      </w:pPr>
      <w:bookmarkStart w:id="48" w:name="_Toc961778184"/>
      <w:r>
        <w:rPr>
          <w:rFonts w:hint="eastAsia" w:ascii="方正黑体_GBK" w:hAnsi="方正黑体_GBK" w:eastAsia="方正黑体_GBK" w:cs="方正黑体_GBK"/>
          <w:sz w:val="32"/>
          <w:szCs w:val="32"/>
          <w:lang w:val="en-US" w:eastAsia="zh-CN"/>
        </w:rPr>
        <w:t>三、分析与评价</w:t>
      </w:r>
      <w:bookmarkEnd w:id="47"/>
      <w:bookmarkEnd w:id="48"/>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（一）住房维度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划定的城市体检边界范围内，选取问题比较突出、群众反映强烈、具有代表性并能够进行整改的社区，开展住房维度城市体检。涵盖了不同规模、不同类型、不同建设年代的社区，共包含1区共5个街道和滨河新区，30个社区，683个小区，面积范围共47平方公里。</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1.安全耐久方面。</w:t>
      </w:r>
      <w:r>
        <w:rPr>
          <w:rFonts w:hint="eastAsia" w:ascii="仿宋_GB2312" w:hAnsi="仿宋_GB2312" w:eastAsia="仿宋_GB2312" w:cs="仿宋_GB2312"/>
          <w:sz w:val="32"/>
          <w:szCs w:val="32"/>
          <w:lang w:val="en-US" w:eastAsia="zh-CN"/>
        </w:rPr>
        <w:t>存在结构安全问题的住宅占比0.028%，存在燃气安全问题的住宅占比0.14%，存在楼道安全问题的住宅占比51.92%，存在围护安全问题的住宅占比13.41%。</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2.功能完备方面。</w:t>
      </w:r>
      <w:r>
        <w:rPr>
          <w:rFonts w:hint="eastAsia" w:ascii="仿宋_GB2312" w:hAnsi="仿宋_GB2312" w:eastAsia="仿宋_GB2312" w:cs="仿宋_GB2312"/>
          <w:sz w:val="32"/>
          <w:szCs w:val="32"/>
          <w:lang w:val="en-US" w:eastAsia="zh-CN"/>
        </w:rPr>
        <w:t>存在非成套住宅问题的住宅占比0.11%，存在管线管道破损的住宅数量占比18.91%，需要进行适老化改造的住宅数量占比39.3%，入户水质不达标的住宅数量占比2.5%。</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3.绿色智能方面。</w:t>
      </w:r>
      <w:r>
        <w:rPr>
          <w:rFonts w:hint="eastAsia" w:ascii="仿宋_GB2312" w:hAnsi="仿宋_GB2312" w:eastAsia="仿宋_GB2312" w:cs="仿宋_GB2312"/>
          <w:sz w:val="32"/>
          <w:szCs w:val="32"/>
          <w:lang w:val="en-US" w:eastAsia="zh-CN"/>
        </w:rPr>
        <w:t>需要进行节能改造的住宅数量占比15.7%，需要进行数字化改造的住宅数量占比96.7%。</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（二）小区（社区）维度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30个不同建设年限、不同类型规模且短板突出的社区，共计683个小区，开展小区（社区）维度城市体检。通过体检，找准养老、托育、停车、充电等设施缺口以及小区环境、管理方面的问题，形成问题台账。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1.设施完善方面。</w:t>
      </w:r>
      <w:r>
        <w:rPr>
          <w:rFonts w:hint="eastAsia" w:ascii="仿宋_GB2312" w:hAnsi="仿宋_GB2312" w:eastAsia="仿宋_GB2312" w:cs="仿宋_GB2312"/>
          <w:sz w:val="32"/>
          <w:szCs w:val="32"/>
          <w:lang w:val="en-US" w:eastAsia="zh-CN"/>
        </w:rPr>
        <w:t>一是作为社区基本的民生福祉，683个小区小学幼儿园等基础配套数量较为完善，但是在在婴幼儿照护服务设施方面，多数社区均存在明显短板。二是针对“一老一小”即老年人照护和婴幼儿照护设施等近年来生活升级类配套需求考虑配套不足，而人民群众对美好生活的需求日益增长，这方面供需矛盾也会更加激化。三是机动车保有量增加不断冲击着老旧小区原本不充足的停车系统，进一步造成老旧小区拥堵和缺乏吸引力，可持续发展的内生动力不足。新能源汽车设备应整合楼宇电器升级及其他低碳设施一并系统性考虑。</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2.环境宜居方面。</w:t>
      </w:r>
      <w:r>
        <w:rPr>
          <w:rFonts w:hint="eastAsia" w:ascii="仿宋_GB2312" w:hAnsi="仿宋_GB2312" w:eastAsia="仿宋_GB2312" w:cs="仿宋_GB2312"/>
          <w:sz w:val="32"/>
          <w:szCs w:val="32"/>
          <w:lang w:val="en-US" w:eastAsia="zh-CN"/>
        </w:rPr>
        <w:t>一是受制于老旧小区空间不足，活动场地和步行环境普遍因缺乏足够的空间而服务受限。二是在此基础上的配套设施质量仍有待提升。三是社区垃圾分类设施虽大部分已配备，但居民分类收集意识和教育管理水平有待提升，分类处理系统仍覆盖不全。同时，缺少垃圾分类监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3.管理健全方面。</w:t>
      </w:r>
      <w:r>
        <w:rPr>
          <w:rFonts w:hint="eastAsia" w:ascii="仿宋_GB2312" w:hAnsi="仿宋_GB2312" w:eastAsia="仿宋_GB2312" w:cs="仿宋_GB2312"/>
          <w:sz w:val="32"/>
          <w:szCs w:val="32"/>
          <w:lang w:val="en-US" w:eastAsia="zh-CN"/>
        </w:rPr>
        <w:t>大部分社区物业管理满意度较一般，智慧化改造覆盖不全面。</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（三）街区维度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张掖市中心城区东街街道、南街街道、西街街道、北街街道、火车站街道五个街道和滨河新区。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1.功能完善方面。</w:t>
      </w:r>
      <w:r>
        <w:rPr>
          <w:rFonts w:hint="eastAsia" w:ascii="仿宋_GB2312" w:hAnsi="仿宋_GB2312" w:eastAsia="仿宋_GB2312" w:cs="仿宋_GB2312"/>
          <w:sz w:val="32"/>
          <w:szCs w:val="32"/>
          <w:lang w:val="en-US" w:eastAsia="zh-CN"/>
        </w:rPr>
        <w:t>社区低碳能源设施局部地区覆盖不足，分布不均衡，部分社区数量较少，部分设施缺少维护，不能正常使用。东街街道、南街街道、西街街道覆盖率较低，东街街道、南街街道、西街街道、北街街道设施数量较少。</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2.整洁有序方面。</w:t>
      </w:r>
      <w:r>
        <w:rPr>
          <w:rFonts w:hint="eastAsia" w:ascii="仿宋_GB2312" w:hAnsi="仿宋_GB2312" w:eastAsia="仿宋_GB2312" w:cs="仿宋_GB2312"/>
          <w:sz w:val="32"/>
          <w:szCs w:val="32"/>
          <w:lang w:val="en-US" w:eastAsia="zh-CN"/>
        </w:rPr>
        <w:t>存在机动车乱停放，占用人行道和非机动车停车位的情况，其中5处为商业、底商周边车辆乱停放，1处为学校、医院、公园等公共设施周边车辆乱停放。</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3.特色活力方面。</w:t>
      </w:r>
      <w:r>
        <w:rPr>
          <w:rFonts w:hint="eastAsia" w:ascii="仿宋_GB2312" w:hAnsi="仿宋_GB2312" w:eastAsia="仿宋_GB2312" w:cs="仿宋_GB2312"/>
          <w:sz w:val="32"/>
          <w:szCs w:val="32"/>
          <w:lang w:val="en-US" w:eastAsia="zh-CN"/>
        </w:rPr>
        <w:t>需要进行更新改造的老旧街区分别为东街街道饮马桥社区、南街街道南关社区、西街街道西站社区、北街街道王母宫社区。东街街道饮马桥社区为近期新建社区，空置低效用地较多，公共服务设施和便民商业服务设施较为完善，公共活动空间缺乏，市政配套基础设施局部不足；南街街道南关社区需要更新改造的老旧建筑数量占比较高，公共服务设施和便民商业服务设施较为完善，公共活动空间缺乏，市政配套基础设施局部不足；西街街道西站社区，需要更新改造的老旧建筑数量占比较高，空置低效用地较多，公共服务设施和便民商业服务设施较为完善，公共活动空间缺乏，市政配套基础设施局部不足；北街街道王母宫社区空置低效用地较多，公共服务设施和便民商业服务设施较为完善，公共活动空间缺乏，市政配套基础设施局部不足。</w:t>
      </w:r>
      <w:bookmarkStart w:id="49" w:name="_Toc47719521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sz w:val="32"/>
          <w:szCs w:val="32"/>
          <w:lang w:val="en-US" w:eastAsia="zh-CN"/>
        </w:rPr>
      </w:pPr>
      <w:bookmarkStart w:id="50" w:name="_Toc531304477"/>
      <w:r>
        <w:rPr>
          <w:rFonts w:hint="eastAsia" w:ascii="方正黑体_GBK" w:hAnsi="方正黑体_GBK" w:eastAsia="方正黑体_GBK" w:cs="方正黑体_GBK"/>
          <w:sz w:val="32"/>
          <w:szCs w:val="32"/>
          <w:lang w:val="en-US" w:eastAsia="zh-CN"/>
        </w:rPr>
        <w:t>四、存在的问题</w:t>
      </w:r>
      <w:bookmarkEnd w:id="49"/>
      <w:bookmarkEnd w:id="5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在高质量推动中心城区城市建设进程中，我市虽取得显著成效，但对照中央关于持续推进城市更新行动的意见，结合城市体检结果，当前中心城区城市更新工作主要面临以下八个方面的核心问题。</w:t>
      </w:r>
      <w:bookmarkStart w:id="51" w:name="_Toc555139107"/>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（一）既有建筑改造有待完善</w:t>
      </w:r>
      <w:bookmarkEnd w:id="5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心城区现状既有建筑改造主要聚焦于危旧房改造，在建筑绿色节能改造，存量房屋改造利用等方面存在明显短板。根据城市体检，中心城区部分住宅需要进行适老化改造，部分住宅具备节能改造价值但未实施，适老化与绿色化改造相对滞后。实施层面，缺乏与体检结果挂钩的顶层设计和项目生成机制，且资金保障单一，难以满足由体检检查出的改造需求，制约了更新工作的系统性与可持续性。亟待建立以城市体检问题为导向、覆盖“安全、绿色、适老、智能、活用”目标的系统更新机制。</w:t>
      </w:r>
      <w:bookmarkStart w:id="52" w:name="_Toc768367644"/>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（二）老旧小区仍需持续加强改造</w:t>
      </w:r>
      <w:bookmarkEnd w:id="5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于城市体检的系统评估，中心城区老旧小区更新面临改造深度与长效治理的双重挑战。部分已实施改造的小区存在“治标未治本”现象，早期改造偏重“面子”更新，对地下管网、消防设施等“里子”问题解决不彻底，部分楼栋仍存消防隐患、部分住宅存在管线老化等问题反复发生。“重建设、轻管理”现象普遍存在，专业化物业管理覆盖不足、专项维修资金归集困难、居民共治机制不健全等问题，制约了改造成果巩固与社区可持续发展。亟待推动更新工作由“单项改造”向“系统治理”转型，实现硬件更新与长效管理机制同步构建。</w:t>
      </w:r>
      <w:bookmarkStart w:id="53" w:name="_Toc1630499751"/>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（三）完整社区建设仍处于试点阶段</w:t>
      </w:r>
      <w:bookmarkEnd w:id="5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心城区完整社区建设仍处于试点探索阶段，仅开展了甘泉巷（南大池）、东湖社区两处示范点，尚未形成可在复制推广的成熟模式。多数社区，尤其是老旧及边缘社区，在设施配置、服务功能等方面距离完整社区标准仍有差距，且存在资源配置不均、空间整合不足、功能联动不畅等问题，制约整体服务效能提升。社会力量与市场主体参与机制不健全，多元共建格局尚未形成，加之资金投入缺乏持续性、政策协同性不足，导致建设合力薄弱，亟待从机制创新、资源统筹与资金保障等方面进行系统性破解。</w:t>
      </w:r>
      <w:bookmarkStart w:id="54" w:name="_Toc950548627"/>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（四）老旧街区厂区更新仍待加强</w:t>
      </w:r>
      <w:bookmarkEnd w:id="5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老旧街区、厂区存量更新对象基数大、情况复杂，统筹推进难度高。体检数据显示，中心城区亟待更新的老旧商业街区、老旧厂区及老旧街区共计15处，空间分布零散且产权、历史遗留问题交织。普遍存在管网老化、停车及充电设施严重不足、绿化与公共空间匮乏、无障碍设施缺失等复合型问题。亟须统筹规划，引入专业运营力量，推动老旧片区的活力复兴。</w:t>
      </w:r>
      <w:bookmarkStart w:id="55" w:name="_Toc1496662187"/>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（五）公共服务设施统筹配置不均</w:t>
      </w:r>
      <w:bookmarkEnd w:id="5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公共服务设施建设存在系统性短板，制约居民生活品质的全面提升。区级层面，普惠型与品质型文化体育设施供给不足，缺少独立占地的青少年活动中心、美术馆等设施，部分体育场馆老旧且类别单一。社区层面，养老、托育等服务设施配建严重不足，停车泊位与新能源充电桩存在广泛缺口，且现有设施布局零散、规模偏小、空间品质不高。此外，各类设施更新缺乏系统统筹，存在空间竞争；适老化、适幼化等无障碍改造整体滞后，难以满足居民多元化、高品质的生活需求</w:t>
      </w:r>
      <w:r>
        <w:rPr>
          <w:rFonts w:hint="eastAsia" w:ascii="仿宋_GB2312" w:hAnsi="仿宋_GB2312" w:eastAsia="仿宋_GB2312" w:cs="仿宋_GB2312"/>
          <w:sz w:val="32"/>
          <w:szCs w:val="32"/>
          <w:lang w:eastAsia="zh-CN"/>
        </w:rPr>
        <w:t>。</w:t>
      </w:r>
      <w:bookmarkStart w:id="56" w:name="_Toc1760027940"/>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（六）基础设施体系承载能力不足</w:t>
      </w:r>
      <w:bookmarkEnd w:id="5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中心城区</w:t>
      </w:r>
      <w:r>
        <w:rPr>
          <w:rFonts w:hint="eastAsia" w:ascii="仿宋_GB2312" w:hAnsi="仿宋_GB2312" w:eastAsia="仿宋_GB2312" w:cs="仿宋_GB2312"/>
          <w:sz w:val="32"/>
          <w:szCs w:val="32"/>
        </w:rPr>
        <w:t>基础设施建设存在若干短板，制约城市综合承载能力的持续提升。路网体系有待完善，存在“断头路”与瓶颈路段，影响区域互联互通，城区停车供给不足。部分区域供水、供热、排水等管网因管理权责不清、资金技术制约，更新维护滞后，雨污分流改造未全面完成，供水漏损率有待降低，智能化监测体系尚未建立。城区消防站服务覆盖不足，设施布局与配置亟待优化，城市安全基础有待进一步夯实。</w:t>
      </w:r>
      <w:bookmarkStart w:id="57" w:name="_Toc561694618"/>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（七）蓝绿空间体系有待加强完善</w:t>
      </w:r>
      <w:bookmarkEnd w:id="5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区绿地建设取得一定成效，但受干旱气候及水资源总量限制，绿地系统整体布局不均衡。部分已建公园设施不足、管护不善，服务效益有待提升。综合体检指标评价和居民问卷调查结果显示，街区增绿提质工作仍需加强，受存量用地空间有限、历史欠账较多等因素影响，小型游园与公园绿地的规划建设、设施配套及长效运维均面临挑战，与居民对高品质生态环境的需求存在差距。</w:t>
      </w:r>
      <w:bookmarkStart w:id="58" w:name="_Toc1980710154"/>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（八）历史文化遗产活化程度偏低</w:t>
      </w:r>
      <w:bookmarkEnd w:id="5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历史文化遗产活化程度偏低，名城效应未能充分释放。资金保障严重不足，2023年保护专项资金仅占城市更新总投资的5%，高度依赖上级拨付，地方配套薄弱，“十四五”期间争取的4600多万元多用于应急修缮，缺乏可持续运营投入。城市体检显示，历史文化街区平均活化占比仅33%，大量空间闲置，保护模式局限于静态展示。商业街区业态同质化突出，文化IP挖掘不深，文物建筑与文创研学融合欠缺，非遗、工业遗产资源挖掘利用滞后，专业策划运营薄弱，公众及社会力量参与机制亦不完善</w:t>
      </w:r>
      <w:r>
        <w:rPr>
          <w:rFonts w:hint="eastAsia" w:ascii="仿宋_GB2312" w:hAnsi="仿宋_GB2312" w:eastAsia="仿宋_GB2312" w:cs="仿宋_GB2312"/>
          <w:sz w:val="32"/>
          <w:szCs w:val="32"/>
        </w:rPr>
        <w:t>。</w:t>
      </w:r>
    </w:p>
    <w:bookmarkEnd w:id="41"/>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bookmarkStart w:id="59" w:name="_Toc1916162642"/>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32"/>
          <w:szCs w:val="32"/>
          <w:lang w:val="en-US" w:eastAsia="zh-CN"/>
        </w:rPr>
      </w:pPr>
      <w:bookmarkStart w:id="60" w:name="_Toc1531639320"/>
      <w:r>
        <w:rPr>
          <w:rFonts w:hint="eastAsia" w:ascii="方正小标宋简体" w:hAnsi="方正小标宋简体" w:eastAsia="方正小标宋简体" w:cs="方正小标宋简体"/>
          <w:sz w:val="32"/>
          <w:szCs w:val="32"/>
          <w:lang w:val="en-US" w:eastAsia="zh-CN"/>
        </w:rPr>
        <w:t>第四章  规划目标</w:t>
      </w:r>
      <w:bookmarkEnd w:id="60"/>
    </w:p>
    <w:bookmarkEnd w:id="59"/>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sz w:val="32"/>
          <w:szCs w:val="32"/>
          <w:lang w:val="en-US" w:eastAsia="zh-CN"/>
        </w:rPr>
      </w:pPr>
      <w:bookmarkStart w:id="61" w:name="_Toc222563824"/>
      <w:bookmarkStart w:id="62" w:name="_Toc930542385"/>
      <w:r>
        <w:rPr>
          <w:rFonts w:hint="eastAsia" w:ascii="方正黑体_GBK" w:hAnsi="方正黑体_GBK" w:eastAsia="方正黑体_GBK" w:cs="方正黑体_GBK"/>
          <w:sz w:val="32"/>
          <w:szCs w:val="32"/>
          <w:lang w:val="en-US" w:eastAsia="zh-CN"/>
        </w:rPr>
        <w:t>一、总体目标</w:t>
      </w:r>
      <w:bookmarkEnd w:id="61"/>
      <w:bookmarkEnd w:id="6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承接和落实张掖市“筑牢国家西部生态安全屏障”与“打造国际知名旅游目的地”的核心功能定位，锚定生态型、旅游型城市发展方向，探索城市高质量发展人民高品质生活的特色化城市更新路径，推动城市更新从物质空间改造向经济社会综合治理纵深拓展，提升精细化城市治理水平既厚植历史文化根基、传承甘州人文底蕴，又注入智慧赋能动能、强化绿色低碳发展，最终建成西北地区集约高效、文韵鲜活、智慧韧性的标杆区。</w:t>
      </w:r>
      <w:bookmarkStart w:id="63" w:name="_Toc121885529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sz w:val="32"/>
          <w:szCs w:val="32"/>
          <w:lang w:val="en-US" w:eastAsia="zh-CN"/>
        </w:rPr>
      </w:pPr>
      <w:bookmarkStart w:id="64" w:name="_Toc817648533"/>
      <w:r>
        <w:rPr>
          <w:rFonts w:hint="eastAsia" w:ascii="方正黑体_GBK" w:hAnsi="方正黑体_GBK" w:eastAsia="方正黑体_GBK" w:cs="方正黑体_GBK"/>
          <w:sz w:val="32"/>
          <w:szCs w:val="32"/>
          <w:lang w:val="en-US" w:eastAsia="zh-CN"/>
        </w:rPr>
        <w:t>二、分项目标</w:t>
      </w:r>
      <w:bookmarkEnd w:id="63"/>
      <w:bookmarkEnd w:id="64"/>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1.推进既有建筑改造</w:t>
      </w:r>
      <w:r>
        <w:rPr>
          <w:rFonts w:hint="eastAsia" w:ascii="仿宋_GB2312" w:hAnsi="仿宋_GB2312" w:eastAsia="仿宋_GB2312" w:cs="仿宋_GB2312"/>
          <w:b/>
          <w:bCs/>
          <w:sz w:val="32"/>
          <w:szCs w:val="32"/>
        </w:rPr>
        <w:t>，筑牢安全底线</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到2030年，系统推进既有建筑改造，建立“安全优先、分类施策”机制。优先完成C、D级危房鉴定与处置。全面推进节能改造。重点提升围护结构性能，推广应用可再生能源。积极推动低效存量建筑的功能复合转换，鼓励向文创、科创等新业态转型。全过程融入智慧技术，提升改造品质与运维水平，最终实现居住安全、功能完善、能效提升与文化传承的有机统一。</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2.推进老旧小区改造，提升人居品质。</w:t>
      </w:r>
      <w:r>
        <w:rPr>
          <w:rFonts w:hint="eastAsia" w:ascii="仿宋_GB2312" w:hAnsi="仿宋_GB2312" w:eastAsia="仿宋_GB2312" w:cs="仿宋_GB2312"/>
          <w:sz w:val="32"/>
          <w:szCs w:val="32"/>
          <w:lang w:val="en-US" w:eastAsia="zh-CN"/>
        </w:rPr>
        <w:t>通过系统性、全方位的改造工作，按照基础类、完善类、提升类三类，持续提升老旧小区居住品质，完善小区功能配套，积极推进智慧小区建设，营造安全、舒适、便捷、绿色、智慧的居住环境，显著增强居民的获得感、幸福感、安全感，推动城市高质量发展，助力甘州区建设成为宜居宜游宜业宜商宜学宜养的“六宜”现代化城市。</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3.加快完整社区建设，完善城市功能。</w:t>
      </w:r>
      <w:r>
        <w:rPr>
          <w:rFonts w:hint="eastAsia" w:ascii="仿宋_GB2312" w:hAnsi="仿宋_GB2312" w:eastAsia="仿宋_GB2312" w:cs="仿宋_GB2312"/>
          <w:sz w:val="32"/>
          <w:szCs w:val="32"/>
          <w:lang w:val="en-US" w:eastAsia="zh-CN"/>
        </w:rPr>
        <w:t>以建设首批10个示范性完整社区和构建覆盖全城的11个“一刻钟便民生活圈”为核心目标。聚焦“一老一小”，联动多元主体，系统性补齐养老、托育、医疗等社区公共服务短板，打造体现丝路特色、全龄友好的社区生活体系。全面提升社区服务便捷度与居民归属感，为城市高质量发展筑牢民生基底。</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4.激发存量空间活力，盘活低效空间。</w:t>
      </w:r>
      <w:r>
        <w:rPr>
          <w:rFonts w:hint="eastAsia" w:ascii="仿宋_GB2312" w:hAnsi="仿宋_GB2312" w:eastAsia="仿宋_GB2312" w:cs="仿宋_GB2312"/>
          <w:sz w:val="32"/>
          <w:szCs w:val="32"/>
          <w:lang w:val="en-US" w:eastAsia="zh-CN"/>
        </w:rPr>
        <w:t>坚持“功能转换、业态升级、文化赋能、安全韧性”。以城市精细化数据为基础，系统推进老旧街区、老旧厂区、城中村及交通枢纽四类存量空间的有机更新，显著改善人居环境，重塑空间价值，激发城市内生动力与发展活力。到2030年，完成4个老旧街区、1个老旧厂区的更新改造，推进长安镇、新墩镇等区域13个城中村改造，推动2处低效长途客运站的复合利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5.完善城市功能，提升综合承载能力。</w:t>
      </w:r>
      <w:r>
        <w:rPr>
          <w:rFonts w:hint="eastAsia" w:ascii="仿宋_GB2312" w:hAnsi="仿宋_GB2312" w:eastAsia="仿宋_GB2312" w:cs="仿宋_GB2312"/>
          <w:sz w:val="32"/>
          <w:szCs w:val="32"/>
          <w:lang w:val="en-US" w:eastAsia="zh-CN"/>
        </w:rPr>
        <w:t>聚焦民生需求与城市韧性，构建“平急两用”公共安全网络、全龄友好型服务体系与普惠多元的健身体系。系统推进公共设施的复合化、标准化改造与社区嵌入式布局，全面开展无障碍与适老化环境建设，实现“15分钟健身圈”全覆盖。通过功能优化、智慧赋能与精准补短板，显著增强城市风险应对与服务能力，全面提升居民生活品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6.完善基础设施体系，增强城市韧性。</w:t>
      </w:r>
      <w:r>
        <w:rPr>
          <w:rFonts w:hint="eastAsia" w:ascii="仿宋_GB2312" w:hAnsi="仿宋_GB2312" w:eastAsia="仿宋_GB2312" w:cs="仿宋_GB2312"/>
          <w:sz w:val="32"/>
          <w:szCs w:val="32"/>
          <w:lang w:val="en-US" w:eastAsia="zh-CN"/>
        </w:rPr>
        <w:t>以“智慧化、韧性化、一体化”为导向，聚焦城市生命线工程，统筹推进供水、排水、燃气、热力、电力、通信及综合管廊等系统的隐患治理、效能优化与智慧化改造。同步优化道路交通网络，完善绿色慢行与停车设施。2030年前完成城市基础设施系统性升级，构建安全可靠、智能高效、韧性低碳的现代化基础设施体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7.优化城市生态格局，营造活力空间。</w:t>
      </w:r>
      <w:r>
        <w:rPr>
          <w:rFonts w:hint="eastAsia" w:ascii="仿宋_GB2312" w:hAnsi="仿宋_GB2312" w:eastAsia="仿宋_GB2312" w:cs="仿宋_GB2312"/>
          <w:sz w:val="32"/>
          <w:szCs w:val="32"/>
          <w:lang w:val="en-US" w:eastAsia="zh-CN"/>
        </w:rPr>
        <w:t>坚持山水林田湖城系统治理，统筹推进生态修复与蓝绿空间建设，实施全流域水系统治理与深度节水，推动生态智慧化管控与循环利用，智慧赋能生态修复。至2030年，试点建设3个节水小区。高标准养护提升现有306万平方米绿地，新建16处口袋公园，建成节水高效、蓝绿交织、智慧管理的生态基础设施网络，显著增强城市生态韧性、碳汇能力与人居环境品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8.强化</w:t>
      </w:r>
      <w:r>
        <w:rPr>
          <w:rFonts w:hint="eastAsia" w:ascii="仿宋_GB2312" w:hAnsi="仿宋_GB2312" w:eastAsia="仿宋_GB2312" w:cs="仿宋_GB2312"/>
          <w:b/>
          <w:bCs/>
          <w:sz w:val="32"/>
          <w:szCs w:val="32"/>
        </w:rPr>
        <w:t>历史文脉</w:t>
      </w:r>
      <w:r>
        <w:rPr>
          <w:rFonts w:hint="eastAsia" w:ascii="仿宋_GB2312" w:hAnsi="仿宋_GB2312" w:eastAsia="仿宋_GB2312" w:cs="仿宋_GB2312"/>
          <w:b/>
          <w:bCs/>
          <w:sz w:val="32"/>
          <w:szCs w:val="32"/>
          <w:lang w:val="en-US" w:eastAsia="zh-CN"/>
        </w:rPr>
        <w:t>保护</w:t>
      </w:r>
      <w:r>
        <w:rPr>
          <w:rFonts w:hint="eastAsia" w:ascii="仿宋_GB2312" w:hAnsi="仿宋_GB2312" w:eastAsia="仿宋_GB2312" w:cs="仿宋_GB2312"/>
          <w:b/>
          <w:bCs/>
          <w:sz w:val="32"/>
          <w:szCs w:val="32"/>
        </w:rPr>
        <w:t>，彰显城市特色</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坚持“系统保护、活态传承、智慧赋能”，构建全链条保护利用体系。严格保护古城“一心一环十字”格局与2处历史街区，采用“微更新”模式推进环境整治与业态提升。深化文化遗产数字化保护，推动保护方式从物理保存向价值传承与品牌塑造深化，打造“丝路古城”品牌，促进文商旅融合。到2030年，形成可推广的历史文化保护活化范式，使文化遗产成为增强城市认同、赋能高质量发展的核心动力。</w:t>
      </w:r>
      <w:bookmarkStart w:id="65" w:name="_Toc576863478"/>
    </w:p>
    <w:bookmarkEnd w:id="65"/>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bookmarkStart w:id="66" w:name="_Toc981867999"/>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32"/>
          <w:szCs w:val="32"/>
          <w:lang w:val="en-US" w:eastAsia="zh-CN"/>
        </w:rPr>
      </w:pPr>
      <w:bookmarkStart w:id="67" w:name="_Toc1477788760"/>
      <w:r>
        <w:rPr>
          <w:rFonts w:hint="eastAsia" w:ascii="方正小标宋简体" w:hAnsi="方正小标宋简体" w:eastAsia="方正小标宋简体" w:cs="方正小标宋简体"/>
          <w:sz w:val="32"/>
          <w:szCs w:val="32"/>
          <w:lang w:val="en-US" w:eastAsia="zh-CN"/>
        </w:rPr>
        <w:t>第五章  主要任务</w:t>
      </w:r>
      <w:bookmarkEnd w:id="66"/>
      <w:bookmarkEnd w:id="67"/>
      <w:bookmarkStart w:id="68" w:name="_Toc1736406061"/>
      <w:bookmarkStart w:id="69" w:name="_Toc19753588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sz w:val="32"/>
          <w:szCs w:val="32"/>
          <w:lang w:val="en-US" w:eastAsia="zh-CN"/>
        </w:rPr>
      </w:pPr>
      <w:bookmarkStart w:id="70" w:name="_Toc878179324"/>
      <w:r>
        <w:rPr>
          <w:rFonts w:hint="eastAsia" w:ascii="方正黑体_GBK" w:hAnsi="方正黑体_GBK" w:eastAsia="方正黑体_GBK" w:cs="方正黑体_GBK"/>
          <w:sz w:val="32"/>
          <w:szCs w:val="32"/>
          <w:lang w:val="en-US" w:eastAsia="zh-CN"/>
        </w:rPr>
        <w:t>一、加强既有建筑改造，提升居住安全品质</w:t>
      </w:r>
      <w:bookmarkEnd w:id="68"/>
      <w:bookmarkEnd w:id="7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立足张掖市国家历史文化名城、河西走廊重要节点的区位特征，结合干旱少雨、风沙大、冬寒夏热气候特点，坚持安全优先、分类施策、低碳引领、智慧赋能原则，推动既有建筑改造从“拆改留”向“留改修”转变，实现居住安全、功能完善、能效提升与文化延续有机统一。</w:t>
      </w:r>
      <w:bookmarkStart w:id="71" w:name="_Toc1054559727"/>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（一）危房改造与加固</w:t>
      </w:r>
      <w:bookmarkEnd w:id="71"/>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1.C、D级危房改造。</w:t>
      </w:r>
      <w:r>
        <w:rPr>
          <w:rFonts w:hint="eastAsia" w:ascii="仿宋_GB2312" w:hAnsi="仿宋_GB2312" w:eastAsia="仿宋_GB2312" w:cs="仿宋_GB2312"/>
          <w:sz w:val="32"/>
          <w:szCs w:val="32"/>
          <w:lang w:val="en-US" w:eastAsia="zh-CN"/>
        </w:rPr>
        <w:t>加快</w:t>
      </w:r>
      <w:r>
        <w:rPr>
          <w:rFonts w:hint="eastAsia" w:ascii="仿宋_GB2312" w:hAnsi="仿宋_GB2312" w:eastAsia="仿宋_GB2312" w:cs="仿宋_GB2312"/>
          <w:sz w:val="32"/>
          <w:szCs w:val="32"/>
          <w:lang w:eastAsia="zh-CN"/>
        </w:rPr>
        <w:t>东关牌楼新村平房、中药提炼厂家属楼、交通巷平房、东关榨油厂平房等片区共计</w:t>
      </w:r>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lang w:eastAsia="zh-CN"/>
        </w:rPr>
        <w:t>套城市危旧房更新改造。对鉴定为D级国有危旧公房进行</w:t>
      </w:r>
      <w:r>
        <w:rPr>
          <w:rFonts w:hint="eastAsia" w:ascii="仿宋_GB2312" w:hAnsi="仿宋_GB2312" w:eastAsia="仿宋_GB2312" w:cs="仿宋_GB2312"/>
          <w:sz w:val="32"/>
          <w:szCs w:val="32"/>
          <w:lang w:val="en-US" w:eastAsia="zh-CN"/>
        </w:rPr>
        <w:t>搬迁安置</w:t>
      </w:r>
      <w:r>
        <w:rPr>
          <w:rFonts w:hint="eastAsia" w:ascii="仿宋_GB2312" w:hAnsi="仿宋_GB2312" w:eastAsia="仿宋_GB2312" w:cs="仿宋_GB2312"/>
          <w:sz w:val="32"/>
          <w:szCs w:val="32"/>
          <w:lang w:eastAsia="zh-CN"/>
        </w:rPr>
        <w:t>，鉴定为C级国有危旧公房进行加固维修，配套排水管网、供水管网、供热管网、供电线路、硬化道路、照明设施、垃圾收储设施、通信线路、检查井、消防设施、安防设施、化粪池等相关附属设施。2030年，基本完成C级危房的改造</w:t>
      </w:r>
      <w:r>
        <w:rPr>
          <w:rFonts w:hint="eastAsia" w:ascii="仿宋_GB2312" w:hAnsi="仿宋_GB2312" w:eastAsia="仿宋_GB2312" w:cs="仿宋_GB2312"/>
          <w:sz w:val="32"/>
          <w:szCs w:val="32"/>
          <w:lang w:val="en-US" w:eastAsia="zh-CN"/>
        </w:rPr>
        <w:t>和D级危房的搬迁安置任务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2.既有建筑加固。</w:t>
      </w:r>
      <w:r>
        <w:rPr>
          <w:rFonts w:hint="eastAsia" w:ascii="仿宋_GB2312" w:hAnsi="仿宋_GB2312" w:eastAsia="仿宋_GB2312" w:cs="仿宋_GB2312"/>
          <w:sz w:val="32"/>
          <w:szCs w:val="32"/>
          <w:lang w:eastAsia="zh-CN"/>
        </w:rPr>
        <w:t>制定甘州区既有建筑安全评估管理办法，明确住建部门牵头、专业机构实施、街道社区配合的协同机制。优先对</w:t>
      </w:r>
      <w:r>
        <w:rPr>
          <w:rFonts w:hint="eastAsia" w:ascii="仿宋_GB2312" w:hAnsi="仿宋_GB2312" w:eastAsia="仿宋_GB2312" w:cs="仿宋_GB2312"/>
          <w:sz w:val="32"/>
          <w:szCs w:val="32"/>
          <w:lang w:val="en-US" w:eastAsia="zh-CN"/>
        </w:rPr>
        <w:t>建成</w:t>
      </w:r>
      <w:r>
        <w:rPr>
          <w:rFonts w:hint="eastAsia" w:ascii="仿宋_GB2312" w:hAnsi="仿宋_GB2312" w:eastAsia="仿宋_GB2312" w:cs="仿宋_GB2312"/>
          <w:sz w:val="32"/>
          <w:szCs w:val="32"/>
          <w:lang w:eastAsia="zh-CN"/>
        </w:rPr>
        <w:t>年代</w:t>
      </w:r>
      <w:r>
        <w:rPr>
          <w:rFonts w:hint="eastAsia" w:ascii="仿宋_GB2312" w:hAnsi="仿宋_GB2312" w:eastAsia="仿宋_GB2312" w:cs="仿宋_GB2312"/>
          <w:sz w:val="32"/>
          <w:szCs w:val="32"/>
          <w:lang w:val="en-US" w:eastAsia="zh-CN"/>
        </w:rPr>
        <w:t>较早</w:t>
      </w:r>
      <w:r>
        <w:rPr>
          <w:rFonts w:hint="eastAsia" w:ascii="仿宋_GB2312" w:hAnsi="仿宋_GB2312" w:eastAsia="仿宋_GB2312" w:cs="仿宋_GB2312"/>
          <w:sz w:val="32"/>
          <w:szCs w:val="32"/>
          <w:lang w:eastAsia="zh-CN"/>
        </w:rPr>
        <w:t>、砖混结构、未经抗震设防或设防标准过低、存在违规加建改建的住宅及公共建筑开展全面排查与鉴定。积极申请国家老旧小区改造、城市更新、防灾减灾等专项资金，探索建立“政府补贴+产权人出资+金融信贷支持”的多渠道资金筹措模式。推广采用隔震减震、结构体系优化等抗震新技术，在提升安全性的同时，尽量减少对居民生活的干扰。</w:t>
      </w:r>
      <w:bookmarkStart w:id="72" w:name="_Toc770291526"/>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（二）分类更新改造</w:t>
      </w:r>
      <w:bookmarkEnd w:id="72"/>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历史建筑更新改造。</w:t>
      </w:r>
      <w:r>
        <w:rPr>
          <w:rFonts w:hint="eastAsia" w:ascii="仿宋_GB2312" w:hAnsi="仿宋_GB2312" w:eastAsia="仿宋_GB2312" w:cs="仿宋_GB2312"/>
          <w:sz w:val="32"/>
          <w:szCs w:val="32"/>
          <w:lang w:eastAsia="zh-CN"/>
        </w:rPr>
        <w:t>严格落实《中华人民共和国文物保护法》及《历史文化名城名镇名村保护条例》要求，遵循“最小干预、原真性保护”原则。精准排查建筑资源，按历史价值、结构安全、功能适配等标准，明确保留、改造、拆除范围；规范审批流程，简化环节、强化审核，确保程序合规。保留建筑强化管护与活化利用，改造建筑补齐设施短板、提升品质，拆除建筑严控范围，做好征收安置与垃圾处置。组织专业团队开展测绘、病害检测与价值评估，推行“一院一策”精细化更新方案，聘请传统工匠参与修缮，采用传统工艺与本土材料进行修缮。在保护外立面及特色构件基础上，合理改造内部空间、完善现代设施。深度结合甘州文旅规划，重点引入张掖彩塑、河西宝卷、甘州小调等非遗展示体验业态及丝绸之路主题民宿、河西走廊特色餐饮，打造“可触摸的历史街区”，实现“以用促保”，并探索建立历史建筑修缮奖补机制，鼓励产权人或社会资本参与保护利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存量房屋功能转换。</w:t>
      </w:r>
      <w:r>
        <w:rPr>
          <w:rFonts w:hint="eastAsia" w:ascii="仿宋_GB2312" w:hAnsi="仿宋_GB2312" w:eastAsia="仿宋_GB2312" w:cs="仿宋_GB2312"/>
          <w:sz w:val="32"/>
          <w:szCs w:val="32"/>
          <w:lang w:eastAsia="zh-CN"/>
        </w:rPr>
        <w:t>紧密对接农业农村、文旅、新能源等主导产业，通过规划调整、用地兼容、容积率奖励等政策引导市场主体参与改造。</w:t>
      </w:r>
      <w:r>
        <w:rPr>
          <w:rFonts w:hint="eastAsia" w:ascii="仿宋_GB2312" w:hAnsi="仿宋_GB2312" w:eastAsia="仿宋_GB2312" w:cs="仿宋_GB2312"/>
          <w:sz w:val="32"/>
          <w:szCs w:val="32"/>
          <w:lang w:val="en-US" w:eastAsia="zh-CN"/>
        </w:rPr>
        <w:t>鼓励旧粮仓转型为农产品电商与物流基地、闲置工业厂房改造为新能源装备展示培训中心、低效商业设施提升为“甘味”</w:t>
      </w:r>
      <w:r>
        <w:rPr>
          <w:rFonts w:hint="eastAsia" w:ascii="仿宋_GB2312" w:hAnsi="仿宋_GB2312" w:eastAsia="仿宋_GB2312" w:cs="仿宋_GB2312"/>
          <w:sz w:val="32"/>
          <w:szCs w:val="32"/>
          <w:lang w:eastAsia="zh-CN"/>
        </w:rPr>
        <w:t>农产品展销、地方文创零售、游客服务中心的城市客厅，促进空间向科创、文创、养老、租赁住房等功能复合利用转型。探索“改造+运营”一体化招标，引入专业运营商保障可持续活力。</w:t>
      </w:r>
      <w:bookmarkStart w:id="73" w:name="_Toc66117625"/>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（三）建筑节能改造</w:t>
      </w:r>
      <w:bookmarkEnd w:id="7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推广可再生能源应用，针对河西地区风沙大、冬季寒冷的特点，严格按标准选用高效保温隔热新材料，重点加强外墙、门窗等围护结构改造，力争改造后建筑能耗降低20%以上。推动资源循环利用，在拆除与改造过程中，对混凝土、钢材等旧材料进行分类回收，利用率不低于30%，减少建筑垃圾排放。</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lang w:eastAsia="zh-CN"/>
        </w:rPr>
        <w:t>注重延续甘州传统建筑风貌，优先采用本土材料与工艺，实现节能提升与文化传承的统一。</w:t>
      </w:r>
      <w:bookmarkStart w:id="74" w:name="_Toc1609698834"/>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（四）融入智慧技术</w:t>
      </w:r>
      <w:bookmarkEnd w:id="7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提升质量、效率与精细化管理水平为目标，务实推进智慧技术应用。改造前，针对重要公共建筑或风貌复杂的居住建筑，鼓励采用无人机航拍与简易三维建模技术，高效、精准地记录建筑现状、结构及风貌特征，形成数字化档案。设计时，建立适用于甘州常见建筑类型与改造需求的标准化节能材料与构造数据库，辅助设计人员进行节能计算与方案比选。施工中，探索使用智慧工地管理系统对施工安全、重点工序及材料进场进行可视化监管。改造后，鼓励已改造的公共建筑加装建筑能耗与环境监测设备，实现数据化运维与节能调控。</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专栏1既有建筑改造项目</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过搬迁安置与加固维修两种方式改造东关牌楼新村平房、中药提炼厂家属楼、交通巷平房、东关榨油厂平房、南关水泥厂小区平房、新园小区平房、药检所搬迁楼、新乐小区平房、马神庙小区平房、西关146-150号平房、团结巷平房、原区政府家属楼(1#-9#)平房，共计152套房屋。</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sz w:val="32"/>
          <w:szCs w:val="32"/>
          <w:lang w:val="en-US" w:eastAsia="zh-CN"/>
        </w:rPr>
      </w:pPr>
      <w:bookmarkStart w:id="75" w:name="_Toc197535884"/>
      <w:bookmarkStart w:id="76" w:name="_Toc1538659170"/>
      <w:bookmarkStart w:id="77" w:name="_Toc1316385417"/>
      <w:r>
        <w:rPr>
          <w:rFonts w:hint="eastAsia" w:ascii="方正黑体_GBK" w:hAnsi="方正黑体_GBK" w:eastAsia="方正黑体_GBK" w:cs="方正黑体_GBK"/>
          <w:sz w:val="32"/>
          <w:szCs w:val="32"/>
          <w:lang w:val="en-US" w:eastAsia="zh-CN"/>
        </w:rPr>
        <w:t>二、推进老旧小区</w:t>
      </w:r>
      <w:bookmarkEnd w:id="75"/>
      <w:r>
        <w:rPr>
          <w:rFonts w:hint="eastAsia" w:ascii="方正黑体_GBK" w:hAnsi="方正黑体_GBK" w:eastAsia="方正黑体_GBK" w:cs="方正黑体_GBK"/>
          <w:sz w:val="32"/>
          <w:szCs w:val="32"/>
          <w:lang w:val="en-US" w:eastAsia="zh-CN"/>
        </w:rPr>
        <w:t>整治，打造宜居生活单元</w:t>
      </w:r>
      <w:bookmarkEnd w:id="76"/>
      <w:bookmarkEnd w:id="7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全面推进城市老旧小区改造，坚持一小区一策、一楼一策，精准施策，充分征求居民意见，科学编制总体改造规划、年度改造计划和具体改造实施方案，有序组织实施。</w:t>
      </w:r>
      <w:bookmarkStart w:id="78" w:name="_Toc1696617376"/>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（一）基础设施改造类</w:t>
      </w:r>
      <w:bookmarkEnd w:id="7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推进2010年前建成小区的供水、排水、供电、通信、道路、供气、供热、消防、安防、生活垃圾分类等基础设施，推进光纤入户与架空线规整（入地）。结合城市体检成果，重点整治“飞线充电”、楼道杂物堆放等安全隐患，畅通消防通道，配齐标准化消防设施，强化建筑结构安全与应急疏散保障。建立健全老旧小区改造“回头看”工作，对已改造的小区开展提质工程，重点实施老旧管网更新、屋面防水修复、消防安防设施补充、社区服务功能完善等内容，持续巩固改造成效。到2030年，基本完成2010年前建成的60个小区334栋，约145.73万平方米老旧小区改造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搭建社区基础网络平台，实现光纤宽带和5G网络全覆盖，保障居民网络通信畅通。在社区出入口、主要道路和公共活动区域安装智能监控设备，实时监测社区安全状况，提升社区治安管理水平。引入智能水电表、燃气表，实现远程抄表和自动缴费，减少居民跑腿次数，提高缴费效率</w:t>
      </w:r>
      <w:r>
        <w:rPr>
          <w:rFonts w:hint="eastAsia" w:ascii="仿宋_GB2312" w:hAnsi="仿宋_GB2312" w:eastAsia="仿宋_GB2312" w:cs="仿宋_GB2312"/>
          <w:sz w:val="32"/>
          <w:szCs w:val="32"/>
          <w:lang w:val="en-US" w:eastAsia="zh-CN"/>
        </w:rPr>
        <w:t>。</w:t>
      </w:r>
      <w:bookmarkStart w:id="79" w:name="_Toc412763814"/>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（二）配套设施完善类</w:t>
      </w:r>
      <w:bookmarkEnd w:id="7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开展环境及配套设施改造、建筑节能改造、适老化及无障碍设施建设。有序推进住宅老旧电梯更新改造与老旧小区电梯加装，至2030年，共计完成760部电梯的更新（600部）与加装（160部）工作。结合甘州多风沙气候，加强小区及周边绿化改造，选择耐旱、沙生植物，营造舒适宜人的户外交往空间。拆除违建，完善照明系统，增设适老设施、无障碍设施、停车库（场）、电动自行车及汽车充电设施、智能快件箱、文化休闲设施、体育健身设施和物业用房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升级智慧化管理系统，增加智能巡更系统，通过北斗定位和电子打卡，确保保安巡逻到位，保障社区安全。在社区托育中心和课后托管站安装智能监控和打卡系统，确保孩童安全。为社区卫生服务站配备智能诊疗设备，如远程问诊终端，居民可在家通过终端与医生进行初步沟通，减少就医等待时间。</w:t>
      </w:r>
      <w:bookmarkStart w:id="80" w:name="_Toc887837709"/>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（三）居住品质提升类</w:t>
      </w:r>
      <w:bookmarkEnd w:id="8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嵌入式”建设与智慧化升级为核心提升居住品质。优先补齐“一老一小”服务设施，推进社区适老化与无障碍改造，鼓励利用闲置空间设置养老服务站、日间照料中心等，到2030年实现每个街道至少配建1处普惠托育机构。持续优化公共活动空间，提升小区绿化、照明、休憩、健身等设施品质，营造安全舒适的交往环境。着力提升居民生活便利性，统一规划并增设智能快件箱、外卖取送点，并完善楼栋标识系统，为快递、外卖配送提供清晰指引，营造对各类服务群体都友好的社区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优化智慧社区平台，在社区公共活动场地安装智能照明系统，根据天色明暗和人员活动情况自动调节灯光亮度，节约能源。利用大数据分析社区居民的服务需求和行为习惯，为社区服务优化和设施规划提供数据支持。引入智能停车引导系统，通过车牌识别和车位信息实时更新，引导车主快速找到空闲车位，提高车位利用率。</w:t>
      </w:r>
      <w:bookmarkStart w:id="81" w:name="_Toc1309161668"/>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（四）构建长效治理机制</w:t>
      </w:r>
      <w:bookmarkEnd w:id="8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健全党组织领导、社区居委会协调、业委会与物业企业等共同参与的联席会议机制，引导居民协商确定管理模式与管理规约。积极引导有条件的小区引入专业化物业服务企业，完善住宅专项维修资金统筹机制，促进小区改造后维护更新进入良性轨道。推广运用智慧物业管理服务系统，实现投票表决、事务公开、业务办理等线上功能，满足居民“一键直达、在线服务”需求。加强居民全过程参与，改造前通过“居民议事会”收集诉求，改造中邀请居民代表担任质量监督员，改造后建立“社区居委会+业主委员会+物业”三方共管机制，持续提升物业服务质量与居民居住安全感、幸福感。</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专栏2老旧小区更新改造项目</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基础设施改造类：张掖市甘州区东街街道老旧小区改造配套基础工程、张掖市甘州区西街街道老旧小区改造配套基础工程、张掖市甘州区南街街道老旧小区改造配套基础工程、张掖市甘州区城北片区老旧小区改造配套基础工程、张掖市甘州区滨河新区住宅小区改造配套基础工程。</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配套设施完善类：住宅老旧电梯更新改造项目、老旧小区电梯加装项目。</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sz w:val="32"/>
          <w:szCs w:val="32"/>
          <w:lang w:val="en-US" w:eastAsia="zh-CN"/>
        </w:rPr>
      </w:pPr>
      <w:bookmarkStart w:id="82" w:name="_Toc974458432"/>
      <w:bookmarkStart w:id="83" w:name="_Toc1143169092"/>
      <w:r>
        <w:rPr>
          <w:rFonts w:hint="eastAsia" w:ascii="方正黑体_GBK" w:hAnsi="方正黑体_GBK" w:eastAsia="方正黑体_GBK" w:cs="方正黑体_GBK"/>
          <w:sz w:val="32"/>
          <w:szCs w:val="32"/>
          <w:lang w:val="en-US" w:eastAsia="zh-CN"/>
        </w:rPr>
        <w:t>三、加快完整社区建设</w:t>
      </w:r>
      <w:bookmarkEnd w:id="69"/>
      <w:r>
        <w:rPr>
          <w:rFonts w:hint="eastAsia" w:ascii="方正黑体_GBK" w:hAnsi="方正黑体_GBK" w:eastAsia="方正黑体_GBK" w:cs="方正黑体_GBK"/>
          <w:sz w:val="32"/>
          <w:szCs w:val="32"/>
          <w:lang w:val="en-US" w:eastAsia="zh-CN"/>
        </w:rPr>
        <w:t>，构建一刻钟便民圈</w:t>
      </w:r>
      <w:bookmarkEnd w:id="82"/>
      <w:bookmarkEnd w:id="8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聚焦“城乡交融、丝路特色、便民利民”，通过完整社区建设筑牢民生基础，以一刻钟便民生活圈覆盖居民日常需求，联动多元主体加快有好场景，建设打造具有当地特色的社区生活体系。</w:t>
      </w:r>
      <w:bookmarkStart w:id="84" w:name="_Toc721064215"/>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（一）加快推进甘州区完整社区建设</w:t>
      </w:r>
      <w:bookmarkEnd w:id="8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立足“河西走廊节点、张掖市中心城区、丝路文化承载地”禀赋，坚持以人为本、全龄友好的原则，注重对老年人、儿童、青少年及新市民等不同群体的包容性服务，兼顾老城区密度与新城区留白、补充居民便民服务、融入丝路文化传承，科学推动完整社区建设，确保2030年前首批10个示范项目落地见效，建设安全健康、设施完善、丝路彰显、城乡融合的完整社区，筑牢一刻钟便民生活圈根基，为城市更新提供民生支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试点社区遵循“基础条件优”，优先覆盖老城区核心区、新城区人口集聚片区；“改造潜力大”，聚焦东街、西街、南街、北街以及火车站街道等重点区域；“群众参与度高”，兼顾城区居民与近郊转移人口需求原则。聚焦“一老一小”服务、一刻钟生活圈构建、丝路文化记忆传承、近郊居民便民服务等场景，探索“微改造、精提升”实施路径，针对中心城区现状社区建设存在的问题，优先采用“嵌入式”建设模式，鼓励高效利用闲置用房、地下室及边角地，以功能复合方式建设邻里客厅、建设蓝山公馆六期、馨宇丽都A区儿童友好空间及服务新就业群体的便利站。形成可复制、可推广的经验样板，为河西走廊地市级城区完整社区建设提供实践经验。</w:t>
      </w:r>
      <w:bookmarkStart w:id="85" w:name="_Toc162188302"/>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（二）构建一刻钟便民生活圈</w:t>
      </w:r>
      <w:bookmarkEnd w:id="8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完整社区为导向，打破单个小区边界，在街区层面统筹补齐养老、托育、助餐、医疗、便利店等公共服务设施，构建11个覆盖全城便捷舒适的“一刻钟生活圈”。结合城市体检成果，优先完善三类核心设施。其一社区基本公共服务设施。优先配齐养老服务中心，卫生服务站等基础服务设施；其二便民商业服务设施。优化布局便利店、家政服务点、本地特色文创小店；其三公共活动场地。倡导空间复合共享，将口袋公园、街角绿地同步打造为促进代际融合的社交场所。老城区通过盘活闲置空间补足设施短板，新城区严格执行全覆盖配建标准，构建“功能集成、服务优质、出行便捷、特色鲜明”的社区生活体系。确保每个生活圈至少建成1处集政务服务、养老托育、医疗保健于一体的社区综合服务体。</w:t>
      </w:r>
      <w:bookmarkStart w:id="86" w:name="_Toc73277377"/>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（三）加快多元主体协同参与</w:t>
      </w:r>
      <w:bookmarkEnd w:id="8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居民+专业力量+本地特色主体”的共建机制。引导城区居民与近郊转移人口，通过社区议事会、线上问卷、院落座谈会等形式参与社区规划，重点收集养老托育服务需求、商贸服务需求及丝路文化活动建议，充分吸纳城乡居民多元诉求。邀请规划师、设计师、商贸专业人员提供专业指导，优化设施布局、服务空间与特色场景设计，确保各类设施与服务精准匹配城乡居民实际需求。同时联动本地特色主体形成合力。联合本地养老机构参与社区托育服务及养老助餐、助浴项目运营，落实养老托育服务需求；联动本地商超、张掖特色商户入驻便民商业网点，完善社区商贸服务；联动社区卫生服务中心在牵头医疗养老联动基础上，新增儿童健康管理、疫苗接种等托育配套健康服务；联动丝路文创企业助力社区文化空间打造，结合丝路文化活动定期组织社火表演、丝路非遗体验等文化活动。形成共建共治共享的社区治理格局。</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专栏3完整社区建设项目</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张掖市甘州区智慧社区建设项目、张掖市甘州区数字家庭示范点建设项目、张掖市甘州区南街街道完整社区建设项目、张掖市甘州区北街街道完整社区建设项目、张掖市甘州区西街街道完整社区建设项目、张掖市甘州区东街街道完整社区建设项目、张掖市甘州区火车站街道完整社区建设项目。蓝山公馆六期、馨宇丽都A区儿童友好空间项目。</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sz w:val="32"/>
          <w:szCs w:val="32"/>
          <w:lang w:val="en-US" w:eastAsia="zh-CN"/>
        </w:rPr>
      </w:pPr>
      <w:bookmarkStart w:id="87" w:name="_Toc473906543"/>
      <w:bookmarkStart w:id="88" w:name="_Toc1294405171"/>
      <w:r>
        <w:rPr>
          <w:rFonts w:hint="eastAsia" w:ascii="方正黑体_GBK" w:hAnsi="方正黑体_GBK" w:eastAsia="方正黑体_GBK" w:cs="方正黑体_GBK"/>
          <w:sz w:val="32"/>
          <w:szCs w:val="32"/>
          <w:lang w:val="en-US" w:eastAsia="zh-CN"/>
        </w:rPr>
        <w:t>四、推进老旧片区更新，焕发城市内生活力</w:t>
      </w:r>
      <w:bookmarkEnd w:id="87"/>
      <w:bookmarkEnd w:id="8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老旧街区、厂区、城中村及交通枢纽四类空间，坚持“留改拆”并举，系统推进基础设施更新、环境提升与业态优化。保护历史肌理与工业遗存，融入丝路与本地文化元素，通过分类引导推动空间重塑与功能复合，改善人居环境、强化公共服务、焕发文化活力，促进城市内涵式发展。</w:t>
      </w:r>
      <w:bookmarkStart w:id="89" w:name="_Toc2045408519"/>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（一）加快推进</w:t>
      </w:r>
      <w:r>
        <w:rPr>
          <w:rFonts w:hint="eastAsia" w:ascii="楷体_GB2312" w:hAnsi="楷体_GB2312" w:eastAsia="楷体_GB2312" w:cs="楷体_GB2312"/>
          <w:b/>
          <w:bCs/>
          <w:sz w:val="32"/>
          <w:szCs w:val="32"/>
        </w:rPr>
        <w:t>老旧街区更新</w:t>
      </w:r>
      <w:bookmarkEnd w:id="89"/>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1.基础设施更新改造。</w:t>
      </w:r>
      <w:r>
        <w:rPr>
          <w:rFonts w:hint="eastAsia" w:ascii="仿宋_GB2312" w:hAnsi="仿宋_GB2312" w:eastAsia="仿宋_GB2312" w:cs="仿宋_GB2312"/>
          <w:sz w:val="32"/>
          <w:szCs w:val="32"/>
          <w:lang w:val="en-US" w:eastAsia="zh-CN"/>
        </w:rPr>
        <w:t>系统推进劳动街、东西南北大街等老旧街区的地下管网更新、架空线缆规整入地与路面平整铺设。重点实施供电线路入地工程，同步高标准完善消防、安防监控、无障碍通行及智慧停车设施。改造中深度融入丝路文化元素，沿街创新增设兼具休憩与文化展示功能的特色驿站、艺术座椅与导览标识等城市家具，全面提升街区基础设施的承载能力、安全水平与文化品位。</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2.公共空间提质。</w:t>
      </w:r>
      <w:r>
        <w:rPr>
          <w:rFonts w:hint="eastAsia" w:ascii="仿宋_GB2312" w:hAnsi="仿宋_GB2312" w:eastAsia="仿宋_GB2312" w:cs="仿宋_GB2312"/>
          <w:sz w:val="32"/>
          <w:szCs w:val="32"/>
          <w:lang w:val="en-US" w:eastAsia="zh-CN"/>
        </w:rPr>
        <w:t>优化交通组织，增设口袋公园与休憩节点，植入智慧导览系统，打造“可阅读”的街区空间。重点推进劳动街、东西南北大街等街区环境整治提升改造，打造马可·波罗中心雕塑、彩虹商街标识景墙、甘泉公园入口等一系列主题鲜明的景观节点，配套补齐文化体育设施、停车空间，实施铺装更新、绿化提升及涵盖坐凳、标识、环卫与亮化的街道设施系统化配置。</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3.新业态置入。</w:t>
      </w:r>
      <w:r>
        <w:rPr>
          <w:rFonts w:hint="eastAsia" w:ascii="仿宋_GB2312" w:hAnsi="仿宋_GB2312" w:eastAsia="仿宋_GB2312" w:cs="仿宋_GB2312"/>
          <w:sz w:val="32"/>
          <w:szCs w:val="32"/>
          <w:lang w:val="en-US" w:eastAsia="zh-CN"/>
        </w:rPr>
        <w:t>推动明清街、万寿商业街等街区的老旧商铺转型为“非遗+文旅”复合空间，引入剪纸工坊、烙画体验店等非遗项目，开设主打张掖传统美食的丝路主题餐厅。重点将商业步行街改造为“丝路文化体验带”，通过“前店后坊”模式活化老字号商铺，形成集文化展演、手作体验、特色餐饮于一体的复合型街区，让老街区成为展示河西走廊生活方式的活态博物馆。</w:t>
      </w:r>
      <w:bookmarkStart w:id="90" w:name="_Toc1437448019"/>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（二）持续激发老旧厂区</w:t>
      </w:r>
      <w:bookmarkEnd w:id="90"/>
      <w:r>
        <w:rPr>
          <w:rFonts w:hint="eastAsia" w:ascii="楷体_GB2312" w:hAnsi="楷体_GB2312" w:eastAsia="楷体_GB2312" w:cs="楷体_GB2312"/>
          <w:b/>
          <w:bCs/>
          <w:sz w:val="32"/>
          <w:szCs w:val="32"/>
          <w:lang w:eastAsia="zh-CN"/>
        </w:rPr>
        <w:t>活力</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1.基础设施更新改造。</w:t>
      </w:r>
      <w:r>
        <w:rPr>
          <w:rFonts w:hint="eastAsia" w:ascii="仿宋_GB2312" w:hAnsi="仿宋_GB2312" w:eastAsia="仿宋_GB2312" w:cs="仿宋_GB2312"/>
          <w:sz w:val="32"/>
          <w:szCs w:val="32"/>
          <w:lang w:val="en-US" w:eastAsia="zh-CN"/>
        </w:rPr>
        <w:t>坚持“基础先行、功能完善”原则，针对五一粮油厂等老旧厂区，系统化推进基础设施更新。优先对超期服役、老化严重的厂区道路进行提升改造，全面优化机动车道、非机动车道及人行道系统，规范设置盲道、道牙等设施。同步更新改造供水、排水、燃气、供热等老旧地下管网，提升照明设施，实施全龄友好型无障碍环境建设。为后续功能转型提供基础保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2.环境品质提升。</w:t>
      </w:r>
      <w:r>
        <w:rPr>
          <w:rFonts w:hint="eastAsia" w:ascii="仿宋_GB2312" w:hAnsi="仿宋_GB2312" w:eastAsia="仿宋_GB2312" w:cs="仿宋_GB2312"/>
          <w:sz w:val="32"/>
          <w:szCs w:val="32"/>
          <w:lang w:val="en-US" w:eastAsia="zh-CN"/>
        </w:rPr>
        <w:t>以“拆违治乱、增绿提质”为抓手，系统性提升街区环境。对老旧厂区及周边街区开展违章建筑拆除、废弃杂物清理等环境整治行动，腾退公共空间。推行“见缝插绿、留白增绿”，通过在街道两侧、闲置空地及建筑立面种植适生植物，建设口袋公园、小微绿地与立体绿化，有效增加街区绿量，改善微气候与生态环境，构建连续、宜人的绿色开放空间网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3.推进功能再生。</w:t>
      </w:r>
      <w:r>
        <w:rPr>
          <w:rFonts w:hint="eastAsia" w:ascii="仿宋_GB2312" w:hAnsi="仿宋_GB2312" w:eastAsia="仿宋_GB2312" w:cs="仿宋_GB2312"/>
          <w:sz w:val="32"/>
          <w:szCs w:val="32"/>
          <w:lang w:val="en-US" w:eastAsia="zh-CN"/>
        </w:rPr>
        <w:t>遵循“保护优先、以用促保”原则，推动工业遗存功能再生与价值再造。严格保护具有历史价值的厂房桁架、烟囱、构筑物等工业符号，并依据其空间特征进行适应性改造与分类利用。高大厂房可转型为科创园区、沉浸式体验空间；多层车间宜改造为文创基地、联合办公区；厂区空地可建设为体育场馆或公共活动场地。鼓励单一厂区内部或相邻厂区之间实现“文化展示、创意办公、商业休闲、公共服务、生态公园”等功能的适度混合，打造24小时活力片区，避免功能单一导致的“潮汐化”现象。</w:t>
      </w:r>
      <w:bookmarkStart w:id="91" w:name="_Toc1030765563"/>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（三）因地制宜实施城中村</w:t>
      </w:r>
      <w:bookmarkEnd w:id="91"/>
      <w:r>
        <w:rPr>
          <w:rFonts w:hint="eastAsia" w:ascii="楷体_GB2312" w:hAnsi="楷体_GB2312" w:eastAsia="楷体_GB2312" w:cs="楷体_GB2312"/>
          <w:b/>
          <w:bCs/>
          <w:sz w:val="32"/>
          <w:szCs w:val="32"/>
          <w:lang w:val="en-US" w:eastAsia="zh-CN"/>
        </w:rPr>
        <w:t>改造</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1.统筹谋划更新策略。</w:t>
      </w:r>
      <w:r>
        <w:rPr>
          <w:rFonts w:hint="eastAsia" w:ascii="仿宋_GB2312" w:hAnsi="仿宋_GB2312" w:eastAsia="仿宋_GB2312" w:cs="仿宋_GB2312"/>
          <w:sz w:val="32"/>
          <w:szCs w:val="32"/>
          <w:lang w:val="en-US" w:eastAsia="zh-CN"/>
        </w:rPr>
        <w:t>遵循国家及省市关于城市更新“留改拆”并举、严控大拆大建的总体要求，坚持“政府引导、市场运作、公众参与”原则，探索“村集体自筹+政策性融资+多元化投资”的可持续模式。更新工作严格依据国土空间规划，对长安镇、新墩镇、梁家墩镇等区域的城中村进行全面体检与评估，根据其区位条件、建筑安全状况、基础设施水平及居民意愿，科学划分为“拆除新建、整治提升、拆整结合”等类型，并量身定制“一村一策”实施方案，确保更新精准、有序、务实，推动城中村有机融入现代城市肌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2.分类施策推进城中村改造。</w:t>
      </w:r>
      <w:r>
        <w:rPr>
          <w:rFonts w:hint="eastAsia" w:ascii="仿宋_GB2312" w:hAnsi="仿宋_GB2312" w:eastAsia="仿宋_GB2312" w:cs="仿宋_GB2312"/>
          <w:sz w:val="32"/>
          <w:szCs w:val="32"/>
          <w:lang w:val="en-US" w:eastAsia="zh-CN"/>
        </w:rPr>
        <w:t>依据国家城中村改造政策，针对不同类型城中村，因地制宜实施差异化改造策略。对位于城市重点发展片区、安全隐患突出、与重大基础设施或生态廊道建设冲突严重的村落，经充分论证后可纳入“拆除新建”范畴，通过土地整合优先保障安置房、公共服务设施与产业空间。对建筑结构尚好、具有一定特色或位于成熟片区的村落，原则上采用“整治提升”模式，系统改造水电气暖信及消防、安防等基础设施，利用闲置地增补口袋公园、停车设施、社区活动中心等公共空间，并对建筑立面、街巷环境进行综合治理，显著改善人居环境。对情况复杂的村落，适用“拆整结合”方式，局部拆除以优化空间布局，整体则以综合整治为主。</w:t>
      </w:r>
      <w:bookmarkStart w:id="92" w:name="_Toc1919777986"/>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（四）不断完善交通枢纽</w:t>
      </w:r>
      <w:bookmarkEnd w:id="92"/>
      <w:r>
        <w:rPr>
          <w:rFonts w:hint="eastAsia" w:ascii="楷体_GB2312" w:hAnsi="楷体_GB2312" w:eastAsia="楷体_GB2312" w:cs="楷体_GB2312"/>
          <w:b/>
          <w:bCs/>
          <w:sz w:val="32"/>
          <w:szCs w:val="32"/>
          <w:lang w:eastAsia="zh-CN"/>
        </w:rPr>
        <w:t>体系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1.基础设施升级。</w:t>
      </w:r>
      <w:r>
        <w:rPr>
          <w:rFonts w:hint="eastAsia" w:ascii="仿宋_GB2312" w:hAnsi="仿宋_GB2312" w:eastAsia="仿宋_GB2312" w:cs="仿宋_GB2312"/>
          <w:sz w:val="32"/>
          <w:szCs w:val="32"/>
          <w:lang w:val="en-US" w:eastAsia="zh-CN"/>
        </w:rPr>
        <w:t>重点推进南关南站和西关车站“功能性改造”，全面更新两站供热、供水、排水、供电系统，修复破损站房墙面与地面，改造进出站通道，增设无障碍坡道。南关南站侧重完善候车大厅座椅、通风及照明设施，增设老年旅客休息区；西关车站强化停车场建设，布局新能源充电桩，增设农资快递临时存放区，解决近郊居民换乘与物资中转需求。同步升级两站安防监控系统，实现公共区域全覆盖。</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2.功能业态升级。</w:t>
      </w:r>
      <w:r>
        <w:rPr>
          <w:rFonts w:hint="eastAsia" w:ascii="仿宋_GB2312" w:hAnsi="仿宋_GB2312" w:eastAsia="仿宋_GB2312" w:cs="仿宋_GB2312"/>
          <w:sz w:val="32"/>
          <w:szCs w:val="32"/>
          <w:lang w:val="en-US" w:eastAsia="zh-CN"/>
        </w:rPr>
        <w:t>推动“站城一体”融合发展，清理低端零散商铺，引入品牌便利店、文旅信息服务中心、地方特产展销区等便民业态。优先保留两站周边经营多年的老字号餐馆、修理店等承载市民记忆的服务网点，通过优化布局避免业态同质化竞争。实施差异化定位，南关南站侧重发展“候乘服务与日常消费”，西关车站侧重强化“换乘枢纽”功能，整体提升枢纽服务效率与商业活力。</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3.公共服务补位。</w:t>
      </w:r>
      <w:r>
        <w:rPr>
          <w:rFonts w:hint="eastAsia" w:ascii="仿宋_GB2312" w:hAnsi="仿宋_GB2312" w:eastAsia="仿宋_GB2312" w:cs="仿宋_GB2312"/>
          <w:sz w:val="32"/>
          <w:szCs w:val="32"/>
          <w:lang w:val="en-US" w:eastAsia="zh-CN"/>
        </w:rPr>
        <w:t>依托车站客流集散优势，嵌入“一站式”便民服务站，提供临时身份证明办理、行李寄存、医疗急救等服务，增设双语标识与无障碍设施。提升候车大厅、无障碍设施、信息服务等公共服务设施；提升商业配套和智慧充电等综合服务设施。联动社区建设共享办公点、临时托儿所，满足旅客及周边居民多元需求。建立“15分钟应急圈”，部署警务岗亭、微型消防站，通过智能监控系统实时监测人流密度，遇突发情况快速响应，兼顾治安管理与便民服务。</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专栏4老旧片区更新改造项目</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老旧街区改造：明清街两侧片区改造项目、张掖市甘州区劳动北街改造提升项目、张掖历史文化名城甘州区东西大街老旧街区提升改造示范项目、张掖历史文化名城甘州区南北大街老旧街区提升改造示范项目。</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老旧厂区改造：张掖市甘州区五一粮油厂老旧厂区改造提升项目。</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城中村改造：张掖市甘州区长安镇城南片区城中村改造项目、张掖市甘州区新墩镇城中村一号改造项目、张掖市甘州区新墩镇城中村二号改造项目、张掖市甘州区新墩镇城中村三号改造项目、张掖市甘州区梁家墩镇城中村一号改造项目、张掖市甘州区梁家墩镇城中村二号改造项目、张掖市甘州区梁家墩镇城中村三号改造项目。</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交通枢纽改造：张掖市甘州区老旧汽车站公共空间改造提升项目。</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sz w:val="32"/>
          <w:szCs w:val="32"/>
          <w:lang w:val="en-US" w:eastAsia="zh-CN"/>
        </w:rPr>
      </w:pPr>
      <w:bookmarkStart w:id="93" w:name="_Toc1454861687"/>
      <w:bookmarkStart w:id="94" w:name="_Toc835820893"/>
      <w:r>
        <w:rPr>
          <w:rFonts w:hint="eastAsia" w:ascii="方正黑体_GBK" w:hAnsi="方正黑体_GBK" w:eastAsia="方正黑体_GBK" w:cs="方正黑体_GBK"/>
          <w:sz w:val="32"/>
          <w:szCs w:val="32"/>
          <w:lang w:val="en-US" w:eastAsia="zh-CN"/>
        </w:rPr>
        <w:t>五、完善城市功能配套，补齐民生服务短板</w:t>
      </w:r>
      <w:bookmarkEnd w:id="93"/>
      <w:bookmarkEnd w:id="9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绕公共服务优化与智慧化赋能，聚焦“一老一小”、全民健身等关键需求，构建层级清晰、覆盖全面的城市功能服务体系。以“平急两用、全龄友好、安全韧性”为导向，统筹设施布局优化与功能复合利用，切实补齐服务短板，提升城市承载力和居民生活品质。</w:t>
      </w:r>
      <w:bookmarkStart w:id="95" w:name="_Toc26819641"/>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（一）稳步推进平急两用设施建设</w:t>
      </w:r>
      <w:bookmarkEnd w:id="95"/>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1.构建符合市情的平急两用设施体系。</w:t>
      </w:r>
      <w:r>
        <w:rPr>
          <w:rFonts w:hint="eastAsia" w:ascii="仿宋_GB2312" w:hAnsi="仿宋_GB2312" w:eastAsia="仿宋_GB2312" w:cs="仿宋_GB2312"/>
          <w:sz w:val="32"/>
          <w:szCs w:val="32"/>
          <w:lang w:val="en-US" w:eastAsia="zh-CN"/>
        </w:rPr>
        <w:t>坚持“人民至上、生命至上”理念，将平急两用设施建设作为提升城市韧性、保障公共安全的核心举措。立足河西走廊枢纽城市的区位特点和可能面临的灾害风险，前瞻性布局，科学界定各类设施的“平时”与“急时”功能。重点推动具备条件的体育场馆、公共建筑、宾馆酒店等进行标准化改造，使其平时服务民生、急时能快速转换为应急指挥、医疗救治、物资储运或人员安置的可靠空间，实现功能复合与效能最大化。到2030年，将张掖市职教中心、张披市全民健身中心调整为长期应急避难场所，保障居民避护减灾需求。</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2.推动平急两用设施向社区延伸与嵌入。</w:t>
      </w:r>
      <w:r>
        <w:rPr>
          <w:rFonts w:hint="eastAsia" w:ascii="仿宋_GB2312" w:hAnsi="仿宋_GB2312" w:eastAsia="仿宋_GB2312" w:cs="仿宋_GB2312"/>
          <w:sz w:val="32"/>
          <w:szCs w:val="32"/>
          <w:lang w:val="en-US" w:eastAsia="zh-CN"/>
        </w:rPr>
        <w:t>结合老旧小区改造与完整社区建设，将应急功能有机嵌入社区生活圈。规划以街道、社区为节点，利用社区服务中心、闲置用房、绿地广场等空间，补充建设或改造一批小型化、分布式、多功能的平急两用设施。平时可作为居民文化活动、便民服务、健身休闲的场所；急时则能立即转变为身边的应急避难所、物资分发点或前方指挥站。旨在将城市的韧性“毛细血管”延伸到基层，确保应急响应的“最后一公里”畅通无阻，全面提升全社会抵御灾害的综合防范能力。</w:t>
      </w:r>
      <w:bookmarkStart w:id="96" w:name="_Toc2032944541"/>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（二）分类推进公服设施提质升级</w:t>
      </w:r>
      <w:bookmarkEnd w:id="96"/>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1.提升公共设施综合服务能力。</w:t>
      </w:r>
      <w:r>
        <w:rPr>
          <w:rFonts w:hint="eastAsia" w:ascii="仿宋_GB2312" w:hAnsi="仿宋_GB2312" w:eastAsia="仿宋_GB2312" w:cs="仿宋_GB2312"/>
          <w:sz w:val="32"/>
          <w:szCs w:val="32"/>
          <w:lang w:val="en-US" w:eastAsia="zh-CN"/>
        </w:rPr>
        <w:t>以“中心城区集约整合+社区嵌入补充”，系统提升公共服务设施的综合服务能力与供给水平。在市区层面，结合国土空间规划，整合低效闲置用地优先用于弥补市区级设施短板。实施公共文化服务提质增效，推动城市影院改造，建设市图书馆分馆，打造20个新型公共文化空间，实施“公共文化云”等项目，鼓励建设东大山东山书院；实施张掖市体育运动学校综合训练馆建设项目、张掖市全民健身中心场馆维修改造等项目，推进公共体育事业发展；系统推进市级医疗体系提质升级，建设张掖市区域医疗数字平台，积极争取河西学院附属张掖人民医院、市妇幼保健院妇女儿童医疗综合楼、市中医医院智慧化改造等重点项目落地，并依托市疾控中心建设省级区域公共卫生中心；推进张掖市甘州区奥特莱斯商业体等标杆项目建设，打造高水平公共活动节点，提升城市综合服务能级。在社区层面，结合老旧小区改造与完整社区建设，嵌入式配置“邻里服务站”，集成养老托幼、便民商业等功能，打造“15分钟便民生活圈”。针对“小散弱”问题，鼓励联建共享，建设跨片区服务设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2.推进全龄友好与无障碍环境建设。</w:t>
      </w:r>
      <w:r>
        <w:rPr>
          <w:rFonts w:hint="eastAsia" w:ascii="仿宋_GB2312" w:hAnsi="仿宋_GB2312" w:eastAsia="仿宋_GB2312" w:cs="仿宋_GB2312"/>
          <w:sz w:val="32"/>
          <w:szCs w:val="32"/>
          <w:lang w:val="en-US" w:eastAsia="zh-CN"/>
        </w:rPr>
        <w:t>深入实施托育服务质量提升年活动，积极争取国家以城市为单元整体推进普惠托育服务发展项目，打造“普惠优先安全质优覆盖城乡嵌入社区、数字赋能健康护航”的现代化普惠托育服务体系。积极应对人口老龄化，顺应居民美好生活需要，结合老旧小区改造与完整社区建设，系统性开展中心城区无障碍环境普查与专项改造，对道路、公共建筑、公园绿地进行一体化适残化提升，并有机融合适老、适儿设计。优先推进户外公共空间的适老化改造，对活动场地、绿地与道路增设防滑铺装、休憩座椅及一键呼叫等安全便利设施。注重融入本地文化特色，打造主题鲜明的儿童友好空间。建立权责清晰、以信息化监管为支撑的长效管护机制，确保各类友好型设施持续可用、管理到位，全面营造包容、安全、便捷的人居环境。</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3.推动全民健身设施普惠化与品质化发展。</w:t>
      </w:r>
      <w:r>
        <w:rPr>
          <w:rFonts w:hint="eastAsia" w:ascii="仿宋_GB2312" w:hAnsi="仿宋_GB2312" w:eastAsia="仿宋_GB2312" w:cs="仿宋_GB2312"/>
          <w:sz w:val="32"/>
          <w:szCs w:val="32"/>
          <w:lang w:val="en-US" w:eastAsia="zh-CN"/>
        </w:rPr>
        <w:t>以实现“15分钟健身圈”全覆盖为导向，充分利用社区闲置空地、拆违腾退空间建设小型足球场、篮球场、羽毛球场等多功能运动场地，配备夜间照明设施，满足居民下班后的健身需求。对全民健身中心进行全面评估，按照优先级对老旧场馆进行功能升级，更新老化的体育器材，修缮破损的场地地面，改善运动环境。结合甘州区奥体中心等大型现代化综合性体育场馆，适度引入网球、攀岩等品质化体育设施，满足居民多元化健身需求。鼓励通过政府与社会资本合作（PPP），参与体育设施建设与运营，提高设施的建设效率与运营管理水平。</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专栏5完善城市功能项目</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张掖市甘州区奥特莱斯商业体建设项目、张掖市第二中学综合教学楼建设及校园基础设施改扩建项目、甘州区五里墩学校建设项目、甘州区甘泉街小学南华校区综合教学楼建设项目、张掖市第二中学教学楼抗震加固改造项目、甘州区金安苑学校综合教学楼建设项目、甘州区甘州中学等三所学校运动场改造项目、甘州区人民医院病房改造提升项目，东大山东山书院、张掖市体育运动学校综合训练馆建设项目、张掖市全民健身中心场馆维修改造项目、张掖市区域医疗数字平台、市妇幼保健院妇女儿童医疗综合楼、省级区域公共卫生中心。</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sz w:val="32"/>
          <w:szCs w:val="32"/>
          <w:lang w:val="en-US" w:eastAsia="zh-CN"/>
        </w:rPr>
      </w:pPr>
      <w:bookmarkStart w:id="97" w:name="_Toc2009930251"/>
      <w:bookmarkStart w:id="98" w:name="_Toc497578394"/>
      <w:bookmarkStart w:id="99" w:name="_Toc197535889"/>
      <w:r>
        <w:rPr>
          <w:rFonts w:hint="eastAsia" w:ascii="方正黑体_GBK" w:hAnsi="方正黑体_GBK" w:eastAsia="方正黑体_GBK" w:cs="方正黑体_GBK"/>
          <w:sz w:val="32"/>
          <w:szCs w:val="32"/>
          <w:lang w:val="en-US" w:eastAsia="zh-CN"/>
        </w:rPr>
        <w:t>六、完善城市基础设施，提升城市承载能力</w:t>
      </w:r>
      <w:bookmarkEnd w:id="97"/>
      <w:bookmarkEnd w:id="9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以提升城市综合承载与运行韧性为核心，聚焦城市生命线工程，统筹推进城市道路交通、市政管网、防灾体系等系统的更新与智慧升级，构建安全高效的现代化基础设施体系。</w:t>
      </w:r>
      <w:bookmarkStart w:id="100" w:name="_Toc580801196"/>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（一）市政道路网络优化升级</w:t>
      </w:r>
      <w:bookmarkEnd w:id="100"/>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1.完善市政路网体系。</w:t>
      </w:r>
      <w:r>
        <w:rPr>
          <w:rFonts w:hint="eastAsia" w:ascii="仿宋_GB2312" w:hAnsi="仿宋_GB2312" w:eastAsia="仿宋_GB2312" w:cs="仿宋_GB2312"/>
          <w:sz w:val="32"/>
          <w:szCs w:val="32"/>
          <w:lang w:val="en-US" w:eastAsia="zh-CN"/>
        </w:rPr>
        <w:t>以“完善路网连通性、消除安全隐患、缓解交通拥堵”为目标，重点实施饮马桥西路、山丹南路、G227线、永固路东段等道路改造提升项目，同步推进老城区与滨河新区主、次干道的系统性更新改造。打通断头路，疏通瓶颈路段，完善区域路网衔接。联合消防部门，对城区内不符合标准的消防通道进行拓宽与标准化改造，保障应急救援通道畅通，消除安全隐患。针对学校、医院等常发性拥堵节点，通过建设过街天桥或地下通道等方式，实现人车分流，提升通行效率与安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2.完善公交与慢行系统。</w:t>
      </w:r>
      <w:r>
        <w:rPr>
          <w:rFonts w:hint="eastAsia" w:ascii="仿宋_GB2312" w:hAnsi="仿宋_GB2312" w:eastAsia="仿宋_GB2312" w:cs="仿宋_GB2312"/>
          <w:sz w:val="32"/>
          <w:szCs w:val="32"/>
          <w:lang w:val="en-US" w:eastAsia="zh-CN"/>
        </w:rPr>
        <w:t>优化公交站点布局，对现有公交站点进行全面评估，根据居民出行需求、城市发展规划，合理调整和新增公交站点，提升公共交通500米覆盖率。在主干道设置公交专用道并加强管理，保障公交优先通行权，提高公交运行效率。对城区非机动车道进行全面排查，更新、完善模糊不清、损坏的标识标线，在路口、复杂路段设置清晰的引导标识，保障非机动车骑行安全。结合甘州区城市公园、绿地、滨水空间以及丝路文化元素，打造连续、舒适的自行车骑行网络，倡导绿色出行。</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3.停车设施建设与管理。</w:t>
      </w:r>
      <w:r>
        <w:rPr>
          <w:rFonts w:hint="eastAsia" w:ascii="仿宋_GB2312" w:hAnsi="仿宋_GB2312" w:eastAsia="仿宋_GB2312" w:cs="仿宋_GB2312"/>
          <w:sz w:val="32"/>
          <w:szCs w:val="32"/>
          <w:lang w:val="en-US" w:eastAsia="zh-CN"/>
        </w:rPr>
        <w:t>围绕“缓解停车难、提升车位利用率”的目标，结合道路交通改造同步推进停车设施完善。在商圈周边、医院、学校等停车需求大的区域，鼓励社会资本参与，规划建设立体车库并配套新能源充电桩，到2030年，新建区域按1:1.1的比例提供停车位。搭建“共享车位”智慧管理信息平台，整合居民小区、企事业单位的闲置车位资源，通过手机APP实现车位共享信息发布、预约、收费等功能，有效整合并盘活各类闲置车位资源，推行错时共享，提升车位利用效率。</w:t>
      </w:r>
      <w:bookmarkStart w:id="101" w:name="_Toc776797788"/>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（二）市政设施更新改造提升</w:t>
      </w:r>
      <w:bookmarkEnd w:id="101"/>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1.全面排查与隐患治理。</w:t>
      </w:r>
      <w:r>
        <w:rPr>
          <w:rFonts w:hint="eastAsia" w:ascii="仿宋_GB2312" w:hAnsi="仿宋_GB2312" w:eastAsia="仿宋_GB2312" w:cs="仿宋_GB2312"/>
          <w:sz w:val="32"/>
          <w:szCs w:val="32"/>
          <w:lang w:val="en-US" w:eastAsia="zh-CN"/>
        </w:rPr>
        <w:t>启动中心城区地下管线普查与病害检测工程，重点实施张掖中心城区城市地下管网更新普查及道路管网体检项目，运用管道内窥镜、地质雷达等先进技术，全面摸清燃气、供水、排水、供热等管线现状，建立精准数据库。根据检测结果，依据危险等级制定分阶段治理计划。对于存在严重安全隐患、可能引发重大事故的管线，优先安排改造，确保居民生命财产安全与城市运行稳定。推进城市生命线安全工程建设，对燃气、供水、排水、供热等重点管网实施定期更新补测和智能化动态监测，建立“感知-预警-响应”一体化的市政管网应急指挥体系，提升城市安全韧性。</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2.城市供水设施改造提标。</w:t>
      </w:r>
      <w:r>
        <w:rPr>
          <w:rFonts w:hint="eastAsia" w:ascii="仿宋_GB2312" w:hAnsi="仿宋_GB2312" w:eastAsia="仿宋_GB2312" w:cs="仿宋_GB2312"/>
          <w:sz w:val="32"/>
          <w:szCs w:val="32"/>
          <w:lang w:val="en-US" w:eastAsia="zh-CN"/>
        </w:rPr>
        <w:t>实施供水系统全链条提标改造，构建从“水源头”到“水龙头”的安全优质供水保障体系。重点推进张掖市甘州区城市供水厂老旧设施更新等项目，全面升级水厂工艺设备，新建改造供水管网105公里，配套智慧化监测设施，确保出厂水水质稳定达标。启动张掖市甘州区智能水表更新改造项目，升级智慧水务平台，实现对供水管网压力、流量及居民用水的精准计量与实时监控。加强对老旧小区二次供水设施的标准化改造与远程监管，解决高层用水难题，提升居民用水安全与稳定性。</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3.污水收集处理与再生利用。</w:t>
      </w:r>
      <w:r>
        <w:rPr>
          <w:rFonts w:hint="eastAsia" w:ascii="仿宋_GB2312" w:hAnsi="仿宋_GB2312" w:eastAsia="仿宋_GB2312" w:cs="仿宋_GB2312"/>
          <w:sz w:val="32"/>
          <w:szCs w:val="32"/>
          <w:lang w:val="en-US" w:eastAsia="zh-CN"/>
        </w:rPr>
        <w:t>以提升污水系统效能、强化水资源循环利用为核心，推进甘州区智慧排水建设项目，新建及改造污水管网，配套安装数千套流量、水质在线监测设备，构建覆盖全城的智能化污水收集监测网络。对张掖市污水处理厂实施以绿色低碳为导向的扩容与工艺升级，集成光伏发电等设施，确保城区污水处理率稳定达到98%以上。</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4.防洪排涝体系构建。</w:t>
      </w:r>
      <w:r>
        <w:rPr>
          <w:rFonts w:hint="eastAsia" w:ascii="仿宋_GB2312" w:hAnsi="仿宋_GB2312" w:eastAsia="仿宋_GB2312" w:cs="仿宋_GB2312"/>
          <w:sz w:val="32"/>
          <w:szCs w:val="32"/>
          <w:lang w:val="en-US" w:eastAsia="zh-CN"/>
        </w:rPr>
        <w:t>坚持工程措施与智慧管理相结合，构建“源头减排、管网排放、蓄滞削峰、超标应急”的现代化城市防洪排涝体系。系统改造雨水管网，在易涝区域科学布局调蓄池与强排泵站，并持续维修加固黑河城区段堤防，提升行洪能力。以智慧排水建设项目和地下管网更新普查及道路管网体检项目为支撑，排查修复隐患管网156公里，集成气象水文数据搭建智慧调度平台，实现雨情涝情实时监测，筑牢城市内涝防御立体防御格局，显著提升城市应对内涝灾害的综合韧性。</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5.气管网改造与建设。</w:t>
      </w:r>
      <w:r>
        <w:rPr>
          <w:rFonts w:hint="eastAsia" w:ascii="仿宋_GB2312" w:hAnsi="仿宋_GB2312" w:eastAsia="仿宋_GB2312" w:cs="仿宋_GB2312"/>
          <w:sz w:val="32"/>
          <w:szCs w:val="32"/>
          <w:lang w:val="en-US" w:eastAsia="zh-CN"/>
        </w:rPr>
        <w:t>重点实施甘州区老旧燃气管道和设施更新改造项目，对存在安全隐患的老旧管网进行系统性更换。结合张掖市甘州区液化气装站搬迁改造和既有液化气站设施设备更新项目，优化场站布局与安全标准。同步，将智能感知设备安装全面融入改造过程，在城市燃气管网关键节点加装智能监测与泄漏报警装置，实现对管网压力、流量及安全的24小时动态监控与预警，构建“物联感知、智慧监管”的燃气安全运行体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6.供热管网改造与建设。</w:t>
      </w:r>
      <w:r>
        <w:rPr>
          <w:rFonts w:hint="eastAsia" w:ascii="仿宋_GB2312" w:hAnsi="仿宋_GB2312" w:eastAsia="仿宋_GB2312" w:cs="仿宋_GB2312"/>
          <w:sz w:val="32"/>
          <w:szCs w:val="32"/>
          <w:lang w:val="en-US" w:eastAsia="zh-CN"/>
        </w:rPr>
        <w:t>以提升系统能效与服务质量为核心，重点推进甘州区老旧供热主干线更新、城南与城北区域分散供暖集中改造、以及集中供热户端阀门更新等项目。对城市供热主干网络进行系统性更新，对分散供暖区域进行管网整合与升级，并对居民户端设施进行智能化改造。通过“主干网更新、区域网整合、户端智能化”的系统工程，构建精准调控的智慧供热体系，全面提升供热保障能力、服务品质与能源利用效率。</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7.电力、通信线缆整治。</w:t>
      </w:r>
      <w:r>
        <w:rPr>
          <w:rFonts w:hint="eastAsia" w:ascii="仿宋_GB2312" w:hAnsi="仿宋_GB2312" w:eastAsia="仿宋_GB2312" w:cs="仿宋_GB2312"/>
          <w:sz w:val="32"/>
          <w:szCs w:val="32"/>
          <w:lang w:val="en-US" w:eastAsia="zh-CN"/>
        </w:rPr>
        <w:t>以净化城市天际线、增强基础设施韧性为目标，持续推进电力、通信等架空线缆的入地敷设。紧密结合城区市政设施维护维修工程等项目，将线缆入地作为强制性标准同步规划、同步设计、同步施工。通过系统性的“上改下”工程，彻底消除“空中蜘蛛网”，美化城市空间、提升市容环境，显著增强电网与通信网络应对雨雪、大风等恶劣天气的能力，保障城市生命线运行安全，为建设整洁有序、韧性智慧的现代化城市奠定坚实基础。</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8.完善环境卫生设施体系。</w:t>
      </w:r>
      <w:r>
        <w:rPr>
          <w:rFonts w:hint="eastAsia" w:ascii="仿宋_GB2312" w:hAnsi="仿宋_GB2312" w:eastAsia="仿宋_GB2312" w:cs="仿宋_GB2312"/>
          <w:sz w:val="32"/>
          <w:szCs w:val="32"/>
          <w:lang w:val="en-US" w:eastAsia="zh-CN"/>
        </w:rPr>
        <w:t>系统推进生活垃圾、建筑垃圾等固体废物全链条处理设施的更新与建设。重点实施甘州区生活垃圾填埋场更新改造及新建飞灰填埋场等项目，推进生活垃圾焚烧发电设施的节能增效改造与填埋场的安全扩建与标准提升，有效提升前端收集转运效率，强化末端处置能力。全面提升各环节处理能力的协调衔接，推广应用新技术、新工艺，确保城市更新过程中产生的大量垃圾得到及时、规范与资源化处置，保障城市更新的环境可持续性。</w:t>
      </w:r>
      <w:bookmarkStart w:id="102" w:name="_Toc689215581"/>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（三）适度超前建设防灾工程</w:t>
      </w:r>
      <w:bookmarkEnd w:id="102"/>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1.构建城市综合防灾体系。</w:t>
      </w:r>
      <w:r>
        <w:rPr>
          <w:rFonts w:hint="eastAsia" w:ascii="仿宋_GB2312" w:hAnsi="仿宋_GB2312" w:eastAsia="仿宋_GB2312" w:cs="仿宋_GB2312"/>
          <w:sz w:val="32"/>
          <w:szCs w:val="32"/>
          <w:lang w:val="en-US" w:eastAsia="zh-CN"/>
        </w:rPr>
        <w:t>坚持平急两用、韧性发展理念，开展城市自然灾害与安全事故风险普查评估，绘制风险地图并建立动态预警机制。整合优化应急管理资源，完善跨部门协同与应急指挥平台。结合城市更新，系统推进排水防涝、抗震加固、应急避难场所和生命线通道等韧性工程建设。注重保护黑河湿地生态屏障功能，提升城区应对极端气候能力。推动防灾知识宣传教育常态化，构建政府主导、社会协同、公众参与的综合防灾减灾新格局。</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2.加强公共消防设施建设。</w:t>
      </w:r>
      <w:r>
        <w:rPr>
          <w:rFonts w:hint="eastAsia" w:ascii="仿宋_GB2312" w:hAnsi="仿宋_GB2312" w:eastAsia="仿宋_GB2312" w:cs="仿宋_GB2312"/>
          <w:sz w:val="32"/>
          <w:szCs w:val="32"/>
          <w:lang w:val="en-US" w:eastAsia="zh-CN"/>
        </w:rPr>
        <w:t>围绕提升城市火灾防控与应急救援核心能力，重点推进城区消防站布局优化与标准提档，着力消除消防盲区，确保服务半径全面覆盖。重点实施甘州城区老旧住宅建筑和公共建筑的消防设备全面提升改造工程，系统性更新、补建市政消火栓，打通消防通道。推动智慧消防物联网建设，实现对重点单位、历史建筑、高层建筑的动态监测预警。针对历史文化街区、老旧厂区等特殊区域，研究制定并实施适应性消防技术方案，配齐微型消防站与特种装备，筑牢消防安全底线。</w:t>
      </w:r>
      <w:bookmarkStart w:id="103" w:name="_Toc349480190"/>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（四）推进新型基础设施建设</w:t>
      </w:r>
      <w:bookmarkEnd w:id="103"/>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1.构建全域融合的数字底座。</w:t>
      </w:r>
      <w:r>
        <w:rPr>
          <w:rFonts w:hint="eastAsia" w:ascii="仿宋_GB2312" w:hAnsi="仿宋_GB2312" w:eastAsia="仿宋_GB2312" w:cs="仿宋_GB2312"/>
          <w:sz w:val="32"/>
          <w:szCs w:val="32"/>
          <w:lang w:val="en-US" w:eastAsia="zh-CN"/>
        </w:rPr>
        <w:t>以构建“全域感知、数据互通、智能决策”的一体化城市信息模型（CIM）平台为方向，优先推进“双千兆”网络建设，实现城乡5G和千兆光网的高质量全覆盖，并前瞻性布局集数据、算力、算法于一体的协同设施。打破数据壁垒，横向联通应急、交通、农业、文旅等城市治理单元，纵向贯通区、乡镇、社区（村）各级节点，为城市运行“一网统管”奠定坚实基础。</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2.深化新型基础设施融合应用。</w:t>
      </w:r>
      <w:r>
        <w:rPr>
          <w:rFonts w:hint="eastAsia" w:ascii="仿宋_GB2312" w:hAnsi="仿宋_GB2312" w:eastAsia="仿宋_GB2312" w:cs="仿宋_GB2312"/>
          <w:sz w:val="32"/>
          <w:szCs w:val="32"/>
          <w:lang w:val="en-US" w:eastAsia="zh-CN"/>
        </w:rPr>
        <w:t>基城市信息模型（CIM）平台，系统推进城市基础设施的数字化改造与生命线工程智慧监控，依托张掖市甘州区智慧排水建设等项目，对城乡管网、水利设施、交通枢纽等部署智能传感设备，构建数字孪生模型，实现运行状态的动态监测与安全风险智能预警，将管网漏损率控制在9%以下。强化跨部门、跨专业的规划与施工协同，推行管线集约化敷设与统一运维，减少道路反复开挖，目标到2030年实现主城区主要管线智能化监测全覆盖。推动新基建成果惠及民生，在教育、医疗、养老等领域拓展智慧应用场景。通过构建“云边协同”的算力调度与“数据驱动”的决策机制，全面提升城市在应急指挥、生态保护、交通治理等方面的科学化、精细化、智能化水平，为建设“六宜”城市提供坚实支撑。</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专栏6城市基础设施改造项目</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道路交通体系：饮马桥西路、山丹南路（玉关路－万寿街）、G227线道路改造提升项目、丽都街（南二环－南三环）、迎恩路（南二环－南三环）、永固路东段。</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市政基础设施：甘州区老旧燃气管道和设施更新改造项目、甘州区分散供暖老旧管道和设施更新改造项目、甘州区老旧供热主干线管道和设施更新改造项目、张掖市甘州区智慧排水建设项目、张掖市甘州区主干道路地下管网更新改造项目、张掖市甘州区城南片区地下管网更新改造项目、张掖市中心广场周边区域地下管网更新改造项目、张掖市甘州区城东片区地下管网更新改造项目、张掖市甘州区智能水表更新改造项目、张掖市甘州区西北片区地下管网更新改造项目、张掖市甘州区东北郊片区地下管网更新改造项目、张掖市甘州区城南区域分散供暖集中改造项目、张掖市甘州区城北区域分散供暖集中改造项目、城区市政设施维护维修工程、张掖市甘州区滨河新区地下管网更新改造项目、张掖市中心城区地下管网病害治理修复工程、河西学院智慧管网及道路管网改造项目、城市更新公厕新建项目、城区路灯节能改造项目、张掖中心城区城市地下管网更新普查及道路管网体检项目、张掖市甘州区城市供水厂老旧设施更新项目、张掖市甘州区集中供热户端阀门更新、张掖市污水处理厂污水处理设施升级改造工程项目、甘州区生活垃圾填埋场更新改造及新建飞灰填埋场项目、华西能源张掖市生活垃圾焚烧发电项目锅炉改造项目。</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sz w:val="32"/>
          <w:szCs w:val="32"/>
          <w:lang w:val="en-US" w:eastAsia="zh-CN"/>
        </w:rPr>
      </w:pPr>
      <w:bookmarkStart w:id="104" w:name="_Toc999361612"/>
      <w:bookmarkStart w:id="105" w:name="_Toc199287384"/>
      <w:r>
        <w:rPr>
          <w:rFonts w:hint="eastAsia" w:ascii="方正黑体_GBK" w:hAnsi="方正黑体_GBK" w:eastAsia="方正黑体_GBK" w:cs="方正黑体_GBK"/>
          <w:sz w:val="32"/>
          <w:szCs w:val="32"/>
          <w:lang w:val="en-US" w:eastAsia="zh-CN"/>
        </w:rPr>
        <w:t>七、加强</w:t>
      </w:r>
      <w:bookmarkEnd w:id="99"/>
      <w:r>
        <w:rPr>
          <w:rFonts w:hint="eastAsia" w:ascii="方正黑体_GBK" w:hAnsi="方正黑体_GBK" w:eastAsia="方正黑体_GBK" w:cs="方正黑体_GBK"/>
          <w:sz w:val="32"/>
          <w:szCs w:val="32"/>
          <w:lang w:val="en-US" w:eastAsia="zh-CN"/>
        </w:rPr>
        <w:t>城市生态修复，打造绿色低碳空间</w:t>
      </w:r>
      <w:bookmarkEnd w:id="104"/>
      <w:bookmarkEnd w:id="10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立足西部生态安全屏障定位，坚持系统治理，统筹推进生态修复、蓝绿空间织补与智慧管控。以“治山、治水、治城”为路径，构建节水高效、功能复合的生态网络，推动生态、资源与智慧融合，提升生态品质与气候适应性，打造人与自然和谐共生的美丽城市。</w:t>
      </w:r>
      <w:bookmarkStart w:id="106" w:name="_Toc1908070871"/>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（一）强化生态保护修复</w:t>
      </w:r>
      <w:bookmarkEnd w:id="10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立足干旱少雨、易扬尘特点，融入祁连山—黑河流域生态保护修复大框架，坚持治山、治水、治城一体推进，构建全链条生态保护修复体系。依托城市水环境综合治理与再生水循环利用项目，对饮马河等约41.8公里河道实施清淤疏浚、截污纳管与生态化改造，构建“源头减排—过程净化—活水循环”的可持续水系统。全面落实河湖长制，巩固提升饮马河、东环路芦苇池等城市黑臭水体治理成效，加强南大池、甘泉公园、阿薛渠等天然水域保护，维护历史城区自然山水环境。衔接北部荒漠沙化土地治理策略，创新采用“沙生植物+智能节水灌溉”等技术治理腾退空地及城郊弃土区，推动生态修复与防风固沙功能融合。加强城区绿地系统与外围自然保护地的生态连通，严格落实生态保护红线管控，促进蓝绿空间与自然基底有机融合，系统性提升城市生态韧性与服务功能。</w:t>
      </w:r>
      <w:bookmarkStart w:id="107" w:name="_Toc926343669"/>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（二）深度建设节水城市</w:t>
      </w:r>
      <w:bookmarkEnd w:id="10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将城市深度节水全面融入城市更新全过程，以水资源集约节约支撑经济社会高质量发展。严格执行“四水四定”原则，统筹推进制度完善、设施改造、非常规水利用与行为引导。开展城镇建设节水降损。大力开展公共供水管网漏损治理，结合老旧小区改造、二次供水设施改造和智能水表改造等，加快供水管网更新改造，逐步降低供水管网漏损率，提升水资源集约节约利用水平。城乡建设严禁挖湖造景、建设喷泉等耗水人造景观，城乡绿化优先选用耐旱节水种树，灌溉落实节水措施，优先选用中水。严格用水定额管理，从严控制洗浴、洗车、人工滑雪场等高耗水服务业用水。到2030年，中心城区城市公共供水管网漏损率控制在8.8%以内。加强非常规水开发利用。推行非常规水源纳入水资源统一配置，加强非常规水利用，积极创造条件拓展再生水利用领域和规模。因地制宜建设集中或分布式污水收集再生设施，分值分类推进再生水用于工业生产、城市绿化、公园补水、消防用水、道路清扫及生态用水等领域。加快海绵城市建设，鼓励县区建立雨水调蓄池，推动雨污分流改造，提升雨水集蓄利用能力。到2030年，力争再生水利用率提升至80%，构建“污水变资源”的可持续循环体系。</w:t>
      </w:r>
      <w:bookmarkStart w:id="108" w:name="_Toc1981229612"/>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（三）织密城市蓝绿网络</w:t>
      </w:r>
      <w:bookmarkEnd w:id="10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创建全国文明城市、“零碳”城市为载体，按照“布局合理、功能完善、提高绿量、一园一景”的思路，落实“一廊三区多节点”生态安全格局，持续推进城市绿环、绿廊、绿楔和绿道建设，以张掖国家湿地公园、黑河湿地国家级自然保护区等为重要节点，通过“三拆三治三通四增”行动，科学养护城区现有306万平方米街路绿地和83处游园绿地，腾退空地规划建设16个口袋公园与街头绿地，完善服务设施并推动开放共享。串联润泉湖公园、甘泉公园建设环形绿道，构建以公共绿地为支撑、道路绿化为骨干、街头绿地公园为节点、小区绿化景观为点缀的城市绿色生态体系，实现市民推窗见绿、出门入园，切实增强市民对生态文明建设成果的获得感和幸福感。</w:t>
      </w:r>
      <w:bookmarkStart w:id="109" w:name="_Toc1496993285"/>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（四）智慧赋能生态修复</w:t>
      </w:r>
      <w:bookmarkEnd w:id="10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将生态修复与“无废城市”建设、智慧化管控深度融合，推动城市发展方式绿色低碳转型。推进建筑垃圾资源化利用，构建全链条处置体系，实现废弃物就地转化用于生态工程，发展循环经济。推动城市绿色智慧更新，融合物联网、大数据技术，构建对水、土、气等生态要素的“天空地”一体化感知网络与智慧管理平台，为资源精准调度、环境风险预警提供支撑，推动生态空间从“重建轻管”向“建管并重、智慧运维”转变。通过探索生态产品价值实现，让修复后的绿水青山持续赋能城市高质量发展与居民高品质生活，助力美丽中国“甘肃样板”建设。</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专栏7修复城市生态系统项目</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甘州区建筑垃圾资源化利用项目、张掖市甘州区再生水循环利用项目、张掖市甘州区再生水利用及智慧监测设施建设项目、阿薛渠水环境综合治理项目、饮马河河道整治提升改造项目、张掖市甘州区城市水环境综合治理项目、张掖市甘州区再生水资源配置试点建设项目-城市园林绿化灌溉供水工程、甘州区城南城市水环境改善暨人工湿地水质净化工程。</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sz w:val="32"/>
          <w:szCs w:val="32"/>
          <w:lang w:val="en-US" w:eastAsia="zh-CN"/>
        </w:rPr>
      </w:pPr>
      <w:bookmarkStart w:id="110" w:name="_Toc197535891"/>
      <w:bookmarkStart w:id="111" w:name="_Toc2135019264"/>
      <w:bookmarkStart w:id="112" w:name="_Toc1980903396"/>
      <w:r>
        <w:rPr>
          <w:rFonts w:hint="eastAsia" w:ascii="方正黑体_GBK" w:hAnsi="方正黑体_GBK" w:eastAsia="方正黑体_GBK" w:cs="方正黑体_GBK"/>
          <w:sz w:val="32"/>
          <w:szCs w:val="32"/>
          <w:lang w:val="en-US" w:eastAsia="zh-CN"/>
        </w:rPr>
        <w:t>八、保护历史文化</w:t>
      </w:r>
      <w:bookmarkEnd w:id="110"/>
      <w:r>
        <w:rPr>
          <w:rFonts w:hint="eastAsia" w:ascii="方正黑体_GBK" w:hAnsi="方正黑体_GBK" w:eastAsia="方正黑体_GBK" w:cs="方正黑体_GBK"/>
          <w:sz w:val="32"/>
          <w:szCs w:val="32"/>
          <w:lang w:val="en-US" w:eastAsia="zh-CN"/>
        </w:rPr>
        <w:t>遗产，活化焕新历史空间</w:t>
      </w:r>
      <w:bookmarkEnd w:id="111"/>
      <w:bookmarkEnd w:id="11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系统保护、活态传承、智慧赋能”，将文化遗产保护全面融入城市更新，构建覆盖规划、修缮、利用、管理的全链条保护体系。严格实施历史建筑保护与修缮，创新传承利用模式，深化数字化技术应用，促进文化遗产有效保护、价值重现与可持续利用。着力品牌效益，推动历史文脉与现代城市功能融合，增强文化软实力与居民认同感。</w:t>
      </w:r>
      <w:bookmarkStart w:id="113" w:name="_Toc604037490"/>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（一）系统推进文化遗产保护与修缮</w:t>
      </w:r>
      <w:bookmarkEnd w:id="113"/>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1.完善保护规划与实施机制。</w:t>
      </w:r>
      <w:r>
        <w:rPr>
          <w:rFonts w:hint="eastAsia" w:ascii="仿宋_GB2312" w:hAnsi="仿宋_GB2312" w:eastAsia="仿宋_GB2312" w:cs="仿宋_GB2312"/>
          <w:sz w:val="32"/>
          <w:szCs w:val="32"/>
          <w:lang w:val="en-US" w:eastAsia="zh-CN"/>
        </w:rPr>
        <w:t>严格遵循张掖历史文化名城保护规划与国土空间总体规划，将历史文化价值保护传承体系、标识体系全面融入城市更新总体框架。统筹划定包含各级文保单位、历史文化街区、历史建筑等的保护线，纳入国土空间规划“一张图”实施监管。聚焦“一心（镇远楼）、一环（环城路）、十字（东西南北大街）多点、多片”的保护格局，完善历史文化资源调查评估、保护修缮等环节的审批监管机制，依法规范开展保护工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2.加强历史文化名城整体保护利用。</w:t>
      </w:r>
      <w:r>
        <w:rPr>
          <w:rFonts w:hint="eastAsia" w:ascii="仿宋_GB2312" w:hAnsi="仿宋_GB2312" w:eastAsia="仿宋_GB2312" w:cs="仿宋_GB2312"/>
          <w:sz w:val="32"/>
          <w:szCs w:val="32"/>
          <w:lang w:val="en-US" w:eastAsia="zh-CN"/>
        </w:rPr>
        <w:t>健全国家历史文化名城保护规划体系，加强对历史城区保护范围内建设项目的规划审批管理，严禁突破限高违规建设、破坏古城格局风貌的现象发生。常态化在全市范围内开展历史建筑、古树名木、水系古井等历史文化资源摸排普查认定工作，做好挂牌保护和测绘建档工作。重点实施文庙巷、西街-劳动南街历史文化街区文化环境整治提升项目、张掖大佛寺、木塔寺、张掖鼓楼等重要古建筑保护利用项目、古民居保护修缮工程。培育明粮仓道德观、总兵府-图书馆等6处历史地段，打造文庙巷东线、西来寺巷西线2条历史文化展示线。将原丝路春酒厂列入历史风貌区，打造工业遗迹活化利用的文创基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3.融入河西走廊国家遗产线路。</w:t>
      </w:r>
      <w:r>
        <w:rPr>
          <w:rFonts w:hint="eastAsia" w:ascii="仿宋_GB2312" w:hAnsi="仿宋_GB2312" w:eastAsia="仿宋_GB2312" w:cs="仿宋_GB2312"/>
          <w:sz w:val="32"/>
          <w:szCs w:val="32"/>
          <w:lang w:val="en-US" w:eastAsia="zh-CN"/>
        </w:rPr>
        <w:t>实施文化遗产线路价值解读工程，以历史文化名城、珍贵文化遗产、多民族交融荟萃、边塞边关文化等为重点。建立全市不可移动文物资源数据库，对重点文物进行高精度三维扫描和数字化建模，建立完整数字档案库，推动文物数据共享，提升文物展示利用水平。实施万寿寺木塔保护修缮及消防、张掖鼓楼彩画保护修复等重要古建筑保护利用工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4.持续摸排、公布历史建筑。</w:t>
      </w:r>
      <w:r>
        <w:rPr>
          <w:rFonts w:hint="eastAsia" w:ascii="仿宋_GB2312" w:hAnsi="仿宋_GB2312" w:eastAsia="仿宋_GB2312" w:cs="仿宋_GB2312"/>
          <w:sz w:val="32"/>
          <w:szCs w:val="32"/>
          <w:lang w:val="en-US" w:eastAsia="zh-CN"/>
        </w:rPr>
        <w:t>规范运行历史建筑普查、认定、公布、挂牌、建档全流程管理机制。全面开展普查，建立动态名录与统计库，分批公布保护名录。对已公布的历史建筑，同步完成挂牌保护与数字化测绘建档，系统建立电子档案。加强预防性保护和日常保养，建立动态巡查监测机制，定期开展安全体检。</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5.严格实施保护与修缮工程。</w:t>
      </w:r>
      <w:r>
        <w:rPr>
          <w:rFonts w:hint="eastAsia" w:ascii="仿宋_GB2312" w:hAnsi="仿宋_GB2312" w:eastAsia="仿宋_GB2312" w:cs="仿宋_GB2312"/>
          <w:sz w:val="32"/>
          <w:szCs w:val="32"/>
          <w:lang w:val="en-US" w:eastAsia="zh-CN"/>
        </w:rPr>
        <w:t>衔接国家文物普查部署，加快推进文庙巷、西街—劳动南街两个历史文化街区的文化环境整治提升工程，在2030年前完成老城及历史文化街区全面调查，建立并更新保护清单。对已公布的历史建筑及保护修缮的古民居，严格遵循“最小干预”与原材料、原工艺原则进行修缮。全面推行“先调查后建设、先考古后出让”机制，在重点更新片区先行开展文化遗产影响评价。严禁改变文物本体原有功能与格局，并配套建设智能化监测系统。</w:t>
      </w:r>
      <w:bookmarkStart w:id="114" w:name="_Toc1563110910"/>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（二）创新文化遗产活态传承与利用</w:t>
      </w:r>
      <w:bookmarkEnd w:id="114"/>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1.系统性补齐设施短板，筑牢活化利用根基。</w:t>
      </w:r>
      <w:r>
        <w:rPr>
          <w:rFonts w:hint="eastAsia" w:ascii="仿宋_GB2312" w:hAnsi="仿宋_GB2312" w:eastAsia="仿宋_GB2312" w:cs="仿宋_GB2312"/>
          <w:sz w:val="32"/>
          <w:szCs w:val="32"/>
          <w:lang w:val="en-US" w:eastAsia="zh-CN"/>
        </w:rPr>
        <w:t>结合劳动街、东西大街、南北大街等街区的管网改造与连片更新，统筹实施市政设施现代化改造与公共空间品质提升。在保障历史风貌的前提下，优先采用“微更新”“微改造”，提升历史街区消防韧性、排水防涝能力与无障碍通行水平。推动形成政府引导、社会参与、多元投入的可持续保护利用格局，探索建立历史建筑修缮奖补资金、低息贷款等政策工具，鼓励原住民以自主更新、功能置换等方式参与保护利用，推动形成可持续的社区共建模式。</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2.创新性拓展传承维度，激活文化内生动力。</w:t>
      </w:r>
      <w:r>
        <w:rPr>
          <w:rFonts w:hint="eastAsia" w:ascii="仿宋_GB2312" w:hAnsi="仿宋_GB2312" w:eastAsia="仿宋_GB2312" w:cs="仿宋_GB2312"/>
          <w:sz w:val="32"/>
          <w:szCs w:val="32"/>
          <w:lang w:val="en-US" w:eastAsia="zh-CN"/>
        </w:rPr>
        <w:t>推动保护方式从“物理保存”向“价值传承”深化。系统建立传统工匠名录与技艺传承体系，支持在文庙、大佛寺等历史文化地标周边或传统社区内，设立“非遗生态保护实验工坊”与社区档案馆。鼓励对甘州历史进行多民族视角的口述史挖掘与当代艺术转译，定期举办民俗展演、邻里艺术节、文化沙龙等品牌活动，培育居民成为“甘州故事”的讲述者与守护者，使文化遗产成为凝聚地方认同感的核心纽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3.有序推进活化利用，打造文旅融合场景。</w:t>
      </w:r>
      <w:r>
        <w:rPr>
          <w:rFonts w:hint="eastAsia" w:ascii="仿宋_GB2312" w:hAnsi="仿宋_GB2312" w:eastAsia="仿宋_GB2312" w:cs="仿宋_GB2312"/>
          <w:sz w:val="32"/>
          <w:szCs w:val="32"/>
          <w:lang w:val="en-US" w:eastAsia="zh-CN"/>
        </w:rPr>
        <w:t>坚持“以用促保、功能兼容”，全面深入挖掘梳理历史文化名城资源。在文庙巷、西街—劳动南街等核心历史街区，科学编制“一街一策、一屋一韵”的活化利用方案，方案统筹文化传承、功能提升、民生改善与社区发展，秉持“历史肌理、现代生活”原则，全面深入挖掘与转化历史文化名城资源。鼓励发展夜间经济与文创消费，打造具有历史氛围的消费场景，推动文化价值向经济与社会效益转化。</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4.构建“丝路古城”品牌，联动区域发展格局。</w:t>
      </w:r>
      <w:r>
        <w:rPr>
          <w:rFonts w:hint="eastAsia" w:ascii="仿宋_GB2312" w:hAnsi="仿宋_GB2312" w:eastAsia="仿宋_GB2312" w:cs="仿宋_GB2312"/>
          <w:sz w:val="32"/>
          <w:szCs w:val="32"/>
          <w:lang w:val="en-US" w:eastAsia="zh-CN"/>
        </w:rPr>
        <w:t>深度依托张掖国家历史文化名城与丝路重镇的禀赋，系统挖掘丝路商埠、大佛寺、绿洲生态与古城记忆四大独特意象，构建一套融汇西夏元素、丹霞标准色与古城符号的视觉标识与全域叙事系统。推动历史街区与张掖丹霞世界地质公园、平山湖大峡谷等顶级资源一体化线路设计，将古城打造为区域“文化会客厅”。积极融入河西走廊旅游环线及大敦煌文旅经济圈等区域协同战略，与酒泉、敦煌等节点城市共建线路、共享客源，实现文化保护、民生改善、旅游发展与品牌增值的多元共赢。</w:t>
      </w:r>
      <w:bookmarkStart w:id="115" w:name="_Toc1443118583"/>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（三）智慧赋能历史文化保护与利用</w:t>
      </w:r>
      <w:bookmarkEnd w:id="115"/>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1.构建全方位数字化保护体系。</w:t>
      </w:r>
      <w:r>
        <w:rPr>
          <w:rFonts w:hint="eastAsia" w:ascii="仿宋_GB2312" w:hAnsi="仿宋_GB2312" w:eastAsia="仿宋_GB2312" w:cs="仿宋_GB2312"/>
          <w:sz w:val="32"/>
          <w:szCs w:val="32"/>
          <w:lang w:val="en-US" w:eastAsia="zh-CN"/>
        </w:rPr>
        <w:t>综合运用三维激光扫描、建筑信息模型（BIM）等技术，对甘州区已认定的38处及“十五五”期间计划认定的20处历史建筑开展系统性数字化测绘，精准记录建筑整体形态、空间结构、构件尺寸、材质属性及病害数据，建立完整的建筑信息模型（BIM）；同步构建历史建筑数字孪生模型，通过实时数据接入，动态模拟建筑物理状态变化，为文庙巷、西街—劳动南街等历史文化街区的保护修缮决策提供可视化参考。</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2.建立活态文化数字数据库。</w:t>
      </w:r>
      <w:r>
        <w:rPr>
          <w:rFonts w:hint="eastAsia" w:ascii="仿宋_GB2312" w:hAnsi="仿宋_GB2312" w:eastAsia="仿宋_GB2312" w:cs="仿宋_GB2312"/>
          <w:sz w:val="32"/>
          <w:szCs w:val="32"/>
          <w:lang w:val="en-US" w:eastAsia="zh-CN"/>
        </w:rPr>
        <w:t>系统开展非物质文化遗产的数字化记录，对传统工艺（如榫卯连接、墙体夯筑等）、口述历史、民俗文化等非物质文化遗产进行影像化、音频化采集，运用区块链技术保障数据真实性与不可篡改性，构建多维度、可追溯的活态文化资源数据库。开发线上查询平台，支持研究人员、公众通过关键词检索、分类浏览等方式便捷获取资源，促进文化遗产的传播与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3.推行数字化标识与管理系统。</w:t>
      </w:r>
      <w:r>
        <w:rPr>
          <w:rFonts w:hint="eastAsia" w:ascii="仿宋_GB2312" w:hAnsi="仿宋_GB2312" w:eastAsia="仿宋_GB2312" w:cs="仿宋_GB2312"/>
          <w:sz w:val="32"/>
          <w:szCs w:val="32"/>
          <w:lang w:val="en-US" w:eastAsia="zh-CN"/>
        </w:rPr>
        <w:t>利用二维码技术为历史建筑及文庙巷、西街—劳动南街等历史街区的重点历史空间制作电子标识牌，实现“一建筑一码一档案”的可视化管理。建设集成化的历史建筑信息管理系统，动态归集普查名录、保护清单、修缮记录等数据，实现保护状态的实时更新与全生命周期管理。在重点历史文化街区的安防设施中融入智能管理模块，提升安全监管的效能与精细化水平。</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0" w:hRule="atLeast"/>
        </w:trPr>
        <w:tc>
          <w:tcPr>
            <w:tcW w:w="8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专栏8保护传承城市历史文化项目</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历史文化名城历史建筑普查认定及测绘建档、张掖市文庙巷历史文化街区文化环境整治提升改造项目、张掖市西街－劳动南街历史文化街区文化环境整治提升项目、历史文化名城古民居保护修缮工程、张掖市甘州区历史建筑修缮保护及环境提升改造、西来寺历史文化街区保护修缮工程、甘州区黑水国遗址保护展示项目、城市IP主题乐园项目、张掖大佛寺景区数字展示中心建设项目、明粮仓历史文化街区保护修缮工程。</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bookmarkStart w:id="116" w:name="_Toc214269666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32"/>
          <w:szCs w:val="32"/>
          <w:lang w:val="en-US" w:eastAsia="zh-CN"/>
        </w:rPr>
      </w:pPr>
      <w:bookmarkStart w:id="117" w:name="_Toc1651751651"/>
      <w:r>
        <w:rPr>
          <w:rFonts w:hint="eastAsia" w:ascii="方正小标宋简体" w:hAnsi="方正小标宋简体" w:eastAsia="方正小标宋简体" w:cs="方正小标宋简体"/>
          <w:sz w:val="32"/>
          <w:szCs w:val="32"/>
          <w:lang w:val="en-US" w:eastAsia="zh-CN"/>
        </w:rPr>
        <w:t>第六章  片区划分及更新指引</w:t>
      </w:r>
      <w:bookmarkEnd w:id="116"/>
      <w:bookmarkEnd w:id="11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sz w:val="32"/>
          <w:szCs w:val="32"/>
          <w:lang w:val="en-US" w:eastAsia="zh-CN"/>
        </w:rPr>
      </w:pPr>
      <w:bookmarkStart w:id="118" w:name="_Toc1455304828"/>
      <w:bookmarkStart w:id="119" w:name="_Toc1112244638"/>
      <w:r>
        <w:rPr>
          <w:rFonts w:hint="eastAsia" w:ascii="方正黑体_GBK" w:hAnsi="方正黑体_GBK" w:eastAsia="方正黑体_GBK" w:cs="方正黑体_GBK"/>
          <w:sz w:val="32"/>
          <w:szCs w:val="32"/>
          <w:lang w:val="en-US" w:eastAsia="zh-CN"/>
        </w:rPr>
        <w:t>一、城市更新片区划分</w:t>
      </w:r>
      <w:bookmarkEnd w:id="118"/>
      <w:bookmarkEnd w:id="11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度挖掘张披地理区位、历史人文、自然生态、城乡风貌、产业特色等方面独特内涵，凝炼形成城市精神，精心设计城市logo、城市色谱、城市听觉视觉系统等全维度城市标识，打造彰显张披特色的核心IP，持续提升城市辨识度、产业辨识度和人文辨识度。结合城市更新改造，加强城市建筑风貌管控，因地制宜建设景观街道、打造特色街区，建设主客共享、近悦远来的特色城市、魅力城市。实施城市品质形象对外推广计划，全方位多角度开展城市宣传，不断提升城市竞争力、影响力和知名度、美誉度。</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59264" behindDoc="0" locked="0" layoutInCell="1" allowOverlap="1">
            <wp:simplePos x="0" y="0"/>
            <wp:positionH relativeFrom="column">
              <wp:posOffset>31750</wp:posOffset>
            </wp:positionH>
            <wp:positionV relativeFrom="paragraph">
              <wp:posOffset>10160</wp:posOffset>
            </wp:positionV>
            <wp:extent cx="5539740" cy="3787775"/>
            <wp:effectExtent l="0" t="0" r="3810" b="3175"/>
            <wp:wrapNone/>
            <wp:docPr id="1" name="图片 1" descr="175619977815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1756199778155"/>
                    <pic:cNvPicPr>
                      <a:picLocks noChangeAspect="true"/>
                    </pic:cNvPicPr>
                  </pic:nvPicPr>
                  <pic:blipFill>
                    <a:blip r:embed="rId5"/>
                    <a:stretch>
                      <a:fillRect/>
                    </a:stretch>
                  </pic:blipFill>
                  <pic:spPr>
                    <a:xfrm>
                      <a:off x="0" y="0"/>
                      <a:ext cx="5539740" cy="378777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bookmarkStart w:id="120" w:name="_Toc1591066247_WPSOffice_Level3"/>
      <w:r>
        <w:rPr>
          <w:rFonts w:hint="eastAsia" w:ascii="仿宋_GB2312" w:hAnsi="仿宋_GB2312" w:eastAsia="仿宋_GB2312" w:cs="仿宋_GB2312"/>
          <w:sz w:val="32"/>
          <w:szCs w:val="32"/>
          <w:lang w:val="en-US" w:eastAsia="zh-CN"/>
        </w:rPr>
        <w:t>表9-1城市更新片区面积、范围一览表</w:t>
      </w:r>
      <w:bookmarkEnd w:id="120"/>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53"/>
        <w:gridCol w:w="1667"/>
        <w:gridCol w:w="4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40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序号</w:t>
            </w:r>
          </w:p>
        </w:tc>
        <w:tc>
          <w:tcPr>
            <w:tcW w:w="131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更新片区名称</w:t>
            </w:r>
          </w:p>
        </w:tc>
        <w:tc>
          <w:tcPr>
            <w:tcW w:w="93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面积</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（平方公里）</w:t>
            </w:r>
          </w:p>
        </w:tc>
        <w:tc>
          <w:tcPr>
            <w:tcW w:w="23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40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vertAlign w:val="baseline"/>
                <w:lang w:val="en-US" w:eastAsia="zh-CN"/>
              </w:rPr>
              <w:t>1</w:t>
            </w:r>
          </w:p>
        </w:tc>
        <w:tc>
          <w:tcPr>
            <w:tcW w:w="131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vertAlign w:val="baseline"/>
                <w:lang w:eastAsia="zh-CN"/>
              </w:rPr>
              <w:t>历史城区</w:t>
            </w:r>
          </w:p>
        </w:tc>
        <w:tc>
          <w:tcPr>
            <w:tcW w:w="93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vertAlign w:val="baseline"/>
                <w:lang w:val="en-US" w:eastAsia="zh-CN"/>
              </w:rPr>
              <w:t>4.2</w:t>
            </w:r>
          </w:p>
        </w:tc>
        <w:tc>
          <w:tcPr>
            <w:tcW w:w="23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4"/>
                <w:szCs w:val="24"/>
                <w:vertAlign w:val="baseline"/>
                <w:lang w:eastAsia="zh-CN"/>
              </w:rPr>
              <w:t>一环以内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0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vertAlign w:val="baseline"/>
                <w:lang w:val="en-US" w:eastAsia="zh-CN"/>
              </w:rPr>
              <w:t>2</w:t>
            </w:r>
          </w:p>
        </w:tc>
        <w:tc>
          <w:tcPr>
            <w:tcW w:w="131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vertAlign w:val="baseline"/>
                <w:lang w:eastAsia="zh-CN"/>
              </w:rPr>
              <w:t>滨河新区</w:t>
            </w:r>
          </w:p>
        </w:tc>
        <w:tc>
          <w:tcPr>
            <w:tcW w:w="93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vertAlign w:val="baseline"/>
                <w:lang w:val="en-US" w:eastAsia="zh-CN"/>
              </w:rPr>
              <w:t>19.77</w:t>
            </w:r>
          </w:p>
        </w:tc>
        <w:tc>
          <w:tcPr>
            <w:tcW w:w="23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东至西二环路、南至南三环路、</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vertAlign w:val="baseline"/>
                <w:lang w:eastAsia="zh-CN"/>
              </w:rPr>
              <w:t>西至滨河大道、北至西三环路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40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vertAlign w:val="baseline"/>
                <w:lang w:val="en-US" w:eastAsia="zh-CN"/>
              </w:rPr>
              <w:t>3</w:t>
            </w:r>
          </w:p>
        </w:tc>
        <w:tc>
          <w:tcPr>
            <w:tcW w:w="131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vertAlign w:val="baseline"/>
                <w:lang w:eastAsia="zh-CN"/>
              </w:rPr>
              <w:t>城北片区</w:t>
            </w:r>
          </w:p>
        </w:tc>
        <w:tc>
          <w:tcPr>
            <w:tcW w:w="93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vertAlign w:val="baseline"/>
                <w:lang w:val="en-US" w:eastAsia="zh-CN"/>
              </w:rPr>
              <w:t>5.52</w:t>
            </w:r>
          </w:p>
        </w:tc>
        <w:tc>
          <w:tcPr>
            <w:tcW w:w="23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东至仁宗路、南至北环路、</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vertAlign w:val="baseline"/>
                <w:lang w:eastAsia="zh-CN"/>
              </w:rPr>
              <w:t>西至西二环路、北至艾黎大道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40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vertAlign w:val="baseline"/>
                <w:lang w:val="en-US" w:eastAsia="zh-CN"/>
              </w:rPr>
              <w:t>4</w:t>
            </w:r>
          </w:p>
        </w:tc>
        <w:tc>
          <w:tcPr>
            <w:tcW w:w="131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vertAlign w:val="baseline"/>
                <w:lang w:eastAsia="zh-CN"/>
              </w:rPr>
              <w:t>城南片区</w:t>
            </w:r>
          </w:p>
        </w:tc>
        <w:tc>
          <w:tcPr>
            <w:tcW w:w="93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vertAlign w:val="baseline"/>
                <w:lang w:val="en-US" w:eastAsia="zh-CN"/>
              </w:rPr>
              <w:t>7.4</w:t>
            </w:r>
          </w:p>
        </w:tc>
        <w:tc>
          <w:tcPr>
            <w:tcW w:w="23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东至金张掖大道、南至南三环路、</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vertAlign w:val="baseline"/>
                <w:lang w:eastAsia="zh-CN"/>
              </w:rPr>
              <w:t>西至西二环路、北至南环路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40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vertAlign w:val="baseline"/>
                <w:lang w:val="en-US" w:eastAsia="zh-CN"/>
              </w:rPr>
              <w:t>5</w:t>
            </w:r>
          </w:p>
        </w:tc>
        <w:tc>
          <w:tcPr>
            <w:tcW w:w="131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vertAlign w:val="baseline"/>
                <w:lang w:eastAsia="zh-CN"/>
              </w:rPr>
              <w:t>城东片区</w:t>
            </w:r>
          </w:p>
        </w:tc>
        <w:tc>
          <w:tcPr>
            <w:tcW w:w="93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vertAlign w:val="baseline"/>
                <w:lang w:val="en-US" w:eastAsia="zh-CN"/>
              </w:rPr>
              <w:t>14.69</w:t>
            </w:r>
          </w:p>
        </w:tc>
        <w:tc>
          <w:tcPr>
            <w:tcW w:w="23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东至金张掖大道和甘州大道、</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南至南二环路、西至昆仑大道、</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vertAlign w:val="baseline"/>
                <w:lang w:eastAsia="zh-CN"/>
              </w:rPr>
              <w:t>北至东环路和仁宗路</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sz w:val="32"/>
          <w:szCs w:val="32"/>
          <w:lang w:val="en-US" w:eastAsia="zh-CN"/>
        </w:rPr>
      </w:pPr>
      <w:bookmarkStart w:id="121" w:name="_Toc1855882397"/>
      <w:bookmarkStart w:id="122" w:name="_Toc763247517"/>
      <w:r>
        <w:rPr>
          <w:rFonts w:hint="eastAsia" w:ascii="方正黑体_GBK" w:hAnsi="方正黑体_GBK" w:eastAsia="方正黑体_GBK" w:cs="方正黑体_GBK"/>
          <w:sz w:val="32"/>
          <w:szCs w:val="32"/>
          <w:lang w:val="en-US" w:eastAsia="zh-CN"/>
        </w:rPr>
        <w:t>二、城市更新片区设计指引</w:t>
      </w:r>
      <w:bookmarkEnd w:id="121"/>
      <w:bookmarkEnd w:id="122"/>
      <w:bookmarkStart w:id="123" w:name="_Toc883050721"/>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（一）历史街区更新片区</w:t>
      </w:r>
      <w:bookmarkEnd w:id="123"/>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主要问题：</w:t>
      </w:r>
      <w:r>
        <w:rPr>
          <w:rFonts w:hint="eastAsia" w:ascii="仿宋_GB2312" w:hAnsi="仿宋_GB2312" w:eastAsia="仿宋_GB2312" w:cs="仿宋_GB2312"/>
          <w:sz w:val="32"/>
          <w:szCs w:val="32"/>
          <w:lang w:val="en-US" w:eastAsia="zh-CN"/>
        </w:rPr>
        <w:t>老旧商业街区较多、停车场地不足、存在乱停乱放车辆问题，东西南北大街基础设施老旧。地下管网、老旧燃气与供热管线老化失修；老旧街区公共空间滞后；古民居与历史街区保护还需加强；教育医疗公厕等公服设施不完善；河道水环境欠佳，小区节水水平偏低。</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设计指引：</w:t>
      </w:r>
      <w:r>
        <w:rPr>
          <w:rFonts w:hint="eastAsia" w:ascii="仿宋_GB2312" w:hAnsi="仿宋_GB2312" w:eastAsia="仿宋_GB2312" w:cs="仿宋_GB2312"/>
          <w:sz w:val="32"/>
          <w:szCs w:val="32"/>
          <w:lang w:val="en-US" w:eastAsia="zh-CN"/>
        </w:rPr>
        <w:t>该片区立足丝路文化、地域民俗等历史禀赋，彰显城市宜居宜游功能。严格落实历史文化保护传承政策，以“修旧如旧”原则修缮传统建筑风貌，保留街区空间肌理。统筹完善消防、给排水等基础设施，活化利用闲置院落布局非遗工坊、文化体验驿站及特色文创业态，联动周边片区打造“甘州文化会客厅”，实现历史文脉延续与现代生活需求的有机融合，助力文化旅游建设。</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94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专栏1历史街区更新片区重点工作任务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城市危旧房改造：稳步推进交通巷平房、原区政府家属楼（1#-9#）、马神庙小区平房等区域的改造工作。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基础设施改造：实施张掖市中心广场周边区域地下管网更新改造、甘州区老旧燃气管道及设施更新改造、甘州区老旧供热主干线管道及设施更新改造等项目；开展张掖中心城区城市地下管网更新普查及道路管网体检工作，推进地下管网病害治理修复工程落地实施。</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老旧街区改造：推进张掖市甘州区劳动北街改造提升、明清街两侧片区改造、东西大街及南北大街老旧街区提升改造示范、老旧汽车站公共空间改造提升等项目建设。</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历史文化保护：完成10处古民居保护修缮任务，加快文庙巷、西街-劳动南街2片历史文化街区环境整治提升进度；开展老城区老街区专项调查，强化历史城区空间、风貌、色彩管控，全力申报甘州区传统村落连片示范县区；推进高总兵宅院片区活化利用，培育明粮仓-道德巷-东升巷等历史地段，切实守护城市历史文脉。实施万寿寺木塔保护修缮及消防、张掖鼓楼彩画保护修复等重要古建筑保护利用工程。</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完善城市功能：推进甘州区人民医院病房改造提升、城市更新公厕新建等项目建设；对甘州区马神庙街小学、张掖市第四中学现有运动场跑道、球场等基础设施进行改造升级。依托张掖市疾控中心建设省级区域公共卫生中心，建设张掖市区域医疗数字赋能协同平台。</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修复城市生态系统：推进饮马河河道整治提升、张掖市甘州区城市水环境综合治理等项目；开展富民小区、东湖小区节水型住宅小区试点工作。</w:t>
            </w:r>
          </w:p>
        </w:tc>
      </w:tr>
    </w:tbl>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bookmarkStart w:id="124" w:name="_Toc273922658"/>
      <w:r>
        <w:rPr>
          <w:rFonts w:hint="eastAsia" w:ascii="楷体_GB2312" w:hAnsi="楷体_GB2312" w:eastAsia="楷体_GB2312" w:cs="楷体_GB2312"/>
          <w:b/>
          <w:bCs/>
          <w:sz w:val="32"/>
          <w:szCs w:val="32"/>
          <w:lang w:val="en-US" w:eastAsia="zh-CN"/>
        </w:rPr>
        <w:t>（二）城南更新片区</w:t>
      </w:r>
      <w:bookmarkEnd w:id="124"/>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主要问题：</w:t>
      </w:r>
      <w:r>
        <w:rPr>
          <w:rFonts w:hint="eastAsia" w:ascii="仿宋_GB2312" w:hAnsi="仿宋_GB2312" w:eastAsia="仿宋_GB2312" w:cs="仿宋_GB2312"/>
          <w:sz w:val="32"/>
          <w:szCs w:val="32"/>
          <w:lang w:val="en-US" w:eastAsia="zh-CN"/>
        </w:rPr>
        <w:t>部分危旧房还未改造、老旧小区配套滞后；城市地下管网、供暖、道路等核心配套需统筹升级完善；城中村改造推进缓慢，完整社区建设仍需强化；城市生态环境修复、整体服务功能提升等方面均存在不足，需系统性推进整改提升。</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设计指引：</w:t>
      </w:r>
      <w:r>
        <w:rPr>
          <w:rFonts w:hint="eastAsia" w:ascii="仿宋_GB2312" w:hAnsi="仿宋_GB2312" w:eastAsia="仿宋_GB2312" w:cs="仿宋_GB2312"/>
          <w:sz w:val="32"/>
          <w:szCs w:val="32"/>
          <w:lang w:val="en-US" w:eastAsia="zh-CN"/>
        </w:rPr>
        <w:t>突出城市宜居宜业宜商宜学功能，依托南湖公园、（文昌）公园，配套完善水电气信暖路等基础设施，整合生态与公共服务资源，合理布局现代服务与休闲业态。着力推动低效土地的集约再利用与存量空间的品质提升，以城市更新带动人居环境改善、公共服务补强与产业动能培育，支撑中心城区城市格局的持续完善与能级跃升。</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专栏2城南更新片区重点工作任务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城市危旧房改造：稳步推进南关水泥厂小区平房改造工作。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基础设施改造：实施张掖市甘州区城南片区地下管网更新改造、城南区域分散供暖集中改造项目；加快推进饮马桥西路、G227线道路改造提升，以及丽都街（南二环—南三环）、迎恩路（南二环—南三环）改造建设工程。</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老旧小区改造：推进张掖市甘州区南街街道老旧小区改造配套基础设施工程建设。</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城中村改造：积极推动张掖市甘州区长安镇城南片区、梁家墩镇城中村改造项目落地实施。</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完整社区建设：实施张掖市甘州区南街街道完整社区建设项目，重点打造泰安社区、西来寺社区2个完整社区示范点。建设馨宇丽都儿童有好空间。</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完善城市功能：实加快实施张掖市甘州区奥特莱斯商业体建设项目，进一步完善城市服务功能。积极争取市妇幼保健院妇女儿童保健医疗综合楼及配套工程建设。</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修复城市生态系统：持续推进甘州区城南城市水环境改善暨人工湿地水质净化工程，提升城市生态环境质量。</w:t>
            </w:r>
          </w:p>
        </w:tc>
      </w:tr>
    </w:tbl>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bookmarkStart w:id="125" w:name="_Toc682857181"/>
      <w:r>
        <w:rPr>
          <w:rFonts w:hint="eastAsia" w:ascii="楷体_GB2312" w:hAnsi="楷体_GB2312" w:eastAsia="楷体_GB2312" w:cs="楷体_GB2312"/>
          <w:b/>
          <w:bCs/>
          <w:sz w:val="32"/>
          <w:szCs w:val="32"/>
          <w:lang w:val="en-US" w:eastAsia="zh-CN"/>
        </w:rPr>
        <w:t>（三）城北更新片区</w:t>
      </w:r>
      <w:bookmarkEnd w:id="125"/>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主要问题：</w:t>
      </w:r>
      <w:r>
        <w:rPr>
          <w:rFonts w:hint="eastAsia" w:ascii="仿宋_GB2312" w:hAnsi="仿宋_GB2312" w:eastAsia="仿宋_GB2312" w:cs="仿宋_GB2312"/>
          <w:sz w:val="32"/>
          <w:szCs w:val="32"/>
          <w:lang w:val="en-US" w:eastAsia="zh-CN"/>
        </w:rPr>
        <w:t>个别建筑物存在危房安全隐患，老旧小区配套基础设施滞后，需更新改造完善；供暖等城市地下管网配套存在短板，亟待升级优化；完整社区建设仍需推进，城市服务功能有待进一步完善；区域水环境生态质量需提升，需通过系统性治理改善生态环境，全面提升片区宜居水平。</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设计指引：</w:t>
      </w:r>
      <w:r>
        <w:rPr>
          <w:rFonts w:hint="eastAsia" w:ascii="仿宋_GB2312" w:hAnsi="仿宋_GB2312" w:eastAsia="仿宋_GB2312" w:cs="仿宋_GB2312"/>
          <w:sz w:val="32"/>
          <w:szCs w:val="32"/>
          <w:lang w:val="en-US" w:eastAsia="zh-CN"/>
        </w:rPr>
        <w:t>突出城市宜居宜学宜养宜游功能，衔接黑河生态廊道禀赋，紧扣城市更新绿色低碳导向，统筹实施生态空间修复与品质提升。重点推进口袋公园、生态缓冲带建设，融入海绵城市技术改造场地径流系统，构建连通黑河的线性生态绿廊；同步植入慢行步道、生态科普节点，联动周边片区共享生态服务，将片区打造为甘州城市“生态绿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专栏3城北更新片区重点工作任务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城市危旧房改造：稳步推动药检所搬迁楼等危房改造项目实施。</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老旧小区改造：实施甘州区城北片区老旧小区改造配套基础设施工程，同步推进丝路春酒厂家属院更新改造。</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完整社区建设：实施张掖市甘州区北街街道完整社区建设项目，打造税亭社区、东湖社区2个完整社区。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基础设施改造：实施张掖市甘州区城北区域分散供暖集中改造项目、河西学院智慧管网及道路管网改造项目。</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完善城市功能：实施张掖市甘州区北街街道完整社区建设项目，争取立项实施张掖市体育运动学校训练馆建设项目、张掖市全民健身中心场馆维修改造项目。将张掖市全民健身中心调整为长期应急避难场所，保障居民避护减灾需求。</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修复城市生态系统：推进阿薛渠水环境综合治理项目、张掖市甘州区再生水资源配置试点建设项目-城市园林绿化灌溉供水工程。</w:t>
            </w:r>
          </w:p>
        </w:tc>
      </w:tr>
    </w:tbl>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bookmarkStart w:id="126" w:name="_Toc1604114936"/>
      <w:r>
        <w:rPr>
          <w:rFonts w:hint="eastAsia" w:ascii="楷体_GB2312" w:hAnsi="楷体_GB2312" w:eastAsia="楷体_GB2312" w:cs="楷体_GB2312"/>
          <w:b/>
          <w:bCs/>
          <w:sz w:val="32"/>
          <w:szCs w:val="32"/>
          <w:lang w:val="en-US" w:eastAsia="zh-CN"/>
        </w:rPr>
        <w:t>（四）城东更新片区</w:t>
      </w:r>
      <w:bookmarkEnd w:id="126"/>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主要问题：</w:t>
      </w:r>
      <w:r>
        <w:rPr>
          <w:rFonts w:hint="eastAsia" w:ascii="仿宋_GB2312" w:hAnsi="仿宋_GB2312" w:eastAsia="仿宋_GB2312" w:cs="仿宋_GB2312"/>
          <w:sz w:val="32"/>
          <w:szCs w:val="32"/>
          <w:lang w:val="en-US" w:eastAsia="zh-CN"/>
        </w:rPr>
        <w:t>文化活动中心面积不足、公园绿化活动场地局部覆盖不足、存在少量乱停乱放车辆、老旧商业街区较多、老旧厂区空间利用低效、饮马桥社区建设不足。火车站街道中学服务半径覆盖率较低、多功能运动场地面积不足、文化活动中心面积不足、公园绿化活动场地覆盖极低。</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设计指引：</w:t>
      </w:r>
      <w:r>
        <w:rPr>
          <w:rFonts w:hint="eastAsia" w:ascii="仿宋_GB2312" w:hAnsi="仿宋_GB2312" w:eastAsia="仿宋_GB2312" w:cs="仿宋_GB2312"/>
          <w:sz w:val="32"/>
          <w:szCs w:val="32"/>
          <w:lang w:val="en-US" w:eastAsia="zh-CN"/>
        </w:rPr>
        <w:t>推动城东片区从传统生产服务区向宜居宜业的复合功能城区转型。依托公路物流港与生态科技产业园的产业基础，优化生产性服务业功能，促进产城融合与职住平衡。聚焦完整社区建设与民生基底夯实，系统补齐公共服务与便民商业短板，织密“一刻钟便民生活圈”，有机融合历史遗存保护与现代商圈培育。通过整体提升人居环境、服务效能与空间价值，打造功能完善、富有活力的城市东部综合服务板块。</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专栏4城东更新片区重点工作任务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城市危旧房改造：稳步推进东关牌楼新村平房、中药提炼厂家属楼、东关榨油厂平房等区域的改造工作。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基础设施改造：扎实实施张掖市甘州区城东片区地下管网更新改造项目、张掖市甘州区东北郊片区地下管网更新改造项目。</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老旧街区改造：全力推动张掖市甘州区东街街道老旧小区改造及配套基础工程建设。</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完整社区建设：有序实施张掖市甘州区东街街道金安苑社区、北环路社区2个完整社区建设项目，以及张掖市甘州区火车站街道完整社区建设项目。</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完善城市功能：加快推进甘州区金安苑学校综合教学楼建设项目落地实施。积极争取市中医医院智慧病房改造项目落地实施。</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修复城市生态系统：重点推进东芦苇池、东环路芦苇池、黄水沟、东泉干渠等区域的清淤疏浚工作，同步加快张掖市污水处理厂污水处理设施升级改造工程进度。</w:t>
            </w:r>
          </w:p>
        </w:tc>
      </w:tr>
    </w:tbl>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eastAsia" w:ascii="楷体_GB2312" w:hAnsi="楷体_GB2312" w:eastAsia="楷体_GB2312" w:cs="楷体_GB2312"/>
          <w:b/>
          <w:bCs/>
          <w:sz w:val="32"/>
          <w:szCs w:val="32"/>
          <w:lang w:val="en-US" w:eastAsia="zh-CN"/>
        </w:rPr>
      </w:pPr>
      <w:bookmarkStart w:id="127" w:name="_Toc436110960"/>
      <w:r>
        <w:rPr>
          <w:rFonts w:hint="eastAsia" w:ascii="楷体_GB2312" w:hAnsi="楷体_GB2312" w:eastAsia="楷体_GB2312" w:cs="楷体_GB2312"/>
          <w:b/>
          <w:bCs/>
          <w:sz w:val="32"/>
          <w:szCs w:val="32"/>
          <w:lang w:val="en-US" w:eastAsia="zh-CN"/>
        </w:rPr>
        <w:t>（五）滨河新区更新片区</w:t>
      </w:r>
      <w:bookmarkEnd w:id="127"/>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主要问题：</w:t>
      </w:r>
      <w:r>
        <w:rPr>
          <w:rFonts w:hint="eastAsia" w:ascii="仿宋_GB2312" w:hAnsi="仿宋_GB2312" w:eastAsia="仿宋_GB2312" w:cs="仿宋_GB2312"/>
          <w:sz w:val="32"/>
          <w:szCs w:val="32"/>
          <w:lang w:val="en-US" w:eastAsia="zh-CN"/>
        </w:rPr>
        <w:t>城市部分路段存在“断头路”问题，需畅通道路；老旧小区配套滞后、老旧厂区未活化利用，亟待改造提升；完整社区功能有待完善；节水及再生水利用、监测设施建设不足，需系统性推进整改，提升片区宜居性与综合服务能力；中学服务半径覆盖率较低，学校教学楼及运动场设施需升级，多功能运动场地分布不均、文化活动中心面积不足、公园绿化活动场地局部覆盖不足。</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设计指引：</w:t>
      </w:r>
      <w:r>
        <w:rPr>
          <w:rFonts w:hint="eastAsia" w:ascii="仿宋_GB2312" w:hAnsi="仿宋_GB2312" w:eastAsia="仿宋_GB2312" w:cs="仿宋_GB2312"/>
          <w:sz w:val="32"/>
          <w:szCs w:val="32"/>
          <w:lang w:val="en-US" w:eastAsia="zh-CN"/>
        </w:rPr>
        <w:t>紧扣建设现代化宜居宜业宜学宜游新区的目标导向，统筹推进存量优化与功能提升。重点围绕芦水湾景区、中央商务区、高铁西站等核心节点，合理布局滨水休闲、商务会展、便民服务等多元业态；以存量土地整合与闲置资产盘活为抓手，推动区域整体更新与业态升级；推广绿色建筑与低碳技术，塑造时尚、活力、智慧的现代都市风貌，打造成为展示城市形象与发展能级的综合性示范片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专栏5滨河新区更新片区重点工作任务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基础设施改造：实施张掖市甘州区滨河新区地下管网更新改造项目、张掖市甘州区西北片区地下管网更新改造项目、张掖市甘州区供水厂老旧设施更新项目。加快推进山丹南路（玉关路－万寿街）、永固路东段改造建设。</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老旧小区改造：推动张掖市甘州区滨河新区住宅小区改造配套基础工程。</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老旧厂区改造：实施张掖市甘州区五一粮油厂老旧厂区改造提升项目。</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完整社区建设：实施张掖市甘州区西街街道完整社区建设项目，打造西站社区、小寺庙社区2个完整社区。建设蓝山公馆六期儿童有好空间。</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完善城市功能：加快推动甘州区甘泉街小学南华校区综合教学楼建设项目，以及甘州区甘州中学运动场改造项目落地实施。将张掖市职教中心调整为长期应急避难场所，保障居民避护减灾需求。积极争取河西学院附属张掖人民医院病房改造提升项目尽快实施。</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修复城市生态系统：开展蓝山公馆六期节水型住宅小区试点工作；推进张掖市甘州区再生水循环利用、再生水利用及智慧监测设施建设等项目建设。</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sz w:val="32"/>
          <w:szCs w:val="32"/>
          <w:lang w:val="en-US" w:eastAsia="zh-CN"/>
        </w:rPr>
      </w:pPr>
      <w:bookmarkStart w:id="128" w:name="_Toc756134558"/>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32"/>
          <w:szCs w:val="32"/>
          <w:lang w:val="en-US" w:eastAsia="zh-CN"/>
        </w:rPr>
      </w:pPr>
      <w:bookmarkStart w:id="129" w:name="_Toc1303371583"/>
      <w:r>
        <w:rPr>
          <w:rFonts w:hint="eastAsia" w:ascii="方正小标宋简体" w:hAnsi="方正小标宋简体" w:eastAsia="方正小标宋简体" w:cs="方正小标宋简体"/>
          <w:sz w:val="32"/>
          <w:szCs w:val="32"/>
          <w:lang w:val="en-US" w:eastAsia="zh-CN"/>
        </w:rPr>
        <w:t>第七章  保障措施</w:t>
      </w:r>
      <w:bookmarkEnd w:id="128"/>
      <w:bookmarkEnd w:id="12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sz w:val="32"/>
          <w:szCs w:val="32"/>
        </w:rPr>
      </w:pPr>
      <w:bookmarkStart w:id="130" w:name="_Toc77607736"/>
      <w:bookmarkEnd w:id="130"/>
      <w:bookmarkStart w:id="131" w:name="_Toc751036459"/>
      <w:bookmarkStart w:id="132" w:name="_Toc735074438"/>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加强组织领导，明确职责分工</w:t>
      </w:r>
      <w:bookmarkEnd w:id="131"/>
      <w:bookmarkEnd w:id="13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发挥城市更新工作领导小组统筹协调作用，强化顶层设计与监督检查。进一步明确住建、自然资源、财政等相关部门职责分工，制定任务清单与责任矩阵，完善项目审批、资金管理等配套制度，规范议事决策流程。建立健全跨部门联席会议与常态化会商机制，定期通报进展、研判形势，聚焦规划落地、项目推进中的难点堵点问题，建立台账、限期整改、跟踪督办。通过制度完善与流程再造，打破行政壁垒，强化政策协同与资源整合，形成权责清晰、运转高效、齐抓共管的工作格局，为规划系统实施提供坚强组织保障。</w:t>
      </w:r>
      <w:bookmarkStart w:id="133" w:name="_Toc77607738"/>
      <w:bookmarkEnd w:id="133"/>
      <w:bookmarkStart w:id="134" w:name="_Toc14163_WPSOffice_Level2"/>
      <w:bookmarkEnd w:id="134"/>
      <w:bookmarkStart w:id="135" w:name="_Toc31853"/>
      <w:bookmarkEnd w:id="135"/>
      <w:bookmarkStart w:id="136" w:name="_Toc33403583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sz w:val="32"/>
          <w:szCs w:val="32"/>
          <w:lang w:val="en-US" w:eastAsia="zh-CN"/>
        </w:rPr>
      </w:pPr>
      <w:bookmarkStart w:id="137" w:name="_Toc2050095491"/>
      <w:r>
        <w:rPr>
          <w:rFonts w:hint="eastAsia" w:ascii="方正黑体_GBK" w:hAnsi="方正黑体_GBK" w:eastAsia="方正黑体_GBK" w:cs="方正黑体_GBK"/>
          <w:sz w:val="32"/>
          <w:szCs w:val="32"/>
          <w:lang w:val="en-US" w:eastAsia="zh-CN"/>
        </w:rPr>
        <w:t>二、强化规划传导，保障实施落地</w:t>
      </w:r>
      <w:bookmarkEnd w:id="136"/>
      <w:bookmarkEnd w:id="13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规划以落实国土空间总体规划的刚性管控和“十五五”国民经济和社会发展规划的核心任务为根本遵循，并承接相关上位规划的战略意图，</w:t>
      </w:r>
      <w:r>
        <w:rPr>
          <w:rFonts w:hint="eastAsia" w:ascii="仿宋_GB2312" w:hAnsi="仿宋_GB2312" w:eastAsia="仿宋_GB2312" w:cs="仿宋_GB2312"/>
          <w:sz w:val="32"/>
          <w:szCs w:val="32"/>
          <w:lang w:val="en-US" w:eastAsia="zh-CN"/>
        </w:rPr>
        <w:t>准确把握中心城区城市更新方向</w:t>
      </w:r>
      <w:r>
        <w:rPr>
          <w:rFonts w:hint="eastAsia" w:ascii="仿宋_GB2312" w:hAnsi="仿宋_GB2312" w:eastAsia="仿宋_GB2312" w:cs="仿宋_GB2312"/>
          <w:sz w:val="32"/>
          <w:szCs w:val="32"/>
          <w:lang w:eastAsia="zh-CN"/>
        </w:rPr>
        <w:t>。作为</w:t>
      </w:r>
      <w:r>
        <w:rPr>
          <w:rFonts w:hint="eastAsia" w:ascii="仿宋_GB2312" w:hAnsi="仿宋_GB2312" w:eastAsia="仿宋_GB2312" w:cs="仿宋_GB2312"/>
          <w:sz w:val="32"/>
          <w:szCs w:val="32"/>
          <w:lang w:val="en-US" w:eastAsia="zh-CN"/>
        </w:rPr>
        <w:t>中心城区</w:t>
      </w:r>
      <w:r>
        <w:rPr>
          <w:rFonts w:hint="eastAsia" w:ascii="仿宋_GB2312" w:hAnsi="仿宋_GB2312" w:eastAsia="仿宋_GB2312" w:cs="仿宋_GB2312"/>
          <w:sz w:val="32"/>
          <w:szCs w:val="32"/>
          <w:lang w:eastAsia="zh-CN"/>
        </w:rPr>
        <w:t>城市更新工作的行动总纲，将系统指导和约束城市更新专项规划的编制，最终转化为可落地实施的具体方案，从而形成从战略到行动、从总纲到专项的完整闭环，确保城市更新工作协同有序、系统推进。</w:t>
      </w:r>
      <w:bookmarkStart w:id="138" w:name="_Toc4609892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sz w:val="32"/>
          <w:szCs w:val="32"/>
          <w:lang w:val="en-US" w:eastAsia="zh-CN"/>
        </w:rPr>
      </w:pPr>
      <w:bookmarkStart w:id="139" w:name="_Toc1115181088"/>
      <w:r>
        <w:rPr>
          <w:rFonts w:hint="eastAsia" w:ascii="方正黑体_GBK" w:hAnsi="方正黑体_GBK" w:eastAsia="方正黑体_GBK" w:cs="方正黑体_GBK"/>
          <w:sz w:val="32"/>
          <w:szCs w:val="32"/>
          <w:lang w:val="en-US" w:eastAsia="zh-CN"/>
        </w:rPr>
        <w:t>三、拓宽筹资渠道，保障项目资金</w:t>
      </w:r>
      <w:bookmarkEnd w:id="138"/>
      <w:bookmarkEnd w:id="13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紧密对接国家重大战略和投资导向，围绕城市功能完善与短板领域，强化财政资金争取力度，高水平谋划储备一批标志性、引领性城市更新项目。扎实做好项目前期工作，积极争取中央预算内投资、地方政府专项债券等政策资金支持，用足用好地方政府专项债券、超长期特别国债等政策工具，全力支持符合条件的项目落地。紧跟国家政策性金融工具动向，争取国开行、农发行等金融机构长期优惠贷款支持。创新投融资模式，规范运用PPP、REITs等工具盘活存量资产，并发挥政府投资基金引导作用，挖掘项目商业价值，有效带动社会资本投入，构建政府引导、市场为主、多元参与的可持续资金保障体系，为城市更新注入持续动力。</w:t>
      </w:r>
      <w:bookmarkStart w:id="140" w:name="_Toc178180202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sz w:val="32"/>
          <w:szCs w:val="32"/>
          <w:lang w:val="en-US" w:eastAsia="zh-CN"/>
        </w:rPr>
      </w:pPr>
      <w:bookmarkStart w:id="141" w:name="_Toc502457154"/>
      <w:r>
        <w:rPr>
          <w:rFonts w:hint="eastAsia" w:ascii="方正黑体_GBK" w:hAnsi="方正黑体_GBK" w:eastAsia="方正黑体_GBK" w:cs="方正黑体_GBK"/>
          <w:sz w:val="32"/>
          <w:szCs w:val="32"/>
          <w:lang w:val="en-US" w:eastAsia="zh-CN"/>
        </w:rPr>
        <w:t>四、加强宣传引导，强化监督问责</w:t>
      </w:r>
      <w:bookmarkEnd w:id="140"/>
      <w:bookmarkEnd w:id="14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综合利用政务新媒体、新闻媒体、社区宣传栏等多种渠道，深入开展城市更新政策解读、成果展示与文明宣教，及时回应社会关切。加大对不文明行为和典型问题的曝光力度，增强市民家园意识，营造全社会支持更新、参与治理的良好氛围。健全规划实施全流程动态监测与评估机制，加强对重点项目进度、工程质量、资金使用及市容环境的常态化监督。将城市更新重点工作纳入年度绩效考核体系，完善督查问责制度，对推进不力、敷衍塞责的单位和个人依规严肃处理，以刚性约束保障规划目标如期实现。</w:t>
      </w:r>
      <w:bookmarkStart w:id="142" w:name="_Toc10633017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黑体_GBK" w:hAnsi="方正黑体_GBK" w:eastAsia="方正黑体_GBK" w:cs="方正黑体_GBK"/>
          <w:sz w:val="32"/>
          <w:szCs w:val="32"/>
          <w:lang w:val="en-US" w:eastAsia="zh-CN"/>
        </w:rPr>
      </w:pPr>
      <w:bookmarkStart w:id="143" w:name="_Toc450389090"/>
      <w:r>
        <w:rPr>
          <w:rFonts w:hint="eastAsia" w:ascii="方正黑体_GBK" w:hAnsi="方正黑体_GBK" w:eastAsia="方正黑体_GBK" w:cs="方正黑体_GBK"/>
          <w:sz w:val="32"/>
          <w:szCs w:val="32"/>
          <w:lang w:val="en-US" w:eastAsia="zh-CN"/>
        </w:rPr>
        <w:t>五、凝聚工作合力，形成联动格局</w:t>
      </w:r>
      <w:bookmarkEnd w:id="142"/>
      <w:bookmarkEnd w:id="14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积极发挥工会、共青团、妇联等群团组织桥梁纽带作用，支持行业协会、专家学者、社区志愿者参与规划咨询与实施监督，广泛凝聚社会共识与智慧。健全正向激励和容错纠错机制，激发和保护干部队伍担当作为、改革创新的积极性。围绕城市更新政策法规、项目管理、数字化应用等核心内容，系统化、分层分类开展干部专业能力培训，通过专题研讨、案例教学、实地调研等多种形式，全面提升干部队伍的战略思维、专业素养和解决复杂问题的能力，锻造一支高素质、专业化的城市更新工作队伍，为规划高质量实施提供坚实人才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bookmarkStart w:id="144" w:name="_GoBack"/>
      <w:bookmarkEnd w:id="144"/>
    </w:p>
    <w:sectPr>
      <w:footerReference r:id="rId3" w:type="default"/>
      <w:pgSz w:w="11906" w:h="16838"/>
      <w:pgMar w:top="1984" w:right="1587" w:bottom="1701" w:left="1587"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仿宋">
    <w:altName w:val="方正仿宋_GBK"/>
    <w:panose1 w:val="02010600040101010101"/>
    <w:charset w:val="86"/>
    <w:family w:val="auto"/>
    <w:pitch w:val="default"/>
    <w:sig w:usb0="00000000" w:usb1="00000000" w:usb2="00000000" w:usb3="00000000" w:csb0="0004009F" w:csb1="DFD70000"/>
  </w:font>
  <w:font w:name="Calibri Light">
    <w:altName w:val="DejaVu Sans"/>
    <w:panose1 w:val="020F0302020204030204"/>
    <w:charset w:val="00"/>
    <w:family w:val="auto"/>
    <w:pitch w:val="default"/>
    <w:sig w:usb0="00000000" w:usb1="00000000" w:usb2="00000009" w:usb3="00000000" w:csb0="200001FF" w:csb1="00000000"/>
  </w:font>
  <w:font w:name="Tahoma">
    <w:altName w:val="DejaVu Sans"/>
    <w:panose1 w:val="020B0604030504040204"/>
    <w:charset w:val="00"/>
    <w:family w:val="auto"/>
    <w:pitch w:val="default"/>
    <w:sig w:usb0="00000000" w:usb1="00000000"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CDFDE"/>
    <w:multiLevelType w:val="singleLevel"/>
    <w:tmpl w:val="F4CCDFDE"/>
    <w:lvl w:ilvl="0" w:tentative="0">
      <w:start w:val="1"/>
      <w:numFmt w:val="chineseCounting"/>
      <w:pStyle w:val="3"/>
      <w:suff w:val="nothing"/>
      <w:lvlText w:val="（%1）"/>
      <w:lvlJc w:val="left"/>
      <w:pPr>
        <w:ind w:left="0" w:firstLine="420"/>
      </w:pPr>
      <w:rPr>
        <w:rFonts w:hint="eastAsia"/>
      </w:rPr>
    </w:lvl>
  </w:abstractNum>
  <w:abstractNum w:abstractNumId="1">
    <w:nsid w:val="1AA13598"/>
    <w:multiLevelType w:val="multilevel"/>
    <w:tmpl w:val="1AA13598"/>
    <w:lvl w:ilvl="0" w:tentative="0">
      <w:start w:val="1"/>
      <w:numFmt w:val="chineseCountingThousand"/>
      <w:pStyle w:val="15"/>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4304EC8E"/>
    <w:multiLevelType w:val="singleLevel"/>
    <w:tmpl w:val="4304EC8E"/>
    <w:lvl w:ilvl="0" w:tentative="0">
      <w:start w:val="1"/>
      <w:numFmt w:val="chineseCounting"/>
      <w:pStyle w:val="2"/>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C83384"/>
    <w:rsid w:val="001C048E"/>
    <w:rsid w:val="008F127C"/>
    <w:rsid w:val="00FB072D"/>
    <w:rsid w:val="011E3D92"/>
    <w:rsid w:val="011E4471"/>
    <w:rsid w:val="014B6888"/>
    <w:rsid w:val="01A06E9D"/>
    <w:rsid w:val="02F34169"/>
    <w:rsid w:val="034B5D43"/>
    <w:rsid w:val="03532E8D"/>
    <w:rsid w:val="03552A08"/>
    <w:rsid w:val="041E22FB"/>
    <w:rsid w:val="04221DEB"/>
    <w:rsid w:val="04416718"/>
    <w:rsid w:val="04AF3F3E"/>
    <w:rsid w:val="051A0D14"/>
    <w:rsid w:val="0523406D"/>
    <w:rsid w:val="0571019B"/>
    <w:rsid w:val="057123DC"/>
    <w:rsid w:val="05726DCA"/>
    <w:rsid w:val="05791EDF"/>
    <w:rsid w:val="05AC7712"/>
    <w:rsid w:val="05EB1306"/>
    <w:rsid w:val="05EB32DD"/>
    <w:rsid w:val="06F21F49"/>
    <w:rsid w:val="072440CC"/>
    <w:rsid w:val="07C83384"/>
    <w:rsid w:val="08161C67"/>
    <w:rsid w:val="084762C4"/>
    <w:rsid w:val="08544538"/>
    <w:rsid w:val="08806DB5"/>
    <w:rsid w:val="08931DAD"/>
    <w:rsid w:val="08AA6610"/>
    <w:rsid w:val="08AF5C17"/>
    <w:rsid w:val="097A7FD3"/>
    <w:rsid w:val="09A17C56"/>
    <w:rsid w:val="0B053385"/>
    <w:rsid w:val="0BCB2D68"/>
    <w:rsid w:val="0C101F41"/>
    <w:rsid w:val="0C6E40C9"/>
    <w:rsid w:val="0CE916F8"/>
    <w:rsid w:val="0D767B70"/>
    <w:rsid w:val="0E4B09C1"/>
    <w:rsid w:val="0E6C1F74"/>
    <w:rsid w:val="0F005092"/>
    <w:rsid w:val="0F113188"/>
    <w:rsid w:val="0F141BAB"/>
    <w:rsid w:val="0F6634D4"/>
    <w:rsid w:val="0F6D1E2A"/>
    <w:rsid w:val="0F876389"/>
    <w:rsid w:val="10EC7A09"/>
    <w:rsid w:val="1127640D"/>
    <w:rsid w:val="112F78F5"/>
    <w:rsid w:val="11C22850"/>
    <w:rsid w:val="120C5A09"/>
    <w:rsid w:val="12A85BB1"/>
    <w:rsid w:val="12EF37E0"/>
    <w:rsid w:val="138C2B0F"/>
    <w:rsid w:val="1395198D"/>
    <w:rsid w:val="13961EAE"/>
    <w:rsid w:val="14792256"/>
    <w:rsid w:val="14964B92"/>
    <w:rsid w:val="14D60224"/>
    <w:rsid w:val="153C6A85"/>
    <w:rsid w:val="162158FB"/>
    <w:rsid w:val="162B4B2F"/>
    <w:rsid w:val="162F1B93"/>
    <w:rsid w:val="163D26F9"/>
    <w:rsid w:val="17045A1C"/>
    <w:rsid w:val="17286CD0"/>
    <w:rsid w:val="174D7C92"/>
    <w:rsid w:val="17683B61"/>
    <w:rsid w:val="17E31439"/>
    <w:rsid w:val="17F23AAF"/>
    <w:rsid w:val="181558EA"/>
    <w:rsid w:val="196D545F"/>
    <w:rsid w:val="197457D0"/>
    <w:rsid w:val="19792055"/>
    <w:rsid w:val="197D29F2"/>
    <w:rsid w:val="19B117EF"/>
    <w:rsid w:val="19E5618F"/>
    <w:rsid w:val="19F45BB5"/>
    <w:rsid w:val="1A5F1C1B"/>
    <w:rsid w:val="1A6525DA"/>
    <w:rsid w:val="1A97757F"/>
    <w:rsid w:val="1A9C424D"/>
    <w:rsid w:val="1B171B26"/>
    <w:rsid w:val="1B32070E"/>
    <w:rsid w:val="1B9E3FF5"/>
    <w:rsid w:val="1BC2529E"/>
    <w:rsid w:val="1BD20669"/>
    <w:rsid w:val="1BE7C528"/>
    <w:rsid w:val="1BF94735"/>
    <w:rsid w:val="1BFD2138"/>
    <w:rsid w:val="1C4A4EFD"/>
    <w:rsid w:val="1C8B6E63"/>
    <w:rsid w:val="1D1E677B"/>
    <w:rsid w:val="1E0F11DA"/>
    <w:rsid w:val="1E14059F"/>
    <w:rsid w:val="1E86136A"/>
    <w:rsid w:val="1F23321C"/>
    <w:rsid w:val="1F245624"/>
    <w:rsid w:val="1F327BCE"/>
    <w:rsid w:val="1F3B1F7A"/>
    <w:rsid w:val="1F882FF2"/>
    <w:rsid w:val="202A5E57"/>
    <w:rsid w:val="20315438"/>
    <w:rsid w:val="209D2ACD"/>
    <w:rsid w:val="22CB7693"/>
    <w:rsid w:val="22F97D63"/>
    <w:rsid w:val="23007473"/>
    <w:rsid w:val="232D342B"/>
    <w:rsid w:val="23426DCA"/>
    <w:rsid w:val="23675615"/>
    <w:rsid w:val="23EE3640"/>
    <w:rsid w:val="243E0123"/>
    <w:rsid w:val="24A66133"/>
    <w:rsid w:val="24BE77A9"/>
    <w:rsid w:val="24C73C0F"/>
    <w:rsid w:val="24D50F03"/>
    <w:rsid w:val="25B8361C"/>
    <w:rsid w:val="25FF1B34"/>
    <w:rsid w:val="265E2CFF"/>
    <w:rsid w:val="26EE1644"/>
    <w:rsid w:val="27873B8F"/>
    <w:rsid w:val="2790513A"/>
    <w:rsid w:val="27D924AF"/>
    <w:rsid w:val="27F356C9"/>
    <w:rsid w:val="285443B9"/>
    <w:rsid w:val="28A45F09"/>
    <w:rsid w:val="28EC1C18"/>
    <w:rsid w:val="299205E9"/>
    <w:rsid w:val="2A0B4F4C"/>
    <w:rsid w:val="2A1D07DB"/>
    <w:rsid w:val="2A754BDC"/>
    <w:rsid w:val="2AB033FD"/>
    <w:rsid w:val="2BA2368E"/>
    <w:rsid w:val="2BB83645"/>
    <w:rsid w:val="2BBDEAAA"/>
    <w:rsid w:val="2BF4DEAE"/>
    <w:rsid w:val="2C016606"/>
    <w:rsid w:val="2C622E1D"/>
    <w:rsid w:val="2C8608B9"/>
    <w:rsid w:val="2D4B1056"/>
    <w:rsid w:val="2D586372"/>
    <w:rsid w:val="2D630BFB"/>
    <w:rsid w:val="2E3600BD"/>
    <w:rsid w:val="2E5F4178"/>
    <w:rsid w:val="2E6245C9"/>
    <w:rsid w:val="2EA2684D"/>
    <w:rsid w:val="2ED221AE"/>
    <w:rsid w:val="2F0116F1"/>
    <w:rsid w:val="2F665668"/>
    <w:rsid w:val="2F7F723F"/>
    <w:rsid w:val="2FB41BE1"/>
    <w:rsid w:val="2FEB5ABF"/>
    <w:rsid w:val="30327E05"/>
    <w:rsid w:val="30415FA8"/>
    <w:rsid w:val="306900DF"/>
    <w:rsid w:val="306C6018"/>
    <w:rsid w:val="308E7085"/>
    <w:rsid w:val="309C1E3D"/>
    <w:rsid w:val="30B11C7D"/>
    <w:rsid w:val="30B73C30"/>
    <w:rsid w:val="30CB0F91"/>
    <w:rsid w:val="30E91417"/>
    <w:rsid w:val="31041E13"/>
    <w:rsid w:val="31146019"/>
    <w:rsid w:val="31905D36"/>
    <w:rsid w:val="31E41CE9"/>
    <w:rsid w:val="31FB1C4A"/>
    <w:rsid w:val="325C70FD"/>
    <w:rsid w:val="33CCFFE6"/>
    <w:rsid w:val="33CF2B46"/>
    <w:rsid w:val="348F8432"/>
    <w:rsid w:val="34B85CD0"/>
    <w:rsid w:val="34C53F49"/>
    <w:rsid w:val="35A40002"/>
    <w:rsid w:val="35B7FE44"/>
    <w:rsid w:val="36C72EE0"/>
    <w:rsid w:val="37BD7182"/>
    <w:rsid w:val="387D36BA"/>
    <w:rsid w:val="38C2033D"/>
    <w:rsid w:val="38E4489E"/>
    <w:rsid w:val="39311841"/>
    <w:rsid w:val="3986798D"/>
    <w:rsid w:val="39D31154"/>
    <w:rsid w:val="39DF4537"/>
    <w:rsid w:val="3A3423B9"/>
    <w:rsid w:val="3AB74334"/>
    <w:rsid w:val="3ABF213E"/>
    <w:rsid w:val="3AFB444F"/>
    <w:rsid w:val="3B0F50BF"/>
    <w:rsid w:val="3B1310C0"/>
    <w:rsid w:val="3B3911ED"/>
    <w:rsid w:val="3B830EB0"/>
    <w:rsid w:val="3BC315C0"/>
    <w:rsid w:val="3BE5EAA2"/>
    <w:rsid w:val="3BEB67BC"/>
    <w:rsid w:val="3BFB55F6"/>
    <w:rsid w:val="3C560763"/>
    <w:rsid w:val="3CF90C34"/>
    <w:rsid w:val="3DBF4011"/>
    <w:rsid w:val="3DF9D9B1"/>
    <w:rsid w:val="3DFECA5D"/>
    <w:rsid w:val="3EF7ED3B"/>
    <w:rsid w:val="3EFA12EE"/>
    <w:rsid w:val="3F0E6DB0"/>
    <w:rsid w:val="3F1E4E7F"/>
    <w:rsid w:val="3F3BB557"/>
    <w:rsid w:val="3FCECF48"/>
    <w:rsid w:val="3FDFFAB9"/>
    <w:rsid w:val="3FFC456D"/>
    <w:rsid w:val="3FFF4F0A"/>
    <w:rsid w:val="404B79F8"/>
    <w:rsid w:val="40734C3F"/>
    <w:rsid w:val="40A20BE4"/>
    <w:rsid w:val="418D4436"/>
    <w:rsid w:val="41A26B81"/>
    <w:rsid w:val="41B61FF1"/>
    <w:rsid w:val="41DB4DAC"/>
    <w:rsid w:val="41EDC235"/>
    <w:rsid w:val="420543DE"/>
    <w:rsid w:val="42562684"/>
    <w:rsid w:val="434B0DDD"/>
    <w:rsid w:val="437C611B"/>
    <w:rsid w:val="43EB1D58"/>
    <w:rsid w:val="43FF2CC1"/>
    <w:rsid w:val="440D7B75"/>
    <w:rsid w:val="440E7AB1"/>
    <w:rsid w:val="4484797D"/>
    <w:rsid w:val="44EB5865"/>
    <w:rsid w:val="450C5CBB"/>
    <w:rsid w:val="459B31D0"/>
    <w:rsid w:val="45B1654F"/>
    <w:rsid w:val="46CC37DC"/>
    <w:rsid w:val="476E221E"/>
    <w:rsid w:val="47C72840"/>
    <w:rsid w:val="482C628C"/>
    <w:rsid w:val="48311BC9"/>
    <w:rsid w:val="48D32C81"/>
    <w:rsid w:val="48F84495"/>
    <w:rsid w:val="49417BEA"/>
    <w:rsid w:val="49B900C8"/>
    <w:rsid w:val="4A60181E"/>
    <w:rsid w:val="4ABE5968"/>
    <w:rsid w:val="4B5E934A"/>
    <w:rsid w:val="4B62209A"/>
    <w:rsid w:val="4BA05606"/>
    <w:rsid w:val="4C682EE8"/>
    <w:rsid w:val="4CA44D28"/>
    <w:rsid w:val="4CA50490"/>
    <w:rsid w:val="4CDC1DA4"/>
    <w:rsid w:val="4D0F1DAD"/>
    <w:rsid w:val="4D88228C"/>
    <w:rsid w:val="4DBC3334"/>
    <w:rsid w:val="4E497E8D"/>
    <w:rsid w:val="4E54216E"/>
    <w:rsid w:val="4EB45E0B"/>
    <w:rsid w:val="4FC6052A"/>
    <w:rsid w:val="4FF86367"/>
    <w:rsid w:val="500E27F0"/>
    <w:rsid w:val="505A3781"/>
    <w:rsid w:val="50AC0FE9"/>
    <w:rsid w:val="50E86AA5"/>
    <w:rsid w:val="51771836"/>
    <w:rsid w:val="51865CFD"/>
    <w:rsid w:val="51AD665B"/>
    <w:rsid w:val="51B2569B"/>
    <w:rsid w:val="51C80F8D"/>
    <w:rsid w:val="51FF1442"/>
    <w:rsid w:val="51FFF259"/>
    <w:rsid w:val="52366C5D"/>
    <w:rsid w:val="53A56E18"/>
    <w:rsid w:val="53A97FC7"/>
    <w:rsid w:val="53BF62DB"/>
    <w:rsid w:val="53FEED10"/>
    <w:rsid w:val="54034FF2"/>
    <w:rsid w:val="540B1521"/>
    <w:rsid w:val="542E0C2A"/>
    <w:rsid w:val="54FE72D7"/>
    <w:rsid w:val="55572544"/>
    <w:rsid w:val="555B0664"/>
    <w:rsid w:val="55F34962"/>
    <w:rsid w:val="56124F26"/>
    <w:rsid w:val="568420E4"/>
    <w:rsid w:val="56927CD7"/>
    <w:rsid w:val="572A6162"/>
    <w:rsid w:val="575F9DFB"/>
    <w:rsid w:val="577FE154"/>
    <w:rsid w:val="57FD47A3"/>
    <w:rsid w:val="58816255"/>
    <w:rsid w:val="590D5D3B"/>
    <w:rsid w:val="594B280B"/>
    <w:rsid w:val="595608EC"/>
    <w:rsid w:val="595E182C"/>
    <w:rsid w:val="598565E7"/>
    <w:rsid w:val="59FF9E3A"/>
    <w:rsid w:val="5A2E2477"/>
    <w:rsid w:val="5B375704"/>
    <w:rsid w:val="5B3E21DC"/>
    <w:rsid w:val="5BAF5C20"/>
    <w:rsid w:val="5D740137"/>
    <w:rsid w:val="5D9202E1"/>
    <w:rsid w:val="5DBE51AE"/>
    <w:rsid w:val="5E3B2A02"/>
    <w:rsid w:val="5E736640"/>
    <w:rsid w:val="5ED944FD"/>
    <w:rsid w:val="5EF552A7"/>
    <w:rsid w:val="5F3F35B9"/>
    <w:rsid w:val="5F7206A6"/>
    <w:rsid w:val="5F7F13F3"/>
    <w:rsid w:val="5F8A0904"/>
    <w:rsid w:val="5FBD1C97"/>
    <w:rsid w:val="5FD78582"/>
    <w:rsid w:val="609B659E"/>
    <w:rsid w:val="610139B4"/>
    <w:rsid w:val="61254671"/>
    <w:rsid w:val="616DA133"/>
    <w:rsid w:val="617363DE"/>
    <w:rsid w:val="6183303E"/>
    <w:rsid w:val="61B412ED"/>
    <w:rsid w:val="620C3034"/>
    <w:rsid w:val="62614A02"/>
    <w:rsid w:val="62D53559"/>
    <w:rsid w:val="635D166D"/>
    <w:rsid w:val="63C90AB0"/>
    <w:rsid w:val="63F7168E"/>
    <w:rsid w:val="642C10C6"/>
    <w:rsid w:val="64535BB7"/>
    <w:rsid w:val="64615392"/>
    <w:rsid w:val="659E5E1D"/>
    <w:rsid w:val="661E0C5A"/>
    <w:rsid w:val="6777A231"/>
    <w:rsid w:val="677F5CC8"/>
    <w:rsid w:val="679F63A3"/>
    <w:rsid w:val="67DF5B4E"/>
    <w:rsid w:val="68653C70"/>
    <w:rsid w:val="686E4E4E"/>
    <w:rsid w:val="688D59C0"/>
    <w:rsid w:val="68BD29EE"/>
    <w:rsid w:val="68DC1286"/>
    <w:rsid w:val="68F69EC3"/>
    <w:rsid w:val="695928D6"/>
    <w:rsid w:val="698C2B93"/>
    <w:rsid w:val="69D33BE7"/>
    <w:rsid w:val="6A134CEF"/>
    <w:rsid w:val="6A2829D5"/>
    <w:rsid w:val="6A56527A"/>
    <w:rsid w:val="6A5C442C"/>
    <w:rsid w:val="6A653D2D"/>
    <w:rsid w:val="6A7B74DF"/>
    <w:rsid w:val="6AAB5D34"/>
    <w:rsid w:val="6B0FAFD8"/>
    <w:rsid w:val="6B1E33D8"/>
    <w:rsid w:val="6B3C5587"/>
    <w:rsid w:val="6BA936A1"/>
    <w:rsid w:val="6BADEAF7"/>
    <w:rsid w:val="6BEF3EC2"/>
    <w:rsid w:val="6BF32B6E"/>
    <w:rsid w:val="6C8D4D71"/>
    <w:rsid w:val="6CA125CA"/>
    <w:rsid w:val="6D54763D"/>
    <w:rsid w:val="6D6910EB"/>
    <w:rsid w:val="6D9BC569"/>
    <w:rsid w:val="6DC72505"/>
    <w:rsid w:val="6DEE71E8"/>
    <w:rsid w:val="6EA24075"/>
    <w:rsid w:val="6EF74444"/>
    <w:rsid w:val="6F79EF08"/>
    <w:rsid w:val="6FA3D04E"/>
    <w:rsid w:val="6FA77F87"/>
    <w:rsid w:val="6FECD30B"/>
    <w:rsid w:val="6FED00EC"/>
    <w:rsid w:val="6FFF4E83"/>
    <w:rsid w:val="70CC2581"/>
    <w:rsid w:val="70D834A7"/>
    <w:rsid w:val="70E17439"/>
    <w:rsid w:val="70FC1BFF"/>
    <w:rsid w:val="712F87FF"/>
    <w:rsid w:val="714AC6E3"/>
    <w:rsid w:val="718D494F"/>
    <w:rsid w:val="727F515C"/>
    <w:rsid w:val="73180248"/>
    <w:rsid w:val="734E2D80"/>
    <w:rsid w:val="73BE4011"/>
    <w:rsid w:val="73ED4347"/>
    <w:rsid w:val="73FF7C4C"/>
    <w:rsid w:val="74036C7A"/>
    <w:rsid w:val="747D56CB"/>
    <w:rsid w:val="747EC081"/>
    <w:rsid w:val="74CB1CC8"/>
    <w:rsid w:val="74D17809"/>
    <w:rsid w:val="74FE2E5B"/>
    <w:rsid w:val="754F1B85"/>
    <w:rsid w:val="7554793E"/>
    <w:rsid w:val="75625727"/>
    <w:rsid w:val="75BBCD11"/>
    <w:rsid w:val="75DFD19E"/>
    <w:rsid w:val="76160274"/>
    <w:rsid w:val="766F2FF9"/>
    <w:rsid w:val="76E9087B"/>
    <w:rsid w:val="77162A32"/>
    <w:rsid w:val="77685F9B"/>
    <w:rsid w:val="777F450E"/>
    <w:rsid w:val="777FCE48"/>
    <w:rsid w:val="78144598"/>
    <w:rsid w:val="78ED91A9"/>
    <w:rsid w:val="79243D01"/>
    <w:rsid w:val="796C54B2"/>
    <w:rsid w:val="79BC12D2"/>
    <w:rsid w:val="79F062C2"/>
    <w:rsid w:val="79F1109C"/>
    <w:rsid w:val="7A084E20"/>
    <w:rsid w:val="7ABF225B"/>
    <w:rsid w:val="7AE446F6"/>
    <w:rsid w:val="7B451E91"/>
    <w:rsid w:val="7BD0AAE6"/>
    <w:rsid w:val="7BF50F27"/>
    <w:rsid w:val="7BFFFD91"/>
    <w:rsid w:val="7C5331B5"/>
    <w:rsid w:val="7C562967"/>
    <w:rsid w:val="7C7FA7E1"/>
    <w:rsid w:val="7CCA3EDF"/>
    <w:rsid w:val="7CF75FF3"/>
    <w:rsid w:val="7D116B53"/>
    <w:rsid w:val="7D8E4AE2"/>
    <w:rsid w:val="7DB06B11"/>
    <w:rsid w:val="7DDD9BF8"/>
    <w:rsid w:val="7DDF9875"/>
    <w:rsid w:val="7DF75894"/>
    <w:rsid w:val="7DFE2740"/>
    <w:rsid w:val="7DFF9D83"/>
    <w:rsid w:val="7E51630D"/>
    <w:rsid w:val="7E5F8424"/>
    <w:rsid w:val="7E7DD5FB"/>
    <w:rsid w:val="7E8E2C4D"/>
    <w:rsid w:val="7EC30DB3"/>
    <w:rsid w:val="7EF392F9"/>
    <w:rsid w:val="7F1FB758"/>
    <w:rsid w:val="7F250E39"/>
    <w:rsid w:val="7F6BF383"/>
    <w:rsid w:val="7F6F1CF0"/>
    <w:rsid w:val="7F7FA4E3"/>
    <w:rsid w:val="7F8B065F"/>
    <w:rsid w:val="7F8B9690"/>
    <w:rsid w:val="7F9F5DC3"/>
    <w:rsid w:val="7FB49707"/>
    <w:rsid w:val="7FBDD2E4"/>
    <w:rsid w:val="7FDBAECC"/>
    <w:rsid w:val="7FDF2072"/>
    <w:rsid w:val="7FDF9ADF"/>
    <w:rsid w:val="7FE7DB6E"/>
    <w:rsid w:val="7FF3815E"/>
    <w:rsid w:val="7FF3DCC7"/>
    <w:rsid w:val="7FF70B6D"/>
    <w:rsid w:val="7FF78A7E"/>
    <w:rsid w:val="7FF7EF8F"/>
    <w:rsid w:val="7FFFA674"/>
    <w:rsid w:val="8E7900E5"/>
    <w:rsid w:val="8FC3DD59"/>
    <w:rsid w:val="97361FFB"/>
    <w:rsid w:val="99BDB23B"/>
    <w:rsid w:val="9E643774"/>
    <w:rsid w:val="9F373E4C"/>
    <w:rsid w:val="9F9F79DD"/>
    <w:rsid w:val="9FB7F591"/>
    <w:rsid w:val="9FC3D100"/>
    <w:rsid w:val="A6FC5C37"/>
    <w:rsid w:val="AB8D2C7D"/>
    <w:rsid w:val="ADB9EE2E"/>
    <w:rsid w:val="AF6DEEB3"/>
    <w:rsid w:val="B6EE7146"/>
    <w:rsid w:val="B7AF8611"/>
    <w:rsid w:val="BCEFC73F"/>
    <w:rsid w:val="BCFA336A"/>
    <w:rsid w:val="BCFF8869"/>
    <w:rsid w:val="BD1C4F69"/>
    <w:rsid w:val="BE3A3DCB"/>
    <w:rsid w:val="BEFF9584"/>
    <w:rsid w:val="BFAD7107"/>
    <w:rsid w:val="BFC2818D"/>
    <w:rsid w:val="BFED739B"/>
    <w:rsid w:val="BFF53379"/>
    <w:rsid w:val="BFFF6E02"/>
    <w:rsid w:val="C6EC8C8E"/>
    <w:rsid w:val="CB9D5875"/>
    <w:rsid w:val="CFD3ED8F"/>
    <w:rsid w:val="CFFA10AE"/>
    <w:rsid w:val="D375F5F7"/>
    <w:rsid w:val="D47DC448"/>
    <w:rsid w:val="D6ED080B"/>
    <w:rsid w:val="D7FAD925"/>
    <w:rsid w:val="D7FF4B55"/>
    <w:rsid w:val="D8FFF427"/>
    <w:rsid w:val="DA1FEA0C"/>
    <w:rsid w:val="DBF6C41C"/>
    <w:rsid w:val="DD17E854"/>
    <w:rsid w:val="DDF7B1F4"/>
    <w:rsid w:val="DFADD1C6"/>
    <w:rsid w:val="DFFF92EF"/>
    <w:rsid w:val="DFFF9F50"/>
    <w:rsid w:val="E5EFEF89"/>
    <w:rsid w:val="E6F3DD6F"/>
    <w:rsid w:val="E736E2FE"/>
    <w:rsid w:val="E7C9907F"/>
    <w:rsid w:val="E7E79A2F"/>
    <w:rsid w:val="EADF0B7A"/>
    <w:rsid w:val="EB9D207A"/>
    <w:rsid w:val="EDFF2CB2"/>
    <w:rsid w:val="EE4FDB37"/>
    <w:rsid w:val="EF3FF700"/>
    <w:rsid w:val="EF7B5E04"/>
    <w:rsid w:val="EF7BCBA2"/>
    <w:rsid w:val="EFCDEC9B"/>
    <w:rsid w:val="EFFBC663"/>
    <w:rsid w:val="EFFD07AD"/>
    <w:rsid w:val="EFFFA8B2"/>
    <w:rsid w:val="F0DEDFAD"/>
    <w:rsid w:val="F1AE645A"/>
    <w:rsid w:val="F1FF1818"/>
    <w:rsid w:val="F3772F3C"/>
    <w:rsid w:val="F37ED564"/>
    <w:rsid w:val="F3BF3875"/>
    <w:rsid w:val="F3FBCB4A"/>
    <w:rsid w:val="F3FF77F3"/>
    <w:rsid w:val="F5E7FA29"/>
    <w:rsid w:val="F6BFC3B5"/>
    <w:rsid w:val="F735D38D"/>
    <w:rsid w:val="F7866DA4"/>
    <w:rsid w:val="F7DFD54A"/>
    <w:rsid w:val="F7FF9EB7"/>
    <w:rsid w:val="F95E3510"/>
    <w:rsid w:val="F9ED5148"/>
    <w:rsid w:val="FA5F225A"/>
    <w:rsid w:val="FAC943D7"/>
    <w:rsid w:val="FB074B0D"/>
    <w:rsid w:val="FB6B49CC"/>
    <w:rsid w:val="FB6C5907"/>
    <w:rsid w:val="FB775688"/>
    <w:rsid w:val="FB7EAD1B"/>
    <w:rsid w:val="FB9FA346"/>
    <w:rsid w:val="FBB3930B"/>
    <w:rsid w:val="FBBB0208"/>
    <w:rsid w:val="FBD9C5CD"/>
    <w:rsid w:val="FBFD3817"/>
    <w:rsid w:val="FBFEB0CD"/>
    <w:rsid w:val="FBFFD7BB"/>
    <w:rsid w:val="FC3E0D67"/>
    <w:rsid w:val="FDBF26D0"/>
    <w:rsid w:val="FDEBDB07"/>
    <w:rsid w:val="FDF7C98F"/>
    <w:rsid w:val="FDFF6582"/>
    <w:rsid w:val="FE9DB65E"/>
    <w:rsid w:val="FED3CF78"/>
    <w:rsid w:val="FEEF684E"/>
    <w:rsid w:val="FEEFE4D4"/>
    <w:rsid w:val="FEF61032"/>
    <w:rsid w:val="FEFE5EDB"/>
    <w:rsid w:val="FF3F5386"/>
    <w:rsid w:val="FF5D76E8"/>
    <w:rsid w:val="FF76EF0A"/>
    <w:rsid w:val="FF97C000"/>
    <w:rsid w:val="FFA46B62"/>
    <w:rsid w:val="FFBF637C"/>
    <w:rsid w:val="FFDCC8E4"/>
    <w:rsid w:val="FFE04612"/>
    <w:rsid w:val="FFF5CC3E"/>
    <w:rsid w:val="FFFCC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60" w:beforeLines="0" w:after="160" w:afterLines="0" w:line="360" w:lineRule="auto"/>
      <w:outlineLvl w:val="0"/>
    </w:pPr>
    <w:rPr>
      <w:rFonts w:asciiTheme="minorAscii" w:hAnsiTheme="minorAscii"/>
      <w:b/>
      <w:kern w:val="44"/>
      <w:sz w:val="30"/>
      <w:szCs w:val="32"/>
    </w:rPr>
  </w:style>
  <w:style w:type="paragraph" w:styleId="3">
    <w:name w:val="heading 2"/>
    <w:basedOn w:val="1"/>
    <w:next w:val="1"/>
    <w:unhideWhenUsed/>
    <w:qFormat/>
    <w:uiPriority w:val="0"/>
    <w:pPr>
      <w:keepNext/>
      <w:keepLines/>
      <w:numPr>
        <w:ilvl w:val="0"/>
        <w:numId w:val="2"/>
      </w:numPr>
      <w:spacing w:before="180" w:beforeLines="0" w:after="180" w:afterLines="0" w:line="360" w:lineRule="auto"/>
      <w:outlineLvl w:val="1"/>
    </w:pPr>
    <w:rPr>
      <w:rFonts w:ascii="宋体" w:hAnsi="宋体" w:eastAsia="宋体" w:cs="宋体"/>
      <w:b/>
      <w:sz w:val="30"/>
    </w:rPr>
  </w:style>
  <w:style w:type="paragraph" w:styleId="4">
    <w:name w:val="heading 3"/>
    <w:basedOn w:val="1"/>
    <w:next w:val="1"/>
    <w:unhideWhenUsed/>
    <w:qFormat/>
    <w:uiPriority w:val="0"/>
    <w:pPr>
      <w:keepNext/>
      <w:keepLines/>
      <w:spacing w:beforeLines="0" w:afterLines="0" w:line="360" w:lineRule="auto"/>
      <w:ind w:firstLine="643" w:firstLineChars="200"/>
      <w:outlineLvl w:val="2"/>
    </w:pPr>
    <w:rPr>
      <w:rFonts w:ascii="宋体" w:hAnsi="宋体" w:eastAsia="宋体" w:cs="宋体"/>
      <w:b/>
      <w:sz w:val="28"/>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宋体"/>
      <w:sz w:val="28"/>
    </w:rPr>
  </w:style>
  <w:style w:type="character" w:default="1" w:styleId="20">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Body Text"/>
    <w:basedOn w:val="1"/>
    <w:next w:val="7"/>
    <w:qFormat/>
    <w:uiPriority w:val="1"/>
    <w:pPr>
      <w:widowControl w:val="0"/>
      <w:autoSpaceDE w:val="0"/>
      <w:autoSpaceDN w:val="0"/>
      <w:adjustRightInd w:val="0"/>
      <w:spacing w:before="0" w:after="0"/>
      <w:ind w:firstLine="566" w:firstLineChars="202"/>
    </w:pPr>
    <w:rPr>
      <w:rFonts w:ascii="华文仿宋" w:eastAsia="华文仿宋" w:cs="华文仿宋"/>
      <w:kern w:val="0"/>
      <w:szCs w:val="28"/>
    </w:rPr>
  </w:style>
  <w:style w:type="paragraph" w:customStyle="1" w:styleId="7">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8">
    <w:name w:val="Body Text Indent"/>
    <w:basedOn w:val="1"/>
    <w:unhideWhenUsed/>
    <w:qFormat/>
    <w:uiPriority w:val="99"/>
    <w:pPr>
      <w:spacing w:after="120"/>
      <w:ind w:left="420" w:leftChars="200"/>
    </w:pPr>
  </w:style>
  <w:style w:type="paragraph" w:styleId="9">
    <w:name w:val="toc 3"/>
    <w:basedOn w:val="1"/>
    <w:next w:val="1"/>
    <w:qFormat/>
    <w:uiPriority w:val="0"/>
    <w:pPr>
      <w:ind w:left="840" w:leftChars="4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rPr>
      <w:sz w:val="24"/>
    </w:rPr>
  </w:style>
  <w:style w:type="paragraph" w:styleId="15">
    <w:name w:val="Title"/>
    <w:basedOn w:val="1"/>
    <w:next w:val="1"/>
    <w:qFormat/>
    <w:uiPriority w:val="0"/>
    <w:pPr>
      <w:numPr>
        <w:ilvl w:val="0"/>
        <w:numId w:val="3"/>
      </w:numPr>
      <w:spacing w:before="240" w:after="60"/>
      <w:jc w:val="left"/>
      <w:outlineLvl w:val="0"/>
    </w:pPr>
    <w:rPr>
      <w:rFonts w:eastAsia="黑体" w:asciiTheme="majorHAnsi" w:hAnsiTheme="majorHAnsi" w:cstheme="majorBidi"/>
      <w:b/>
      <w:bCs/>
      <w:sz w:val="32"/>
      <w:szCs w:val="32"/>
    </w:rPr>
  </w:style>
  <w:style w:type="paragraph" w:styleId="16">
    <w:name w:val="Body Text First Indent"/>
    <w:basedOn w:val="6"/>
    <w:next w:val="6"/>
    <w:qFormat/>
    <w:uiPriority w:val="0"/>
    <w:pPr>
      <w:ind w:firstLine="420" w:firstLineChars="100"/>
      <w:textAlignment w:val="top"/>
    </w:pPr>
    <w:rPr>
      <w:rFonts w:ascii="Tahoma" w:hAnsi="Tahoma"/>
      <w:color w:val="000000"/>
    </w:rPr>
  </w:style>
  <w:style w:type="paragraph" w:styleId="17">
    <w:name w:val="Body Text First Indent 2"/>
    <w:basedOn w:val="8"/>
    <w:next w:val="16"/>
    <w:unhideWhenUsed/>
    <w:qFormat/>
    <w:uiPriority w:val="99"/>
    <w:pPr>
      <w:ind w:firstLine="420" w:firstLineChars="200"/>
    </w:pPr>
    <w:rPr>
      <w:rFonts w:ascii="Calibri" w:hAnsi="Calibri"/>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paragraph" w:customStyle="1" w:styleId="22">
    <w:name w:val="文字1"/>
    <w:basedOn w:val="1"/>
    <w:link w:val="24"/>
    <w:qFormat/>
    <w:uiPriority w:val="0"/>
    <w:pPr>
      <w:spacing w:before="120" w:after="120" w:line="360" w:lineRule="auto"/>
      <w:ind w:firstLine="420" w:firstLineChars="200"/>
    </w:pPr>
    <w:rPr>
      <w:rFonts w:asciiTheme="minorAscii" w:hAnsiTheme="minorAscii"/>
      <w:sz w:val="28"/>
      <w:szCs w:val="28"/>
    </w:rPr>
  </w:style>
  <w:style w:type="paragraph" w:customStyle="1" w:styleId="23">
    <w:name w:val="C-正"/>
    <w:basedOn w:val="1"/>
    <w:qFormat/>
    <w:uiPriority w:val="0"/>
    <w:pPr>
      <w:widowControl/>
      <w:spacing w:line="560" w:lineRule="exact"/>
      <w:ind w:firstLine="200" w:firstLineChars="200"/>
    </w:pPr>
    <w:rPr>
      <w:rFonts w:ascii="Times New Roman" w:hAnsi="Times New Roman" w:eastAsia="仿宋_GB2312"/>
      <w:kern w:val="0"/>
      <w:sz w:val="30"/>
      <w:szCs w:val="28"/>
    </w:rPr>
  </w:style>
  <w:style w:type="character" w:customStyle="1" w:styleId="24">
    <w:name w:val="文字1 Char"/>
    <w:link w:val="22"/>
    <w:qFormat/>
    <w:uiPriority w:val="0"/>
    <w:rPr>
      <w:rFonts w:asciiTheme="minorAscii" w:hAnsiTheme="minorAscii"/>
      <w:sz w:val="28"/>
      <w:szCs w:val="28"/>
    </w:rPr>
  </w:style>
  <w:style w:type="character" w:customStyle="1" w:styleId="25">
    <w:name w:val="font41"/>
    <w:basedOn w:val="20"/>
    <w:qFormat/>
    <w:uiPriority w:val="0"/>
    <w:rPr>
      <w:rFonts w:hint="eastAsia" w:ascii="宋体" w:hAnsi="宋体" w:eastAsia="宋体" w:cs="宋体"/>
      <w:b/>
      <w:bCs/>
      <w:color w:val="000000"/>
      <w:sz w:val="20"/>
      <w:szCs w:val="20"/>
      <w:u w:val="none"/>
    </w:rPr>
  </w:style>
  <w:style w:type="character" w:customStyle="1" w:styleId="26">
    <w:name w:val="font112"/>
    <w:basedOn w:val="20"/>
    <w:qFormat/>
    <w:uiPriority w:val="0"/>
    <w:rPr>
      <w:rFonts w:hint="eastAsia" w:ascii="宋体" w:hAnsi="宋体" w:eastAsia="宋体" w:cs="宋体"/>
      <w:color w:val="000000"/>
      <w:sz w:val="20"/>
      <w:szCs w:val="20"/>
      <w:u w:val="none"/>
    </w:rPr>
  </w:style>
  <w:style w:type="character" w:customStyle="1" w:styleId="27">
    <w:name w:val="font81"/>
    <w:basedOn w:val="20"/>
    <w:qFormat/>
    <w:uiPriority w:val="0"/>
    <w:rPr>
      <w:rFonts w:hint="eastAsia" w:ascii="宋体" w:hAnsi="宋体" w:eastAsia="宋体" w:cs="宋体"/>
      <w:b/>
      <w:bCs/>
      <w:color w:val="000000"/>
      <w:sz w:val="40"/>
      <w:szCs w:val="40"/>
      <w:u w:val="none"/>
    </w:rPr>
  </w:style>
  <w:style w:type="character" w:customStyle="1" w:styleId="28">
    <w:name w:val="font101"/>
    <w:basedOn w:val="20"/>
    <w:qFormat/>
    <w:uiPriority w:val="0"/>
    <w:rPr>
      <w:rFonts w:hint="eastAsia" w:ascii="宋体" w:hAnsi="宋体" w:eastAsia="宋体" w:cs="宋体"/>
      <w:color w:val="000000"/>
      <w:sz w:val="40"/>
      <w:szCs w:val="40"/>
      <w:u w:val="none"/>
    </w:rPr>
  </w:style>
  <w:style w:type="character" w:customStyle="1" w:styleId="29">
    <w:name w:val="font31"/>
    <w:basedOn w:val="20"/>
    <w:qFormat/>
    <w:uiPriority w:val="0"/>
    <w:rPr>
      <w:rFonts w:hint="eastAsia" w:ascii="宋体" w:hAnsi="宋体" w:eastAsia="宋体" w:cs="宋体"/>
      <w:b/>
      <w:bCs/>
      <w:color w:val="000000"/>
      <w:sz w:val="16"/>
      <w:szCs w:val="16"/>
      <w:u w:val="none"/>
    </w:rPr>
  </w:style>
  <w:style w:type="character" w:customStyle="1" w:styleId="30">
    <w:name w:val="font71"/>
    <w:basedOn w:val="20"/>
    <w:qFormat/>
    <w:uiPriority w:val="0"/>
    <w:rPr>
      <w:rFonts w:hint="eastAsia" w:ascii="宋体" w:hAnsi="宋体" w:eastAsia="宋体" w:cs="宋体"/>
      <w:color w:val="000000"/>
      <w:sz w:val="16"/>
      <w:szCs w:val="16"/>
      <w:u w:val="none"/>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WPSOffice手动目录 2"/>
    <w:qFormat/>
    <w:uiPriority w:val="0"/>
    <w:pPr>
      <w:ind w:leftChars="200"/>
    </w:pPr>
    <w:rPr>
      <w:rFonts w:ascii="Times New Roman" w:hAnsi="Times New Roman" w:eastAsia="宋体" w:cs="Times New Roman"/>
      <w:sz w:val="20"/>
      <w:szCs w:val="20"/>
    </w:rPr>
  </w:style>
  <w:style w:type="paragraph" w:customStyle="1" w:styleId="33">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14703</Words>
  <Characters>15033</Characters>
  <Lines>1</Lines>
  <Paragraphs>1</Paragraphs>
  <TotalTime>2</TotalTime>
  <ScaleCrop>false</ScaleCrop>
  <LinksUpToDate>false</LinksUpToDate>
  <CharactersWithSpaces>15269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2025-06-14T01:12:00Z</dcterms:created>
  <dc:creator>塔里里</dc:creator>
  <cp:lastModifiedBy>UOS</cp:lastModifiedBy>
  <cp:lastPrinted>2026-02-03T18:33:00Z</cp:lastPrinted>
  <dcterms:modified xsi:type="dcterms:W3CDTF">2026-03-23T14:53:18Z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01DAAEB6B103F1DCA8818A696E361495</vt:lpwstr>
  </property>
  <property fmtid="{D5CDD505-2E9C-101B-9397-08002B2CF9AE}" pid="4" name="KSOTemplateDocerSaveRecord">
    <vt:lpwstr>eyJoZGlkIjoiMGMzMjM5NGE2MmQ0Mjg0MmM0Mjc0YzQ1ODE2MjJlMjgiLCJ1c2VySWQiOiI2Mzc0MTg0MjQifQ==</vt:lpwstr>
  </property>
</Properties>
</file>