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DE4A8">
      <w:pPr>
        <w:adjustRightInd w:val="0"/>
        <w:snapToGrid w:val="0"/>
        <w:jc w:val="center"/>
        <w:rPr>
          <w:rFonts w:hint="default" w:ascii="Times New Roman" w:hAnsi="Times New Roman" w:eastAsia="仿宋" w:cs="Times New Roman"/>
          <w:b/>
          <w:color w:val="auto"/>
          <w:sz w:val="72"/>
          <w:szCs w:val="72"/>
          <w:highlight w:val="none"/>
        </w:rPr>
      </w:pPr>
    </w:p>
    <w:p w14:paraId="003B543C">
      <w:pPr>
        <w:pageBreakBefore w:val="0"/>
        <w:kinsoku/>
        <w:wordWrap/>
        <w:overflowPunct/>
        <w:topLinePunct w:val="0"/>
        <w:bidi w:val="0"/>
        <w:adjustRightInd/>
        <w:snapToGrid/>
        <w:spacing w:beforeAutospacing="0" w:afterAutospacing="0"/>
        <w:ind w:left="0" w:leftChars="0" w:right="0" w:rightChars="0" w:firstLine="0" w:firstLineChars="0"/>
        <w:jc w:val="center"/>
        <w:outlineLvl w:val="0"/>
        <w:rPr>
          <w:rFonts w:hint="default" w:ascii="Times New Roman" w:hAnsi="Times New Roman" w:eastAsia="仿宋" w:cs="Times New Roman"/>
          <w:b/>
          <w:bCs w:val="0"/>
          <w:color w:val="auto"/>
          <w:sz w:val="72"/>
          <w:szCs w:val="72"/>
          <w:highlight w:val="none"/>
        </w:rPr>
      </w:pPr>
    </w:p>
    <w:p w14:paraId="7F4D0142">
      <w:pPr>
        <w:pageBreakBefore w:val="0"/>
        <w:kinsoku/>
        <w:wordWrap/>
        <w:overflowPunct/>
        <w:topLinePunct w:val="0"/>
        <w:bidi w:val="0"/>
        <w:adjustRightInd/>
        <w:snapToGrid/>
        <w:spacing w:beforeAutospacing="0" w:afterAutospacing="0"/>
        <w:ind w:left="0" w:leftChars="0" w:right="0" w:rightChars="0" w:firstLine="0" w:firstLineChars="0"/>
        <w:jc w:val="center"/>
        <w:outlineLvl w:val="0"/>
        <w:rPr>
          <w:rFonts w:hint="default" w:ascii="Times New Roman" w:hAnsi="Times New Roman" w:eastAsia="仿宋" w:cs="Times New Roman"/>
          <w:b/>
          <w:bCs w:val="0"/>
          <w:color w:val="auto"/>
          <w:sz w:val="72"/>
          <w:szCs w:val="72"/>
          <w:highlight w:val="none"/>
        </w:rPr>
      </w:pPr>
      <w:r>
        <w:rPr>
          <w:rFonts w:hint="default" w:ascii="Times New Roman" w:hAnsi="Times New Roman" w:eastAsia="仿宋" w:cs="Times New Roman"/>
          <w:b/>
          <w:bCs w:val="0"/>
          <w:color w:val="auto"/>
          <w:sz w:val="72"/>
          <w:szCs w:val="72"/>
          <w:highlight w:val="none"/>
        </w:rPr>
        <w:t>建设项目环境影响报告表</w:t>
      </w:r>
    </w:p>
    <w:p w14:paraId="2C5519EF">
      <w:pPr>
        <w:pageBreakBefore w:val="0"/>
        <w:kinsoku/>
        <w:wordWrap/>
        <w:overflowPunct/>
        <w:topLinePunct w:val="0"/>
        <w:bidi w:val="0"/>
        <w:adjustRightInd/>
        <w:snapToGrid/>
        <w:spacing w:beforeAutospacing="0" w:afterAutospacing="0"/>
        <w:ind w:left="0" w:leftChars="0" w:right="0" w:rightChars="0" w:firstLine="0" w:firstLineChars="0"/>
        <w:jc w:val="center"/>
        <w:rPr>
          <w:rFonts w:hint="default" w:ascii="Times New Roman" w:hAnsi="Times New Roman" w:eastAsia="仿宋" w:cs="Times New Roman"/>
          <w:b/>
          <w:bCs w:val="0"/>
          <w:color w:val="auto"/>
          <w:sz w:val="48"/>
          <w:szCs w:val="48"/>
          <w:highlight w:val="none"/>
        </w:rPr>
      </w:pPr>
    </w:p>
    <w:p w14:paraId="09B8B680">
      <w:pPr>
        <w:pageBreakBefore w:val="0"/>
        <w:kinsoku/>
        <w:wordWrap/>
        <w:overflowPunct/>
        <w:topLinePunct w:val="0"/>
        <w:bidi w:val="0"/>
        <w:adjustRightInd/>
        <w:snapToGrid/>
        <w:spacing w:beforeAutospacing="0" w:afterAutospacing="0"/>
        <w:ind w:left="0" w:leftChars="0" w:right="0" w:rightChars="0" w:firstLine="0" w:firstLineChars="0"/>
        <w:jc w:val="center"/>
        <w:rPr>
          <w:rFonts w:hint="default" w:ascii="Times New Roman" w:hAnsi="Times New Roman" w:eastAsia="仿宋" w:cs="Times New Roman"/>
          <w:b/>
          <w:bCs w:val="0"/>
          <w:color w:val="auto"/>
          <w:sz w:val="48"/>
          <w:szCs w:val="48"/>
          <w:highlight w:val="none"/>
        </w:rPr>
      </w:pPr>
      <w:r>
        <w:rPr>
          <w:rFonts w:hint="default" w:ascii="Times New Roman" w:hAnsi="Times New Roman" w:eastAsia="仿宋" w:cs="Times New Roman"/>
          <w:b/>
          <w:bCs w:val="0"/>
          <w:color w:val="auto"/>
          <w:sz w:val="48"/>
          <w:szCs w:val="48"/>
          <w:highlight w:val="none"/>
        </w:rPr>
        <w:t>（生态影响类）</w:t>
      </w:r>
    </w:p>
    <w:p w14:paraId="752F88D9">
      <w:pPr>
        <w:pageBreakBefore w:val="0"/>
        <w:kinsoku/>
        <w:wordWrap/>
        <w:overflowPunct/>
        <w:topLinePunct w:val="0"/>
        <w:bidi w:val="0"/>
        <w:adjustRightInd/>
        <w:snapToGrid/>
        <w:spacing w:beforeAutospacing="0" w:afterAutospacing="0" w:line="288" w:lineRule="auto"/>
        <w:ind w:left="0" w:leftChars="0" w:right="0" w:rightChars="0"/>
        <w:jc w:val="center"/>
        <w:outlineLvl w:val="0"/>
        <w:rPr>
          <w:rFonts w:hint="default" w:ascii="Times New Roman" w:hAnsi="Times New Roman" w:eastAsia="仿宋" w:cs="Times New Roman"/>
          <w:b/>
          <w:bCs w:val="0"/>
          <w:color w:val="auto"/>
          <w:kern w:val="44"/>
          <w:sz w:val="44"/>
          <w:szCs w:val="44"/>
          <w:highlight w:val="none"/>
        </w:rPr>
      </w:pPr>
    </w:p>
    <w:p w14:paraId="26542BEB">
      <w:pPr>
        <w:pageBreakBefore w:val="0"/>
        <w:kinsoku/>
        <w:wordWrap/>
        <w:overflowPunct/>
        <w:topLinePunct w:val="0"/>
        <w:bidi w:val="0"/>
        <w:adjustRightInd/>
        <w:snapToGrid/>
        <w:spacing w:beforeAutospacing="0" w:afterAutospacing="0"/>
        <w:ind w:left="0" w:leftChars="0" w:right="0" w:rightChars="0"/>
        <w:jc w:val="center"/>
        <w:rPr>
          <w:rFonts w:hint="default" w:ascii="Times New Roman" w:hAnsi="Times New Roman" w:eastAsia="仿宋" w:cs="Times New Roman"/>
          <w:b/>
          <w:bCs w:val="0"/>
          <w:color w:val="auto"/>
          <w:sz w:val="52"/>
          <w:szCs w:val="52"/>
          <w:highlight w:val="none"/>
          <w:lang w:val="en-US" w:eastAsia="zh-CN"/>
        </w:rPr>
      </w:pPr>
    </w:p>
    <w:p w14:paraId="70BE25D9">
      <w:pPr>
        <w:pageBreakBefore w:val="0"/>
        <w:kinsoku/>
        <w:wordWrap/>
        <w:overflowPunct/>
        <w:topLinePunct w:val="0"/>
        <w:bidi w:val="0"/>
        <w:adjustRightInd/>
        <w:snapToGrid/>
        <w:spacing w:beforeAutospacing="0" w:afterAutospacing="0"/>
        <w:ind w:left="0" w:leftChars="0" w:right="0" w:rightChars="0" w:firstLine="1040"/>
        <w:rPr>
          <w:rFonts w:hint="default" w:ascii="Times New Roman" w:hAnsi="Times New Roman" w:eastAsia="仿宋" w:cs="Times New Roman"/>
          <w:b/>
          <w:bCs w:val="0"/>
          <w:color w:val="auto"/>
          <w:sz w:val="44"/>
          <w:szCs w:val="44"/>
          <w:highlight w:val="none"/>
        </w:rPr>
      </w:pPr>
    </w:p>
    <w:p w14:paraId="5954106B">
      <w:pPr>
        <w:pageBreakBefore w:val="0"/>
        <w:kinsoku/>
        <w:wordWrap/>
        <w:overflowPunct/>
        <w:topLinePunct w:val="0"/>
        <w:bidi w:val="0"/>
        <w:adjustRightInd/>
        <w:snapToGrid/>
        <w:spacing w:beforeAutospacing="0" w:afterAutospacing="0"/>
        <w:ind w:left="0" w:leftChars="0" w:right="0" w:rightChars="0"/>
        <w:jc w:val="right"/>
        <w:rPr>
          <w:rFonts w:hint="default" w:ascii="Times New Roman" w:hAnsi="Times New Roman" w:eastAsia="仿宋" w:cs="Times New Roman"/>
          <w:color w:val="auto"/>
          <w:highlight w:val="none"/>
        </w:rPr>
      </w:pPr>
    </w:p>
    <w:p w14:paraId="4A230416">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rPr>
      </w:pPr>
    </w:p>
    <w:p w14:paraId="492025A6">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b/>
          <w:bCs w:val="0"/>
          <w:color w:val="auto"/>
          <w:highlight w:val="none"/>
        </w:rPr>
      </w:pPr>
    </w:p>
    <w:p w14:paraId="782991C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仿宋" w:cs="Times New Roman"/>
          <w:b/>
          <w:bCs w:val="0"/>
          <w:color w:val="auto"/>
          <w:highlight w:val="none"/>
        </w:rPr>
      </w:pPr>
    </w:p>
    <w:p w14:paraId="460BDDC5">
      <w:pPr>
        <w:rPr>
          <w:rFonts w:hint="default" w:ascii="Times New Roman" w:hAnsi="Times New Roman" w:eastAsia="仿宋" w:cs="Times New Roman"/>
          <w:b/>
          <w:bCs w:val="0"/>
          <w:color w:val="auto"/>
          <w:highlight w:val="none"/>
        </w:rPr>
      </w:pPr>
    </w:p>
    <w:p w14:paraId="1059669E">
      <w:pPr>
        <w:pStyle w:val="8"/>
        <w:rPr>
          <w:rFonts w:hint="default" w:ascii="Times New Roman" w:hAnsi="Times New Roman" w:eastAsia="仿宋" w:cs="Times New Roman"/>
          <w:color w:val="auto"/>
          <w:highlight w:val="none"/>
        </w:rPr>
      </w:pPr>
    </w:p>
    <w:p w14:paraId="13AFA556">
      <w:pPr>
        <w:pStyle w:val="10"/>
        <w:rPr>
          <w:rFonts w:hint="default" w:ascii="Times New Roman" w:hAnsi="Times New Roman" w:eastAsia="仿宋" w:cs="Times New Roman"/>
          <w:b/>
          <w:bCs w:val="0"/>
          <w:color w:val="auto"/>
          <w:highlight w:val="none"/>
        </w:rPr>
      </w:pPr>
    </w:p>
    <w:p w14:paraId="7CADABC3">
      <w:pPr>
        <w:pStyle w:val="11"/>
        <w:rPr>
          <w:rFonts w:hint="default" w:ascii="Times New Roman" w:hAnsi="Times New Roman" w:eastAsia="仿宋" w:cs="Times New Roman"/>
          <w:b/>
          <w:bCs w:val="0"/>
          <w:color w:val="auto"/>
          <w:highlight w:val="none"/>
        </w:rPr>
      </w:pPr>
    </w:p>
    <w:p w14:paraId="0DB18AA1">
      <w:pPr>
        <w:rPr>
          <w:rFonts w:hint="default" w:ascii="Times New Roman" w:hAnsi="Times New Roman" w:eastAsia="仿宋" w:cs="Times New Roman"/>
          <w:color w:val="auto"/>
          <w:highlight w:val="none"/>
        </w:rPr>
      </w:pPr>
    </w:p>
    <w:p w14:paraId="2DC18B0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723" w:firstLineChars="200"/>
        <w:jc w:val="both"/>
        <w:textAlignment w:val="auto"/>
        <w:rPr>
          <w:rFonts w:hint="default" w:ascii="Times New Roman" w:hAnsi="Times New Roman" w:eastAsia="仿宋" w:cs="Times New Roman"/>
          <w:b/>
          <w:bCs w:val="0"/>
          <w:color w:val="auto"/>
          <w:sz w:val="36"/>
          <w:szCs w:val="36"/>
          <w:highlight w:val="none"/>
          <w:u w:val="single"/>
          <w:lang w:val="en-US"/>
        </w:rPr>
      </w:pPr>
      <w:r>
        <w:rPr>
          <w:rFonts w:hint="default" w:ascii="Times New Roman" w:hAnsi="Times New Roman" w:eastAsia="仿宋" w:cs="Times New Roman"/>
          <w:b/>
          <w:bCs w:val="0"/>
          <w:color w:val="auto"/>
          <w:sz w:val="36"/>
          <w:szCs w:val="36"/>
          <w:highlight w:val="none"/>
        </w:rPr>
        <w:t>项目名称：</w:t>
      </w:r>
      <w:r>
        <w:rPr>
          <w:rFonts w:hint="eastAsia" w:ascii="Times New Roman" w:hAnsi="Times New Roman" w:eastAsia="仿宋" w:cs="Times New Roman"/>
          <w:b/>
          <w:bCs w:val="0"/>
          <w:color w:val="auto"/>
          <w:sz w:val="36"/>
          <w:szCs w:val="36"/>
          <w:highlight w:val="none"/>
          <w:u w:val="single"/>
          <w:lang w:val="en-US" w:eastAsia="zh-CN"/>
        </w:rPr>
        <w:t xml:space="preserve">   张掖经济技术开发区兔儿坝滩水库工程 </w:t>
      </w:r>
    </w:p>
    <w:p w14:paraId="6DB34A5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723" w:firstLineChars="200"/>
        <w:jc w:val="both"/>
        <w:textAlignment w:val="auto"/>
        <w:rPr>
          <w:rFonts w:hint="default" w:ascii="Times New Roman" w:hAnsi="Times New Roman" w:eastAsia="仿宋" w:cs="Times New Roman"/>
          <w:b/>
          <w:bCs w:val="0"/>
          <w:color w:val="auto"/>
          <w:sz w:val="36"/>
          <w:szCs w:val="36"/>
          <w:highlight w:val="none"/>
          <w:u w:val="single"/>
          <w:lang w:val="en-US" w:eastAsia="zh-CN"/>
        </w:rPr>
      </w:pPr>
      <w:r>
        <w:rPr>
          <w:rFonts w:hint="default" w:ascii="Times New Roman" w:hAnsi="Times New Roman" w:eastAsia="仿宋" w:cs="Times New Roman"/>
          <w:b/>
          <w:bCs w:val="0"/>
          <w:color w:val="auto"/>
          <w:sz w:val="36"/>
          <w:szCs w:val="36"/>
          <w:highlight w:val="none"/>
        </w:rPr>
        <w:t>建设单位（盖章）：</w:t>
      </w:r>
      <w:r>
        <w:rPr>
          <w:rFonts w:hint="eastAsia" w:ascii="Times New Roman" w:hAnsi="Times New Roman" w:eastAsia="仿宋" w:cs="Times New Roman"/>
          <w:b/>
          <w:bCs w:val="0"/>
          <w:color w:val="auto"/>
          <w:sz w:val="36"/>
          <w:szCs w:val="36"/>
          <w:highlight w:val="none"/>
          <w:u w:val="single"/>
          <w:lang w:val="en-US" w:eastAsia="zh-CN"/>
        </w:rPr>
        <w:t>张掖市开源通达供水有限责任公司</w:t>
      </w:r>
    </w:p>
    <w:p w14:paraId="0FEE22A9">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both"/>
        <w:textAlignment w:val="auto"/>
        <w:rPr>
          <w:rFonts w:hint="default" w:ascii="Times New Roman" w:hAnsi="Times New Roman" w:eastAsia="仿宋" w:cs="Times New Roman"/>
          <w:b/>
          <w:bCs w:val="0"/>
          <w:color w:val="auto"/>
          <w:sz w:val="36"/>
          <w:szCs w:val="36"/>
          <w:highlight w:val="none"/>
          <w:u w:val="single"/>
          <w:lang w:val="en-US" w:eastAsia="zh-CN"/>
        </w:rPr>
      </w:pPr>
      <w:r>
        <w:rPr>
          <w:rFonts w:hint="default" w:ascii="Times New Roman" w:hAnsi="Times New Roman" w:eastAsia="仿宋" w:cs="Times New Roman"/>
          <w:b/>
          <w:bCs w:val="0"/>
          <w:color w:val="auto"/>
          <w:sz w:val="36"/>
          <w:szCs w:val="36"/>
          <w:highlight w:val="none"/>
        </w:rPr>
        <w:t>编制日期：</w:t>
      </w:r>
      <w:r>
        <w:rPr>
          <w:rFonts w:hint="eastAsia" w:ascii="Times New Roman" w:hAnsi="Times New Roman" w:eastAsia="仿宋" w:cs="Times New Roman"/>
          <w:b/>
          <w:bCs w:val="0"/>
          <w:color w:val="auto"/>
          <w:sz w:val="36"/>
          <w:szCs w:val="36"/>
          <w:highlight w:val="none"/>
          <w:u w:val="single"/>
          <w:lang w:val="en-US" w:eastAsia="zh-CN"/>
        </w:rPr>
        <w:t xml:space="preserve">           </w:t>
      </w:r>
      <w:r>
        <w:rPr>
          <w:rFonts w:hint="default" w:ascii="Times New Roman" w:hAnsi="Times New Roman" w:eastAsia="仿宋" w:cs="Times New Roman"/>
          <w:b/>
          <w:bCs w:val="0"/>
          <w:color w:val="auto"/>
          <w:sz w:val="36"/>
          <w:szCs w:val="36"/>
          <w:highlight w:val="none"/>
          <w:u w:val="single"/>
          <w:lang w:val="en-US" w:eastAsia="zh-CN"/>
        </w:rPr>
        <w:t>202</w:t>
      </w:r>
      <w:r>
        <w:rPr>
          <w:rFonts w:hint="eastAsia" w:ascii="Times New Roman" w:hAnsi="Times New Roman" w:eastAsia="仿宋" w:cs="Times New Roman"/>
          <w:b/>
          <w:bCs w:val="0"/>
          <w:color w:val="auto"/>
          <w:sz w:val="36"/>
          <w:szCs w:val="36"/>
          <w:highlight w:val="none"/>
          <w:u w:val="single"/>
          <w:lang w:val="en-US" w:eastAsia="zh-CN"/>
        </w:rPr>
        <w:t>6</w:t>
      </w:r>
      <w:r>
        <w:rPr>
          <w:rFonts w:hint="default" w:ascii="Times New Roman" w:hAnsi="Times New Roman" w:eastAsia="仿宋" w:cs="Times New Roman"/>
          <w:b/>
          <w:bCs w:val="0"/>
          <w:color w:val="auto"/>
          <w:sz w:val="36"/>
          <w:szCs w:val="36"/>
          <w:highlight w:val="none"/>
          <w:u w:val="single"/>
          <w:lang w:val="en-US" w:eastAsia="zh-CN"/>
        </w:rPr>
        <w:t>年</w:t>
      </w:r>
      <w:r>
        <w:rPr>
          <w:rFonts w:hint="eastAsia" w:eastAsia="仿宋" w:cs="Times New Roman"/>
          <w:b/>
          <w:bCs w:val="0"/>
          <w:color w:val="auto"/>
          <w:sz w:val="36"/>
          <w:szCs w:val="36"/>
          <w:highlight w:val="none"/>
          <w:u w:val="single"/>
          <w:lang w:val="en-US" w:eastAsia="zh-CN"/>
        </w:rPr>
        <w:t xml:space="preserve">4 </w:t>
      </w:r>
      <w:r>
        <w:rPr>
          <w:rFonts w:hint="default" w:ascii="Times New Roman" w:hAnsi="Times New Roman" w:eastAsia="仿宋" w:cs="Times New Roman"/>
          <w:b/>
          <w:bCs w:val="0"/>
          <w:color w:val="auto"/>
          <w:sz w:val="36"/>
          <w:szCs w:val="36"/>
          <w:highlight w:val="none"/>
          <w:u w:val="single"/>
          <w:lang w:val="en-US" w:eastAsia="zh-CN"/>
        </w:rPr>
        <w:t>月</w:t>
      </w:r>
      <w:r>
        <w:rPr>
          <w:rFonts w:hint="eastAsia" w:ascii="Times New Roman" w:hAnsi="Times New Roman" w:eastAsia="仿宋" w:cs="Times New Roman"/>
          <w:b/>
          <w:bCs w:val="0"/>
          <w:color w:val="auto"/>
          <w:sz w:val="36"/>
          <w:szCs w:val="36"/>
          <w:highlight w:val="none"/>
          <w:u w:val="single"/>
          <w:lang w:val="en-US" w:eastAsia="zh-CN"/>
        </w:rPr>
        <w:t xml:space="preserve">               </w:t>
      </w:r>
    </w:p>
    <w:p w14:paraId="778CE652">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lang w:val="en-US" w:eastAsia="zh-CN"/>
        </w:rPr>
      </w:pPr>
    </w:p>
    <w:p w14:paraId="22D94D3C">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rPr>
      </w:pPr>
    </w:p>
    <w:p w14:paraId="1AC54215">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rPr>
      </w:pPr>
    </w:p>
    <w:p w14:paraId="54686DC8">
      <w:pPr>
        <w:pStyle w:val="10"/>
        <w:rPr>
          <w:rFonts w:hint="default" w:ascii="Times New Roman" w:hAnsi="Times New Roman" w:eastAsia="仿宋" w:cs="Times New Roman"/>
          <w:color w:val="auto"/>
          <w:highlight w:val="none"/>
        </w:rPr>
      </w:pPr>
    </w:p>
    <w:p w14:paraId="002080A5">
      <w:pPr>
        <w:pStyle w:val="11"/>
        <w:rPr>
          <w:rFonts w:hint="default" w:ascii="Times New Roman" w:hAnsi="Times New Roman" w:eastAsia="仿宋" w:cs="Times New Roman"/>
          <w:color w:val="auto"/>
          <w:highlight w:val="none"/>
        </w:rPr>
      </w:pPr>
    </w:p>
    <w:p w14:paraId="63A35323">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rPr>
      </w:pPr>
    </w:p>
    <w:p w14:paraId="29DAE012">
      <w:pPr>
        <w:pageBreakBefore w:val="0"/>
        <w:kinsoku/>
        <w:wordWrap/>
        <w:overflowPunct/>
        <w:topLinePunct w:val="0"/>
        <w:bidi w:val="0"/>
        <w:adjustRightInd/>
        <w:snapToGrid/>
        <w:spacing w:beforeAutospacing="0" w:afterAutospacing="0"/>
        <w:ind w:left="0" w:leftChars="0" w:right="0" w:rightChars="0"/>
        <w:rPr>
          <w:rFonts w:hint="default" w:ascii="Times New Roman" w:hAnsi="Times New Roman" w:eastAsia="仿宋" w:cs="Times New Roman"/>
          <w:color w:val="auto"/>
          <w:highlight w:val="none"/>
        </w:rPr>
      </w:pPr>
    </w:p>
    <w:p w14:paraId="3D0FE089">
      <w:pPr>
        <w:pStyle w:val="41"/>
        <w:rPr>
          <w:rFonts w:hint="default" w:ascii="Times New Roman" w:hAnsi="Times New Roman" w:eastAsia="仿宋" w:cs="Times New Roman"/>
          <w:color w:val="auto"/>
          <w:highlight w:val="none"/>
        </w:rPr>
      </w:pPr>
    </w:p>
    <w:p w14:paraId="19429CC1">
      <w:pPr>
        <w:pageBreakBefore w:val="0"/>
        <w:kinsoku/>
        <w:wordWrap/>
        <w:overflowPunct/>
        <w:topLinePunct w:val="0"/>
        <w:bidi w:val="0"/>
        <w:adjustRightInd/>
        <w:snapToGrid/>
        <w:spacing w:beforeAutospacing="0" w:afterAutospacing="0" w:line="288" w:lineRule="auto"/>
        <w:ind w:left="0" w:leftChars="0" w:right="0" w:rightChars="0" w:firstLine="0" w:firstLineChars="0"/>
        <w:jc w:val="center"/>
        <w:rPr>
          <w:rFonts w:hint="default" w:ascii="Times New Roman" w:hAnsi="Times New Roman" w:eastAsia="仿宋" w:cs="Times New Roman"/>
          <w:b/>
          <w:bCs w:val="0"/>
          <w:color w:val="auto"/>
          <w:sz w:val="36"/>
          <w:szCs w:val="36"/>
          <w:highlight w:val="none"/>
        </w:rPr>
      </w:pPr>
      <w:r>
        <w:rPr>
          <w:rFonts w:hint="default" w:ascii="Times New Roman" w:hAnsi="Times New Roman" w:eastAsia="仿宋" w:cs="Times New Roman"/>
          <w:b/>
          <w:bCs w:val="0"/>
          <w:color w:val="auto"/>
          <w:sz w:val="36"/>
          <w:szCs w:val="36"/>
          <w:highlight w:val="none"/>
        </w:rPr>
        <w:t>中华人民共和国生态环境部制</w:t>
      </w:r>
    </w:p>
    <w:p w14:paraId="46EF82FD">
      <w:pPr>
        <w:pStyle w:val="41"/>
        <w:rPr>
          <w:rFonts w:hint="default" w:ascii="Times New Roman" w:hAnsi="Times New Roman" w:eastAsia="仿宋" w:cs="Times New Roman"/>
          <w:b/>
          <w:color w:val="auto"/>
          <w:sz w:val="72"/>
          <w:szCs w:val="72"/>
          <w:highlight w:val="none"/>
        </w:rPr>
        <w:sectPr>
          <w:pgSz w:w="11906" w:h="16838"/>
          <w:pgMar w:top="1134" w:right="1134" w:bottom="1134" w:left="1134" w:header="851" w:footer="1077"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autofit"/>
        <w:tblCellMar>
          <w:top w:w="0" w:type="dxa"/>
          <w:left w:w="108" w:type="dxa"/>
          <w:bottom w:w="0" w:type="dxa"/>
          <w:right w:w="108" w:type="dxa"/>
        </w:tblCellMar>
      </w:tblPr>
      <w:tblGrid>
        <w:gridCol w:w="5016"/>
        <w:gridCol w:w="4838"/>
      </w:tblGrid>
      <w:tr w14:paraId="59802148">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3609" w:hRule="atLeast"/>
        </w:trPr>
        <w:tc>
          <w:tcPr>
            <w:tcW w:w="4927" w:type="dxa"/>
            <w:tcBorders>
              <w:tl2br w:val="nil"/>
              <w:tr2bl w:val="nil"/>
            </w:tcBorders>
            <w:vAlign w:val="top"/>
          </w:tcPr>
          <w:p w14:paraId="71EBB2B0">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position w:val="-60"/>
              </w:rPr>
              <w:drawing>
                <wp:inline distT="0" distB="0" distL="0" distR="0">
                  <wp:extent cx="3018155" cy="2329180"/>
                  <wp:effectExtent l="0" t="0" r="10795" b="1397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3018155" cy="2329180"/>
                          </a:xfrm>
                          <a:prstGeom prst="rect">
                            <a:avLst/>
                          </a:prstGeom>
                        </pic:spPr>
                      </pic:pic>
                    </a:graphicData>
                  </a:graphic>
                </wp:inline>
              </w:drawing>
            </w:r>
          </w:p>
        </w:tc>
        <w:tc>
          <w:tcPr>
            <w:tcW w:w="4927" w:type="dxa"/>
            <w:tcBorders>
              <w:tl2br w:val="nil"/>
              <w:tr2bl w:val="nil"/>
            </w:tcBorders>
            <w:vAlign w:val="top"/>
          </w:tcPr>
          <w:p w14:paraId="6990C2CA">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ascii="Times New Roman" w:hAnsi="Times New Roman" w:eastAsia="仿宋" w:cs="Times New Roman"/>
                <w:b/>
                <w:bCs/>
                <w:snapToGrid w:val="0"/>
                <w:color w:val="auto"/>
                <w:kern w:val="0"/>
                <w:sz w:val="24"/>
                <w:szCs w:val="24"/>
                <w:highlight w:val="none"/>
                <w:vertAlign w:val="baseline"/>
                <w:lang w:val="en-US" w:eastAsia="zh-CN" w:bidi="ar-SA"/>
              </w:rPr>
              <w:drawing>
                <wp:inline distT="0" distB="0" distL="114300" distR="114300">
                  <wp:extent cx="2940685" cy="2286000"/>
                  <wp:effectExtent l="0" t="0" r="12065" b="0"/>
                  <wp:docPr id="5" name="图片 5" descr="DJI_20251225125528_0244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JI_20251225125528_0244_D"/>
                          <pic:cNvPicPr>
                            <a:picLocks noChangeAspect="1"/>
                          </pic:cNvPicPr>
                        </pic:nvPicPr>
                        <pic:blipFill>
                          <a:blip r:embed="rId10"/>
                          <a:stretch>
                            <a:fillRect/>
                          </a:stretch>
                        </pic:blipFill>
                        <pic:spPr>
                          <a:xfrm>
                            <a:off x="0" y="0"/>
                            <a:ext cx="2940685" cy="2286000"/>
                          </a:xfrm>
                          <a:prstGeom prst="rect">
                            <a:avLst/>
                          </a:prstGeom>
                        </pic:spPr>
                      </pic:pic>
                    </a:graphicData>
                  </a:graphic>
                </wp:inline>
              </w:drawing>
            </w:r>
          </w:p>
        </w:tc>
      </w:tr>
      <w:tr w14:paraId="1D882BA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367" w:hRule="atLeast"/>
        </w:trPr>
        <w:tc>
          <w:tcPr>
            <w:tcW w:w="4927" w:type="dxa"/>
            <w:tcBorders>
              <w:tl2br w:val="nil"/>
              <w:tr2bl w:val="nil"/>
            </w:tcBorders>
            <w:vAlign w:val="top"/>
          </w:tcPr>
          <w:p w14:paraId="78BB61D0">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eastAsia" w:ascii="Times New Roman" w:hAnsi="Times New Roman" w:eastAsia="仿宋" w:cs="Times New Roman"/>
                <w:b/>
                <w:bCs/>
                <w:snapToGrid w:val="0"/>
                <w:color w:val="auto"/>
                <w:sz w:val="24"/>
                <w:szCs w:val="24"/>
                <w:highlight w:val="none"/>
                <w:vertAlign w:val="baseline"/>
                <w:lang w:val="en-US" w:eastAsia="zh-CN"/>
              </w:rPr>
              <w:t>西南侧</w:t>
            </w:r>
            <w:r>
              <w:rPr>
                <w:rFonts w:hint="default" w:ascii="Times New Roman" w:hAnsi="Times New Roman" w:eastAsia="仿宋" w:cs="Times New Roman"/>
                <w:b/>
                <w:bCs/>
                <w:snapToGrid w:val="0"/>
                <w:color w:val="auto"/>
                <w:sz w:val="24"/>
                <w:szCs w:val="24"/>
                <w:highlight w:val="none"/>
                <w:vertAlign w:val="baseline"/>
                <w:lang w:val="en-US" w:eastAsia="zh-CN"/>
              </w:rPr>
              <w:t>在建水厂</w:t>
            </w:r>
          </w:p>
        </w:tc>
        <w:tc>
          <w:tcPr>
            <w:tcW w:w="4927" w:type="dxa"/>
            <w:tcBorders>
              <w:tl2br w:val="nil"/>
              <w:tr2bl w:val="nil"/>
            </w:tcBorders>
            <w:vAlign w:val="top"/>
          </w:tcPr>
          <w:p w14:paraId="19875E2F">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eastAsia" w:ascii="Times New Roman" w:hAnsi="Times New Roman" w:eastAsia="仿宋" w:cs="Times New Roman"/>
                <w:b/>
                <w:bCs/>
                <w:snapToGrid w:val="0"/>
                <w:color w:val="auto"/>
                <w:sz w:val="24"/>
                <w:szCs w:val="24"/>
                <w:highlight w:val="none"/>
                <w:vertAlign w:val="baseline"/>
                <w:lang w:val="en-US" w:eastAsia="zh-CN"/>
              </w:rPr>
              <w:t>西侧水工程施工生产生活区</w:t>
            </w:r>
          </w:p>
        </w:tc>
      </w:tr>
      <w:tr w14:paraId="3EF65487">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4927" w:type="dxa"/>
            <w:tcBorders>
              <w:tl2br w:val="nil"/>
              <w:tr2bl w:val="nil"/>
            </w:tcBorders>
            <w:vAlign w:val="top"/>
          </w:tcPr>
          <w:p w14:paraId="1A52F090">
            <w:pPr>
              <w:pStyle w:val="23"/>
              <w:keepNext w:val="0"/>
              <w:keepLines w:val="0"/>
              <w:suppressLineNumbers w:val="0"/>
              <w:spacing w:before="0" w:beforeAutospacing="0" w:after="0" w:afterAutospacing="0"/>
              <w:ind w:left="0" w:right="0"/>
              <w:jc w:val="both"/>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sz w:val="24"/>
              </w:rPr>
              <mc:AlternateContent>
                <mc:Choice Requires="wps">
                  <w:drawing>
                    <wp:anchor distT="0" distB="0" distL="114300" distR="114300" simplePos="0" relativeHeight="251678720" behindDoc="0" locked="0" layoutInCell="1" allowOverlap="1">
                      <wp:simplePos x="0" y="0"/>
                      <wp:positionH relativeFrom="column">
                        <wp:posOffset>493395</wp:posOffset>
                      </wp:positionH>
                      <wp:positionV relativeFrom="paragraph">
                        <wp:posOffset>660400</wp:posOffset>
                      </wp:positionV>
                      <wp:extent cx="2512060" cy="942975"/>
                      <wp:effectExtent l="20955" t="6350" r="19685" b="22225"/>
                      <wp:wrapNone/>
                      <wp:docPr id="11" name="任意多边形 11"/>
                      <wp:cNvGraphicFramePr/>
                      <a:graphic xmlns:a="http://schemas.openxmlformats.org/drawingml/2006/main">
                        <a:graphicData uri="http://schemas.microsoft.com/office/word/2010/wordprocessingShape">
                          <wps:wsp>
                            <wps:cNvSpPr/>
                            <wps:spPr>
                              <a:xfrm>
                                <a:off x="1213485" y="3975735"/>
                                <a:ext cx="2512060" cy="942975"/>
                              </a:xfrm>
                              <a:custGeom>
                                <a:avLst/>
                                <a:gdLst>
                                  <a:gd name="connisteX0" fmla="*/ 1419225 w 2512060"/>
                                  <a:gd name="connsiteY0" fmla="*/ 0 h 942975"/>
                                  <a:gd name="connisteX1" fmla="*/ 0 w 2512060"/>
                                  <a:gd name="connsiteY1" fmla="*/ 317500 h 942975"/>
                                  <a:gd name="connisteX2" fmla="*/ 1531620 w 2512060"/>
                                  <a:gd name="connsiteY2" fmla="*/ 942975 h 942975"/>
                                  <a:gd name="connisteX3" fmla="*/ 2502535 w 2512060"/>
                                  <a:gd name="connsiteY3" fmla="*/ 382905 h 942975"/>
                                  <a:gd name="connisteX4" fmla="*/ 2512060 w 2512060"/>
                                  <a:gd name="connsiteY4" fmla="*/ 280035 h 942975"/>
                                  <a:gd name="connisteX5" fmla="*/ 1419225 w 2512060"/>
                                  <a:gd name="connsiteY5" fmla="*/ 0 h 942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2512060" h="942975">
                                    <a:moveTo>
                                      <a:pt x="1419225" y="0"/>
                                    </a:moveTo>
                                    <a:lnTo>
                                      <a:pt x="0" y="317500"/>
                                    </a:lnTo>
                                    <a:lnTo>
                                      <a:pt x="1531620" y="942975"/>
                                    </a:lnTo>
                                    <a:lnTo>
                                      <a:pt x="2502535" y="382905"/>
                                    </a:lnTo>
                                    <a:lnTo>
                                      <a:pt x="2512060" y="280035"/>
                                    </a:lnTo>
                                    <a:lnTo>
                                      <a:pt x="141922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8.85pt;margin-top:52pt;height:74.25pt;width:197.8pt;z-index:251678720;mso-width-relative:page;mso-height-relative:page;" filled="f" stroked="t" coordsize="2512060,942975" o:gfxdata="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R7JKI2gAAAAoBAAAPAAAAAAAAAAEAIAAAACIAAABkcnMvZG93bnJldi54&#10;bWxQSwECFAAUAAAACACHTuJAVdnBUk4DAAAxCQAADgAAAAAAAAABACAAAAApAQAAZHJzL2Uyb0Rv&#10;Yy54bWxQSwUGAAAAAAYABgBZAQAA6QYAAAAA&#10;" path="m1419225,0l0,317500,1531620,942975,2502535,382905,2512060,280035,1419225,0xe">
                      <v:path o:connectlocs="1419225,0;0,317500;1531620,942975;2502535,382905;2512060,280035;1419225,0" o:connectangles="0,0,0,0,0,0"/>
                      <v:fill on="f" focussize="0,0"/>
                      <v:stroke weight="1pt" color="#FF0000 [2404]" miterlimit="8" joinstyle="miter"/>
                      <v:imagedata o:title=""/>
                      <o:lock v:ext="edit" aspectratio="f"/>
                    </v:shape>
                  </w:pict>
                </mc:Fallback>
              </mc:AlternateContent>
            </w:r>
            <w:r>
              <w:rPr>
                <w:rFonts w:hint="default"/>
                <w:position w:val="-60"/>
              </w:rPr>
              <w:drawing>
                <wp:inline distT="0" distB="0" distL="0" distR="0">
                  <wp:extent cx="3023235" cy="2186305"/>
                  <wp:effectExtent l="0" t="0" r="5715" b="444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3023235" cy="2186305"/>
                          </a:xfrm>
                          <a:prstGeom prst="rect">
                            <a:avLst/>
                          </a:prstGeom>
                        </pic:spPr>
                      </pic:pic>
                    </a:graphicData>
                  </a:graphic>
                </wp:inline>
              </w:drawing>
            </w:r>
          </w:p>
        </w:tc>
        <w:tc>
          <w:tcPr>
            <w:tcW w:w="4927" w:type="dxa"/>
            <w:tcBorders>
              <w:tl2br w:val="nil"/>
              <w:tr2bl w:val="nil"/>
            </w:tcBorders>
            <w:vAlign w:val="top"/>
          </w:tcPr>
          <w:p w14:paraId="29D48A60">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position w:val="-63"/>
              </w:rPr>
              <w:drawing>
                <wp:inline distT="0" distB="0" distL="0" distR="0">
                  <wp:extent cx="2887980" cy="2215515"/>
                  <wp:effectExtent l="0" t="0" r="7620" b="13335"/>
                  <wp:docPr id="2" name="IM 22"/>
                  <wp:cNvGraphicFramePr/>
                  <a:graphic xmlns:a="http://schemas.openxmlformats.org/drawingml/2006/main">
                    <a:graphicData uri="http://schemas.openxmlformats.org/drawingml/2006/picture">
                      <pic:pic xmlns:pic="http://schemas.openxmlformats.org/drawingml/2006/picture">
                        <pic:nvPicPr>
                          <pic:cNvPr id="2" name="IM 22"/>
                          <pic:cNvPicPr/>
                        </pic:nvPicPr>
                        <pic:blipFill>
                          <a:blip r:embed="rId12"/>
                          <a:stretch>
                            <a:fillRect/>
                          </a:stretch>
                        </pic:blipFill>
                        <pic:spPr>
                          <a:xfrm>
                            <a:off x="0" y="0"/>
                            <a:ext cx="2887980" cy="2215515"/>
                          </a:xfrm>
                          <a:prstGeom prst="rect">
                            <a:avLst/>
                          </a:prstGeom>
                        </pic:spPr>
                      </pic:pic>
                    </a:graphicData>
                  </a:graphic>
                </wp:inline>
              </w:drawing>
            </w:r>
          </w:p>
        </w:tc>
      </w:tr>
      <w:tr w14:paraId="0E96907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4927" w:type="dxa"/>
            <w:tcBorders>
              <w:tl2br w:val="nil"/>
              <w:tr2bl w:val="nil"/>
            </w:tcBorders>
            <w:vAlign w:val="top"/>
          </w:tcPr>
          <w:p w14:paraId="5E7D2F78">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eastAsia" w:ascii="Times New Roman" w:hAnsi="Times New Roman" w:eastAsia="仿宋" w:cs="Times New Roman"/>
                <w:b/>
                <w:bCs/>
                <w:snapToGrid w:val="0"/>
                <w:color w:val="auto"/>
                <w:sz w:val="24"/>
                <w:szCs w:val="24"/>
                <w:highlight w:val="none"/>
                <w:vertAlign w:val="baseline"/>
                <w:lang w:val="en-US" w:eastAsia="zh-CN"/>
              </w:rPr>
              <w:t>项目区航拍现状（空地）</w:t>
            </w:r>
          </w:p>
        </w:tc>
        <w:tc>
          <w:tcPr>
            <w:tcW w:w="4927" w:type="dxa"/>
            <w:tcBorders>
              <w:tl2br w:val="nil"/>
              <w:tr2bl w:val="nil"/>
            </w:tcBorders>
            <w:vAlign w:val="top"/>
          </w:tcPr>
          <w:p w14:paraId="22208837">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eastAsia" w:ascii="Times New Roman" w:hAnsi="Times New Roman" w:eastAsia="仿宋" w:cs="Times New Roman"/>
                <w:b/>
                <w:bCs/>
                <w:snapToGrid w:val="0"/>
                <w:color w:val="auto"/>
                <w:sz w:val="24"/>
                <w:szCs w:val="24"/>
                <w:highlight w:val="none"/>
                <w:vertAlign w:val="baseline"/>
                <w:lang w:val="en-US" w:eastAsia="zh-CN"/>
              </w:rPr>
              <w:t>项目区周边现状</w:t>
            </w:r>
          </w:p>
        </w:tc>
      </w:tr>
      <w:tr w14:paraId="3BF62688">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4927" w:type="dxa"/>
            <w:tcBorders>
              <w:tl2br w:val="nil"/>
              <w:tr2bl w:val="nil"/>
            </w:tcBorders>
            <w:vAlign w:val="top"/>
          </w:tcPr>
          <w:p w14:paraId="24FD1EBF">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ascii="Times New Roman" w:hAnsi="Times New Roman" w:eastAsia="仿宋" w:cs="Times New Roman"/>
                <w:b/>
                <w:bCs/>
                <w:snapToGrid w:val="0"/>
                <w:color w:val="auto"/>
                <w:kern w:val="0"/>
                <w:sz w:val="24"/>
                <w:szCs w:val="24"/>
                <w:highlight w:val="none"/>
                <w:vertAlign w:val="baseline"/>
                <w:lang w:val="en-US" w:eastAsia="zh-CN" w:bidi="ar-SA"/>
              </w:rPr>
              <w:drawing>
                <wp:inline distT="0" distB="0" distL="114300" distR="114300">
                  <wp:extent cx="3061335" cy="2237740"/>
                  <wp:effectExtent l="0" t="0" r="5715" b="10160"/>
                  <wp:docPr id="6" name="图片 6" descr="DJI_20251225125734_024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20251225125734_0248_D"/>
                          <pic:cNvPicPr>
                            <a:picLocks noChangeAspect="1"/>
                          </pic:cNvPicPr>
                        </pic:nvPicPr>
                        <pic:blipFill>
                          <a:blip r:embed="rId13"/>
                          <a:stretch>
                            <a:fillRect/>
                          </a:stretch>
                        </pic:blipFill>
                        <pic:spPr>
                          <a:xfrm>
                            <a:off x="0" y="0"/>
                            <a:ext cx="3061335" cy="2237740"/>
                          </a:xfrm>
                          <a:prstGeom prst="rect">
                            <a:avLst/>
                          </a:prstGeom>
                        </pic:spPr>
                      </pic:pic>
                    </a:graphicData>
                  </a:graphic>
                </wp:inline>
              </w:drawing>
            </w:r>
          </w:p>
        </w:tc>
        <w:tc>
          <w:tcPr>
            <w:tcW w:w="4927" w:type="dxa"/>
            <w:tcBorders>
              <w:tl2br w:val="nil"/>
              <w:tr2bl w:val="nil"/>
            </w:tcBorders>
            <w:vAlign w:val="top"/>
          </w:tcPr>
          <w:p w14:paraId="15349764">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ascii="Times New Roman" w:hAnsi="Times New Roman" w:eastAsia="仿宋" w:cs="Times New Roman"/>
                <w:b/>
                <w:bCs/>
                <w:snapToGrid w:val="0"/>
                <w:color w:val="auto"/>
                <w:kern w:val="0"/>
                <w:sz w:val="24"/>
                <w:szCs w:val="24"/>
                <w:highlight w:val="none"/>
                <w:vertAlign w:val="baseline"/>
                <w:lang w:val="en-US" w:eastAsia="zh-CN" w:bidi="ar-SA"/>
              </w:rPr>
              <w:drawing>
                <wp:inline distT="0" distB="0" distL="114300" distR="114300">
                  <wp:extent cx="2931795" cy="2199640"/>
                  <wp:effectExtent l="0" t="0" r="1905" b="10160"/>
                  <wp:docPr id="9" name="图片 9" descr="DJI_20251225130014_0254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20251225130014_0254_D"/>
                          <pic:cNvPicPr>
                            <a:picLocks noChangeAspect="1"/>
                          </pic:cNvPicPr>
                        </pic:nvPicPr>
                        <pic:blipFill>
                          <a:blip r:embed="rId14"/>
                          <a:stretch>
                            <a:fillRect/>
                          </a:stretch>
                        </pic:blipFill>
                        <pic:spPr>
                          <a:xfrm>
                            <a:off x="0" y="0"/>
                            <a:ext cx="2931795" cy="2199640"/>
                          </a:xfrm>
                          <a:prstGeom prst="rect">
                            <a:avLst/>
                          </a:prstGeom>
                        </pic:spPr>
                      </pic:pic>
                    </a:graphicData>
                  </a:graphic>
                </wp:inline>
              </w:drawing>
            </w:r>
          </w:p>
        </w:tc>
      </w:tr>
      <w:tr w14:paraId="3D355532">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c>
          <w:tcPr>
            <w:tcW w:w="4927" w:type="dxa"/>
            <w:tcBorders>
              <w:tl2br w:val="nil"/>
              <w:tr2bl w:val="nil"/>
            </w:tcBorders>
            <w:vAlign w:val="top"/>
          </w:tcPr>
          <w:p w14:paraId="09B467FB">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eastAsia" w:ascii="Times New Roman" w:hAnsi="Times New Roman" w:eastAsia="仿宋" w:cs="Times New Roman"/>
                <w:b/>
                <w:bCs/>
                <w:snapToGrid w:val="0"/>
                <w:color w:val="auto"/>
                <w:sz w:val="24"/>
                <w:szCs w:val="24"/>
                <w:highlight w:val="none"/>
                <w:vertAlign w:val="baseline"/>
                <w:lang w:val="en-US" w:eastAsia="zh-CN"/>
              </w:rPr>
              <w:t>场外现有道路</w:t>
            </w:r>
          </w:p>
        </w:tc>
        <w:tc>
          <w:tcPr>
            <w:tcW w:w="4927" w:type="dxa"/>
            <w:tcBorders>
              <w:tl2br w:val="nil"/>
              <w:tr2bl w:val="nil"/>
            </w:tcBorders>
            <w:vAlign w:val="top"/>
          </w:tcPr>
          <w:p w14:paraId="2F23F2D6">
            <w:pPr>
              <w:pStyle w:val="23"/>
              <w:keepNext w:val="0"/>
              <w:keepLines w:val="0"/>
              <w:suppressLineNumbers w:val="0"/>
              <w:spacing w:before="0" w:beforeAutospacing="0" w:after="0" w:afterAutospacing="0"/>
              <w:ind w:left="0" w:right="0"/>
              <w:jc w:val="center"/>
              <w:outlineLvl w:val="0"/>
              <w:rPr>
                <w:rFonts w:hint="default" w:ascii="Times New Roman" w:hAnsi="Times New Roman" w:eastAsia="仿宋" w:cs="Times New Roman"/>
                <w:b/>
                <w:bCs/>
                <w:snapToGrid w:val="0"/>
                <w:color w:val="auto"/>
                <w:kern w:val="0"/>
                <w:sz w:val="24"/>
                <w:szCs w:val="24"/>
                <w:highlight w:val="none"/>
                <w:vertAlign w:val="baseline"/>
                <w:lang w:val="en-US" w:eastAsia="zh-CN" w:bidi="ar-SA"/>
              </w:rPr>
            </w:pPr>
            <w:r>
              <w:rPr>
                <w:rFonts w:hint="default" w:ascii="Times New Roman" w:hAnsi="Times New Roman" w:eastAsia="仿宋" w:cs="Times New Roman"/>
                <w:b/>
                <w:bCs/>
                <w:snapToGrid w:val="0"/>
                <w:color w:val="auto"/>
                <w:sz w:val="24"/>
                <w:szCs w:val="24"/>
                <w:highlight w:val="none"/>
                <w:vertAlign w:val="baseline"/>
                <w:lang w:val="en-US" w:eastAsia="zh-CN"/>
              </w:rPr>
              <w:t>项目区</w:t>
            </w:r>
            <w:r>
              <w:rPr>
                <w:rFonts w:hint="eastAsia" w:ascii="Times New Roman" w:hAnsi="Times New Roman" w:eastAsia="仿宋" w:cs="Times New Roman"/>
                <w:b/>
                <w:bCs/>
                <w:snapToGrid w:val="0"/>
                <w:color w:val="auto"/>
                <w:sz w:val="24"/>
                <w:szCs w:val="24"/>
                <w:highlight w:val="none"/>
                <w:vertAlign w:val="baseline"/>
                <w:lang w:val="en-US" w:eastAsia="zh-CN"/>
              </w:rPr>
              <w:t>周边</w:t>
            </w:r>
            <w:r>
              <w:rPr>
                <w:rFonts w:hint="default" w:ascii="Times New Roman" w:hAnsi="Times New Roman" w:eastAsia="仿宋" w:cs="Times New Roman"/>
                <w:b/>
                <w:bCs/>
                <w:snapToGrid w:val="0"/>
                <w:color w:val="auto"/>
                <w:sz w:val="24"/>
                <w:szCs w:val="24"/>
                <w:highlight w:val="none"/>
                <w:vertAlign w:val="baseline"/>
                <w:lang w:val="en-US" w:eastAsia="zh-CN"/>
              </w:rPr>
              <w:t>植被情况</w:t>
            </w:r>
          </w:p>
        </w:tc>
      </w:tr>
    </w:tbl>
    <w:p w14:paraId="58316236">
      <w:pPr>
        <w:pStyle w:val="23"/>
        <w:spacing w:before="0" w:beforeAutospacing="0" w:after="0" w:afterAutospacing="0"/>
        <w:jc w:val="center"/>
        <w:outlineLvl w:val="0"/>
        <w:rPr>
          <w:rFonts w:hint="default" w:ascii="Times New Roman" w:hAnsi="Times New Roman" w:eastAsia="仿宋" w:cs="Times New Roman"/>
          <w:b/>
          <w:bCs/>
          <w:snapToGrid w:val="0"/>
          <w:color w:val="auto"/>
          <w:sz w:val="30"/>
          <w:szCs w:val="30"/>
          <w:highlight w:val="none"/>
        </w:rPr>
        <w:sectPr>
          <w:footerReference r:id="rId3" w:type="default"/>
          <w:pgSz w:w="11906" w:h="16838"/>
          <w:pgMar w:top="1134" w:right="1134" w:bottom="1134" w:left="1134" w:header="851" w:footer="1077" w:gutter="0"/>
          <w:pgBorders>
            <w:top w:val="none" w:sz="0" w:space="0"/>
            <w:left w:val="none" w:sz="0" w:space="0"/>
            <w:bottom w:val="none" w:sz="0" w:space="0"/>
            <w:right w:val="none" w:sz="0" w:space="0"/>
          </w:pgBorders>
          <w:pgNumType w:start="1"/>
          <w:cols w:space="720" w:num="1"/>
          <w:docGrid w:linePitch="312" w:charSpace="0"/>
        </w:sectPr>
      </w:pPr>
    </w:p>
    <w:p w14:paraId="329F67E9">
      <w:pPr>
        <w:pStyle w:val="23"/>
        <w:spacing w:before="0" w:beforeAutospacing="0" w:after="0" w:afterAutospacing="0"/>
        <w:jc w:val="center"/>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一、建设项目基本情况</w:t>
      </w:r>
    </w:p>
    <w:tbl>
      <w:tblPr>
        <w:tblStyle w:val="26"/>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99"/>
        <w:gridCol w:w="2083"/>
        <w:gridCol w:w="2287"/>
        <w:gridCol w:w="3253"/>
      </w:tblGrid>
      <w:tr w14:paraId="4EA79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1038" w:type="pct"/>
            <w:tcMar>
              <w:top w:w="16" w:type="dxa"/>
              <w:left w:w="16" w:type="dxa"/>
              <w:right w:w="16" w:type="dxa"/>
            </w:tcMar>
            <w:vAlign w:val="center"/>
          </w:tcPr>
          <w:p w14:paraId="2C27AB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建设项目名称</w:t>
            </w:r>
          </w:p>
        </w:tc>
        <w:tc>
          <w:tcPr>
            <w:tcW w:w="3961" w:type="pct"/>
            <w:gridSpan w:val="3"/>
            <w:vAlign w:val="center"/>
          </w:tcPr>
          <w:p w14:paraId="5BC6B1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张掖经济技术开发区兔儿坝滩水库工程</w:t>
            </w:r>
          </w:p>
        </w:tc>
      </w:tr>
      <w:tr w14:paraId="71336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038" w:type="pct"/>
            <w:tcMar>
              <w:top w:w="16" w:type="dxa"/>
              <w:left w:w="16" w:type="dxa"/>
              <w:right w:w="16" w:type="dxa"/>
            </w:tcMar>
            <w:vAlign w:val="center"/>
          </w:tcPr>
          <w:p w14:paraId="20A8C8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项目代码</w:t>
            </w:r>
          </w:p>
        </w:tc>
        <w:tc>
          <w:tcPr>
            <w:tcW w:w="3961" w:type="pct"/>
            <w:gridSpan w:val="3"/>
            <w:vAlign w:val="center"/>
          </w:tcPr>
          <w:p w14:paraId="54D8A6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2509-620726-04-01-362421</w:t>
            </w:r>
          </w:p>
        </w:tc>
      </w:tr>
      <w:tr w14:paraId="0D25A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038" w:type="pct"/>
            <w:tcMar>
              <w:top w:w="16" w:type="dxa"/>
              <w:left w:w="16" w:type="dxa"/>
              <w:right w:w="16" w:type="dxa"/>
            </w:tcMar>
            <w:vAlign w:val="center"/>
          </w:tcPr>
          <w:p w14:paraId="2876DE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建设单位联系人</w:t>
            </w:r>
          </w:p>
        </w:tc>
        <w:tc>
          <w:tcPr>
            <w:tcW w:w="1082" w:type="pct"/>
            <w:vAlign w:val="center"/>
          </w:tcPr>
          <w:p w14:paraId="2A27C1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郑建旭</w:t>
            </w:r>
          </w:p>
        </w:tc>
        <w:tc>
          <w:tcPr>
            <w:tcW w:w="1188" w:type="pct"/>
            <w:vAlign w:val="center"/>
          </w:tcPr>
          <w:p w14:paraId="68C7C9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联系方式</w:t>
            </w:r>
          </w:p>
        </w:tc>
        <w:tc>
          <w:tcPr>
            <w:tcW w:w="1690" w:type="pct"/>
            <w:vAlign w:val="center"/>
          </w:tcPr>
          <w:p w14:paraId="3215B5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17794212776</w:t>
            </w:r>
          </w:p>
        </w:tc>
      </w:tr>
      <w:tr w14:paraId="7A194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1038" w:type="pct"/>
            <w:tcMar>
              <w:top w:w="16" w:type="dxa"/>
              <w:left w:w="16" w:type="dxa"/>
              <w:right w:w="16" w:type="dxa"/>
            </w:tcMar>
            <w:vAlign w:val="center"/>
          </w:tcPr>
          <w:p w14:paraId="6CF184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建设地点</w:t>
            </w:r>
          </w:p>
        </w:tc>
        <w:tc>
          <w:tcPr>
            <w:tcW w:w="3961" w:type="pct"/>
            <w:gridSpan w:val="3"/>
            <w:vAlign w:val="center"/>
          </w:tcPr>
          <w:p w14:paraId="28B586C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张掖经济技术开发区循环经济示范园园区内</w:t>
            </w:r>
            <w:r>
              <w:rPr>
                <w:rFonts w:hint="eastAsia" w:cs="Times New Roman"/>
                <w:color w:val="auto"/>
                <w:sz w:val="24"/>
                <w:szCs w:val="22"/>
                <w:highlight w:val="none"/>
                <w:lang w:val="en-US" w:eastAsia="zh-CN"/>
              </w:rPr>
              <w:t>（附图1）</w:t>
            </w:r>
          </w:p>
        </w:tc>
      </w:tr>
      <w:tr w14:paraId="38A41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038" w:type="pct"/>
            <w:tcMar>
              <w:top w:w="16" w:type="dxa"/>
              <w:left w:w="16" w:type="dxa"/>
              <w:right w:w="16" w:type="dxa"/>
            </w:tcMar>
            <w:vAlign w:val="center"/>
          </w:tcPr>
          <w:p w14:paraId="6C1D28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地理坐标</w:t>
            </w:r>
          </w:p>
        </w:tc>
        <w:tc>
          <w:tcPr>
            <w:tcW w:w="3961" w:type="pct"/>
            <w:gridSpan w:val="3"/>
            <w:vAlign w:val="center"/>
          </w:tcPr>
          <w:p w14:paraId="2ECF35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4"/>
                <w:sz w:val="23"/>
                <w:szCs w:val="23"/>
                <w:lang w:val="en-US" w:eastAsia="zh-CN"/>
              </w:rPr>
            </w:pPr>
            <w:r>
              <w:rPr>
                <w:rFonts w:hint="default" w:ascii="Times New Roman" w:hAnsi="Times New Roman" w:eastAsia="宋体" w:cs="Times New Roman"/>
                <w:spacing w:val="5"/>
                <w:sz w:val="23"/>
                <w:szCs w:val="23"/>
              </w:rPr>
              <w:t>E100°28′17.</w:t>
            </w:r>
            <w:r>
              <w:rPr>
                <w:rFonts w:hint="default" w:ascii="Times New Roman" w:hAnsi="Times New Roman" w:eastAsia="宋体" w:cs="Times New Roman"/>
                <w:spacing w:val="5"/>
                <w:sz w:val="23"/>
                <w:szCs w:val="23"/>
                <w:lang w:val="en-US" w:eastAsia="zh-CN"/>
              </w:rPr>
              <w:t>428</w:t>
            </w:r>
            <w:r>
              <w:rPr>
                <w:rFonts w:hint="default" w:ascii="Times New Roman" w:hAnsi="Times New Roman" w:eastAsia="宋体" w:cs="Times New Roman"/>
                <w:spacing w:val="5"/>
                <w:sz w:val="23"/>
                <w:szCs w:val="23"/>
              </w:rPr>
              <w:t>″，N39</w:t>
            </w:r>
            <w:r>
              <w:rPr>
                <w:rFonts w:hint="default" w:ascii="Times New Roman" w:hAnsi="Times New Roman" w:eastAsia="宋体" w:cs="Times New Roman"/>
                <w:spacing w:val="4"/>
                <w:sz w:val="23"/>
                <w:szCs w:val="23"/>
              </w:rPr>
              <w:t>°3′47.</w:t>
            </w:r>
            <w:r>
              <w:rPr>
                <w:rFonts w:hint="default" w:ascii="Times New Roman" w:hAnsi="Times New Roman" w:eastAsia="宋体" w:cs="Times New Roman"/>
                <w:spacing w:val="4"/>
                <w:sz w:val="23"/>
                <w:szCs w:val="23"/>
                <w:lang w:val="en-US" w:eastAsia="zh-CN"/>
              </w:rPr>
              <w:t>14</w:t>
            </w:r>
            <w:r>
              <w:rPr>
                <w:rFonts w:hint="default" w:ascii="Times New Roman" w:hAnsi="Times New Roman" w:eastAsia="宋体" w:cs="Times New Roman"/>
                <w:spacing w:val="4"/>
                <w:sz w:val="23"/>
                <w:szCs w:val="23"/>
              </w:rPr>
              <w:t>1″</w:t>
            </w:r>
          </w:p>
        </w:tc>
      </w:tr>
      <w:tr w14:paraId="18A9E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8" w:type="pct"/>
            <w:tcMar>
              <w:top w:w="16" w:type="dxa"/>
              <w:left w:w="16" w:type="dxa"/>
              <w:right w:w="16" w:type="dxa"/>
            </w:tcMar>
            <w:vAlign w:val="center"/>
          </w:tcPr>
          <w:p w14:paraId="4AE1EC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建设项目</w:t>
            </w:r>
          </w:p>
          <w:p w14:paraId="2B6B93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行业类别</w:t>
            </w:r>
          </w:p>
        </w:tc>
        <w:tc>
          <w:tcPr>
            <w:tcW w:w="1082" w:type="pct"/>
            <w:vAlign w:val="center"/>
          </w:tcPr>
          <w:p w14:paraId="4EDAF9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五十一、水利-124.水库-其他</w:t>
            </w:r>
          </w:p>
        </w:tc>
        <w:tc>
          <w:tcPr>
            <w:tcW w:w="1188" w:type="pct"/>
            <w:vAlign w:val="center"/>
          </w:tcPr>
          <w:p w14:paraId="0E492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用地（用海）面积（m</w:t>
            </w:r>
            <w:r>
              <w:rPr>
                <w:rFonts w:hint="default" w:ascii="Times New Roman" w:hAnsi="Times New Roman" w:eastAsia="宋体" w:cs="Times New Roman"/>
                <w:b/>
                <w:bCs/>
                <w:color w:val="auto"/>
                <w:sz w:val="24"/>
                <w:szCs w:val="22"/>
                <w:highlight w:val="none"/>
                <w:vertAlign w:val="superscript"/>
                <w:lang w:val="en-US" w:eastAsia="zh-CN"/>
              </w:rPr>
              <w:t>2</w:t>
            </w:r>
            <w:r>
              <w:rPr>
                <w:rFonts w:hint="default" w:ascii="Times New Roman" w:hAnsi="Times New Roman" w:eastAsia="宋体" w:cs="Times New Roman"/>
                <w:b/>
                <w:bCs/>
                <w:color w:val="auto"/>
                <w:sz w:val="24"/>
                <w:szCs w:val="22"/>
                <w:highlight w:val="none"/>
                <w:lang w:val="en-US" w:eastAsia="zh-CN"/>
              </w:rPr>
              <w:t>）/长度（km）</w:t>
            </w:r>
          </w:p>
        </w:tc>
        <w:tc>
          <w:tcPr>
            <w:tcW w:w="1690" w:type="pct"/>
            <w:vAlign w:val="center"/>
          </w:tcPr>
          <w:p w14:paraId="7B70640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spacing w:val="7"/>
                <w:sz w:val="23"/>
                <w:szCs w:val="23"/>
              </w:rPr>
              <w:t>总占</w:t>
            </w:r>
            <w:r>
              <w:rPr>
                <w:rFonts w:hint="default" w:ascii="Times New Roman" w:hAnsi="Times New Roman" w:eastAsia="宋体" w:cs="Times New Roman"/>
                <w:spacing w:val="7"/>
                <w:sz w:val="21"/>
                <w:szCs w:val="21"/>
              </w:rPr>
              <w:t>地19.8</w:t>
            </w:r>
            <w:r>
              <w:rPr>
                <w:rFonts w:hint="eastAsia" w:cs="Times New Roman"/>
                <w:spacing w:val="7"/>
                <w:sz w:val="21"/>
                <w:szCs w:val="21"/>
                <w:lang w:val="en-US" w:eastAsia="zh-CN"/>
              </w:rPr>
              <w:t>3</w:t>
            </w:r>
            <w:r>
              <w:rPr>
                <w:rFonts w:hint="default" w:ascii="Times New Roman" w:hAnsi="Times New Roman" w:eastAsia="宋体" w:cs="Times New Roman"/>
                <w:sz w:val="21"/>
                <w:szCs w:val="21"/>
              </w:rPr>
              <w:t>hm</w:t>
            </w:r>
            <w:r>
              <w:rPr>
                <w:rFonts w:hint="eastAsia" w:cs="Times New Roman"/>
                <w:sz w:val="21"/>
                <w:szCs w:val="21"/>
                <w:vertAlign w:val="superscript"/>
                <w:lang w:val="en-US" w:eastAsia="zh-CN"/>
              </w:rPr>
              <w:t>2</w:t>
            </w:r>
            <w:r>
              <w:rPr>
                <w:rFonts w:hint="default" w:ascii="Times New Roman" w:hAnsi="Times New Roman" w:eastAsia="宋体" w:cs="Times New Roman"/>
                <w:spacing w:val="7"/>
                <w:sz w:val="21"/>
                <w:szCs w:val="21"/>
              </w:rPr>
              <w:t>，</w:t>
            </w:r>
            <w:r>
              <w:rPr>
                <w:rFonts w:hint="default" w:ascii="Times New Roman" w:hAnsi="Times New Roman" w:eastAsia="宋体" w:cs="Times New Roman"/>
                <w:spacing w:val="12"/>
                <w:sz w:val="21"/>
                <w:szCs w:val="21"/>
              </w:rPr>
              <w:t>其中永久占18.</w:t>
            </w:r>
            <w:r>
              <w:rPr>
                <w:rFonts w:hint="eastAsia" w:cs="Times New Roman"/>
                <w:spacing w:val="12"/>
                <w:sz w:val="21"/>
                <w:szCs w:val="21"/>
                <w:lang w:val="en-US" w:eastAsia="zh-CN"/>
              </w:rPr>
              <w:t>82</w:t>
            </w:r>
            <w:r>
              <w:rPr>
                <w:rFonts w:hint="default" w:ascii="Times New Roman" w:hAnsi="Times New Roman" w:eastAsia="宋体" w:cs="Times New Roman"/>
                <w:sz w:val="21"/>
                <w:szCs w:val="21"/>
              </w:rPr>
              <w:t>hm</w:t>
            </w:r>
            <w:r>
              <w:rPr>
                <w:rFonts w:hint="eastAsia" w:cs="Times New Roman"/>
                <w:sz w:val="21"/>
                <w:szCs w:val="21"/>
                <w:vertAlign w:val="superscript"/>
                <w:lang w:val="en-US" w:eastAsia="zh-CN"/>
              </w:rPr>
              <w:t>2</w:t>
            </w:r>
            <w:r>
              <w:rPr>
                <w:rFonts w:hint="default" w:ascii="Times New Roman" w:hAnsi="Times New Roman" w:eastAsia="宋体" w:cs="Times New Roman"/>
                <w:spacing w:val="12"/>
                <w:sz w:val="21"/>
                <w:szCs w:val="21"/>
              </w:rPr>
              <w:t>，临时占地</w:t>
            </w:r>
            <w:r>
              <w:rPr>
                <w:rFonts w:hint="eastAsia" w:cs="Times New Roman"/>
                <w:spacing w:val="12"/>
                <w:sz w:val="21"/>
                <w:szCs w:val="21"/>
                <w:lang w:val="en-US" w:eastAsia="zh-CN"/>
              </w:rPr>
              <w:t>1.0</w:t>
            </w:r>
            <w:r>
              <w:rPr>
                <w:rFonts w:hint="default" w:ascii="Times New Roman" w:hAnsi="Times New Roman" w:eastAsia="宋体" w:cs="Times New Roman"/>
                <w:spacing w:val="12"/>
                <w:sz w:val="21"/>
                <w:szCs w:val="21"/>
              </w:rPr>
              <w:t>1</w:t>
            </w:r>
            <w:r>
              <w:rPr>
                <w:rFonts w:hint="default" w:ascii="Times New Roman" w:hAnsi="Times New Roman" w:eastAsia="宋体" w:cs="Times New Roman"/>
                <w:sz w:val="21"/>
                <w:szCs w:val="21"/>
              </w:rPr>
              <w:t>hm</w:t>
            </w:r>
            <w:r>
              <w:rPr>
                <w:rFonts w:hint="eastAsia" w:cs="Times New Roman"/>
                <w:sz w:val="21"/>
                <w:szCs w:val="21"/>
                <w:vertAlign w:val="superscript"/>
                <w:lang w:val="en-US" w:eastAsia="zh-CN"/>
              </w:rPr>
              <w:t>2</w:t>
            </w:r>
            <w:r>
              <w:rPr>
                <w:rFonts w:hint="default" w:ascii="Times New Roman" w:hAnsi="Times New Roman" w:eastAsia="宋体" w:cs="Times New Roman"/>
                <w:spacing w:val="12"/>
                <w:sz w:val="21"/>
                <w:szCs w:val="21"/>
              </w:rPr>
              <w:t>；</w:t>
            </w:r>
            <w:r>
              <w:rPr>
                <w:rFonts w:hint="default" w:ascii="Times New Roman" w:hAnsi="Times New Roman" w:eastAsia="宋体" w:cs="Times New Roman"/>
                <w:color w:val="auto"/>
                <w:sz w:val="21"/>
                <w:szCs w:val="21"/>
                <w:highlight w:val="none"/>
                <w:lang w:val="en-US" w:eastAsia="zh-CN"/>
              </w:rPr>
              <w:t>新建供水管长度0.2</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km</w:t>
            </w:r>
            <w:r>
              <w:rPr>
                <w:rFonts w:hint="eastAsia" w:ascii="Times New Roman" w:hAnsi="Times New Roman" w:eastAsia="宋体" w:cs="Times New Roman"/>
                <w:color w:val="auto"/>
                <w:sz w:val="21"/>
                <w:szCs w:val="21"/>
                <w:highlight w:val="none"/>
                <w:lang w:val="en-US" w:eastAsia="zh-CN"/>
              </w:rPr>
              <w:t>。</w:t>
            </w:r>
          </w:p>
        </w:tc>
      </w:tr>
      <w:tr w14:paraId="28EE1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038" w:type="pct"/>
            <w:tcMar>
              <w:top w:w="16" w:type="dxa"/>
              <w:left w:w="16" w:type="dxa"/>
              <w:right w:w="16" w:type="dxa"/>
            </w:tcMar>
            <w:vAlign w:val="center"/>
          </w:tcPr>
          <w:p w14:paraId="20CE78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建设性质</w:t>
            </w:r>
          </w:p>
        </w:tc>
        <w:tc>
          <w:tcPr>
            <w:tcW w:w="1082" w:type="pct"/>
            <w:vAlign w:val="center"/>
          </w:tcPr>
          <w:p w14:paraId="25F0C67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☑新建（迁建）</w:t>
            </w:r>
          </w:p>
          <w:p w14:paraId="5C8D14C9">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□改建</w:t>
            </w:r>
          </w:p>
          <w:p w14:paraId="33430A33">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□扩建</w:t>
            </w:r>
          </w:p>
          <w:p w14:paraId="0ADB1DA4">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□技术改造</w:t>
            </w:r>
          </w:p>
        </w:tc>
        <w:tc>
          <w:tcPr>
            <w:tcW w:w="1188" w:type="pct"/>
            <w:vAlign w:val="center"/>
          </w:tcPr>
          <w:p w14:paraId="2271FC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建设项目</w:t>
            </w:r>
          </w:p>
          <w:p w14:paraId="1E00C8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lang w:val="en-US" w:eastAsia="zh-CN"/>
              </w:rPr>
              <w:t>申报情形</w:t>
            </w:r>
          </w:p>
        </w:tc>
        <w:tc>
          <w:tcPr>
            <w:tcW w:w="1690" w:type="pct"/>
            <w:vAlign w:val="center"/>
          </w:tcPr>
          <w:p w14:paraId="19B6FBB7">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pacing w:val="12"/>
                <w:kern w:val="2"/>
                <w:sz w:val="21"/>
                <w:szCs w:val="21"/>
                <w:lang w:val="en-US" w:eastAsia="zh-CN" w:bidi="ar-SA"/>
              </w:rPr>
            </w:pPr>
            <w:r>
              <w:rPr>
                <w:rFonts w:hint="eastAsia" w:cs="Times New Roman"/>
                <w:color w:val="auto"/>
                <w:sz w:val="24"/>
                <w:szCs w:val="22"/>
                <w:highlight w:val="none"/>
                <w:lang w:eastAsia="zh-CN"/>
              </w:rPr>
              <w:t>☑</w:t>
            </w:r>
            <w:r>
              <w:rPr>
                <w:rFonts w:hint="default" w:ascii="Times New Roman" w:hAnsi="Times New Roman" w:eastAsia="宋体" w:cs="Times New Roman"/>
                <w:spacing w:val="12"/>
                <w:kern w:val="2"/>
                <w:sz w:val="21"/>
                <w:szCs w:val="21"/>
                <w:lang w:val="en-US" w:eastAsia="zh-CN" w:bidi="ar-SA"/>
              </w:rPr>
              <w:t>首次申报项目</w:t>
            </w:r>
          </w:p>
          <w:p w14:paraId="4DAAF42A">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pacing w:val="12"/>
                <w:kern w:val="2"/>
                <w:sz w:val="21"/>
                <w:szCs w:val="21"/>
                <w:lang w:val="en-US" w:eastAsia="zh-CN" w:bidi="ar-SA"/>
              </w:rPr>
            </w:pPr>
            <w:r>
              <w:rPr>
                <w:rFonts w:hint="default" w:ascii="Times New Roman" w:hAnsi="Times New Roman" w:eastAsia="宋体" w:cs="Times New Roman"/>
                <w:spacing w:val="12"/>
                <w:kern w:val="2"/>
                <w:sz w:val="21"/>
                <w:szCs w:val="21"/>
                <w:lang w:val="en-US" w:eastAsia="zh-CN" w:bidi="ar-SA"/>
              </w:rPr>
              <w:t>□不予批准后再次申报项目</w:t>
            </w:r>
          </w:p>
          <w:p w14:paraId="5A50DF85">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pacing w:val="12"/>
                <w:kern w:val="2"/>
                <w:sz w:val="21"/>
                <w:szCs w:val="21"/>
                <w:lang w:val="en-US" w:eastAsia="zh-CN" w:bidi="ar-SA"/>
              </w:rPr>
            </w:pPr>
            <w:r>
              <w:rPr>
                <w:rFonts w:hint="default" w:ascii="Times New Roman" w:hAnsi="Times New Roman" w:eastAsia="宋体" w:cs="Times New Roman"/>
                <w:spacing w:val="12"/>
                <w:kern w:val="2"/>
                <w:sz w:val="21"/>
                <w:szCs w:val="21"/>
                <w:lang w:val="en-US" w:eastAsia="zh-CN" w:bidi="ar-SA"/>
              </w:rPr>
              <w:t>□超五年重新审核项目</w:t>
            </w:r>
            <w:r>
              <w:rPr>
                <w:rFonts w:hint="eastAsia" w:cs="Times New Roman"/>
                <w:spacing w:val="12"/>
                <w:kern w:val="2"/>
                <w:sz w:val="21"/>
                <w:szCs w:val="21"/>
                <w:lang w:val="en-US" w:eastAsia="zh-CN" w:bidi="ar-SA"/>
              </w:rPr>
              <w:t xml:space="preserve">  </w:t>
            </w:r>
          </w:p>
          <w:p w14:paraId="153749E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spacing w:val="12"/>
                <w:kern w:val="2"/>
                <w:sz w:val="21"/>
                <w:szCs w:val="21"/>
                <w:lang w:val="en-US" w:eastAsia="zh-CN" w:bidi="ar-SA"/>
              </w:rPr>
              <w:t>□重大变动重新报批项目</w:t>
            </w:r>
          </w:p>
        </w:tc>
      </w:tr>
      <w:tr w14:paraId="15EBC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1038" w:type="pct"/>
            <w:tcMar>
              <w:top w:w="16" w:type="dxa"/>
              <w:left w:w="16" w:type="dxa"/>
              <w:right w:w="16" w:type="dxa"/>
            </w:tcMar>
            <w:vAlign w:val="center"/>
          </w:tcPr>
          <w:p w14:paraId="350326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项目审批（核准/</w:t>
            </w:r>
          </w:p>
          <w:p w14:paraId="6D85F9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备案）部门（选填）</w:t>
            </w:r>
          </w:p>
        </w:tc>
        <w:tc>
          <w:tcPr>
            <w:tcW w:w="1082" w:type="pct"/>
            <w:vAlign w:val="center"/>
          </w:tcPr>
          <w:p w14:paraId="05CFD89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2"/>
                <w:highlight w:val="none"/>
                <w:lang w:val="en-US" w:eastAsia="zh-CN"/>
              </w:rPr>
            </w:pPr>
            <w:r>
              <w:rPr>
                <w:rFonts w:hint="eastAsia" w:cs="Times New Roman"/>
                <w:color w:val="auto"/>
                <w:sz w:val="24"/>
                <w:szCs w:val="22"/>
                <w:highlight w:val="none"/>
                <w:lang w:val="en-US" w:eastAsia="zh-CN"/>
              </w:rPr>
              <w:t>甘州区水务局</w:t>
            </w:r>
          </w:p>
        </w:tc>
        <w:tc>
          <w:tcPr>
            <w:tcW w:w="1188" w:type="pct"/>
            <w:vAlign w:val="center"/>
          </w:tcPr>
          <w:p w14:paraId="321674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项目审批（核准/</w:t>
            </w:r>
          </w:p>
          <w:p w14:paraId="442918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备案）文号（选填）</w:t>
            </w:r>
          </w:p>
        </w:tc>
        <w:tc>
          <w:tcPr>
            <w:tcW w:w="1690" w:type="pct"/>
            <w:vAlign w:val="center"/>
          </w:tcPr>
          <w:p w14:paraId="43CE77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甘区水务发</w:t>
            </w:r>
            <w:r>
              <w:rPr>
                <w:rFonts w:hint="default" w:ascii="Times New Roman" w:hAnsi="Times New Roman" w:eastAsia="宋体" w:cs="Times New Roman"/>
                <w:color w:val="auto"/>
                <w:sz w:val="24"/>
                <w:szCs w:val="22"/>
                <w:highlight w:val="none"/>
                <w:lang w:val="en-US" w:eastAsia="zh-CN"/>
              </w:rPr>
              <w:t>[202</w:t>
            </w:r>
            <w:r>
              <w:rPr>
                <w:rFonts w:hint="eastAsia" w:ascii="Times New Roman" w:hAnsi="Times New Roman"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307</w:t>
            </w:r>
            <w:r>
              <w:rPr>
                <w:rFonts w:hint="default" w:ascii="Times New Roman" w:hAnsi="Times New Roman" w:eastAsia="宋体" w:cs="Times New Roman"/>
                <w:color w:val="auto"/>
                <w:sz w:val="24"/>
                <w:szCs w:val="22"/>
                <w:highlight w:val="none"/>
                <w:lang w:val="en-US" w:eastAsia="zh-CN"/>
              </w:rPr>
              <w:t>号</w:t>
            </w:r>
          </w:p>
        </w:tc>
      </w:tr>
      <w:tr w14:paraId="3B7E9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038" w:type="pct"/>
            <w:tcMar>
              <w:top w:w="16" w:type="dxa"/>
              <w:left w:w="16" w:type="dxa"/>
              <w:right w:w="16" w:type="dxa"/>
            </w:tcMar>
            <w:vAlign w:val="center"/>
          </w:tcPr>
          <w:p w14:paraId="6ABAF5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总投资（万元）</w:t>
            </w:r>
          </w:p>
        </w:tc>
        <w:tc>
          <w:tcPr>
            <w:tcW w:w="1082" w:type="pct"/>
            <w:vAlign w:val="center"/>
          </w:tcPr>
          <w:p w14:paraId="6960F3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9331.24</w:t>
            </w:r>
          </w:p>
        </w:tc>
        <w:tc>
          <w:tcPr>
            <w:tcW w:w="1188" w:type="pct"/>
            <w:tcMar>
              <w:top w:w="16" w:type="dxa"/>
              <w:left w:w="16" w:type="dxa"/>
              <w:right w:w="16" w:type="dxa"/>
            </w:tcMar>
            <w:vAlign w:val="center"/>
          </w:tcPr>
          <w:p w14:paraId="0E31E3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环保投资（万元）</w:t>
            </w:r>
          </w:p>
        </w:tc>
        <w:tc>
          <w:tcPr>
            <w:tcW w:w="1690" w:type="pct"/>
            <w:vAlign w:val="center"/>
          </w:tcPr>
          <w:p w14:paraId="6A07F6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eastAsia" w:cs="Times New Roman"/>
                <w:color w:val="auto"/>
                <w:sz w:val="24"/>
                <w:szCs w:val="22"/>
                <w:highlight w:val="none"/>
                <w:lang w:val="en-US" w:eastAsia="zh-CN"/>
              </w:rPr>
              <w:t>83.0</w:t>
            </w:r>
          </w:p>
        </w:tc>
      </w:tr>
      <w:tr w14:paraId="76487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038" w:type="pct"/>
            <w:tcMar>
              <w:top w:w="16" w:type="dxa"/>
              <w:left w:w="16" w:type="dxa"/>
              <w:right w:w="16" w:type="dxa"/>
            </w:tcMar>
            <w:vAlign w:val="center"/>
          </w:tcPr>
          <w:p w14:paraId="187A7E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环保投资占比（%）</w:t>
            </w:r>
          </w:p>
        </w:tc>
        <w:tc>
          <w:tcPr>
            <w:tcW w:w="1082" w:type="pct"/>
            <w:vAlign w:val="center"/>
          </w:tcPr>
          <w:p w14:paraId="12C4F8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0.</w:t>
            </w:r>
            <w:r>
              <w:rPr>
                <w:rFonts w:hint="eastAsia" w:cs="Times New Roman"/>
                <w:color w:val="auto"/>
                <w:sz w:val="24"/>
                <w:szCs w:val="22"/>
                <w:highlight w:val="none"/>
                <w:lang w:val="en-US" w:eastAsia="zh-CN"/>
              </w:rPr>
              <w:t>89</w:t>
            </w:r>
          </w:p>
        </w:tc>
        <w:tc>
          <w:tcPr>
            <w:tcW w:w="1188" w:type="pct"/>
            <w:tcMar>
              <w:top w:w="16" w:type="dxa"/>
              <w:left w:w="16" w:type="dxa"/>
              <w:right w:w="16" w:type="dxa"/>
            </w:tcMar>
            <w:vAlign w:val="center"/>
          </w:tcPr>
          <w:p w14:paraId="14A90F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施工工期</w:t>
            </w:r>
          </w:p>
        </w:tc>
        <w:tc>
          <w:tcPr>
            <w:tcW w:w="1690" w:type="pct"/>
            <w:vAlign w:val="center"/>
          </w:tcPr>
          <w:p w14:paraId="394AE2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10</w:t>
            </w:r>
            <w:r>
              <w:rPr>
                <w:rFonts w:hint="default" w:ascii="Times New Roman" w:hAnsi="Times New Roman" w:eastAsia="宋体" w:cs="Times New Roman"/>
                <w:color w:val="auto"/>
                <w:sz w:val="24"/>
                <w:szCs w:val="22"/>
                <w:highlight w:val="none"/>
                <w:lang w:val="en-US" w:eastAsia="zh-CN"/>
              </w:rPr>
              <w:t>个月</w:t>
            </w:r>
          </w:p>
        </w:tc>
      </w:tr>
      <w:tr w14:paraId="22E73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1038" w:type="pct"/>
            <w:tcMar>
              <w:top w:w="16" w:type="dxa"/>
              <w:left w:w="16" w:type="dxa"/>
              <w:right w:w="16" w:type="dxa"/>
            </w:tcMar>
            <w:vAlign w:val="center"/>
          </w:tcPr>
          <w:p w14:paraId="288208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是否开工建设</w:t>
            </w:r>
          </w:p>
        </w:tc>
        <w:tc>
          <w:tcPr>
            <w:tcW w:w="3961" w:type="pct"/>
            <w:gridSpan w:val="3"/>
            <w:vAlign w:val="center"/>
          </w:tcPr>
          <w:p w14:paraId="6BD910FA">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☑否</w:t>
            </w:r>
          </w:p>
          <w:p w14:paraId="79D952C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rPr>
              <w:t>□是：</w:t>
            </w:r>
          </w:p>
        </w:tc>
      </w:tr>
      <w:tr w14:paraId="4185B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038" w:type="pct"/>
            <w:tcMar>
              <w:top w:w="16" w:type="dxa"/>
              <w:left w:w="16" w:type="dxa"/>
              <w:right w:w="16" w:type="dxa"/>
            </w:tcMar>
            <w:vAlign w:val="center"/>
          </w:tcPr>
          <w:p w14:paraId="6D267E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专项评价设置情况</w:t>
            </w:r>
          </w:p>
        </w:tc>
        <w:tc>
          <w:tcPr>
            <w:tcW w:w="3961" w:type="pct"/>
            <w:gridSpan w:val="3"/>
            <w:tcMar>
              <w:top w:w="16" w:type="dxa"/>
              <w:left w:w="16" w:type="dxa"/>
              <w:right w:w="16" w:type="dxa"/>
            </w:tcMar>
            <w:vAlign w:val="center"/>
          </w:tcPr>
          <w:p w14:paraId="22076A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根据《建设项目环境影响报告表编制技术指南（生态影响类）（试行）》表1专项评价设置原则表，本项目涉及专项类别为“水库：全部”，需要设置地表水专项评价。</w:t>
            </w:r>
          </w:p>
        </w:tc>
      </w:tr>
      <w:tr w14:paraId="28CFF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1038" w:type="pct"/>
            <w:tcMar>
              <w:top w:w="16" w:type="dxa"/>
              <w:left w:w="16" w:type="dxa"/>
              <w:right w:w="16" w:type="dxa"/>
            </w:tcMar>
            <w:vAlign w:val="center"/>
          </w:tcPr>
          <w:p w14:paraId="7CCBB6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规划情况</w:t>
            </w:r>
          </w:p>
        </w:tc>
        <w:tc>
          <w:tcPr>
            <w:tcW w:w="3961" w:type="pct"/>
            <w:gridSpan w:val="3"/>
            <w:tcMar>
              <w:top w:w="16" w:type="dxa"/>
              <w:left w:w="16" w:type="dxa"/>
              <w:right w:w="16" w:type="dxa"/>
            </w:tcMar>
            <w:vAlign w:val="center"/>
          </w:tcPr>
          <w:p w14:paraId="728F37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规划名称：《张掖经济技术开发区循环经济示范园发展规划（2025-2035）》</w:t>
            </w:r>
          </w:p>
        </w:tc>
      </w:tr>
      <w:tr w14:paraId="4DDEA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8" w:type="pct"/>
            <w:tcMar>
              <w:top w:w="16" w:type="dxa"/>
              <w:left w:w="16" w:type="dxa"/>
              <w:right w:w="16" w:type="dxa"/>
            </w:tcMar>
            <w:vAlign w:val="center"/>
          </w:tcPr>
          <w:p w14:paraId="0D8BF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规划环境影响</w:t>
            </w:r>
          </w:p>
          <w:p w14:paraId="742604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评价情况</w:t>
            </w:r>
          </w:p>
        </w:tc>
        <w:tc>
          <w:tcPr>
            <w:tcW w:w="3961" w:type="pct"/>
            <w:gridSpan w:val="3"/>
            <w:tcMar>
              <w:top w:w="16" w:type="dxa"/>
              <w:left w:w="16" w:type="dxa"/>
              <w:right w:w="16" w:type="dxa"/>
            </w:tcMar>
            <w:vAlign w:val="center"/>
          </w:tcPr>
          <w:p w14:paraId="29B7A0A7">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规划环境影响评价报告：《张掖经济技术开发区循环经济示范园发展规划（2025-2035）环境影响报告书》</w:t>
            </w:r>
          </w:p>
          <w:p w14:paraId="10905C17">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2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审查机关：张掖市生态环境局</w:t>
            </w:r>
          </w:p>
          <w:p w14:paraId="6957DE78">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2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审查文件：《张掖经济技术开发区循环经济示范园发展规划（2025-2035）环境影响报告书》的审查意见，张环函〔2025〕183号</w:t>
            </w:r>
          </w:p>
        </w:tc>
      </w:tr>
      <w:tr w14:paraId="0F006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38" w:type="pct"/>
            <w:tcMar>
              <w:top w:w="16" w:type="dxa"/>
              <w:left w:w="16" w:type="dxa"/>
              <w:right w:w="16" w:type="dxa"/>
            </w:tcMar>
            <w:vAlign w:val="center"/>
          </w:tcPr>
          <w:p w14:paraId="6DA66F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规划及规划环境影响评价符合性分析</w:t>
            </w:r>
          </w:p>
        </w:tc>
        <w:tc>
          <w:tcPr>
            <w:tcW w:w="3961" w:type="pct"/>
            <w:gridSpan w:val="3"/>
            <w:tcMar>
              <w:top w:w="16" w:type="dxa"/>
              <w:left w:w="16" w:type="dxa"/>
              <w:right w:w="16" w:type="dxa"/>
            </w:tcMar>
            <w:vAlign w:val="center"/>
          </w:tcPr>
          <w:p w14:paraId="1DC5495C">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2" w:firstLineChars="200"/>
              <w:jc w:val="both"/>
              <w:textAlignment w:val="auto"/>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1</w:t>
            </w:r>
            <w:r>
              <w:rPr>
                <w:rFonts w:hint="eastAsia" w:ascii="Times New Roman" w:hAnsi="Times New Roman" w:cs="Times New Roman"/>
                <w:b/>
                <w:bCs/>
                <w:color w:val="auto"/>
                <w:kern w:val="2"/>
                <w:sz w:val="24"/>
                <w:szCs w:val="22"/>
                <w:highlight w:val="none"/>
                <w:lang w:val="en-US" w:eastAsia="zh-CN" w:bidi="ar-SA"/>
              </w:rPr>
              <w:t>、</w:t>
            </w:r>
            <w:r>
              <w:rPr>
                <w:rFonts w:hint="default" w:ascii="Times New Roman" w:hAnsi="Times New Roman" w:eastAsia="宋体" w:cs="Times New Roman"/>
                <w:b/>
                <w:bCs/>
                <w:color w:val="auto"/>
                <w:kern w:val="2"/>
                <w:sz w:val="24"/>
                <w:szCs w:val="22"/>
                <w:highlight w:val="none"/>
                <w:lang w:val="en-US" w:eastAsia="zh-CN" w:bidi="ar-SA"/>
              </w:rPr>
              <w:t>规划及规划环评</w:t>
            </w:r>
          </w:p>
          <w:p w14:paraId="7429508D">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（1）产业空间功能结构及产业布局</w:t>
            </w:r>
          </w:p>
          <w:p w14:paraId="1E6EFBDF">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规划以平易河为核心景观带，以两条交通干线</w:t>
            </w:r>
            <w:r>
              <w:rPr>
                <w:rFonts w:hint="default" w:ascii="Times New Roman" w:hAnsi="Times New Roman" w:eastAsia="宋体" w:cs="Times New Roman"/>
                <w:spacing w:val="-2"/>
                <w:sz w:val="24"/>
                <w:szCs w:val="24"/>
              </w:rPr>
              <w:t>为轴线，通过道路网络和绿地廊道将园区串联成一个有机的整体，创造一个生态循环型</w:t>
            </w:r>
            <w:r>
              <w:rPr>
                <w:rFonts w:hint="default" w:ascii="Times New Roman" w:hAnsi="Times New Roman" w:eastAsia="宋体" w:cs="Times New Roman"/>
                <w:spacing w:val="-1"/>
                <w:sz w:val="24"/>
                <w:szCs w:val="24"/>
              </w:rPr>
              <w:t>的工作环境将园区打造成为“一带、两轴、多区”的空间结构。</w:t>
            </w:r>
          </w:p>
          <w:p w14:paraId="04335088">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b/>
                <w:bCs/>
                <w:spacing w:val="-3"/>
                <w:sz w:val="24"/>
                <w:szCs w:val="24"/>
              </w:rPr>
              <w:t>一带：</w:t>
            </w:r>
            <w:r>
              <w:rPr>
                <w:rFonts w:hint="default" w:ascii="Times New Roman" w:hAnsi="Times New Roman" w:eastAsia="宋体" w:cs="Times New Roman"/>
                <w:spacing w:val="-3"/>
                <w:sz w:val="24"/>
                <w:szCs w:val="24"/>
              </w:rPr>
              <w:t>平易河景观带</w:t>
            </w:r>
          </w:p>
          <w:p w14:paraId="17B8E229">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0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指沿东西走向的平易河水系及两旁的绿地打造一条园区主要的</w:t>
            </w:r>
            <w:r>
              <w:rPr>
                <w:rFonts w:hint="default" w:ascii="Times New Roman" w:hAnsi="Times New Roman" w:eastAsia="宋体" w:cs="Times New Roman"/>
                <w:spacing w:val="-3"/>
                <w:sz w:val="24"/>
                <w:szCs w:val="24"/>
              </w:rPr>
              <w:t>景观绿带；</w:t>
            </w:r>
          </w:p>
          <w:p w14:paraId="5E5F0A38">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两轴：</w:t>
            </w:r>
            <w:r>
              <w:rPr>
                <w:rFonts w:hint="default" w:ascii="Times New Roman" w:hAnsi="Times New Roman" w:eastAsia="宋体" w:cs="Times New Roman"/>
                <w:spacing w:val="-2"/>
                <w:sz w:val="24"/>
                <w:szCs w:val="24"/>
              </w:rPr>
              <w:t>张平公路、经四路</w:t>
            </w:r>
          </w:p>
          <w:p w14:paraId="63EFB496">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依托东西向的张平公路和南北向的经四路，</w:t>
            </w:r>
            <w:r>
              <w:rPr>
                <w:rFonts w:hint="default" w:ascii="Times New Roman" w:hAnsi="Times New Roman" w:eastAsia="宋体" w:cs="Times New Roman"/>
                <w:spacing w:val="-2"/>
                <w:sz w:val="24"/>
                <w:szCs w:val="24"/>
              </w:rPr>
              <w:t>串联园区各个功能组团，将其打造成为园区的综合轴线；</w:t>
            </w:r>
          </w:p>
          <w:p w14:paraId="7FD02FB3">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多区：</w:t>
            </w:r>
            <w:r>
              <w:rPr>
                <w:rFonts w:hint="default" w:ascii="Times New Roman" w:hAnsi="Times New Roman" w:eastAsia="宋体" w:cs="Times New Roman"/>
                <w:spacing w:val="-2"/>
                <w:sz w:val="24"/>
                <w:szCs w:val="24"/>
              </w:rPr>
              <w:t>指综合能源冶金建材及延伸产业承接区、化工产业区、装</w:t>
            </w:r>
            <w:r>
              <w:rPr>
                <w:rFonts w:hint="default" w:ascii="Times New Roman" w:hAnsi="Times New Roman" w:eastAsia="宋体" w:cs="Times New Roman"/>
                <w:spacing w:val="-1"/>
                <w:sz w:val="24"/>
                <w:szCs w:val="24"/>
              </w:rPr>
              <w:t>备制造及新材料产业区、电力能源产业区、节能环保产业区。</w:t>
            </w:r>
          </w:p>
          <w:p w14:paraId="12C2C63C">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通过对区域政策定位导向、产业发展热点导向、</w:t>
            </w:r>
            <w:r>
              <w:rPr>
                <w:rFonts w:hint="default" w:ascii="Times New Roman" w:hAnsi="Times New Roman" w:eastAsia="宋体" w:cs="Times New Roman"/>
                <w:spacing w:val="-2"/>
                <w:sz w:val="24"/>
                <w:szCs w:val="24"/>
              </w:rPr>
              <w:t>现状资源优势导</w:t>
            </w:r>
            <w:r>
              <w:rPr>
                <w:rFonts w:hint="default" w:ascii="Times New Roman" w:hAnsi="Times New Roman" w:eastAsia="宋体" w:cs="Times New Roman"/>
                <w:spacing w:val="-1"/>
                <w:sz w:val="24"/>
                <w:szCs w:val="24"/>
              </w:rPr>
              <w:t>向、科技创新能力、地均产出效率等进行分析，结合产业特</w:t>
            </w:r>
            <w:r>
              <w:rPr>
                <w:rFonts w:hint="default" w:ascii="Times New Roman" w:hAnsi="Times New Roman" w:eastAsia="宋体" w:cs="Times New Roman"/>
                <w:spacing w:val="-2"/>
                <w:sz w:val="24"/>
                <w:szCs w:val="24"/>
              </w:rPr>
              <w:t>征、市场</w:t>
            </w:r>
            <w:r>
              <w:rPr>
                <w:rFonts w:hint="default" w:ascii="Times New Roman" w:hAnsi="Times New Roman" w:eastAsia="宋体" w:cs="Times New Roman"/>
                <w:spacing w:val="-7"/>
                <w:sz w:val="24"/>
                <w:szCs w:val="24"/>
              </w:rPr>
              <w:t>情况、行业环境、政策环境，并对接相关规划中对开发区的发展指引，</w:t>
            </w:r>
            <w:r>
              <w:rPr>
                <w:rFonts w:hint="default" w:ascii="Times New Roman" w:hAnsi="Times New Roman" w:eastAsia="宋体" w:cs="Times New Roman"/>
                <w:spacing w:val="-1"/>
                <w:sz w:val="24"/>
                <w:szCs w:val="24"/>
              </w:rPr>
              <w:t>按照符合生态文明理念、高质量发展要求，综合确定：循环</w:t>
            </w:r>
            <w:r>
              <w:rPr>
                <w:rFonts w:hint="default" w:ascii="Times New Roman" w:hAnsi="Times New Roman" w:eastAsia="宋体" w:cs="Times New Roman"/>
                <w:spacing w:val="-2"/>
                <w:sz w:val="24"/>
                <w:szCs w:val="24"/>
              </w:rPr>
              <w:t>经济示范</w:t>
            </w:r>
            <w:r>
              <w:rPr>
                <w:rFonts w:hint="default" w:ascii="Times New Roman" w:hAnsi="Times New Roman" w:eastAsia="宋体" w:cs="Times New Roman"/>
                <w:spacing w:val="-1"/>
                <w:sz w:val="24"/>
                <w:szCs w:val="24"/>
              </w:rPr>
              <w:t>园重点发展化工综合能源及装备制造、冶金建材及新材料三</w:t>
            </w:r>
            <w:r>
              <w:rPr>
                <w:rFonts w:hint="default" w:ascii="Times New Roman" w:hAnsi="Times New Roman" w:eastAsia="宋体" w:cs="Times New Roman"/>
                <w:spacing w:val="-2"/>
                <w:sz w:val="24"/>
                <w:szCs w:val="24"/>
              </w:rPr>
              <w:t>大主导产</w:t>
            </w:r>
            <w:r>
              <w:rPr>
                <w:rFonts w:hint="default" w:ascii="Times New Roman" w:hAnsi="Times New Roman" w:eastAsia="宋体" w:cs="Times New Roman"/>
                <w:sz w:val="24"/>
                <w:szCs w:val="24"/>
              </w:rPr>
              <w:t>业，积极培育节能环保一大辅助产业，构建</w:t>
            </w:r>
            <w:r>
              <w:rPr>
                <w:rFonts w:hint="default" w:ascii="Times New Roman" w:hAnsi="Times New Roman" w:eastAsia="宋体" w:cs="Times New Roman"/>
                <w:spacing w:val="-1"/>
                <w:sz w:val="24"/>
                <w:szCs w:val="24"/>
              </w:rPr>
              <w:t>“3+1”产业体系。</w:t>
            </w:r>
          </w:p>
          <w:p w14:paraId="06475FB8">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（2）规划及规划环评手续履行情况</w:t>
            </w:r>
          </w:p>
          <w:p w14:paraId="518CBB72">
            <w:pPr>
              <w:pStyle w:val="36"/>
              <w:keepNext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2025年2月，张掖经济技术开发区管委会委托中煤科工重庆设计</w:t>
            </w:r>
            <w:r>
              <w:rPr>
                <w:rFonts w:hint="default" w:ascii="Times New Roman" w:hAnsi="Times New Roman" w:eastAsia="宋体" w:cs="Times New Roman"/>
                <w:spacing w:val="-1"/>
                <w:sz w:val="24"/>
                <w:szCs w:val="24"/>
              </w:rPr>
              <w:t>研究院（集团）有限公司编制完成了《张掖经济技术开</w:t>
            </w:r>
            <w:r>
              <w:rPr>
                <w:rFonts w:hint="default" w:ascii="Times New Roman" w:hAnsi="Times New Roman" w:eastAsia="宋体" w:cs="Times New Roman"/>
                <w:spacing w:val="-2"/>
                <w:sz w:val="24"/>
                <w:szCs w:val="24"/>
              </w:rPr>
              <w:t>发区循环经济</w:t>
            </w:r>
            <w:r>
              <w:rPr>
                <w:rFonts w:hint="default" w:ascii="Times New Roman" w:hAnsi="Times New Roman" w:eastAsia="宋体" w:cs="Times New Roman"/>
                <w:spacing w:val="-3"/>
                <w:sz w:val="24"/>
                <w:szCs w:val="24"/>
              </w:rPr>
              <w:t>示范园总体规划（调整）环境影响报告书》，2025年12</w:t>
            </w:r>
            <w:r>
              <w:rPr>
                <w:rFonts w:hint="default" w:ascii="Times New Roman" w:hAnsi="Times New Roman" w:eastAsia="宋体" w:cs="Times New Roman"/>
                <w:spacing w:val="-4"/>
                <w:sz w:val="24"/>
                <w:szCs w:val="24"/>
              </w:rPr>
              <w:t>月1日，张</w:t>
            </w:r>
            <w:r>
              <w:rPr>
                <w:rFonts w:hint="default" w:ascii="Times New Roman" w:hAnsi="Times New Roman" w:eastAsia="宋体" w:cs="Times New Roman"/>
                <w:spacing w:val="1"/>
                <w:sz w:val="24"/>
                <w:szCs w:val="24"/>
              </w:rPr>
              <w:t>掖市生态环境局以张环函〔2025〕183号文对</w:t>
            </w:r>
            <w:r>
              <w:rPr>
                <w:rFonts w:hint="default" w:ascii="Times New Roman" w:hAnsi="Times New Roman" w:eastAsia="宋体" w:cs="Times New Roman"/>
                <w:sz w:val="24"/>
                <w:szCs w:val="24"/>
              </w:rPr>
              <w:t>该规划环评报告书进行</w:t>
            </w:r>
            <w:r>
              <w:rPr>
                <w:rFonts w:hint="default" w:ascii="Times New Roman" w:hAnsi="Times New Roman" w:eastAsia="宋体" w:cs="Times New Roman"/>
                <w:spacing w:val="-3"/>
                <w:sz w:val="24"/>
                <w:szCs w:val="24"/>
              </w:rPr>
              <w:t>了批复。</w:t>
            </w:r>
          </w:p>
          <w:p w14:paraId="130D011E">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spacing w:val="-4"/>
                <w:sz w:val="24"/>
                <w:szCs w:val="24"/>
              </w:rPr>
              <w:t>本项目与园区规划符合性分析</w:t>
            </w:r>
          </w:p>
          <w:p w14:paraId="429E35D4">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项目选址位于张掖经济技术开发区循环经济示</w:t>
            </w:r>
            <w:r>
              <w:rPr>
                <w:rFonts w:hint="default" w:ascii="Times New Roman" w:hAnsi="Times New Roman" w:eastAsia="宋体" w:cs="Times New Roman"/>
                <w:b w:val="0"/>
                <w:color w:val="000000" w:themeColor="text1"/>
                <w:kern w:val="2"/>
                <w:sz w:val="24"/>
                <w:szCs w:val="22"/>
                <w:highlight w:val="none"/>
                <w:lang w:val="en-US" w:eastAsia="zh-CN" w:bidi="ar-SA"/>
                <w14:textFill>
                  <w14:solidFill>
                    <w14:schemeClr w14:val="tx1"/>
                  </w14:solidFill>
                </w14:textFill>
              </w:rPr>
              <w:t>范园装备制造及新材料产业区，</w:t>
            </w:r>
            <w:r>
              <w:rPr>
                <w:rFonts w:hint="default" w:ascii="Times New Roman" w:hAnsi="Times New Roman" w:eastAsia="宋体" w:cs="Times New Roman"/>
                <w:b w:val="0"/>
                <w:color w:val="auto"/>
                <w:kern w:val="2"/>
                <w:sz w:val="24"/>
                <w:szCs w:val="22"/>
                <w:highlight w:val="none"/>
                <w:lang w:val="en-US" w:eastAsia="zh-CN" w:bidi="ar-SA"/>
              </w:rPr>
              <w:t>本项目与张掖经济技术开发区循环经济示范园发展规划位置关系见附图</w:t>
            </w:r>
            <w:r>
              <w:rPr>
                <w:rFonts w:hint="default" w:ascii="Times New Roman" w:hAnsi="Times New Roman" w:cs="Times New Roman"/>
                <w:b w:val="0"/>
                <w:color w:val="auto"/>
                <w:kern w:val="2"/>
                <w:sz w:val="24"/>
                <w:szCs w:val="22"/>
                <w:highlight w:val="none"/>
                <w:lang w:val="en-US" w:eastAsia="zh-CN" w:bidi="ar-SA"/>
              </w:rPr>
              <w:t>2</w:t>
            </w:r>
            <w:r>
              <w:rPr>
                <w:rFonts w:hint="default" w:ascii="Times New Roman" w:hAnsi="Times New Roman" w:eastAsia="宋体" w:cs="Times New Roman"/>
                <w:b w:val="0"/>
                <w:color w:val="auto"/>
                <w:kern w:val="2"/>
                <w:sz w:val="24"/>
                <w:szCs w:val="22"/>
                <w:highlight w:val="none"/>
                <w:lang w:val="en-US" w:eastAsia="zh-CN" w:bidi="ar-SA"/>
              </w:rPr>
              <w:t>。</w:t>
            </w:r>
          </w:p>
          <w:p w14:paraId="75CC2934">
            <w:pPr>
              <w:pStyle w:val="36"/>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功能定位高度契合</w:t>
            </w:r>
          </w:p>
          <w:p w14:paraId="7E1F5B31">
            <w:pPr>
              <w:pStyle w:val="36"/>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规划明确园区以</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生产、生态、生活</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三位一体为发展目标，打造生态循环型产业园区。本项目为园区工业供水调蓄水库，是核心水利基础设施，直接补齐园区水资源保障短板，支撑产业落地与生态环境改善，与规划功能定位完全一致。</w:t>
            </w:r>
          </w:p>
          <w:p w14:paraId="5D9A4642">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cs="Times New Roman"/>
                <w:b w:val="0"/>
                <w:color w:val="0000FF"/>
                <w:kern w:val="2"/>
                <w:sz w:val="24"/>
                <w:szCs w:val="22"/>
                <w:highlight w:val="none"/>
                <w:lang w:val="en-US" w:eastAsia="zh-CN" w:bidi="ar-SA"/>
              </w:rPr>
              <w:t>（2）</w:t>
            </w:r>
            <w:r>
              <w:rPr>
                <w:rFonts w:hint="default" w:ascii="Times New Roman" w:hAnsi="Times New Roman" w:eastAsia="宋体" w:cs="Times New Roman"/>
                <w:b w:val="0"/>
                <w:color w:val="0000FF"/>
                <w:kern w:val="2"/>
                <w:sz w:val="24"/>
                <w:szCs w:val="22"/>
                <w:highlight w:val="none"/>
                <w:lang w:val="en-US" w:eastAsia="zh-CN" w:bidi="ar-SA"/>
              </w:rPr>
              <w:t>空间布局完全符合</w:t>
            </w:r>
          </w:p>
          <w:p w14:paraId="3E8D530B">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规划构建</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一带、两轴、多区</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空间结构，项目选址位于装备制造及新材料产业区，不占用平易河景观带、交通轴线与生态廊道，符合园区空间管控要求。</w:t>
            </w:r>
          </w:p>
          <w:p w14:paraId="5913BEB9">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cs="Times New Roman"/>
                <w:b w:val="0"/>
                <w:color w:val="0000FF"/>
                <w:kern w:val="2"/>
                <w:sz w:val="24"/>
                <w:szCs w:val="22"/>
                <w:highlight w:val="none"/>
                <w:lang w:val="en-US" w:eastAsia="zh-CN" w:bidi="ar-SA"/>
              </w:rPr>
              <w:t>（3）</w:t>
            </w:r>
            <w:r>
              <w:rPr>
                <w:rFonts w:hint="default" w:ascii="Times New Roman" w:hAnsi="Times New Roman" w:eastAsia="宋体" w:cs="Times New Roman"/>
                <w:b w:val="0"/>
                <w:color w:val="0000FF"/>
                <w:kern w:val="2"/>
                <w:sz w:val="24"/>
                <w:szCs w:val="22"/>
                <w:highlight w:val="none"/>
                <w:lang w:val="en-US" w:eastAsia="zh-CN" w:bidi="ar-SA"/>
              </w:rPr>
              <w:t>产业体系支撑匹配</w:t>
            </w:r>
          </w:p>
          <w:p w14:paraId="1A0A923F">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园区重点发展化工、综合能源及装备制造、冶金建材及新材料三大主导产业，均为高用水工业类型。项目建成后可稳定供给工业生产用水，保障</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3+1</w:t>
            </w:r>
            <w:r>
              <w:rPr>
                <w:rFonts w:hint="eastAsia" w:ascii="Times New Roman" w:hAnsi="Times New Roman" w:cs="Times New Roman"/>
                <w:b w:val="0"/>
                <w:color w:val="0000FF"/>
                <w:kern w:val="2"/>
                <w:sz w:val="24"/>
                <w:szCs w:val="22"/>
                <w:highlight w:val="none"/>
                <w:lang w:val="en-US" w:eastAsia="zh-CN" w:bidi="ar-SA"/>
              </w:rPr>
              <w:t>”</w:t>
            </w:r>
            <w:r>
              <w:rPr>
                <w:rFonts w:hint="default" w:ascii="Times New Roman" w:hAnsi="Times New Roman" w:eastAsia="宋体" w:cs="Times New Roman"/>
                <w:b w:val="0"/>
                <w:color w:val="0000FF"/>
                <w:kern w:val="2"/>
                <w:sz w:val="24"/>
                <w:szCs w:val="22"/>
                <w:highlight w:val="none"/>
                <w:lang w:val="en-US" w:eastAsia="zh-CN" w:bidi="ar-SA"/>
              </w:rPr>
              <w:t>产业体系落地，是规划实施的关键支撑工程。</w:t>
            </w:r>
          </w:p>
          <w:p w14:paraId="7C84155E">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cs="Times New Roman"/>
                <w:b w:val="0"/>
                <w:color w:val="0000FF"/>
                <w:kern w:val="2"/>
                <w:sz w:val="24"/>
                <w:szCs w:val="22"/>
                <w:highlight w:val="none"/>
                <w:lang w:val="en-US" w:eastAsia="zh-CN" w:bidi="ar-SA"/>
              </w:rPr>
              <w:t>（4）</w:t>
            </w:r>
            <w:r>
              <w:rPr>
                <w:rFonts w:hint="default" w:ascii="Times New Roman" w:hAnsi="Times New Roman" w:eastAsia="宋体" w:cs="Times New Roman"/>
                <w:b w:val="0"/>
                <w:color w:val="0000FF"/>
                <w:kern w:val="2"/>
                <w:sz w:val="24"/>
                <w:szCs w:val="22"/>
                <w:highlight w:val="none"/>
                <w:lang w:val="en-US" w:eastAsia="zh-CN" w:bidi="ar-SA"/>
              </w:rPr>
              <w:t>基础设施规划一致</w:t>
            </w:r>
          </w:p>
          <w:p w14:paraId="5C9074B7">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规划要求完善供水、排水、能源等配套基础设施，构建安全可靠的园区保障体系。本项目属于供水基础设施，与规划 “优先建设水资源保障工程” 的要求完全相符。</w:t>
            </w:r>
          </w:p>
          <w:p w14:paraId="543FA368">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5A857835">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0EB81A59">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1537B87">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47228DCE">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4F2F1BF2">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1AAE57D9">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2D5C5FD">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7C959800">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E076DDB">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B4209C2">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75F9709A">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CAC2CB6">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30617029">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6E3DCCC">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78077FF8">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277C66CD">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37DA53A6">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6EE73024">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0D2FCCC1">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p>
          <w:p w14:paraId="34B0F8D2">
            <w:pPr>
              <w:pStyle w:val="36"/>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109" w:right="130" w:firstLine="482" w:firstLineChars="200"/>
              <w:jc w:val="both"/>
              <w:textAlignment w:val="auto"/>
              <w:rPr>
                <w:rFonts w:hint="eastAsia" w:ascii="Times New Roman" w:hAnsi="Times New Roman" w:cs="Times New Roman"/>
                <w:b/>
                <w:bCs/>
                <w:color w:val="auto"/>
                <w:kern w:val="2"/>
                <w:sz w:val="24"/>
                <w:szCs w:val="22"/>
                <w:highlight w:val="none"/>
                <w:lang w:val="en-US" w:eastAsia="zh-CN" w:bidi="ar-SA"/>
              </w:rPr>
            </w:pPr>
          </w:p>
          <w:p w14:paraId="7AB378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p>
        </w:tc>
      </w:tr>
    </w:tbl>
    <w:p w14:paraId="53C2E0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sectPr>
          <w:footerReference r:id="rId4" w:type="default"/>
          <w:pgSz w:w="11906" w:h="16838"/>
          <w:pgMar w:top="1134" w:right="1134" w:bottom="1134" w:left="1134" w:header="851" w:footer="1077" w:gutter="0"/>
          <w:pgBorders>
            <w:top w:val="none" w:sz="0" w:space="0"/>
            <w:left w:val="none" w:sz="0" w:space="0"/>
            <w:bottom w:val="none" w:sz="0" w:space="0"/>
            <w:right w:val="none" w:sz="0" w:space="0"/>
          </w:pgBorders>
          <w:pgNumType w:start="1"/>
          <w:cols w:space="720" w:num="1"/>
          <w:docGrid w:linePitch="312" w:charSpace="0"/>
        </w:sectPr>
      </w:pPr>
      <w:bookmarkStart w:id="0" w:name="_Hlk56690880"/>
    </w:p>
    <w:tbl>
      <w:tblPr>
        <w:tblStyle w:val="69"/>
        <w:tblW w:w="140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4"/>
        <w:gridCol w:w="12710"/>
      </w:tblGrid>
      <w:tr w14:paraId="6B94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4" w:hRule="atLeast"/>
        </w:trPr>
        <w:tc>
          <w:tcPr>
            <w:tcW w:w="1344" w:type="dxa"/>
            <w:tcBorders>
              <w:bottom w:val="nil"/>
            </w:tcBorders>
            <w:vAlign w:val="top"/>
          </w:tcPr>
          <w:p w14:paraId="0894C41D">
            <w:pPr>
              <w:spacing w:line="247" w:lineRule="auto"/>
              <w:rPr>
                <w:rFonts w:ascii="Arial"/>
                <w:sz w:val="21"/>
              </w:rPr>
            </w:pPr>
          </w:p>
          <w:p w14:paraId="57481698">
            <w:pPr>
              <w:spacing w:line="247" w:lineRule="auto"/>
              <w:rPr>
                <w:rFonts w:ascii="Arial"/>
                <w:sz w:val="21"/>
              </w:rPr>
            </w:pPr>
          </w:p>
          <w:p w14:paraId="6B9A851D">
            <w:pPr>
              <w:spacing w:line="247" w:lineRule="auto"/>
              <w:rPr>
                <w:rFonts w:ascii="Arial"/>
                <w:sz w:val="21"/>
              </w:rPr>
            </w:pPr>
          </w:p>
          <w:p w14:paraId="112B3DE3">
            <w:pPr>
              <w:spacing w:line="247" w:lineRule="auto"/>
              <w:rPr>
                <w:rFonts w:ascii="Arial"/>
                <w:sz w:val="21"/>
              </w:rPr>
            </w:pPr>
          </w:p>
          <w:p w14:paraId="2195ABC0">
            <w:pPr>
              <w:spacing w:line="247" w:lineRule="auto"/>
              <w:rPr>
                <w:rFonts w:ascii="Arial"/>
                <w:sz w:val="21"/>
              </w:rPr>
            </w:pPr>
          </w:p>
          <w:p w14:paraId="63A4E0F0">
            <w:pPr>
              <w:spacing w:line="247" w:lineRule="auto"/>
              <w:rPr>
                <w:rFonts w:ascii="Arial"/>
                <w:sz w:val="21"/>
              </w:rPr>
            </w:pPr>
          </w:p>
          <w:p w14:paraId="6774861F">
            <w:pPr>
              <w:spacing w:line="247" w:lineRule="auto"/>
              <w:rPr>
                <w:rFonts w:ascii="Arial"/>
                <w:sz w:val="21"/>
              </w:rPr>
            </w:pPr>
          </w:p>
          <w:p w14:paraId="0B8C2745">
            <w:pPr>
              <w:spacing w:line="247" w:lineRule="auto"/>
              <w:rPr>
                <w:rFonts w:ascii="Arial"/>
                <w:sz w:val="21"/>
              </w:rPr>
            </w:pPr>
          </w:p>
          <w:p w14:paraId="6E1FA271">
            <w:pPr>
              <w:spacing w:line="247" w:lineRule="auto"/>
              <w:rPr>
                <w:rFonts w:ascii="Arial"/>
                <w:sz w:val="21"/>
              </w:rPr>
            </w:pPr>
          </w:p>
          <w:p w14:paraId="46A0FB24">
            <w:pPr>
              <w:spacing w:line="247" w:lineRule="auto"/>
              <w:rPr>
                <w:rFonts w:ascii="Arial"/>
                <w:sz w:val="21"/>
              </w:rPr>
            </w:pPr>
          </w:p>
          <w:p w14:paraId="70F07929">
            <w:pPr>
              <w:spacing w:line="247" w:lineRule="auto"/>
              <w:rPr>
                <w:rFonts w:ascii="Arial"/>
                <w:sz w:val="21"/>
              </w:rPr>
            </w:pPr>
          </w:p>
          <w:p w14:paraId="5A43FF3F">
            <w:pPr>
              <w:spacing w:line="247" w:lineRule="auto"/>
              <w:rPr>
                <w:rFonts w:ascii="Arial"/>
                <w:sz w:val="21"/>
              </w:rPr>
            </w:pPr>
          </w:p>
          <w:p w14:paraId="683763FA">
            <w:pPr>
              <w:spacing w:line="247" w:lineRule="auto"/>
              <w:rPr>
                <w:rFonts w:ascii="Arial"/>
                <w:sz w:val="21"/>
              </w:rPr>
            </w:pPr>
          </w:p>
          <w:p w14:paraId="51C4DD4C">
            <w:pPr>
              <w:spacing w:line="248" w:lineRule="auto"/>
              <w:rPr>
                <w:rFonts w:ascii="Arial"/>
                <w:sz w:val="21"/>
              </w:rPr>
            </w:pPr>
          </w:p>
          <w:p w14:paraId="3D94BB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p>
          <w:p w14:paraId="222C0F71">
            <w:pPr>
              <w:keepNext w:val="0"/>
              <w:keepLines w:val="0"/>
              <w:suppressLineNumbers w:val="0"/>
              <w:adjustRightInd w:val="0"/>
              <w:snapToGrid w:val="0"/>
              <w:spacing w:before="0" w:beforeAutospacing="0" w:after="0" w:afterAutospacing="0"/>
              <w:ind w:left="0" w:right="0"/>
              <w:jc w:val="center"/>
            </w:pPr>
            <w:r>
              <w:rPr>
                <w:rFonts w:hint="default" w:ascii="Times New Roman" w:hAnsi="Times New Roman" w:eastAsia="宋体" w:cs="Times New Roman"/>
                <w:b/>
                <w:bCs/>
                <w:color w:val="auto"/>
                <w:sz w:val="24"/>
                <w:szCs w:val="22"/>
                <w:highlight w:val="none"/>
              </w:rPr>
              <w:t>规划及规划环境影响评价符合性分析</w:t>
            </w:r>
          </w:p>
        </w:tc>
        <w:tc>
          <w:tcPr>
            <w:tcW w:w="12710" w:type="dxa"/>
            <w:vAlign w:val="top"/>
          </w:tcPr>
          <w:p w14:paraId="1AB2C48F">
            <w:pPr>
              <w:pStyle w:val="36"/>
              <w:keepNext w:val="0"/>
              <w:pageBreakBefore w:val="0"/>
              <w:kinsoku/>
              <w:wordWrap/>
              <w:overflowPunct/>
              <w:topLinePunct w:val="0"/>
              <w:autoSpaceDE/>
              <w:autoSpaceDN/>
              <w:bidi w:val="0"/>
              <w:adjustRightInd/>
              <w:snapToGrid/>
              <w:spacing w:line="360" w:lineRule="auto"/>
              <w:ind w:left="0" w:firstLine="470"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b/>
                <w:bCs/>
                <w:color w:val="0000FF"/>
                <w:spacing w:val="-3"/>
                <w:sz w:val="24"/>
                <w:szCs w:val="24"/>
              </w:rPr>
              <w:t>3、本项目与园区规划环评及审查意见符合性</w:t>
            </w:r>
            <w:r>
              <w:rPr>
                <w:rFonts w:hint="default" w:ascii="Times New Roman" w:hAnsi="Times New Roman" w:eastAsia="宋体" w:cs="Times New Roman"/>
                <w:b/>
                <w:bCs/>
                <w:color w:val="0000FF"/>
                <w:spacing w:val="-4"/>
                <w:sz w:val="24"/>
                <w:szCs w:val="24"/>
              </w:rPr>
              <w:t>分析</w:t>
            </w:r>
          </w:p>
          <w:p w14:paraId="0985B193">
            <w:pPr>
              <w:pStyle w:val="36"/>
              <w:keepNext w:val="0"/>
              <w:pageBreakBefore w:val="0"/>
              <w:kinsoku/>
              <w:wordWrap/>
              <w:overflowPunct/>
              <w:topLinePunct w:val="0"/>
              <w:autoSpaceDE/>
              <w:autoSpaceDN/>
              <w:bidi w:val="0"/>
              <w:adjustRightInd/>
              <w:snapToGrid/>
              <w:spacing w:line="360" w:lineRule="auto"/>
              <w:ind w:left="0" w:firstLine="472"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pacing w:val="-2"/>
                <w:sz w:val="24"/>
                <w:szCs w:val="24"/>
              </w:rPr>
              <w:t>本项目与园区规划环评及审查意见的符合性分析详见表1-</w:t>
            </w:r>
            <w:r>
              <w:rPr>
                <w:rFonts w:hint="eastAsia" w:ascii="Times New Roman" w:hAnsi="Times New Roman" w:eastAsia="宋体" w:cs="Times New Roman"/>
                <w:color w:val="0000FF"/>
                <w:spacing w:val="-2"/>
                <w:sz w:val="24"/>
                <w:szCs w:val="24"/>
                <w:lang w:val="en-US" w:eastAsia="zh-CN"/>
              </w:rPr>
              <w:t>1</w:t>
            </w:r>
            <w:r>
              <w:rPr>
                <w:rFonts w:hint="default" w:ascii="Times New Roman" w:hAnsi="Times New Roman" w:eastAsia="宋体" w:cs="Times New Roman"/>
                <w:color w:val="0000FF"/>
                <w:spacing w:val="-2"/>
                <w:sz w:val="24"/>
                <w:szCs w:val="24"/>
              </w:rPr>
              <w:t>。</w:t>
            </w:r>
          </w:p>
          <w:p w14:paraId="61BA81E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b/>
                <w:bCs/>
                <w:spacing w:val="-2"/>
                <w:sz w:val="24"/>
                <w:szCs w:val="24"/>
              </w:rPr>
              <w:t>表1-</w:t>
            </w:r>
            <w:r>
              <w:rPr>
                <w:rFonts w:hint="eastAsia" w:ascii="Times New Roman" w:hAnsi="Times New Roman" w:eastAsia="宋体" w:cs="Times New Roman"/>
                <w:b/>
                <w:bCs/>
                <w:spacing w:val="-2"/>
                <w:sz w:val="24"/>
                <w:szCs w:val="24"/>
                <w:lang w:val="en-US" w:eastAsia="zh-CN"/>
              </w:rPr>
              <w:t>1</w:t>
            </w:r>
            <w:r>
              <w:rPr>
                <w:rFonts w:hint="default" w:ascii="Times New Roman" w:hAnsi="Times New Roman" w:eastAsia="宋体" w:cs="Times New Roman"/>
                <w:b/>
                <w:bCs/>
                <w:spacing w:val="-2"/>
                <w:sz w:val="24"/>
                <w:szCs w:val="24"/>
              </w:rPr>
              <w:t>本项目与园区规划环评及审查意见的符合性分析</w:t>
            </w:r>
          </w:p>
          <w:tbl>
            <w:tblP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15" w:type="dxa"/>
                <w:left w:w="15" w:type="dxa"/>
                <w:bottom w:w="15" w:type="dxa"/>
                <w:right w:w="15" w:type="dxa"/>
              </w:tblCellMar>
            </w:tblPr>
            <w:tblGrid>
              <w:gridCol w:w="561"/>
              <w:gridCol w:w="5791"/>
              <w:gridCol w:w="5671"/>
              <w:gridCol w:w="671"/>
            </w:tblGrid>
            <w:tr w14:paraId="0024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rPr>
                <w:tblHeader/>
              </w:trPr>
              <w:tc>
                <w:tcPr>
                  <w:tcW w:w="221" w:type="pct"/>
                  <w:shd w:val="clear"/>
                  <w:tcMar>
                    <w:top w:w="120" w:type="dxa"/>
                    <w:left w:w="120" w:type="dxa"/>
                    <w:bottom w:w="120" w:type="dxa"/>
                    <w:right w:w="120" w:type="dxa"/>
                  </w:tcMar>
                  <w:vAlign w:val="center"/>
                </w:tcPr>
                <w:p w14:paraId="21B67A7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序号</w:t>
                  </w:r>
                </w:p>
              </w:tc>
              <w:tc>
                <w:tcPr>
                  <w:tcW w:w="2280" w:type="pct"/>
                  <w:shd w:val="clear"/>
                  <w:tcMar>
                    <w:top w:w="120" w:type="dxa"/>
                    <w:left w:w="120" w:type="dxa"/>
                    <w:bottom w:w="120" w:type="dxa"/>
                    <w:right w:w="120" w:type="dxa"/>
                  </w:tcMar>
                  <w:vAlign w:val="center"/>
                </w:tcPr>
                <w:p w14:paraId="0AA358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规划环评/审查意见核心要求</w:t>
                  </w:r>
                </w:p>
              </w:tc>
              <w:tc>
                <w:tcPr>
                  <w:tcW w:w="2233" w:type="pct"/>
                  <w:shd w:val="clear"/>
                  <w:tcMar>
                    <w:top w:w="120" w:type="dxa"/>
                    <w:left w:w="120" w:type="dxa"/>
                    <w:bottom w:w="120" w:type="dxa"/>
                    <w:right w:w="120" w:type="dxa"/>
                  </w:tcMar>
                  <w:vAlign w:val="center"/>
                </w:tcPr>
                <w:p w14:paraId="40849B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本项目落实情况</w:t>
                  </w:r>
                </w:p>
              </w:tc>
              <w:tc>
                <w:tcPr>
                  <w:tcW w:w="264" w:type="pct"/>
                  <w:shd w:val="clear"/>
                  <w:tcMar>
                    <w:top w:w="120" w:type="dxa"/>
                    <w:left w:w="120" w:type="dxa"/>
                    <w:bottom w:w="120" w:type="dxa"/>
                    <w:right w:w="120" w:type="dxa"/>
                  </w:tcMar>
                  <w:vAlign w:val="center"/>
                </w:tcPr>
                <w:p w14:paraId="18F78F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符合性</w:t>
                  </w:r>
                </w:p>
              </w:tc>
            </w:tr>
            <w:tr w14:paraId="1CBE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37A270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1</w:t>
                  </w:r>
                </w:p>
              </w:tc>
              <w:tc>
                <w:tcPr>
                  <w:tcW w:w="2280" w:type="pct"/>
                  <w:shd w:val="clear"/>
                  <w:tcMar>
                    <w:top w:w="120" w:type="dxa"/>
                    <w:left w:w="120" w:type="dxa"/>
                    <w:bottom w:w="120" w:type="dxa"/>
                    <w:right w:w="120" w:type="dxa"/>
                  </w:tcMar>
                  <w:vAlign w:val="center"/>
                </w:tcPr>
                <w:p w14:paraId="017544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规划定位与空间布局</w:t>
                  </w:r>
                  <w:r>
                    <w:rPr>
                      <w:rFonts w:hint="default" w:ascii="Times New Roman" w:hAnsi="Times New Roman" w:eastAsia="宋体" w:cs="Times New Roman"/>
                      <w:color w:val="0000FF"/>
                      <w:kern w:val="0"/>
                      <w:sz w:val="21"/>
                      <w:szCs w:val="21"/>
                      <w:bdr w:val="none" w:color="auto" w:sz="0" w:space="0"/>
                      <w:lang w:val="en-US" w:eastAsia="zh-CN" w:bidi="ar"/>
                    </w:rPr>
                    <w:t>符合 “一带、两轴、多区” 结构；产业用地布局合理；不占用生态廊道与保护区缓冲空间</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7E2D0E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项目为园区供水基础设施，位于</w:t>
                  </w:r>
                  <w:r>
                    <w:rPr>
                      <w:rStyle w:val="30"/>
                      <w:rFonts w:hint="default" w:ascii="Times New Roman" w:hAnsi="Times New Roman" w:eastAsia="宋体" w:cs="Times New Roman"/>
                      <w:color w:val="0000FF"/>
                      <w:kern w:val="0"/>
                      <w:sz w:val="21"/>
                      <w:szCs w:val="21"/>
                      <w:bdr w:val="none" w:color="auto" w:sz="0" w:space="0"/>
                      <w:lang w:val="en-US" w:eastAsia="zh-CN" w:bidi="ar"/>
                    </w:rPr>
                    <w:t>装备制造及新材料产业区</w:t>
                  </w:r>
                  <w:r>
                    <w:rPr>
                      <w:rFonts w:hint="default" w:ascii="Times New Roman" w:hAnsi="Times New Roman" w:eastAsia="宋体" w:cs="Times New Roman"/>
                      <w:color w:val="0000FF"/>
                      <w:kern w:val="0"/>
                      <w:sz w:val="21"/>
                      <w:szCs w:val="21"/>
                      <w:bdr w:val="none" w:color="auto" w:sz="0" w:space="0"/>
                      <w:lang w:val="en-US" w:eastAsia="zh-CN" w:bidi="ar"/>
                    </w:rPr>
                    <w:t>，不占平易河景观带、生态隔离带，用地符合规划</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342DBF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007F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47B71B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2</w:t>
                  </w:r>
                </w:p>
              </w:tc>
              <w:tc>
                <w:tcPr>
                  <w:tcW w:w="2280" w:type="pct"/>
                  <w:shd w:val="clear"/>
                  <w:tcMar>
                    <w:top w:w="120" w:type="dxa"/>
                    <w:left w:w="120" w:type="dxa"/>
                    <w:bottom w:w="120" w:type="dxa"/>
                    <w:right w:w="120" w:type="dxa"/>
                  </w:tcMar>
                  <w:vAlign w:val="center"/>
                </w:tcPr>
                <w:p w14:paraId="3FA1CBB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以水定产、水资源刚性约束</w:t>
                  </w:r>
                  <w:r>
                    <w:rPr>
                      <w:rFonts w:hint="default" w:ascii="Times New Roman" w:hAnsi="Times New Roman" w:eastAsia="宋体" w:cs="Times New Roman"/>
                      <w:color w:val="0000FF"/>
                      <w:kern w:val="0"/>
                      <w:sz w:val="21"/>
                      <w:szCs w:val="21"/>
                      <w:bdr w:val="none" w:color="auto" w:sz="0" w:space="0"/>
                      <w:lang w:val="en-US" w:eastAsia="zh-CN" w:bidi="ar"/>
                    </w:rPr>
                    <w:t>以可供水资源量为前提；强化水资源论证与用水总量管控；提高水资源利用效率</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4E0EE3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已完成水资源论证；取水来自黑河地表水，</w:t>
                  </w:r>
                  <w:r>
                    <w:rPr>
                      <w:rStyle w:val="30"/>
                      <w:rFonts w:hint="default" w:ascii="Times New Roman" w:hAnsi="Times New Roman" w:eastAsia="宋体" w:cs="Times New Roman"/>
                      <w:color w:val="0000FF"/>
                      <w:kern w:val="0"/>
                      <w:sz w:val="21"/>
                      <w:szCs w:val="21"/>
                      <w:bdr w:val="none" w:color="auto" w:sz="0" w:space="0"/>
                      <w:lang w:val="en-US" w:eastAsia="zh-CN" w:bidi="ar"/>
                    </w:rPr>
                    <w:t>用水总量不突破区域上线</w:t>
                  </w:r>
                  <w:r>
                    <w:rPr>
                      <w:rFonts w:hint="default" w:ascii="Times New Roman" w:hAnsi="Times New Roman" w:eastAsia="宋体" w:cs="Times New Roman"/>
                      <w:color w:val="0000FF"/>
                      <w:kern w:val="0"/>
                      <w:sz w:val="21"/>
                      <w:szCs w:val="21"/>
                      <w:bdr w:val="none" w:color="auto" w:sz="0" w:space="0"/>
                      <w:lang w:val="en-US" w:eastAsia="zh-CN" w:bidi="ar"/>
                    </w:rPr>
                    <w:t>；调蓄提升供水效率</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79E3EB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62A8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6050A9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3</w:t>
                  </w:r>
                </w:p>
              </w:tc>
              <w:tc>
                <w:tcPr>
                  <w:tcW w:w="2280" w:type="pct"/>
                  <w:shd w:val="clear"/>
                  <w:tcMar>
                    <w:top w:w="120" w:type="dxa"/>
                    <w:left w:w="120" w:type="dxa"/>
                    <w:bottom w:w="120" w:type="dxa"/>
                    <w:right w:w="120" w:type="dxa"/>
                  </w:tcMar>
                  <w:vAlign w:val="center"/>
                </w:tcPr>
                <w:p w14:paraId="53141C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优先地表水、关停自备井</w:t>
                  </w:r>
                  <w:r>
                    <w:rPr>
                      <w:rFonts w:hint="default" w:ascii="Times New Roman" w:hAnsi="Times New Roman" w:eastAsia="宋体" w:cs="Times New Roman"/>
                      <w:color w:val="0000FF"/>
                      <w:kern w:val="0"/>
                      <w:sz w:val="21"/>
                      <w:szCs w:val="21"/>
                      <w:bdr w:val="none" w:color="auto" w:sz="0" w:space="0"/>
                      <w:lang w:val="en-US" w:eastAsia="zh-CN" w:bidi="ar"/>
                    </w:rPr>
                    <w:t>加快集中供水工程建设；集中供水后逐步关闭企业自备井；</w:t>
                  </w:r>
                  <w:r>
                    <w:rPr>
                      <w:rStyle w:val="30"/>
                      <w:rFonts w:hint="default" w:ascii="Times New Roman" w:hAnsi="Times New Roman" w:eastAsia="宋体" w:cs="Times New Roman"/>
                      <w:color w:val="0000FF"/>
                      <w:kern w:val="0"/>
                      <w:sz w:val="21"/>
                      <w:szCs w:val="21"/>
                      <w:bdr w:val="none" w:color="auto" w:sz="0" w:space="0"/>
                      <w:lang w:val="en-US" w:eastAsia="zh-CN" w:bidi="ar"/>
                    </w:rPr>
                    <w:t>禁止新增工业地下水开采</w:t>
                  </w:r>
                  <w:r>
                    <w:rPr>
                      <w:rStyle w:val="30"/>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5BD1DD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本项目为地表水供水核心调蓄工程，建成后替代地下水，推动自备井关闭，不新增地下水取用</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16FEBB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23F1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35E017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4</w:t>
                  </w:r>
                </w:p>
              </w:tc>
              <w:tc>
                <w:tcPr>
                  <w:tcW w:w="2280" w:type="pct"/>
                  <w:shd w:val="clear"/>
                  <w:tcMar>
                    <w:top w:w="120" w:type="dxa"/>
                    <w:left w:w="120" w:type="dxa"/>
                    <w:bottom w:w="120" w:type="dxa"/>
                    <w:right w:w="120" w:type="dxa"/>
                  </w:tcMar>
                  <w:vAlign w:val="center"/>
                </w:tcPr>
                <w:p w14:paraId="5DC570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水污染源头控制</w:t>
                  </w:r>
                  <w:r>
                    <w:rPr>
                      <w:rFonts w:hint="default" w:ascii="Times New Roman" w:hAnsi="Times New Roman" w:eastAsia="宋体" w:cs="Times New Roman"/>
                      <w:color w:val="0000FF"/>
                      <w:kern w:val="0"/>
                      <w:sz w:val="21"/>
                      <w:szCs w:val="21"/>
                      <w:bdr w:val="none" w:color="auto" w:sz="0" w:space="0"/>
                      <w:lang w:val="en-US" w:eastAsia="zh-CN" w:bidi="ar"/>
                    </w:rPr>
                    <w:t>企业废水预处理达标进厂；深度处理后</w:t>
                  </w:r>
                  <w:r>
                    <w:rPr>
                      <w:rStyle w:val="30"/>
                      <w:rFonts w:hint="default" w:ascii="Times New Roman" w:hAnsi="Times New Roman" w:eastAsia="宋体" w:cs="Times New Roman"/>
                      <w:color w:val="0000FF"/>
                      <w:kern w:val="0"/>
                      <w:sz w:val="21"/>
                      <w:szCs w:val="21"/>
                      <w:bdr w:val="none" w:color="auto" w:sz="0" w:space="0"/>
                      <w:lang w:val="en-US" w:eastAsia="zh-CN" w:bidi="ar"/>
                    </w:rPr>
                    <w:t>全部回用不外排</w:t>
                  </w:r>
                  <w:r>
                    <w:rPr>
                      <w:rFonts w:hint="default" w:ascii="Times New Roman" w:hAnsi="Times New Roman" w:eastAsia="宋体" w:cs="Times New Roman"/>
                      <w:color w:val="0000FF"/>
                      <w:kern w:val="0"/>
                      <w:sz w:val="21"/>
                      <w:szCs w:val="21"/>
                      <w:bdr w:val="none" w:color="auto" w:sz="0" w:space="0"/>
                      <w:lang w:val="en-US" w:eastAsia="zh-CN" w:bidi="ar"/>
                    </w:rPr>
                    <w:t>；实施雨污分流</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34A02A7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运营期无废水排放；施工期污水预处理后接入园区管网，不新增外排废水</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36E4DF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5342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0C3F1D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5</w:t>
                  </w:r>
                </w:p>
              </w:tc>
              <w:tc>
                <w:tcPr>
                  <w:tcW w:w="2280" w:type="pct"/>
                  <w:shd w:val="clear"/>
                  <w:tcMar>
                    <w:top w:w="120" w:type="dxa"/>
                    <w:left w:w="120" w:type="dxa"/>
                    <w:bottom w:w="120" w:type="dxa"/>
                    <w:right w:w="120" w:type="dxa"/>
                  </w:tcMar>
                  <w:vAlign w:val="center"/>
                </w:tcPr>
                <w:p w14:paraId="653FC5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优化布局、远离保护区</w:t>
                  </w:r>
                  <w:r>
                    <w:rPr>
                      <w:rFonts w:hint="default" w:ascii="Times New Roman" w:hAnsi="Times New Roman" w:eastAsia="宋体" w:cs="Times New Roman"/>
                      <w:color w:val="0000FF"/>
                      <w:kern w:val="0"/>
                      <w:sz w:val="21"/>
                      <w:szCs w:val="21"/>
                      <w:bdr w:val="none" w:color="auto" w:sz="0" w:space="0"/>
                      <w:lang w:val="en-US" w:eastAsia="zh-CN" w:bidi="ar"/>
                    </w:rPr>
                    <w:t>高污染项目远离张掖黑河湿地国家级自然保护区；严控开发强度，保护生态空间</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6BB982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本项目为水利工程，</w:t>
                  </w:r>
                  <w:r>
                    <w:rPr>
                      <w:rStyle w:val="30"/>
                      <w:rFonts w:hint="default" w:ascii="Times New Roman" w:hAnsi="Times New Roman" w:eastAsia="宋体" w:cs="Times New Roman"/>
                      <w:color w:val="0000FF"/>
                      <w:kern w:val="0"/>
                      <w:sz w:val="21"/>
                      <w:szCs w:val="21"/>
                      <w:bdr w:val="none" w:color="auto" w:sz="0" w:space="0"/>
                      <w:lang w:val="en-US" w:eastAsia="zh-CN" w:bidi="ar"/>
                    </w:rPr>
                    <w:t>无污染物排放</w:t>
                  </w:r>
                  <w:r>
                    <w:rPr>
                      <w:rFonts w:hint="default" w:ascii="Times New Roman" w:hAnsi="Times New Roman" w:eastAsia="宋体" w:cs="Times New Roman"/>
                      <w:color w:val="0000FF"/>
                      <w:kern w:val="0"/>
                      <w:sz w:val="21"/>
                      <w:szCs w:val="21"/>
                      <w:bdr w:val="none" w:color="auto" w:sz="0" w:space="0"/>
                      <w:lang w:val="en-US" w:eastAsia="zh-CN" w:bidi="ar"/>
                    </w:rPr>
                    <w:t>；选址远离保护区，不占生态保护红线、永久基本农田</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4E2643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0312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15521A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6</w:t>
                  </w:r>
                </w:p>
              </w:tc>
              <w:tc>
                <w:tcPr>
                  <w:tcW w:w="2280" w:type="pct"/>
                  <w:shd w:val="clear"/>
                  <w:tcMar>
                    <w:top w:w="120" w:type="dxa"/>
                    <w:left w:w="120" w:type="dxa"/>
                    <w:bottom w:w="120" w:type="dxa"/>
                    <w:right w:w="120" w:type="dxa"/>
                  </w:tcMar>
                  <w:vAlign w:val="center"/>
                </w:tcPr>
                <w:p w14:paraId="3F3BA6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完善环保基础设施</w:t>
                  </w:r>
                  <w:r>
                    <w:rPr>
                      <w:rFonts w:hint="default" w:ascii="Times New Roman" w:hAnsi="Times New Roman" w:eastAsia="宋体" w:cs="Times New Roman"/>
                      <w:color w:val="0000FF"/>
                      <w:kern w:val="0"/>
                      <w:sz w:val="21"/>
                      <w:szCs w:val="21"/>
                      <w:bdr w:val="none" w:color="auto" w:sz="0" w:space="0"/>
                      <w:lang w:val="en-US" w:eastAsia="zh-CN" w:bidi="ar"/>
                    </w:rPr>
                    <w:t>加快供水、中水回用、污水收集、VOCs 监控等配套设施建设</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0B92FC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属于园区</w:t>
                  </w:r>
                  <w:r>
                    <w:rPr>
                      <w:rStyle w:val="30"/>
                      <w:rFonts w:hint="default" w:ascii="Times New Roman" w:hAnsi="Times New Roman" w:eastAsia="宋体" w:cs="Times New Roman"/>
                      <w:color w:val="0000FF"/>
                      <w:kern w:val="0"/>
                      <w:sz w:val="21"/>
                      <w:szCs w:val="21"/>
                      <w:bdr w:val="none" w:color="auto" w:sz="0" w:space="0"/>
                      <w:lang w:val="en-US" w:eastAsia="zh-CN" w:bidi="ar"/>
                    </w:rPr>
                    <w:t>重点供水基础设施</w:t>
                  </w:r>
                  <w:r>
                    <w:rPr>
                      <w:rFonts w:hint="default" w:ascii="Times New Roman" w:hAnsi="Times New Roman" w:eastAsia="宋体" w:cs="Times New Roman"/>
                      <w:color w:val="0000FF"/>
                      <w:kern w:val="0"/>
                      <w:sz w:val="21"/>
                      <w:szCs w:val="21"/>
                      <w:bdr w:val="none" w:color="auto" w:sz="0" w:space="0"/>
                      <w:lang w:val="en-US" w:eastAsia="zh-CN" w:bidi="ar"/>
                    </w:rPr>
                    <w:t>，与净水厂、供水管网、中水系统协同配套</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7881D9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5520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0FB19C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7</w:t>
                  </w:r>
                </w:p>
              </w:tc>
              <w:tc>
                <w:tcPr>
                  <w:tcW w:w="2280" w:type="pct"/>
                  <w:shd w:val="clear"/>
                  <w:tcMar>
                    <w:top w:w="120" w:type="dxa"/>
                    <w:left w:w="120" w:type="dxa"/>
                    <w:bottom w:w="120" w:type="dxa"/>
                    <w:right w:w="120" w:type="dxa"/>
                  </w:tcMar>
                  <w:vAlign w:val="center"/>
                </w:tcPr>
                <w:p w14:paraId="0F04EA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施工期生态保护</w:t>
                  </w:r>
                  <w:r>
                    <w:rPr>
                      <w:rFonts w:hint="default" w:ascii="Times New Roman" w:hAnsi="Times New Roman" w:eastAsia="宋体" w:cs="Times New Roman"/>
                      <w:color w:val="0000FF"/>
                      <w:kern w:val="0"/>
                      <w:sz w:val="21"/>
                      <w:szCs w:val="21"/>
                      <w:bdr w:val="none" w:color="auto" w:sz="0" w:space="0"/>
                      <w:lang w:val="en-US" w:eastAsia="zh-CN" w:bidi="ar"/>
                    </w:rPr>
                    <w:t>保护现有植被；减少生态破坏；临时占地及时平整、生态恢复</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7151BE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制定施工期扬尘、噪声、水土保持措施；临时占地施工后</w:t>
                  </w:r>
                  <w:r>
                    <w:rPr>
                      <w:rStyle w:val="30"/>
                      <w:rFonts w:hint="default" w:ascii="Times New Roman" w:hAnsi="Times New Roman" w:eastAsia="宋体" w:cs="Times New Roman"/>
                      <w:color w:val="0000FF"/>
                      <w:kern w:val="0"/>
                      <w:sz w:val="21"/>
                      <w:szCs w:val="21"/>
                      <w:bdr w:val="none" w:color="auto" w:sz="0" w:space="0"/>
                      <w:lang w:val="en-US" w:eastAsia="zh-CN" w:bidi="ar"/>
                    </w:rPr>
                    <w:t>迹地恢复、复绿</w:t>
                  </w:r>
                  <w:r>
                    <w:rPr>
                      <w:rStyle w:val="30"/>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47DFA5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5C70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01C5E7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8</w:t>
                  </w:r>
                </w:p>
              </w:tc>
              <w:tc>
                <w:tcPr>
                  <w:tcW w:w="2280" w:type="pct"/>
                  <w:shd w:val="clear"/>
                  <w:tcMar>
                    <w:top w:w="120" w:type="dxa"/>
                    <w:left w:w="120" w:type="dxa"/>
                    <w:bottom w:w="120" w:type="dxa"/>
                    <w:right w:w="120" w:type="dxa"/>
                  </w:tcMar>
                  <w:vAlign w:val="center"/>
                </w:tcPr>
                <w:p w14:paraId="39DF4C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环境风险防控</w:t>
                  </w:r>
                  <w:r>
                    <w:rPr>
                      <w:rFonts w:hint="default" w:ascii="Times New Roman" w:hAnsi="Times New Roman" w:eastAsia="宋体" w:cs="Times New Roman"/>
                      <w:color w:val="0000FF"/>
                      <w:kern w:val="0"/>
                      <w:sz w:val="21"/>
                      <w:szCs w:val="21"/>
                      <w:bdr w:val="none" w:color="auto" w:sz="0" w:space="0"/>
                      <w:lang w:val="en-US" w:eastAsia="zh-CN" w:bidi="ar"/>
                    </w:rPr>
                    <w:t>建立风险防控体系；严控土壤、地下水污染；无重大环境风险</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5879F3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项目不涉及危化品，无环境风险；库区防渗，不污染土壤及地下水</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15B520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4DC8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1FBF28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9</w:t>
                  </w:r>
                </w:p>
              </w:tc>
              <w:tc>
                <w:tcPr>
                  <w:tcW w:w="2280" w:type="pct"/>
                  <w:shd w:val="clear"/>
                  <w:tcMar>
                    <w:top w:w="120" w:type="dxa"/>
                    <w:left w:w="120" w:type="dxa"/>
                    <w:bottom w:w="120" w:type="dxa"/>
                    <w:right w:w="120" w:type="dxa"/>
                  </w:tcMar>
                  <w:vAlign w:val="center"/>
                </w:tcPr>
                <w:p w14:paraId="399608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产业准入与 “两高” 管控</w:t>
                  </w:r>
                  <w:r>
                    <w:rPr>
                      <w:rFonts w:hint="default" w:ascii="Times New Roman" w:hAnsi="Times New Roman" w:eastAsia="宋体" w:cs="Times New Roman"/>
                      <w:color w:val="0000FF"/>
                      <w:kern w:val="0"/>
                      <w:sz w:val="21"/>
                      <w:szCs w:val="21"/>
                      <w:bdr w:val="none" w:color="auto" w:sz="0" w:space="0"/>
                      <w:lang w:val="en-US" w:eastAsia="zh-CN" w:bidi="ar"/>
                    </w:rPr>
                    <w:t>禁止不符合产业政策、高耗能高排放项目盲目入园</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233" w:type="pct"/>
                  <w:shd w:val="clear"/>
                  <w:tcMar>
                    <w:top w:w="120" w:type="dxa"/>
                    <w:left w:w="120" w:type="dxa"/>
                    <w:bottom w:w="120" w:type="dxa"/>
                    <w:right w:w="120" w:type="dxa"/>
                  </w:tcMar>
                  <w:vAlign w:val="center"/>
                </w:tcPr>
                <w:p w14:paraId="07542D2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本项目为水利基础设施，不属于 “两高”，属鼓励类，符合准入要求</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264" w:type="pct"/>
                  <w:shd w:val="clear"/>
                  <w:tcMar>
                    <w:top w:w="120" w:type="dxa"/>
                    <w:left w:w="120" w:type="dxa"/>
                    <w:bottom w:w="120" w:type="dxa"/>
                    <w:right w:w="120" w:type="dxa"/>
                  </w:tcMar>
                  <w:vAlign w:val="center"/>
                </w:tcPr>
                <w:p w14:paraId="6BA46B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3C49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21" w:type="pct"/>
                  <w:shd w:val="clear"/>
                  <w:tcMar>
                    <w:top w:w="120" w:type="dxa"/>
                    <w:left w:w="120" w:type="dxa"/>
                    <w:bottom w:w="120" w:type="dxa"/>
                    <w:right w:w="120" w:type="dxa"/>
                  </w:tcMar>
                  <w:vAlign w:val="center"/>
                </w:tcPr>
                <w:p w14:paraId="5FF3EB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10</w:t>
                  </w:r>
                </w:p>
              </w:tc>
              <w:tc>
                <w:tcPr>
                  <w:tcW w:w="2280" w:type="pct"/>
                  <w:shd w:val="clear"/>
                  <w:tcMar>
                    <w:top w:w="120" w:type="dxa"/>
                    <w:left w:w="120" w:type="dxa"/>
                    <w:bottom w:w="120" w:type="dxa"/>
                    <w:right w:w="120" w:type="dxa"/>
                  </w:tcMar>
                  <w:vAlign w:val="center"/>
                </w:tcPr>
                <w:p w14:paraId="480BBD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规划环评与项目环评联动</w:t>
                  </w:r>
                  <w:r>
                    <w:rPr>
                      <w:rFonts w:hint="default" w:ascii="Times New Roman" w:hAnsi="Times New Roman" w:eastAsia="宋体" w:cs="Times New Roman"/>
                      <w:color w:val="0000FF"/>
                      <w:kern w:val="0"/>
                      <w:sz w:val="21"/>
                      <w:szCs w:val="21"/>
                      <w:bdr w:val="none" w:color="auto" w:sz="0" w:space="0"/>
                      <w:lang w:val="en-US" w:eastAsia="zh-CN" w:bidi="ar"/>
                    </w:rPr>
                    <w:t>项目环评必须论证与规划环评及审查意见的符合性</w:t>
                  </w:r>
                </w:p>
              </w:tc>
              <w:tc>
                <w:tcPr>
                  <w:tcW w:w="2233" w:type="pct"/>
                  <w:shd w:val="clear"/>
                  <w:tcMar>
                    <w:top w:w="120" w:type="dxa"/>
                    <w:left w:w="120" w:type="dxa"/>
                    <w:bottom w:w="120" w:type="dxa"/>
                    <w:right w:w="120" w:type="dxa"/>
                  </w:tcMar>
                  <w:vAlign w:val="center"/>
                </w:tcPr>
                <w:p w14:paraId="04FDB2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本</w:t>
                  </w:r>
                  <w:r>
                    <w:rPr>
                      <w:rFonts w:hint="eastAsia" w:ascii="Times New Roman" w:hAnsi="Times New Roman" w:eastAsia="宋体" w:cs="Times New Roman"/>
                      <w:color w:val="0000FF"/>
                      <w:kern w:val="0"/>
                      <w:sz w:val="21"/>
                      <w:szCs w:val="21"/>
                      <w:bdr w:val="none" w:color="auto" w:sz="0" w:space="0"/>
                      <w:lang w:val="en-US" w:eastAsia="zh-CN" w:bidi="ar"/>
                    </w:rPr>
                    <w:t>项目</w:t>
                  </w:r>
                  <w:r>
                    <w:rPr>
                      <w:rFonts w:hint="default" w:ascii="Times New Roman" w:hAnsi="Times New Roman" w:eastAsia="宋体" w:cs="Times New Roman"/>
                      <w:color w:val="0000FF"/>
                      <w:kern w:val="0"/>
                      <w:sz w:val="21"/>
                      <w:szCs w:val="21"/>
                      <w:bdr w:val="none" w:color="auto" w:sz="0" w:space="0"/>
                      <w:lang w:val="en-US" w:eastAsia="zh-CN" w:bidi="ar"/>
                    </w:rPr>
                    <w:t>满足规划环评约束与审查意见要求</w:t>
                  </w:r>
                </w:p>
              </w:tc>
              <w:tc>
                <w:tcPr>
                  <w:tcW w:w="264" w:type="pct"/>
                  <w:shd w:val="clear"/>
                  <w:tcMar>
                    <w:top w:w="120" w:type="dxa"/>
                    <w:left w:w="120" w:type="dxa"/>
                    <w:bottom w:w="120" w:type="dxa"/>
                    <w:right w:w="120" w:type="dxa"/>
                  </w:tcMar>
                  <w:vAlign w:val="center"/>
                </w:tcPr>
                <w:p w14:paraId="1A703C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bl>
          <w:p w14:paraId="751D2D8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lang w:eastAsia="zh-CN"/>
              </w:rPr>
              <w:t>综上：</w:t>
            </w:r>
            <w:r>
              <w:rPr>
                <w:rFonts w:hint="default" w:ascii="Times New Roman" w:hAnsi="Times New Roman" w:eastAsia="宋体" w:cs="Times New Roman"/>
                <w:color w:val="0000FF"/>
                <w:sz w:val="24"/>
                <w:szCs w:val="24"/>
              </w:rPr>
              <w:t>项目与《张掖经济技术开发区循环经济示范园发展规划（2025</w:t>
            </w:r>
            <w:r>
              <w:rPr>
                <w:rFonts w:hint="default" w:ascii="Times New Roman" w:hAnsi="Times New Roman" w:eastAsia="宋体" w:cs="Times New Roman"/>
                <w:color w:val="0000FF"/>
                <w:sz w:val="24"/>
                <w:szCs w:val="24"/>
              </w:rPr>
              <w:noBreakHyphen/>
            </w:r>
            <w:r>
              <w:rPr>
                <w:rFonts w:hint="default" w:ascii="Times New Roman" w:hAnsi="Times New Roman" w:eastAsia="宋体" w:cs="Times New Roman"/>
                <w:color w:val="0000FF"/>
                <w:sz w:val="24"/>
                <w:szCs w:val="24"/>
              </w:rPr>
              <w:t>2035）环境影响报告书》及</w:t>
            </w:r>
            <w:r>
              <w:rPr>
                <w:rStyle w:val="30"/>
                <w:rFonts w:hint="default" w:ascii="Times New Roman" w:hAnsi="Times New Roman" w:eastAsia="宋体" w:cs="Times New Roman"/>
                <w:b/>
                <w:bCs/>
                <w:color w:val="0000FF"/>
                <w:sz w:val="24"/>
                <w:szCs w:val="24"/>
                <w:bdr w:val="none" w:color="auto" w:sz="0" w:space="0"/>
              </w:rPr>
              <w:t>张环函〔2025〕183 号</w:t>
            </w:r>
            <w:r>
              <w:rPr>
                <w:rFonts w:hint="default" w:ascii="Times New Roman" w:hAnsi="Times New Roman" w:eastAsia="宋体" w:cs="Times New Roman"/>
                <w:color w:val="0000FF"/>
                <w:sz w:val="24"/>
                <w:szCs w:val="24"/>
              </w:rPr>
              <w:t>审查意见逐项对照，在</w:t>
            </w:r>
            <w:r>
              <w:rPr>
                <w:rStyle w:val="30"/>
                <w:rFonts w:hint="default" w:ascii="Times New Roman" w:hAnsi="Times New Roman" w:eastAsia="宋体" w:cs="Times New Roman"/>
                <w:b/>
                <w:bCs/>
                <w:color w:val="0000FF"/>
                <w:sz w:val="24"/>
                <w:szCs w:val="24"/>
                <w:bdr w:val="none" w:color="auto" w:sz="0" w:space="0"/>
              </w:rPr>
              <w:t>空间布局、水资源利用、地表水替代地下水、生态保护、基础设施建设、环境风险、产业准入、环评联动</w:t>
            </w:r>
            <w:r>
              <w:rPr>
                <w:rFonts w:hint="default" w:ascii="Times New Roman" w:hAnsi="Times New Roman" w:eastAsia="宋体" w:cs="Times New Roman"/>
                <w:color w:val="0000FF"/>
                <w:sz w:val="24"/>
                <w:szCs w:val="24"/>
              </w:rPr>
              <w:t>等方面均完全落实相关要求，无冲突、无不符合项，从规划环评及审查意见角度，项目建设可行。</w:t>
            </w:r>
          </w:p>
          <w:p w14:paraId="1115E2F9">
            <w:pPr>
              <w:rPr>
                <w:rFonts w:hint="default"/>
              </w:rPr>
            </w:pPr>
          </w:p>
        </w:tc>
      </w:tr>
    </w:tbl>
    <w:p w14:paraId="2C9C6C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sectPr>
          <w:pgSz w:w="16838" w:h="11906" w:orient="landscape"/>
          <w:pgMar w:top="1134" w:right="1134" w:bottom="1134" w:left="1134" w:header="851" w:footer="1077" w:gutter="0"/>
          <w:pgBorders>
            <w:top w:val="none" w:sz="0" w:space="0"/>
            <w:left w:val="none" w:sz="0" w:space="0"/>
            <w:bottom w:val="none" w:sz="0" w:space="0"/>
            <w:right w:val="none" w:sz="0" w:space="0"/>
          </w:pgBorders>
          <w:cols w:space="720" w:num="1"/>
          <w:docGrid w:linePitch="312" w:charSpace="0"/>
        </w:sectPr>
      </w:pPr>
    </w:p>
    <w:tbl>
      <w:tblPr>
        <w:tblStyle w:val="26"/>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01"/>
        <w:gridCol w:w="7628"/>
      </w:tblGrid>
      <w:tr w14:paraId="6678E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038" w:type="pct"/>
            <w:tcMar>
              <w:top w:w="16" w:type="dxa"/>
              <w:left w:w="16" w:type="dxa"/>
              <w:right w:w="16" w:type="dxa"/>
            </w:tcMar>
            <w:vAlign w:val="center"/>
          </w:tcPr>
          <w:p w14:paraId="108718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其他符合性分析</w:t>
            </w:r>
            <w:bookmarkEnd w:id="0"/>
          </w:p>
        </w:tc>
        <w:tc>
          <w:tcPr>
            <w:tcW w:w="3961" w:type="pct"/>
            <w:tcMar>
              <w:top w:w="16" w:type="dxa"/>
              <w:left w:w="16" w:type="dxa"/>
              <w:right w:w="16" w:type="dxa"/>
            </w:tcMar>
            <w:vAlign w:val="center"/>
          </w:tcPr>
          <w:p w14:paraId="1E26E1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1、产业政策符合性分析</w:t>
            </w:r>
          </w:p>
          <w:p w14:paraId="1AB81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lang w:val="en-US" w:eastAsia="zh-CN"/>
              </w:rPr>
              <w:t>本项目为水库建设项目，</w:t>
            </w:r>
            <w:r>
              <w:rPr>
                <w:rFonts w:hint="default" w:ascii="Times New Roman" w:hAnsi="Times New Roman" w:eastAsia="宋体" w:cs="Times New Roman"/>
                <w:color w:val="auto"/>
                <w:sz w:val="24"/>
                <w:szCs w:val="32"/>
                <w:highlight w:val="none"/>
              </w:rPr>
              <w:t>根据《产业结构调整指导目录（20</w:t>
            </w:r>
            <w:r>
              <w:rPr>
                <w:rFonts w:hint="default" w:ascii="Times New Roman" w:hAnsi="Times New Roman" w:eastAsia="宋体" w:cs="Times New Roman"/>
                <w:color w:val="auto"/>
                <w:sz w:val="24"/>
                <w:szCs w:val="32"/>
                <w:highlight w:val="none"/>
                <w:lang w:val="en-US" w:eastAsia="zh-CN"/>
              </w:rPr>
              <w:t>21</w:t>
            </w:r>
            <w:r>
              <w:rPr>
                <w:rFonts w:hint="default" w:ascii="Times New Roman" w:hAnsi="Times New Roman" w:eastAsia="宋体" w:cs="Times New Roman"/>
                <w:color w:val="auto"/>
                <w:sz w:val="24"/>
                <w:szCs w:val="32"/>
                <w:highlight w:val="none"/>
              </w:rPr>
              <w:t>年本）》中相关的鼓励类、限制类和淘汰类项目划分规定，本项目属于第一类鼓励类项目“二、水利，</w:t>
            </w:r>
            <w:r>
              <w:rPr>
                <w:rFonts w:hint="default" w:ascii="Times New Roman" w:hAnsi="Times New Roman" w:eastAsia="宋体" w:cs="Times New Roman"/>
                <w:color w:val="auto"/>
                <w:sz w:val="24"/>
                <w:szCs w:val="32"/>
                <w:highlight w:val="none"/>
                <w:lang w:val="en-US" w:eastAsia="zh-CN"/>
              </w:rPr>
              <w:t>11、综合利用水利枢纽工程</w:t>
            </w:r>
            <w:r>
              <w:rPr>
                <w:rFonts w:hint="default" w:ascii="Times New Roman" w:hAnsi="Times New Roman" w:eastAsia="宋体" w:cs="Times New Roman"/>
                <w:color w:val="auto"/>
                <w:sz w:val="24"/>
                <w:szCs w:val="32"/>
                <w:highlight w:val="none"/>
              </w:rPr>
              <w:t>”。因此，本项目建设符合国家产业政策要求。</w:t>
            </w:r>
          </w:p>
          <w:p w14:paraId="03346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rPr>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、项目用地合理性分析</w:t>
            </w:r>
          </w:p>
          <w:p w14:paraId="56179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张掖经济技术开发区循环经济示范园</w:t>
            </w:r>
            <w:r>
              <w:rPr>
                <w:rFonts w:hint="eastAsia" w:cs="Times New Roman"/>
                <w:color w:val="000000" w:themeColor="text1"/>
                <w:sz w:val="24"/>
                <w:szCs w:val="32"/>
                <w:highlight w:val="none"/>
                <w:lang w:val="en-US" w:eastAsia="zh-CN"/>
                <w14:textFill>
                  <w14:solidFill>
                    <w14:schemeClr w14:val="tx1"/>
                  </w14:solidFill>
                </w14:textFill>
              </w:rPr>
              <w:t>土地利用现状</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图》可知，本项目占地类型为</w:t>
            </w:r>
            <w:r>
              <w:rPr>
                <w:rFonts w:hint="eastAsia" w:cs="Times New Roman"/>
                <w:color w:val="000000" w:themeColor="text1"/>
                <w:sz w:val="24"/>
                <w:szCs w:val="32"/>
                <w:highlight w:val="none"/>
                <w:lang w:val="en-US" w:eastAsia="zh-CN"/>
                <w14:textFill>
                  <w14:solidFill>
                    <w14:schemeClr w14:val="tx1"/>
                  </w14:solidFill>
                </w14:textFill>
              </w:rPr>
              <w:t>裸土地</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（详见附图3），</w:t>
            </w:r>
            <w:r>
              <w:rPr>
                <w:rFonts w:hint="eastAsia" w:ascii="Times New Roman" w:hAnsi="Times New Roman" w:eastAsia="宋体" w:cs="Times New Roman"/>
                <w:color w:val="auto"/>
                <w:sz w:val="24"/>
                <w:szCs w:val="32"/>
                <w:highlight w:val="none"/>
                <w:lang w:val="en-US" w:eastAsia="zh-CN"/>
              </w:rPr>
              <w:t>符合规划要求。</w:t>
            </w:r>
          </w:p>
          <w:p w14:paraId="53087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本项目选址经多部门核查</w:t>
            </w:r>
            <w:r>
              <w:rPr>
                <w:rFonts w:hint="eastAsia" w:ascii="Times New Roman" w:hAnsi="Times New Roman" w:eastAsia="宋体" w:cs="Times New Roman"/>
                <w:color w:val="auto"/>
                <w:sz w:val="24"/>
                <w:szCs w:val="32"/>
                <w:highlight w:val="none"/>
                <w:lang w:val="en-US" w:eastAsia="zh-CN"/>
              </w:rPr>
              <w:t>（详见附件）</w:t>
            </w:r>
            <w:r>
              <w:rPr>
                <w:rFonts w:hint="default" w:ascii="Times New Roman" w:hAnsi="Times New Roman" w:eastAsia="宋体" w:cs="Times New Roman"/>
                <w:color w:val="auto"/>
                <w:sz w:val="24"/>
                <w:szCs w:val="32"/>
                <w:highlight w:val="none"/>
                <w:lang w:val="en-US" w:eastAsia="zh-CN"/>
              </w:rPr>
              <w:t>，水库为园区国有未利用滩地，不占生态红线、耕地、永久基本农田等；项目远离水源地、林草、湿地保护区及文保单位，紧邻园区净水厂，工程条件优、适配园区供水需求，</w:t>
            </w:r>
            <w:r>
              <w:rPr>
                <w:rFonts w:hint="eastAsia" w:ascii="Times New Roman" w:hAnsi="Times New Roman" w:eastAsia="宋体" w:cs="Times New Roman"/>
                <w:color w:val="auto"/>
                <w:sz w:val="24"/>
                <w:szCs w:val="32"/>
                <w:highlight w:val="none"/>
                <w:lang w:val="en-US" w:eastAsia="zh-CN"/>
              </w:rPr>
              <w:t>因</w:t>
            </w:r>
          </w:p>
          <w:p w14:paraId="7ADFC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此，本项目用地符合要求。</w:t>
            </w:r>
          </w:p>
          <w:p w14:paraId="27349D4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lang w:val="en-US" w:eastAsia="zh-CN"/>
              </w:rPr>
              <w:t>、与“三线一单”符合性分析</w:t>
            </w:r>
          </w:p>
          <w:p w14:paraId="1C59B5F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lang w:val="en-US" w:eastAsia="zh-CN"/>
              </w:rPr>
              <w:t>.1与甘肃省“三线一单”符合性分析</w:t>
            </w:r>
          </w:p>
          <w:p w14:paraId="7FBBE4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根据《甘肃省人民政府关于实施“三线一单”生态环境分区管控的意见》甘政发〔2020〕68号，全省共划定环境管控单元842个，分为优先保护单元、重点管控单元和一般管控单元三类，实施分类管控。</w:t>
            </w:r>
          </w:p>
          <w:p w14:paraId="218834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优先保护单元。共491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14:paraId="572231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重点管控单元。共263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14:paraId="7086E1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一般管控单元。共88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14:paraId="72C8FC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auto"/>
                <w:sz w:val="24"/>
                <w:szCs w:val="32"/>
                <w:highlight w:val="none"/>
              </w:rPr>
              <w:t>本项目位于</w:t>
            </w:r>
            <w:r>
              <w:rPr>
                <w:rFonts w:hint="eastAsia" w:ascii="Times New Roman" w:hAnsi="Times New Roman" w:eastAsia="宋体" w:cs="Times New Roman"/>
                <w:color w:val="auto"/>
                <w:sz w:val="24"/>
                <w:szCs w:val="32"/>
                <w:highlight w:val="none"/>
                <w:lang w:eastAsia="zh-CN"/>
              </w:rPr>
              <w:t>张掖经济技术开发区循环经济示范</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园园区内</w:t>
            </w:r>
            <w:r>
              <w:rPr>
                <w:rFonts w:hint="default" w:ascii="Times New Roman" w:hAnsi="Times New Roman" w:eastAsia="宋体" w:cs="Times New Roman"/>
                <w:color w:val="000000" w:themeColor="text1"/>
                <w:sz w:val="24"/>
                <w:szCs w:val="32"/>
                <w:highlight w:val="none"/>
                <w14:textFill>
                  <w14:solidFill>
                    <w14:schemeClr w14:val="tx1"/>
                  </w14:solidFill>
                </w14:textFill>
              </w:rPr>
              <w:t>，</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位于</w:t>
            </w:r>
            <w:r>
              <w:rPr>
                <w:rFonts w:hint="default" w:ascii="Times New Roman" w:hAnsi="Times New Roman" w:eastAsia="宋体" w:cs="Times New Roman"/>
                <w:color w:val="000000" w:themeColor="text1"/>
                <w:sz w:val="24"/>
                <w:szCs w:val="32"/>
                <w:highlight w:val="none"/>
                <w14:textFill>
                  <w14:solidFill>
                    <w14:schemeClr w14:val="tx1"/>
                  </w14:solidFill>
                </w14:textFill>
              </w:rPr>
              <w:t>“</w:t>
            </w:r>
            <w:r>
              <w:rPr>
                <w:rFonts w:hint="eastAsia" w:cs="Times New Roman"/>
                <w:color w:val="000000" w:themeColor="text1"/>
                <w:sz w:val="24"/>
                <w:szCs w:val="32"/>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sz w:val="24"/>
                <w:szCs w:val="32"/>
                <w:highlight w:val="none"/>
                <w14:textFill>
                  <w14:solidFill>
                    <w14:schemeClr w14:val="tx1"/>
                  </w14:solidFill>
                </w14:textFill>
              </w:rPr>
              <w:t>管控单元”。本项目运营期</w:t>
            </w:r>
            <w:r>
              <w:rPr>
                <w:rFonts w:hint="eastAsia" w:cs="Times New Roman"/>
                <w:color w:val="000000" w:themeColor="text1"/>
                <w:sz w:val="24"/>
                <w:szCs w:val="32"/>
                <w:highlight w:val="none"/>
                <w:lang w:eastAsia="zh-CN"/>
                <w14:textFill>
                  <w14:solidFill>
                    <w14:schemeClr w14:val="tx1"/>
                  </w14:solidFill>
                </w14:textFill>
              </w:rPr>
              <w:t>无废气、废水、固废产生</w:t>
            </w:r>
            <w:r>
              <w:rPr>
                <w:rFonts w:hint="default" w:ascii="Times New Roman" w:hAnsi="Times New Roman" w:eastAsia="宋体" w:cs="Times New Roman"/>
                <w:color w:val="000000" w:themeColor="text1"/>
                <w:sz w:val="24"/>
                <w:szCs w:val="32"/>
                <w:highlight w:val="none"/>
                <w14:textFill>
                  <w14:solidFill>
                    <w14:schemeClr w14:val="tx1"/>
                  </w14:solidFill>
                </w14:textFill>
              </w:rPr>
              <w:t>，符合“</w:t>
            </w:r>
            <w:r>
              <w:rPr>
                <w:rFonts w:hint="eastAsia" w:cs="Times New Roman"/>
                <w:color w:val="000000" w:themeColor="text1"/>
                <w:sz w:val="24"/>
                <w:szCs w:val="32"/>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管控</w:t>
            </w:r>
            <w:r>
              <w:rPr>
                <w:rFonts w:hint="default" w:ascii="Times New Roman" w:hAnsi="Times New Roman" w:eastAsia="宋体" w:cs="Times New Roman"/>
                <w:color w:val="000000" w:themeColor="text1"/>
                <w:sz w:val="24"/>
                <w:szCs w:val="32"/>
                <w:highlight w:val="none"/>
                <w14:textFill>
                  <w14:solidFill>
                    <w14:schemeClr w14:val="tx1"/>
                  </w14:solidFill>
                </w14:textFill>
              </w:rPr>
              <w:t>单元”管控要求，符合</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甘肃省</w:t>
            </w:r>
            <w:r>
              <w:rPr>
                <w:rFonts w:hint="default" w:ascii="Times New Roman" w:hAnsi="Times New Roman" w:eastAsia="宋体" w:cs="Times New Roman"/>
                <w:color w:val="000000" w:themeColor="text1"/>
                <w:sz w:val="24"/>
                <w:szCs w:val="32"/>
                <w:highlight w:val="none"/>
                <w14:textFill>
                  <w14:solidFill>
                    <w14:schemeClr w14:val="tx1"/>
                  </w14:solidFill>
                </w14:textFill>
              </w:rPr>
              <w:t>“三线一单”管控要求，本项目与甘肃省三线一单管控单元位置关系见</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附</w:t>
            </w:r>
            <w:r>
              <w:rPr>
                <w:rFonts w:hint="default" w:ascii="Times New Roman" w:hAnsi="Times New Roman" w:eastAsia="宋体" w:cs="Times New Roman"/>
                <w:color w:val="000000" w:themeColor="text1"/>
                <w:sz w:val="24"/>
                <w:szCs w:val="32"/>
                <w:highlight w:val="none"/>
                <w14:textFill>
                  <w14:solidFill>
                    <w14:schemeClr w14:val="tx1"/>
                  </w14:solidFill>
                </w14:textFill>
              </w:rPr>
              <w:t>图</w:t>
            </w:r>
            <w:r>
              <w:rPr>
                <w:rFonts w:hint="eastAsia" w:cs="Times New Roman"/>
                <w:color w:val="000000" w:themeColor="text1"/>
                <w:sz w:val="24"/>
                <w:szCs w:val="3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32"/>
                <w:highlight w:val="none"/>
                <w14:textFill>
                  <w14:solidFill>
                    <w14:schemeClr w14:val="tx1"/>
                  </w14:solidFill>
                </w14:textFill>
              </w:rPr>
              <w:t>。</w:t>
            </w:r>
          </w:p>
          <w:p w14:paraId="1DAB942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rPr>
            </w:pPr>
            <w:r>
              <w:rPr>
                <w:rFonts w:hint="eastAsia"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lang w:val="en-US" w:eastAsia="zh-CN"/>
              </w:rPr>
              <w:t>.2与张掖市</w:t>
            </w:r>
            <w:r>
              <w:rPr>
                <w:rFonts w:hint="default" w:ascii="Times New Roman" w:hAnsi="Times New Roman" w:eastAsia="宋体" w:cs="Times New Roman"/>
                <w:b/>
                <w:bCs/>
                <w:color w:val="auto"/>
                <w:sz w:val="24"/>
                <w:szCs w:val="32"/>
                <w:highlight w:val="none"/>
              </w:rPr>
              <w:t>“三线一单”符合性分析</w:t>
            </w:r>
          </w:p>
          <w:p w14:paraId="3C46D8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2021年7月5日，张掖市人民政府印发《张掖市“三线一单”生态环境分区管控方案》的通知，发布了《张掖市“三线一单”生态环境分区管控方案》。根据《管控方案》，张掖市把全市国土空间按优先保护、重点管控、一般管控三大类划分为56综合环境管控单元，其中优先保护单元29个，重点管控单元22个，一般管控区5个。同时，按照对不同单元区域确定的开发目标或功能定位，针对其环境的自然条件、问题和环境质量目标，确定了具体环境管控或准入要求。</w:t>
            </w:r>
          </w:p>
          <w:p w14:paraId="490D59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优先保护单元。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14:paraId="3EDF1E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重点管控单元。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14:paraId="51E881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一般管控单元。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r>
              <w:rPr>
                <w:rFonts w:hint="default" w:ascii="Times New Roman" w:hAnsi="Times New Roman" w:eastAsia="宋体" w:cs="Times New Roman"/>
                <w:color w:val="auto"/>
                <w:sz w:val="24"/>
                <w:szCs w:val="32"/>
                <w:highlight w:val="none"/>
                <w:lang w:eastAsia="zh-CN"/>
              </w:rPr>
              <w:t>。</w:t>
            </w:r>
          </w:p>
          <w:p w14:paraId="4C61404B">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FF"/>
                <w:sz w:val="24"/>
                <w:szCs w:val="32"/>
                <w:highlight w:val="none"/>
                <w:lang w:eastAsia="zh-CN"/>
              </w:rPr>
            </w:pPr>
            <w:r>
              <w:rPr>
                <w:rFonts w:hint="default" w:ascii="Times New Roman" w:hAnsi="Times New Roman" w:eastAsia="宋体" w:cs="Times New Roman"/>
                <w:color w:val="auto"/>
                <w:sz w:val="24"/>
                <w:szCs w:val="32"/>
                <w:highlight w:val="none"/>
                <w:lang w:eastAsia="zh-CN"/>
              </w:rPr>
              <w:t>本项目位于</w:t>
            </w:r>
            <w:r>
              <w:rPr>
                <w:rFonts w:hint="eastAsia" w:ascii="Times New Roman" w:hAnsi="Times New Roman" w:eastAsia="宋体" w:cs="Times New Roman"/>
                <w:color w:val="auto"/>
                <w:sz w:val="24"/>
                <w:szCs w:val="32"/>
                <w:highlight w:val="none"/>
                <w:lang w:eastAsia="zh-CN"/>
              </w:rPr>
              <w:t>张掖经济技术开发区循环经济示范园园区内</w:t>
            </w:r>
            <w:r>
              <w:rPr>
                <w:rFonts w:hint="default"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000000"/>
                <w:sz w:val="24"/>
                <w:lang w:val="en-US" w:eastAsia="zh-CN"/>
              </w:rPr>
              <w:t>本次</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三线一单</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在甘肃省生态环境分区</w:t>
            </w:r>
            <w:r>
              <w:rPr>
                <w:rFonts w:hint="eastAsia" w:ascii="Times New Roman" w:hAnsi="Times New Roman" w:eastAsia="宋体" w:cs="Times New Roman"/>
                <w:color w:val="000000"/>
                <w:kern w:val="0"/>
                <w:sz w:val="24"/>
                <w:lang w:val="en-US" w:eastAsia="zh-CN"/>
              </w:rPr>
              <w:t>管控公众服务平台（</w:t>
            </w:r>
            <w:r>
              <w:rPr>
                <w:rFonts w:hint="default" w:ascii="Times New Roman" w:hAnsi="Times New Roman" w:eastAsia="宋体" w:cs="Times New Roman"/>
                <w:color w:val="000000"/>
                <w:kern w:val="0"/>
                <w:sz w:val="24"/>
                <w:lang w:val="en-US" w:eastAsia="zh-CN"/>
              </w:rPr>
              <w:t>https://zwfw.sthj.gansμ.gov.cn/partitionControl/#/home</w:t>
            </w:r>
            <w:r>
              <w:rPr>
                <w:rFonts w:hint="eastAsia" w:ascii="Times New Roman" w:hAnsi="Times New Roman" w:eastAsia="宋体" w:cs="Times New Roman"/>
                <w:color w:val="000000"/>
                <w:kern w:val="0"/>
                <w:sz w:val="24"/>
                <w:lang w:val="en-US" w:eastAsia="zh-CN"/>
              </w:rPr>
              <w:t>）进行查询，由查询结果可知，</w:t>
            </w:r>
            <w:r>
              <w:rPr>
                <w:rFonts w:hint="eastAsia" w:eastAsia="宋体" w:cs="Times New Roman"/>
                <w:color w:val="000000"/>
                <w:kern w:val="0"/>
                <w:sz w:val="24"/>
                <w:lang w:val="en-US" w:eastAsia="zh-CN"/>
              </w:rPr>
              <w:t>本项目选址</w:t>
            </w:r>
            <w:r>
              <w:rPr>
                <w:rFonts w:hint="default" w:ascii="Times New Roman" w:hAnsi="Times New Roman" w:eastAsia="宋体" w:cs="Times New Roman"/>
                <w:color w:val="auto"/>
                <w:sz w:val="24"/>
                <w:szCs w:val="32"/>
                <w:highlight w:val="none"/>
                <w:lang w:val="en-US" w:eastAsia="zh-CN"/>
              </w:rPr>
              <w:t>位于</w:t>
            </w:r>
            <w:r>
              <w:rPr>
                <w:rFonts w:hint="eastAsia" w:cs="Times New Roman"/>
                <w:color w:val="auto"/>
                <w:sz w:val="24"/>
                <w:szCs w:val="32"/>
                <w:highlight w:val="none"/>
                <w:lang w:val="en-US" w:eastAsia="zh-CN"/>
              </w:rPr>
              <w:t>“</w:t>
            </w:r>
            <w:r>
              <w:rPr>
                <w:rFonts w:hint="eastAsia" w:cs="Times New Roman"/>
                <w:color w:val="auto"/>
                <w:sz w:val="24"/>
                <w:szCs w:val="32"/>
                <w:highlight w:val="none"/>
                <w:lang w:eastAsia="zh-CN"/>
              </w:rPr>
              <w:t>重点管控</w:t>
            </w:r>
            <w:r>
              <w:rPr>
                <w:rFonts w:hint="default" w:ascii="Times New Roman" w:hAnsi="Times New Roman" w:eastAsia="宋体" w:cs="Times New Roman"/>
                <w:color w:val="auto"/>
                <w:sz w:val="24"/>
                <w:szCs w:val="32"/>
                <w:highlight w:val="none"/>
                <w:lang w:eastAsia="zh-CN"/>
              </w:rPr>
              <w:t>单元</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本项目运营期</w:t>
            </w:r>
            <w:r>
              <w:rPr>
                <w:rFonts w:hint="eastAsia" w:cs="Times New Roman"/>
                <w:color w:val="000000" w:themeColor="text1"/>
                <w:sz w:val="24"/>
                <w:szCs w:val="32"/>
                <w:highlight w:val="none"/>
                <w:lang w:eastAsia="zh-CN"/>
                <w14:textFill>
                  <w14:solidFill>
                    <w14:schemeClr w14:val="tx1"/>
                  </w14:solidFill>
                </w14:textFill>
              </w:rPr>
              <w:t>无废气、废水、固废产生</w:t>
            </w:r>
            <w:r>
              <w:rPr>
                <w:rFonts w:hint="default" w:ascii="Times New Roman" w:hAnsi="Times New Roman" w:eastAsia="宋体" w:cs="Times New Roman"/>
                <w:color w:val="0000FF"/>
                <w:sz w:val="24"/>
                <w:szCs w:val="32"/>
                <w:highlight w:val="none"/>
                <w:lang w:eastAsia="zh-CN"/>
              </w:rPr>
              <w:t>，</w:t>
            </w:r>
            <w:r>
              <w:rPr>
                <w:rFonts w:hint="default" w:ascii="Times New Roman" w:hAnsi="Times New Roman" w:eastAsia="宋体" w:cs="Times New Roman"/>
                <w:color w:val="auto"/>
                <w:sz w:val="24"/>
                <w:szCs w:val="32"/>
                <w:highlight w:val="none"/>
                <w:lang w:eastAsia="zh-CN"/>
              </w:rPr>
              <w:t>符合“</w:t>
            </w:r>
            <w:r>
              <w:rPr>
                <w:rFonts w:hint="eastAsia" w:cs="Times New Roman"/>
                <w:color w:val="auto"/>
                <w:sz w:val="24"/>
                <w:szCs w:val="32"/>
                <w:highlight w:val="none"/>
                <w:lang w:val="en-US" w:eastAsia="zh-CN"/>
              </w:rPr>
              <w:t>重点</w:t>
            </w:r>
            <w:r>
              <w:rPr>
                <w:rFonts w:hint="default" w:ascii="Times New Roman" w:hAnsi="Times New Roman" w:eastAsia="宋体" w:cs="Times New Roman"/>
                <w:color w:val="auto"/>
                <w:sz w:val="24"/>
                <w:szCs w:val="32"/>
                <w:highlight w:val="none"/>
                <w:lang w:val="en-US" w:eastAsia="zh-CN"/>
              </w:rPr>
              <w:t>管控</w:t>
            </w:r>
            <w:r>
              <w:rPr>
                <w:rFonts w:hint="default" w:ascii="Times New Roman" w:hAnsi="Times New Roman" w:eastAsia="宋体" w:cs="Times New Roman"/>
                <w:color w:val="auto"/>
                <w:sz w:val="24"/>
                <w:szCs w:val="32"/>
                <w:highlight w:val="none"/>
              </w:rPr>
              <w:t>单元</w:t>
            </w:r>
            <w:r>
              <w:rPr>
                <w:rFonts w:hint="default" w:ascii="Times New Roman" w:hAnsi="Times New Roman" w:eastAsia="宋体" w:cs="Times New Roman"/>
                <w:color w:val="auto"/>
                <w:sz w:val="24"/>
                <w:szCs w:val="32"/>
                <w:highlight w:val="none"/>
                <w:lang w:eastAsia="zh-CN"/>
              </w:rPr>
              <w:t>”管控要求</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，符合</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张掖市</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“三线一单”管控要求，本项目与</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张掖市</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三线一单管控单元位置关系见</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附</w:t>
            </w:r>
            <w:r>
              <w:rPr>
                <w:rFonts w:hint="default" w:ascii="Times New Roman" w:hAnsi="Times New Roman" w:eastAsia="宋体" w:cs="Times New Roman"/>
                <w:color w:val="000000" w:themeColor="text1"/>
                <w:sz w:val="24"/>
                <w:szCs w:val="32"/>
                <w:highlight w:val="none"/>
                <w:lang w:eastAsia="zh-CN"/>
                <w14:textFill>
                  <w14:solidFill>
                    <w14:schemeClr w14:val="tx1"/>
                  </w14:solidFill>
                </w14:textFill>
              </w:rPr>
              <w:t>图</w:t>
            </w:r>
            <w:r>
              <w:rPr>
                <w:rFonts w:hint="eastAsia" w:cs="Times New Roman"/>
                <w:color w:val="000000" w:themeColor="text1"/>
                <w:sz w:val="24"/>
                <w:szCs w:val="32"/>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w:t>
            </w:r>
            <w:r>
              <w:rPr>
                <w:rFonts w:hint="eastAsia" w:ascii="Times New Roman" w:hAnsi="Times New Roman" w:eastAsia="宋体" w:cs="Times New Roman"/>
                <w:b w:val="0"/>
                <w:bCs w:val="0"/>
                <w:color w:val="000000"/>
                <w:sz w:val="24"/>
                <w:szCs w:val="24"/>
                <w:lang w:val="en-US" w:eastAsia="zh-CN"/>
              </w:rPr>
              <w:t>目所在区域</w:t>
            </w:r>
            <w:r>
              <w:rPr>
                <w:rFonts w:hint="default" w:ascii="Times New Roman" w:hAnsi="Times New Roman" w:eastAsia="宋体" w:cs="Times New Roman"/>
                <w:b w:val="0"/>
                <w:bCs w:val="0"/>
                <w:color w:val="000000"/>
                <w:sz w:val="24"/>
                <w:szCs w:val="24"/>
                <w:lang w:val="en-US" w:eastAsia="zh-CN"/>
              </w:rPr>
              <w:t>生态环境管控单元分布图</w:t>
            </w:r>
            <w:r>
              <w:rPr>
                <w:rFonts w:hint="eastAsia" w:ascii="Times New Roman" w:hAnsi="Times New Roman" w:eastAsia="宋体" w:cs="Times New Roman"/>
                <w:b w:val="0"/>
                <w:bCs w:val="0"/>
                <w:color w:val="000000"/>
                <w:sz w:val="24"/>
                <w:szCs w:val="24"/>
                <w:lang w:val="en-US" w:eastAsia="zh-CN"/>
              </w:rPr>
              <w:t>详见附图</w:t>
            </w:r>
            <w:r>
              <w:rPr>
                <w:rFonts w:hint="eastAsia" w:eastAsia="宋体" w:cs="Times New Roman"/>
                <w:b w:val="0"/>
                <w:bCs w:val="0"/>
                <w:color w:val="000000"/>
                <w:sz w:val="24"/>
                <w:szCs w:val="24"/>
                <w:lang w:val="en-US" w:eastAsia="zh-CN"/>
              </w:rPr>
              <w:t>6</w:t>
            </w:r>
            <w:r>
              <w:rPr>
                <w:rFonts w:hint="default" w:ascii="Times New Roman" w:hAnsi="Times New Roman" w:eastAsia="宋体" w:cs="Times New Roman"/>
                <w:color w:val="0000FF"/>
                <w:sz w:val="24"/>
                <w:szCs w:val="32"/>
                <w:highlight w:val="none"/>
                <w:lang w:eastAsia="zh-CN"/>
              </w:rPr>
              <w:t>。</w:t>
            </w:r>
          </w:p>
          <w:p w14:paraId="14A90962">
            <w:pPr>
              <w:pStyle w:val="38"/>
              <w:jc w:val="center"/>
              <w:rPr>
                <w:rFonts w:hint="default" w:ascii="Times New Roman" w:hAnsi="Times New Roman" w:eastAsia="宋体" w:cs="Times New Roman"/>
                <w:b/>
                <w:bCs/>
                <w:color w:val="0000FF"/>
                <w:kern w:val="2"/>
                <w:sz w:val="24"/>
                <w:szCs w:val="32"/>
                <w:highlight w:val="none"/>
                <w:lang w:val="en-US" w:eastAsia="zh-CN" w:bidi="ar-SA"/>
              </w:rPr>
            </w:pPr>
            <w:r>
              <w:rPr>
                <w:rFonts w:hint="default" w:ascii="Times New Roman" w:hAnsi="Times New Roman" w:eastAsia="宋体" w:cs="Times New Roman"/>
                <w:b/>
                <w:bCs/>
                <w:color w:val="0000FF"/>
                <w:kern w:val="2"/>
                <w:sz w:val="24"/>
                <w:szCs w:val="32"/>
                <w:highlight w:val="none"/>
                <w:lang w:val="en-US" w:eastAsia="zh-CN" w:bidi="ar-SA"/>
              </w:rPr>
              <w:t>表1</w:t>
            </w:r>
            <w:r>
              <w:rPr>
                <w:rFonts w:hint="default" w:ascii="Times New Roman" w:hAnsi="Times New Roman" w:eastAsia="宋体" w:cs="Times New Roman"/>
                <w:b/>
                <w:bCs/>
                <w:color w:val="0000FF"/>
                <w:kern w:val="2"/>
                <w:sz w:val="24"/>
                <w:szCs w:val="32"/>
                <w:highlight w:val="none"/>
                <w:lang w:val="en-US" w:eastAsia="zh-CN" w:bidi="ar-SA"/>
              </w:rPr>
              <w:noBreakHyphen/>
            </w:r>
            <w:r>
              <w:rPr>
                <w:rFonts w:hint="default" w:ascii="Times New Roman" w:hAnsi="Times New Roman" w:eastAsia="宋体" w:cs="Times New Roman"/>
                <w:b/>
                <w:bCs/>
                <w:color w:val="0000FF"/>
                <w:kern w:val="2"/>
                <w:sz w:val="24"/>
                <w:szCs w:val="32"/>
                <w:highlight w:val="none"/>
                <w:lang w:val="en-US" w:eastAsia="zh-CN" w:bidi="ar-SA"/>
              </w:rPr>
              <w:t>2</w:t>
            </w:r>
            <w:r>
              <w:rPr>
                <w:rFonts w:hint="eastAsia" w:ascii="Times New Roman" w:cs="Times New Roman"/>
                <w:b/>
                <w:bCs/>
                <w:color w:val="0000FF"/>
                <w:kern w:val="2"/>
                <w:sz w:val="24"/>
                <w:szCs w:val="32"/>
                <w:highlight w:val="none"/>
                <w:lang w:val="en-US" w:eastAsia="zh-CN" w:bidi="ar-SA"/>
              </w:rPr>
              <w:t xml:space="preserve">  </w:t>
            </w:r>
            <w:r>
              <w:rPr>
                <w:rFonts w:hint="default" w:ascii="Times New Roman" w:hAnsi="Times New Roman" w:eastAsia="宋体" w:cs="Times New Roman"/>
                <w:b/>
                <w:bCs/>
                <w:color w:val="0000FF"/>
                <w:kern w:val="2"/>
                <w:sz w:val="24"/>
                <w:szCs w:val="32"/>
                <w:highlight w:val="none"/>
                <w:lang w:val="en-US" w:eastAsia="zh-CN" w:bidi="ar-SA"/>
              </w:rPr>
              <w:t>项目与甘肃省、张掖市生态环境分区管控要求符合性分析表</w:t>
            </w:r>
          </w:p>
          <w:tbl>
            <w:tblPr>
              <w:tblW w:w="4998"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15" w:type="dxa"/>
                <w:left w:w="15" w:type="dxa"/>
                <w:bottom w:w="15" w:type="dxa"/>
                <w:right w:w="15" w:type="dxa"/>
              </w:tblCellMar>
            </w:tblPr>
            <w:tblGrid>
              <w:gridCol w:w="724"/>
              <w:gridCol w:w="1255"/>
              <w:gridCol w:w="1239"/>
              <w:gridCol w:w="1838"/>
              <w:gridCol w:w="1537"/>
              <w:gridCol w:w="991"/>
            </w:tblGrid>
            <w:tr w14:paraId="0588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rPr>
                <w:tblHeader/>
              </w:trPr>
              <w:tc>
                <w:tcPr>
                  <w:tcW w:w="724" w:type="dxa"/>
                  <w:shd w:val="clear"/>
                  <w:tcMar>
                    <w:top w:w="120" w:type="dxa"/>
                    <w:left w:w="120" w:type="dxa"/>
                    <w:bottom w:w="120" w:type="dxa"/>
                    <w:right w:w="120" w:type="dxa"/>
                  </w:tcMar>
                  <w:vAlign w:val="center"/>
                </w:tcPr>
                <w:p w14:paraId="189A2B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序号</w:t>
                  </w:r>
                </w:p>
              </w:tc>
              <w:tc>
                <w:tcPr>
                  <w:tcW w:w="1255" w:type="dxa"/>
                  <w:shd w:val="clear"/>
                  <w:tcMar>
                    <w:top w:w="120" w:type="dxa"/>
                    <w:left w:w="120" w:type="dxa"/>
                    <w:bottom w:w="120" w:type="dxa"/>
                    <w:right w:w="120" w:type="dxa"/>
                  </w:tcMar>
                  <w:vAlign w:val="center"/>
                </w:tcPr>
                <w:p w14:paraId="6A7E14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管控层级</w:t>
                  </w:r>
                </w:p>
              </w:tc>
              <w:tc>
                <w:tcPr>
                  <w:tcW w:w="1239" w:type="dxa"/>
                  <w:shd w:val="clear"/>
                  <w:tcMar>
                    <w:top w:w="120" w:type="dxa"/>
                    <w:left w:w="120" w:type="dxa"/>
                    <w:bottom w:w="120" w:type="dxa"/>
                    <w:right w:w="120" w:type="dxa"/>
                  </w:tcMar>
                  <w:vAlign w:val="center"/>
                </w:tcPr>
                <w:p w14:paraId="539B14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管控类别</w:t>
                  </w:r>
                </w:p>
              </w:tc>
              <w:tc>
                <w:tcPr>
                  <w:tcW w:w="1838" w:type="dxa"/>
                  <w:shd w:val="clear"/>
                  <w:tcMar>
                    <w:top w:w="120" w:type="dxa"/>
                    <w:left w:w="120" w:type="dxa"/>
                    <w:bottom w:w="120" w:type="dxa"/>
                    <w:right w:w="120" w:type="dxa"/>
                  </w:tcMar>
                  <w:vAlign w:val="center"/>
                </w:tcPr>
                <w:p w14:paraId="3E969C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核心管控要求</w:t>
                  </w:r>
                </w:p>
              </w:tc>
              <w:tc>
                <w:tcPr>
                  <w:tcW w:w="1537" w:type="dxa"/>
                  <w:shd w:val="clear"/>
                  <w:tcMar>
                    <w:top w:w="120" w:type="dxa"/>
                    <w:left w:w="120" w:type="dxa"/>
                    <w:bottom w:w="120" w:type="dxa"/>
                    <w:right w:w="120" w:type="dxa"/>
                  </w:tcMar>
                  <w:vAlign w:val="center"/>
                </w:tcPr>
                <w:p w14:paraId="390407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本项目落实情况</w:t>
                  </w:r>
                </w:p>
              </w:tc>
              <w:tc>
                <w:tcPr>
                  <w:tcW w:w="991" w:type="dxa"/>
                  <w:shd w:val="clear"/>
                  <w:tcMar>
                    <w:top w:w="120" w:type="dxa"/>
                    <w:left w:w="120" w:type="dxa"/>
                    <w:bottom w:w="120" w:type="dxa"/>
                    <w:right w:w="120" w:type="dxa"/>
                  </w:tcMar>
                  <w:vAlign w:val="center"/>
                </w:tcPr>
                <w:p w14:paraId="46392E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符合性</w:t>
                  </w:r>
                </w:p>
              </w:tc>
            </w:tr>
            <w:tr w14:paraId="5217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6389EE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1</w:t>
                  </w:r>
                </w:p>
              </w:tc>
              <w:tc>
                <w:tcPr>
                  <w:tcW w:w="1255" w:type="dxa"/>
                  <w:vMerge w:val="restart"/>
                  <w:shd w:val="clear"/>
                  <w:tcMar>
                    <w:top w:w="120" w:type="dxa"/>
                    <w:left w:w="120" w:type="dxa"/>
                    <w:bottom w:w="120" w:type="dxa"/>
                    <w:right w:w="120" w:type="dxa"/>
                  </w:tcMar>
                  <w:vAlign w:val="center"/>
                </w:tcPr>
                <w:p w14:paraId="13A7BB51">
                  <w:pPr>
                    <w:keepNext w:val="0"/>
                    <w:keepLines w:val="0"/>
                    <w:pageBreakBefore w:val="0"/>
                    <w:widowControl/>
                    <w:suppressLineNumbers w:val="0"/>
                    <w:kinsoku/>
                    <w:wordWrap/>
                    <w:overflowPunct/>
                    <w:topLinePunct w:val="0"/>
                    <w:autoSpaceDE/>
                    <w:autoSpaceDN/>
                    <w:bidi w:val="0"/>
                    <w:adjustRightInd/>
                    <w:snapToGrid/>
                    <w:jc w:val="center"/>
                    <w:textAlignment w:val="auto"/>
                    <w:rPr>
                      <w:rStyle w:val="30"/>
                      <w:rFonts w:hint="default" w:ascii="Times New Roman" w:hAnsi="Times New Roman" w:eastAsia="宋体" w:cs="Times New Roman"/>
                      <w:b w:val="0"/>
                      <w:bCs/>
                      <w:color w:val="0000FF"/>
                      <w:kern w:val="0"/>
                      <w:sz w:val="21"/>
                      <w:szCs w:val="21"/>
                      <w:bdr w:val="none" w:color="auto" w:sz="0" w:space="0"/>
                      <w:lang w:val="en-US" w:eastAsia="zh-CN" w:bidi="ar"/>
                    </w:rPr>
                  </w:pPr>
                  <w:r>
                    <w:rPr>
                      <w:rStyle w:val="30"/>
                      <w:rFonts w:hint="default" w:ascii="Times New Roman" w:hAnsi="Times New Roman" w:eastAsia="宋体" w:cs="Times New Roman"/>
                      <w:b w:val="0"/>
                      <w:bCs/>
                      <w:color w:val="0000FF"/>
                      <w:kern w:val="0"/>
                      <w:sz w:val="21"/>
                      <w:szCs w:val="21"/>
                      <w:bdr w:val="none" w:color="auto" w:sz="0" w:space="0"/>
                      <w:lang w:val="en-US" w:eastAsia="zh-CN" w:bidi="ar"/>
                    </w:rPr>
                    <w:t>甘肃省</w:t>
                  </w:r>
                </w:p>
                <w:p w14:paraId="7AAB9F8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color w:val="0000FF"/>
                      <w:sz w:val="21"/>
                      <w:szCs w:val="21"/>
                    </w:rPr>
                  </w:pPr>
                </w:p>
              </w:tc>
              <w:tc>
                <w:tcPr>
                  <w:tcW w:w="1239" w:type="dxa"/>
                  <w:shd w:val="clear"/>
                  <w:tcMar>
                    <w:top w:w="120" w:type="dxa"/>
                    <w:left w:w="120" w:type="dxa"/>
                    <w:bottom w:w="120" w:type="dxa"/>
                    <w:right w:w="120" w:type="dxa"/>
                  </w:tcMar>
                  <w:vAlign w:val="center"/>
                </w:tcPr>
                <w:p w14:paraId="38D170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生态保护红线</w:t>
                  </w:r>
                </w:p>
              </w:tc>
              <w:tc>
                <w:tcPr>
                  <w:tcW w:w="1838" w:type="dxa"/>
                  <w:shd w:val="clear"/>
                  <w:tcMar>
                    <w:top w:w="120" w:type="dxa"/>
                    <w:left w:w="120" w:type="dxa"/>
                    <w:bottom w:w="120" w:type="dxa"/>
                    <w:right w:w="120" w:type="dxa"/>
                  </w:tcMar>
                  <w:vAlign w:val="center"/>
                </w:tcPr>
                <w:p w14:paraId="735824E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不占用生态保护红线、自然保护地、饮用水源保护区等禁止开发区域</w:t>
                  </w:r>
                </w:p>
              </w:tc>
              <w:tc>
                <w:tcPr>
                  <w:tcW w:w="1537" w:type="dxa"/>
                  <w:shd w:val="clear"/>
                  <w:tcMar>
                    <w:top w:w="120" w:type="dxa"/>
                    <w:left w:w="120" w:type="dxa"/>
                    <w:bottom w:w="120" w:type="dxa"/>
                    <w:right w:w="120" w:type="dxa"/>
                  </w:tcMar>
                  <w:vAlign w:val="center"/>
                </w:tcPr>
                <w:p w14:paraId="408A3E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项目不涉及生态红线，远离保护区、水源地，无生态空间占用</w:t>
                  </w:r>
                </w:p>
              </w:tc>
              <w:tc>
                <w:tcPr>
                  <w:tcW w:w="991" w:type="dxa"/>
                  <w:shd w:val="clear"/>
                  <w:tcMar>
                    <w:top w:w="120" w:type="dxa"/>
                    <w:left w:w="120" w:type="dxa"/>
                    <w:bottom w:w="120" w:type="dxa"/>
                    <w:right w:w="120" w:type="dxa"/>
                  </w:tcMar>
                  <w:vAlign w:val="center"/>
                </w:tcPr>
                <w:p w14:paraId="391C8C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1898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5A30BD7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2</w:t>
                  </w:r>
                </w:p>
              </w:tc>
              <w:tc>
                <w:tcPr>
                  <w:tcW w:w="1255" w:type="dxa"/>
                  <w:vMerge w:val="continue"/>
                  <w:tcBorders/>
                  <w:shd w:val="clear"/>
                  <w:tcMar>
                    <w:top w:w="120" w:type="dxa"/>
                    <w:left w:w="120" w:type="dxa"/>
                    <w:bottom w:w="120" w:type="dxa"/>
                    <w:right w:w="120" w:type="dxa"/>
                  </w:tcMar>
                  <w:vAlign w:val="center"/>
                </w:tcPr>
                <w:p w14:paraId="6E0219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FF"/>
                      <w:sz w:val="21"/>
                      <w:szCs w:val="21"/>
                    </w:rPr>
                  </w:pPr>
                </w:p>
              </w:tc>
              <w:tc>
                <w:tcPr>
                  <w:tcW w:w="1239" w:type="dxa"/>
                  <w:shd w:val="clear"/>
                  <w:tcMar>
                    <w:top w:w="120" w:type="dxa"/>
                    <w:left w:w="120" w:type="dxa"/>
                    <w:bottom w:w="120" w:type="dxa"/>
                    <w:right w:w="120" w:type="dxa"/>
                  </w:tcMar>
                  <w:vAlign w:val="center"/>
                </w:tcPr>
                <w:p w14:paraId="38C4FC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环境质量底线</w:t>
                  </w:r>
                </w:p>
              </w:tc>
              <w:tc>
                <w:tcPr>
                  <w:tcW w:w="1838" w:type="dxa"/>
                  <w:shd w:val="clear"/>
                  <w:tcMar>
                    <w:top w:w="120" w:type="dxa"/>
                    <w:left w:w="120" w:type="dxa"/>
                    <w:bottom w:w="120" w:type="dxa"/>
                    <w:right w:w="120" w:type="dxa"/>
                  </w:tcMar>
                  <w:vAlign w:val="center"/>
                </w:tcPr>
                <w:p w14:paraId="535EC9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区域环境质量不下降，大气、水、声、土壤环境持续达标</w:t>
                  </w:r>
                </w:p>
              </w:tc>
              <w:tc>
                <w:tcPr>
                  <w:tcW w:w="1537" w:type="dxa"/>
                  <w:shd w:val="clear"/>
                  <w:tcMar>
                    <w:top w:w="120" w:type="dxa"/>
                    <w:left w:w="120" w:type="dxa"/>
                    <w:bottom w:w="120" w:type="dxa"/>
                    <w:right w:w="120" w:type="dxa"/>
                  </w:tcMar>
                  <w:vAlign w:val="center"/>
                </w:tcPr>
                <w:p w14:paraId="5FE724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区域为大气达标区；施工期影响可控，运营期无污染物排放</w:t>
                  </w:r>
                </w:p>
              </w:tc>
              <w:tc>
                <w:tcPr>
                  <w:tcW w:w="991" w:type="dxa"/>
                  <w:shd w:val="clear"/>
                  <w:tcMar>
                    <w:top w:w="120" w:type="dxa"/>
                    <w:left w:w="120" w:type="dxa"/>
                    <w:bottom w:w="120" w:type="dxa"/>
                    <w:right w:w="120" w:type="dxa"/>
                  </w:tcMar>
                  <w:vAlign w:val="center"/>
                </w:tcPr>
                <w:p w14:paraId="0B8D00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3566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2" w:hRule="atLeast"/>
              </w:trPr>
              <w:tc>
                <w:tcPr>
                  <w:tcW w:w="724" w:type="dxa"/>
                  <w:shd w:val="clear"/>
                  <w:tcMar>
                    <w:top w:w="120" w:type="dxa"/>
                    <w:left w:w="120" w:type="dxa"/>
                    <w:bottom w:w="120" w:type="dxa"/>
                    <w:right w:w="120" w:type="dxa"/>
                  </w:tcMar>
                  <w:vAlign w:val="center"/>
                </w:tcPr>
                <w:p w14:paraId="148B1C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3</w:t>
                  </w:r>
                </w:p>
              </w:tc>
              <w:tc>
                <w:tcPr>
                  <w:tcW w:w="1255" w:type="dxa"/>
                  <w:vMerge w:val="continue"/>
                  <w:tcBorders/>
                  <w:shd w:val="clear"/>
                  <w:tcMar>
                    <w:top w:w="120" w:type="dxa"/>
                    <w:left w:w="120" w:type="dxa"/>
                    <w:bottom w:w="120" w:type="dxa"/>
                    <w:right w:w="120" w:type="dxa"/>
                  </w:tcMar>
                  <w:vAlign w:val="center"/>
                </w:tcPr>
                <w:p w14:paraId="6FACA5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FF"/>
                      <w:sz w:val="21"/>
                      <w:szCs w:val="21"/>
                    </w:rPr>
                  </w:pPr>
                </w:p>
              </w:tc>
              <w:tc>
                <w:tcPr>
                  <w:tcW w:w="1239" w:type="dxa"/>
                  <w:shd w:val="clear"/>
                  <w:tcMar>
                    <w:top w:w="120" w:type="dxa"/>
                    <w:left w:w="120" w:type="dxa"/>
                    <w:bottom w:w="120" w:type="dxa"/>
                    <w:right w:w="120" w:type="dxa"/>
                  </w:tcMar>
                  <w:vAlign w:val="center"/>
                </w:tcPr>
                <w:p w14:paraId="1D0427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资源利用上线</w:t>
                  </w:r>
                </w:p>
              </w:tc>
              <w:tc>
                <w:tcPr>
                  <w:tcW w:w="1838" w:type="dxa"/>
                  <w:shd w:val="clear"/>
                  <w:tcMar>
                    <w:top w:w="120" w:type="dxa"/>
                    <w:left w:w="120" w:type="dxa"/>
                    <w:bottom w:w="120" w:type="dxa"/>
                    <w:right w:w="120" w:type="dxa"/>
                  </w:tcMar>
                  <w:vAlign w:val="center"/>
                </w:tcPr>
                <w:p w14:paraId="21197E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不突破水资源、土地资源上限；优先地表水、严控地下水开采</w:t>
                  </w:r>
                </w:p>
              </w:tc>
              <w:tc>
                <w:tcPr>
                  <w:tcW w:w="1537" w:type="dxa"/>
                  <w:shd w:val="clear"/>
                  <w:tcMar>
                    <w:top w:w="120" w:type="dxa"/>
                    <w:left w:w="120" w:type="dxa"/>
                    <w:bottom w:w="120" w:type="dxa"/>
                    <w:right w:w="120" w:type="dxa"/>
                  </w:tcMar>
                  <w:vAlign w:val="center"/>
                </w:tcPr>
                <w:p w14:paraId="20B1E4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用地为未利用地；取水为黑河地表水，用量远低于上线；压减地下水</w:t>
                  </w:r>
                </w:p>
              </w:tc>
              <w:tc>
                <w:tcPr>
                  <w:tcW w:w="991" w:type="dxa"/>
                  <w:shd w:val="clear"/>
                  <w:tcMar>
                    <w:top w:w="120" w:type="dxa"/>
                    <w:left w:w="120" w:type="dxa"/>
                    <w:bottom w:w="120" w:type="dxa"/>
                    <w:right w:w="120" w:type="dxa"/>
                  </w:tcMar>
                  <w:vAlign w:val="center"/>
                </w:tcPr>
                <w:p w14:paraId="2BEE05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4DF2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86" w:hRule="atLeast"/>
              </w:trPr>
              <w:tc>
                <w:tcPr>
                  <w:tcW w:w="724" w:type="dxa"/>
                  <w:shd w:val="clear"/>
                  <w:tcMar>
                    <w:top w:w="120" w:type="dxa"/>
                    <w:left w:w="120" w:type="dxa"/>
                    <w:bottom w:w="120" w:type="dxa"/>
                    <w:right w:w="120" w:type="dxa"/>
                  </w:tcMar>
                  <w:vAlign w:val="center"/>
                </w:tcPr>
                <w:p w14:paraId="7F8F1E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4</w:t>
                  </w:r>
                </w:p>
              </w:tc>
              <w:tc>
                <w:tcPr>
                  <w:tcW w:w="1255" w:type="dxa"/>
                  <w:vMerge w:val="continue"/>
                  <w:tcBorders/>
                  <w:shd w:val="clear"/>
                  <w:tcMar>
                    <w:top w:w="120" w:type="dxa"/>
                    <w:left w:w="120" w:type="dxa"/>
                    <w:bottom w:w="120" w:type="dxa"/>
                    <w:right w:w="120" w:type="dxa"/>
                  </w:tcMar>
                  <w:vAlign w:val="center"/>
                </w:tcPr>
                <w:p w14:paraId="16A8B8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FF"/>
                      <w:sz w:val="21"/>
                      <w:szCs w:val="21"/>
                    </w:rPr>
                  </w:pPr>
                </w:p>
              </w:tc>
              <w:tc>
                <w:tcPr>
                  <w:tcW w:w="1239" w:type="dxa"/>
                  <w:shd w:val="clear"/>
                  <w:tcMar>
                    <w:top w:w="120" w:type="dxa"/>
                    <w:left w:w="120" w:type="dxa"/>
                    <w:bottom w:w="120" w:type="dxa"/>
                    <w:right w:w="120" w:type="dxa"/>
                  </w:tcMar>
                  <w:vAlign w:val="center"/>
                </w:tcPr>
                <w:p w14:paraId="13BE2E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生态环境准入清单</w:t>
                  </w:r>
                </w:p>
              </w:tc>
              <w:tc>
                <w:tcPr>
                  <w:tcW w:w="1838" w:type="dxa"/>
                  <w:shd w:val="clear"/>
                  <w:tcMar>
                    <w:top w:w="120" w:type="dxa"/>
                    <w:left w:w="120" w:type="dxa"/>
                    <w:bottom w:w="120" w:type="dxa"/>
                    <w:right w:w="120" w:type="dxa"/>
                  </w:tcMar>
                  <w:vAlign w:val="center"/>
                </w:tcPr>
                <w:p w14:paraId="130C1C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禁止 “两高”、低端低效项目；鼓励节水、环保、基础设施项目</w:t>
                  </w:r>
                </w:p>
              </w:tc>
              <w:tc>
                <w:tcPr>
                  <w:tcW w:w="1537" w:type="dxa"/>
                  <w:shd w:val="clear"/>
                  <w:tcMar>
                    <w:top w:w="120" w:type="dxa"/>
                    <w:left w:w="120" w:type="dxa"/>
                    <w:bottom w:w="120" w:type="dxa"/>
                    <w:right w:w="120" w:type="dxa"/>
                  </w:tcMar>
                  <w:vAlign w:val="center"/>
                </w:tcPr>
                <w:p w14:paraId="33FC36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属水利鼓励类项目，非 “两高”，符合园区准入要求</w:t>
                  </w:r>
                </w:p>
              </w:tc>
              <w:tc>
                <w:tcPr>
                  <w:tcW w:w="991" w:type="dxa"/>
                  <w:shd w:val="clear"/>
                  <w:tcMar>
                    <w:top w:w="120" w:type="dxa"/>
                    <w:left w:w="120" w:type="dxa"/>
                    <w:bottom w:w="120" w:type="dxa"/>
                    <w:right w:w="120" w:type="dxa"/>
                  </w:tcMar>
                  <w:vAlign w:val="center"/>
                </w:tcPr>
                <w:p w14:paraId="5C3005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695E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60" w:hRule="atLeast"/>
              </w:trPr>
              <w:tc>
                <w:tcPr>
                  <w:tcW w:w="724" w:type="dxa"/>
                  <w:shd w:val="clear"/>
                  <w:tcMar>
                    <w:top w:w="120" w:type="dxa"/>
                    <w:left w:w="120" w:type="dxa"/>
                    <w:bottom w:w="120" w:type="dxa"/>
                    <w:right w:w="120" w:type="dxa"/>
                  </w:tcMar>
                  <w:vAlign w:val="center"/>
                </w:tcPr>
                <w:p w14:paraId="68D97D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5</w:t>
                  </w:r>
                </w:p>
              </w:tc>
              <w:tc>
                <w:tcPr>
                  <w:tcW w:w="1255" w:type="dxa"/>
                  <w:vMerge w:val="continue"/>
                  <w:tcBorders/>
                  <w:shd w:val="clear"/>
                  <w:tcMar>
                    <w:top w:w="120" w:type="dxa"/>
                    <w:left w:w="120" w:type="dxa"/>
                    <w:bottom w:w="120" w:type="dxa"/>
                    <w:right w:w="120" w:type="dxa"/>
                  </w:tcMar>
                  <w:vAlign w:val="center"/>
                </w:tcPr>
                <w:p w14:paraId="341438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FF"/>
                      <w:sz w:val="21"/>
                      <w:szCs w:val="21"/>
                    </w:rPr>
                  </w:pPr>
                </w:p>
              </w:tc>
              <w:tc>
                <w:tcPr>
                  <w:tcW w:w="1239" w:type="dxa"/>
                  <w:shd w:val="clear"/>
                  <w:tcMar>
                    <w:top w:w="120" w:type="dxa"/>
                    <w:left w:w="120" w:type="dxa"/>
                    <w:bottom w:w="120" w:type="dxa"/>
                    <w:right w:w="120" w:type="dxa"/>
                  </w:tcMar>
                  <w:vAlign w:val="center"/>
                </w:tcPr>
                <w:p w14:paraId="415071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管控单元类型</w:t>
                  </w:r>
                </w:p>
              </w:tc>
              <w:tc>
                <w:tcPr>
                  <w:tcW w:w="1838" w:type="dxa"/>
                  <w:shd w:val="clear"/>
                  <w:tcMar>
                    <w:top w:w="120" w:type="dxa"/>
                    <w:left w:w="120" w:type="dxa"/>
                    <w:bottom w:w="120" w:type="dxa"/>
                    <w:right w:w="120" w:type="dxa"/>
                  </w:tcMar>
                  <w:vAlign w:val="center"/>
                </w:tcPr>
                <w:p w14:paraId="053370A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重点管控单元：集约用地、高效利用资源、严控污染排放</w:t>
                  </w:r>
                </w:p>
              </w:tc>
              <w:tc>
                <w:tcPr>
                  <w:tcW w:w="1537" w:type="dxa"/>
                  <w:shd w:val="clear"/>
                  <w:tcMar>
                    <w:top w:w="120" w:type="dxa"/>
                    <w:left w:w="120" w:type="dxa"/>
                    <w:bottom w:w="120" w:type="dxa"/>
                    <w:right w:w="120" w:type="dxa"/>
                  </w:tcMar>
                  <w:vAlign w:val="center"/>
                </w:tcPr>
                <w:p w14:paraId="1773C3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位于园区重点管控单元，集约建设，无废气废水固废排放</w:t>
                  </w:r>
                </w:p>
              </w:tc>
              <w:tc>
                <w:tcPr>
                  <w:tcW w:w="991" w:type="dxa"/>
                  <w:shd w:val="clear"/>
                  <w:tcMar>
                    <w:top w:w="120" w:type="dxa"/>
                    <w:left w:w="120" w:type="dxa"/>
                    <w:bottom w:w="120" w:type="dxa"/>
                    <w:right w:w="120" w:type="dxa"/>
                  </w:tcMar>
                  <w:vAlign w:val="center"/>
                </w:tcPr>
                <w:p w14:paraId="7A664A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74D9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77A7B1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6</w:t>
                  </w:r>
                </w:p>
              </w:tc>
              <w:tc>
                <w:tcPr>
                  <w:tcW w:w="1255" w:type="dxa"/>
                  <w:vMerge w:val="restart"/>
                  <w:shd w:val="clear"/>
                  <w:tcMar>
                    <w:top w:w="120" w:type="dxa"/>
                    <w:left w:w="120" w:type="dxa"/>
                    <w:bottom w:w="120" w:type="dxa"/>
                    <w:right w:w="120" w:type="dxa"/>
                  </w:tcMar>
                  <w:vAlign w:val="center"/>
                </w:tcPr>
                <w:p w14:paraId="5BCF6B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FF"/>
                      <w:sz w:val="21"/>
                      <w:szCs w:val="21"/>
                    </w:rPr>
                  </w:pPr>
                  <w:r>
                    <w:rPr>
                      <w:rStyle w:val="30"/>
                      <w:rFonts w:hint="default" w:ascii="Times New Roman" w:hAnsi="Times New Roman" w:eastAsia="宋体" w:cs="Times New Roman"/>
                      <w:b w:val="0"/>
                      <w:bCs/>
                      <w:color w:val="0000FF"/>
                      <w:kern w:val="0"/>
                      <w:sz w:val="21"/>
                      <w:szCs w:val="21"/>
                      <w:bdr w:val="none" w:color="auto" w:sz="0" w:space="0"/>
                      <w:lang w:val="en-US" w:eastAsia="zh-CN" w:bidi="ar"/>
                    </w:rPr>
                    <w:t>张掖市</w:t>
                  </w:r>
                </w:p>
              </w:tc>
              <w:tc>
                <w:tcPr>
                  <w:tcW w:w="1239" w:type="dxa"/>
                  <w:shd w:val="clear"/>
                  <w:tcMar>
                    <w:top w:w="120" w:type="dxa"/>
                    <w:left w:w="120" w:type="dxa"/>
                    <w:bottom w:w="120" w:type="dxa"/>
                    <w:right w:w="120" w:type="dxa"/>
                  </w:tcMar>
                  <w:vAlign w:val="center"/>
                </w:tcPr>
                <w:p w14:paraId="11A516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市级管控单元</w:t>
                  </w:r>
                </w:p>
              </w:tc>
              <w:tc>
                <w:tcPr>
                  <w:tcW w:w="1838" w:type="dxa"/>
                  <w:shd w:val="clear"/>
                  <w:tcMar>
                    <w:top w:w="120" w:type="dxa"/>
                    <w:left w:w="120" w:type="dxa"/>
                    <w:bottom w:w="120" w:type="dxa"/>
                    <w:right w:w="120" w:type="dxa"/>
                  </w:tcMar>
                  <w:vAlign w:val="center"/>
                </w:tcPr>
                <w:p w14:paraId="13714C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工业园区重点管控：优化布局、节水优先、污染可控、集约用地</w:t>
                  </w:r>
                </w:p>
              </w:tc>
              <w:tc>
                <w:tcPr>
                  <w:tcW w:w="1537" w:type="dxa"/>
                  <w:shd w:val="clear"/>
                  <w:tcMar>
                    <w:top w:w="120" w:type="dxa"/>
                    <w:left w:w="120" w:type="dxa"/>
                    <w:bottom w:w="120" w:type="dxa"/>
                    <w:right w:w="120" w:type="dxa"/>
                  </w:tcMar>
                  <w:vAlign w:val="center"/>
                </w:tcPr>
                <w:p w14:paraId="10B0BA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选址合理，紧邻水厂，施工生态保护，运营零污染</w:t>
                  </w:r>
                </w:p>
              </w:tc>
              <w:tc>
                <w:tcPr>
                  <w:tcW w:w="991" w:type="dxa"/>
                  <w:shd w:val="clear"/>
                  <w:tcMar>
                    <w:top w:w="120" w:type="dxa"/>
                    <w:left w:w="120" w:type="dxa"/>
                    <w:bottom w:w="120" w:type="dxa"/>
                    <w:right w:w="120" w:type="dxa"/>
                  </w:tcMar>
                  <w:vAlign w:val="center"/>
                </w:tcPr>
                <w:p w14:paraId="479626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7A55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13252E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7</w:t>
                  </w:r>
                </w:p>
              </w:tc>
              <w:tc>
                <w:tcPr>
                  <w:tcW w:w="1255" w:type="dxa"/>
                  <w:vMerge w:val="continue"/>
                  <w:tcBorders/>
                  <w:shd w:val="clear"/>
                  <w:tcMar>
                    <w:top w:w="120" w:type="dxa"/>
                    <w:left w:w="120" w:type="dxa"/>
                    <w:bottom w:w="120" w:type="dxa"/>
                    <w:right w:w="120" w:type="dxa"/>
                  </w:tcMar>
                  <w:vAlign w:val="center"/>
                </w:tcPr>
                <w:p w14:paraId="4B556A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p>
              </w:tc>
              <w:tc>
                <w:tcPr>
                  <w:tcW w:w="1239" w:type="dxa"/>
                  <w:shd w:val="clear"/>
                  <w:tcMar>
                    <w:top w:w="120" w:type="dxa"/>
                    <w:left w:w="120" w:type="dxa"/>
                    <w:bottom w:w="120" w:type="dxa"/>
                    <w:right w:w="120" w:type="dxa"/>
                  </w:tcMar>
                  <w:vAlign w:val="center"/>
                </w:tcPr>
                <w:p w14:paraId="17BA30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水资源管控</w:t>
                  </w:r>
                </w:p>
              </w:tc>
              <w:tc>
                <w:tcPr>
                  <w:tcW w:w="1838" w:type="dxa"/>
                  <w:shd w:val="clear"/>
                  <w:tcMar>
                    <w:top w:w="120" w:type="dxa"/>
                    <w:left w:w="120" w:type="dxa"/>
                    <w:bottom w:w="120" w:type="dxa"/>
                    <w:right w:w="120" w:type="dxa"/>
                  </w:tcMar>
                  <w:vAlign w:val="center"/>
                </w:tcPr>
                <w:p w14:paraId="083036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以水定产、地表水优先、地下水限采、中水全回用不外排</w:t>
                  </w:r>
                </w:p>
              </w:tc>
              <w:tc>
                <w:tcPr>
                  <w:tcW w:w="1537" w:type="dxa"/>
                  <w:shd w:val="clear"/>
                  <w:tcMar>
                    <w:top w:w="120" w:type="dxa"/>
                    <w:left w:w="120" w:type="dxa"/>
                    <w:bottom w:w="120" w:type="dxa"/>
                    <w:right w:w="120" w:type="dxa"/>
                  </w:tcMar>
                  <w:vAlign w:val="center"/>
                </w:tcPr>
                <w:p w14:paraId="2965035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地表水 100%，替代地下水，服从水量调度，无外排废水</w:t>
                  </w:r>
                </w:p>
              </w:tc>
              <w:tc>
                <w:tcPr>
                  <w:tcW w:w="991" w:type="dxa"/>
                  <w:shd w:val="clear"/>
                  <w:tcMar>
                    <w:top w:w="120" w:type="dxa"/>
                    <w:left w:w="120" w:type="dxa"/>
                    <w:bottom w:w="120" w:type="dxa"/>
                    <w:right w:w="120" w:type="dxa"/>
                  </w:tcMar>
                  <w:vAlign w:val="center"/>
                </w:tcPr>
                <w:p w14:paraId="480941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1CF1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4DB031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8</w:t>
                  </w:r>
                </w:p>
              </w:tc>
              <w:tc>
                <w:tcPr>
                  <w:tcW w:w="1255" w:type="dxa"/>
                  <w:vMerge w:val="continue"/>
                  <w:tcBorders/>
                  <w:shd w:val="clear"/>
                  <w:tcMar>
                    <w:top w:w="120" w:type="dxa"/>
                    <w:left w:w="120" w:type="dxa"/>
                    <w:bottom w:w="120" w:type="dxa"/>
                    <w:right w:w="120" w:type="dxa"/>
                  </w:tcMar>
                  <w:vAlign w:val="center"/>
                </w:tcPr>
                <w:p w14:paraId="0B99875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p>
              </w:tc>
              <w:tc>
                <w:tcPr>
                  <w:tcW w:w="1239" w:type="dxa"/>
                  <w:shd w:val="clear"/>
                  <w:tcMar>
                    <w:top w:w="120" w:type="dxa"/>
                    <w:left w:w="120" w:type="dxa"/>
                    <w:bottom w:w="120" w:type="dxa"/>
                    <w:right w:w="120" w:type="dxa"/>
                  </w:tcMar>
                  <w:vAlign w:val="center"/>
                </w:tcPr>
                <w:p w14:paraId="55E6D6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生态保护要求</w:t>
                  </w:r>
                </w:p>
              </w:tc>
              <w:tc>
                <w:tcPr>
                  <w:tcW w:w="1838" w:type="dxa"/>
                  <w:shd w:val="clear"/>
                  <w:tcMar>
                    <w:top w:w="120" w:type="dxa"/>
                    <w:left w:w="120" w:type="dxa"/>
                    <w:bottom w:w="120" w:type="dxa"/>
                    <w:right w:w="120" w:type="dxa"/>
                  </w:tcMar>
                  <w:vAlign w:val="center"/>
                </w:tcPr>
                <w:p w14:paraId="243433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减少植被破坏，临时占地及时恢复，保护生态空间</w:t>
                  </w:r>
                </w:p>
              </w:tc>
              <w:tc>
                <w:tcPr>
                  <w:tcW w:w="1537" w:type="dxa"/>
                  <w:shd w:val="clear"/>
                  <w:tcMar>
                    <w:top w:w="120" w:type="dxa"/>
                    <w:left w:w="120" w:type="dxa"/>
                    <w:bottom w:w="120" w:type="dxa"/>
                    <w:right w:w="120" w:type="dxa"/>
                  </w:tcMar>
                  <w:vAlign w:val="center"/>
                </w:tcPr>
                <w:p w14:paraId="0497F7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严控施工范围，临时占地迹地恢复、复绿种草</w:t>
                  </w:r>
                  <w:r>
                    <w:rPr>
                      <w:rFonts w:hint="eastAsia" w:ascii="Times New Roman" w:hAnsi="Times New Roman" w:eastAsia="宋体" w:cs="Times New Roman"/>
                      <w:color w:val="0000FF"/>
                      <w:kern w:val="0"/>
                      <w:sz w:val="21"/>
                      <w:szCs w:val="21"/>
                      <w:bdr w:val="none" w:color="auto" w:sz="0" w:space="0"/>
                      <w:lang w:val="en-US" w:eastAsia="zh-CN" w:bidi="ar"/>
                    </w:rPr>
                    <w:t>。</w:t>
                  </w:r>
                </w:p>
              </w:tc>
              <w:tc>
                <w:tcPr>
                  <w:tcW w:w="991" w:type="dxa"/>
                  <w:shd w:val="clear"/>
                  <w:tcMar>
                    <w:top w:w="120" w:type="dxa"/>
                    <w:left w:w="120" w:type="dxa"/>
                    <w:bottom w:w="120" w:type="dxa"/>
                    <w:right w:w="120" w:type="dxa"/>
                  </w:tcMar>
                  <w:vAlign w:val="center"/>
                </w:tcPr>
                <w:p w14:paraId="12E356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2563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24" w:type="dxa"/>
                  <w:shd w:val="clear"/>
                  <w:tcMar>
                    <w:top w:w="120" w:type="dxa"/>
                    <w:left w:w="120" w:type="dxa"/>
                    <w:bottom w:w="120" w:type="dxa"/>
                    <w:right w:w="120" w:type="dxa"/>
                  </w:tcMar>
                  <w:vAlign w:val="center"/>
                </w:tcPr>
                <w:p w14:paraId="0BD512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9</w:t>
                  </w:r>
                </w:p>
              </w:tc>
              <w:tc>
                <w:tcPr>
                  <w:tcW w:w="1255" w:type="dxa"/>
                  <w:vMerge w:val="continue"/>
                  <w:tcBorders/>
                  <w:shd w:val="clear"/>
                  <w:tcMar>
                    <w:top w:w="120" w:type="dxa"/>
                    <w:left w:w="120" w:type="dxa"/>
                    <w:bottom w:w="120" w:type="dxa"/>
                    <w:right w:w="120" w:type="dxa"/>
                  </w:tcMar>
                  <w:vAlign w:val="center"/>
                </w:tcPr>
                <w:p w14:paraId="2D6465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p>
              </w:tc>
              <w:tc>
                <w:tcPr>
                  <w:tcW w:w="1239" w:type="dxa"/>
                  <w:shd w:val="clear"/>
                  <w:tcMar>
                    <w:top w:w="120" w:type="dxa"/>
                    <w:left w:w="120" w:type="dxa"/>
                    <w:bottom w:w="120" w:type="dxa"/>
                    <w:right w:w="120" w:type="dxa"/>
                  </w:tcMar>
                  <w:vAlign w:val="center"/>
                </w:tcPr>
                <w:p w14:paraId="76B7AE0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环境风险防控</w:t>
                  </w:r>
                </w:p>
              </w:tc>
              <w:tc>
                <w:tcPr>
                  <w:tcW w:w="1838" w:type="dxa"/>
                  <w:shd w:val="clear"/>
                  <w:tcMar>
                    <w:top w:w="120" w:type="dxa"/>
                    <w:left w:w="120" w:type="dxa"/>
                    <w:bottom w:w="120" w:type="dxa"/>
                    <w:right w:w="120" w:type="dxa"/>
                  </w:tcMar>
                  <w:vAlign w:val="center"/>
                </w:tcPr>
                <w:p w14:paraId="6AC800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严控土壤、地下水污染，无重大环境风险</w:t>
                  </w:r>
                </w:p>
              </w:tc>
              <w:tc>
                <w:tcPr>
                  <w:tcW w:w="1537" w:type="dxa"/>
                  <w:shd w:val="clear"/>
                  <w:tcMar>
                    <w:top w:w="120" w:type="dxa"/>
                    <w:left w:w="120" w:type="dxa"/>
                    <w:bottom w:w="120" w:type="dxa"/>
                    <w:right w:w="120" w:type="dxa"/>
                  </w:tcMar>
                  <w:vAlign w:val="center"/>
                </w:tcPr>
                <w:p w14:paraId="0A45BF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库区防渗，不涉及危化品，无环境风险</w:t>
                  </w:r>
                </w:p>
              </w:tc>
              <w:tc>
                <w:tcPr>
                  <w:tcW w:w="991" w:type="dxa"/>
                  <w:shd w:val="clear"/>
                  <w:tcMar>
                    <w:top w:w="120" w:type="dxa"/>
                    <w:left w:w="120" w:type="dxa"/>
                    <w:bottom w:w="120" w:type="dxa"/>
                    <w:right w:w="120" w:type="dxa"/>
                  </w:tcMar>
                  <w:vAlign w:val="center"/>
                </w:tcPr>
                <w:p w14:paraId="5FD143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bl>
          <w:p w14:paraId="5620E2F8">
            <w:pPr>
              <w:rPr>
                <w:rFonts w:hint="default"/>
                <w:lang w:eastAsia="zh-CN"/>
              </w:rPr>
            </w:pPr>
          </w:p>
          <w:p w14:paraId="747FE9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.3生态保护红线符合性分析</w:t>
            </w:r>
          </w:p>
          <w:p w14:paraId="4192841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生态环境保护部《关于以改善环境质量为核心加强环境影响评价管理的通知》（环环评[2016]150号）的要求以及《甘肃省人民政府关于实施“三线一单”生态环境分区管控的意见》要求对于生态红线应坚持保护优先。将生态保护红线、环境质量底线、资源利用上线落实到区域空间，实行最严格的生态环境保护制度，持续优化发展格局，守住自然生态安全底线。</w:t>
            </w:r>
          </w:p>
          <w:p w14:paraId="2E4B54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本工程不属于大规模、高强度的工业开发和城镇建设</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同时本工程的建设不涉及生态保护红线。在工程设计、施工、运行阶段采取了严格的环保措施，落实生态保护的基本要求。</w:t>
            </w:r>
          </w:p>
          <w:p w14:paraId="4EE714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.4环境质量底线</w:t>
            </w:r>
          </w:p>
          <w:p w14:paraId="7A5220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w:t>
            </w:r>
            <w:r>
              <w:rPr>
                <w:rFonts w:hint="eastAsia" w:ascii="Times New Roman" w:hAnsi="Times New Roman" w:eastAsia="宋体" w:cs="Times New Roman"/>
                <w:color w:val="auto"/>
                <w:kern w:val="0"/>
                <w:sz w:val="24"/>
                <w:szCs w:val="24"/>
                <w:lang w:val="en-US" w:eastAsia="zh-CN" w:bidi="ar"/>
              </w:rPr>
              <w:t>《</w:t>
            </w:r>
            <w:r>
              <w:rPr>
                <w:rFonts w:hint="eastAsia" w:eastAsia="宋体" w:cs="Times New Roman"/>
                <w:color w:val="auto"/>
                <w:kern w:val="0"/>
                <w:sz w:val="24"/>
                <w:szCs w:val="24"/>
                <w:lang w:val="en-US" w:eastAsia="zh-CN" w:bidi="ar"/>
              </w:rPr>
              <w:t>张掖</w:t>
            </w:r>
            <w:r>
              <w:rPr>
                <w:rFonts w:hint="eastAsia" w:ascii="Times New Roman" w:hAnsi="Times New Roman" w:eastAsia="宋体" w:cs="Times New Roman"/>
                <w:color w:val="auto"/>
                <w:kern w:val="0"/>
                <w:sz w:val="24"/>
                <w:szCs w:val="24"/>
                <w:lang w:val="en-US" w:eastAsia="zh-CN" w:bidi="ar"/>
              </w:rPr>
              <w:t>市2024年生态环境状</w:t>
            </w:r>
            <w:r>
              <w:rPr>
                <w:rFonts w:hint="eastAsia" w:ascii="宋体" w:hAnsi="宋体" w:eastAsia="宋体" w:cs="宋体"/>
                <w:color w:val="auto"/>
                <w:kern w:val="0"/>
                <w:sz w:val="24"/>
                <w:szCs w:val="24"/>
                <w:lang w:val="en-US" w:eastAsia="zh-CN" w:bidi="ar"/>
              </w:rPr>
              <w:t>况公报》</w:t>
            </w:r>
            <w:r>
              <w:rPr>
                <w:rFonts w:hint="default" w:ascii="Times New Roman" w:hAnsi="Times New Roman" w:eastAsia="宋体" w:cs="Times New Roman"/>
                <w:color w:val="auto"/>
                <w:sz w:val="24"/>
                <w:szCs w:val="32"/>
                <w:highlight w:val="none"/>
                <w:lang w:val="en-US" w:eastAsia="zh-CN"/>
              </w:rPr>
              <w:t>，本项目所在区域为大气达标区。本次评价结合项目所在地环境质量现状，分析了本项目建设、运行对区域环境质量的影响情况。该项目建设、运行采取相应的污染防治措施后，不会降低当地环境质量，仍满足环境质量标准的要求。因此项目建设符合环境质量底线要求。</w:t>
            </w:r>
          </w:p>
          <w:p w14:paraId="65373F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.5资源利用上线</w:t>
            </w:r>
          </w:p>
          <w:p w14:paraId="2B1DF6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FF"/>
                <w:sz w:val="24"/>
                <w:szCs w:val="24"/>
                <w:lang w:val="en-US" w:eastAsia="zh-CN"/>
              </w:rPr>
            </w:pPr>
            <w:r>
              <w:rPr>
                <w:rFonts w:hint="default" w:ascii="宋体" w:hAnsi="宋体" w:eastAsia="宋体" w:cs="宋体"/>
                <w:color w:val="0000FF"/>
                <w:sz w:val="24"/>
                <w:szCs w:val="24"/>
              </w:rPr>
              <w:t>本项目为</w:t>
            </w:r>
            <w:r>
              <w:rPr>
                <w:rFonts w:hint="eastAsia" w:ascii="宋体" w:hAnsi="宋体" w:eastAsia="宋体" w:cs="宋体"/>
                <w:color w:val="0000FF"/>
                <w:sz w:val="24"/>
                <w:szCs w:val="24"/>
                <w:lang w:eastAsia="zh-CN"/>
              </w:rPr>
              <w:t>水库</w:t>
            </w:r>
            <w:r>
              <w:rPr>
                <w:rFonts w:hint="default" w:ascii="宋体" w:hAnsi="宋体" w:eastAsia="宋体" w:cs="宋体"/>
                <w:color w:val="0000FF"/>
                <w:sz w:val="24"/>
                <w:szCs w:val="24"/>
              </w:rPr>
              <w:t>工程，</w:t>
            </w:r>
            <w:r>
              <w:rPr>
                <w:rFonts w:hint="eastAsia" w:ascii="宋体" w:hAnsi="宋体" w:cs="宋体"/>
                <w:color w:val="0000FF"/>
                <w:sz w:val="24"/>
                <w:szCs w:val="24"/>
                <w:lang w:eastAsia="zh-CN"/>
              </w:rPr>
              <w:t>主要利用资源为水资源</w:t>
            </w:r>
            <w:r>
              <w:rPr>
                <w:rFonts w:hint="default" w:ascii="宋体" w:hAnsi="宋体" w:eastAsia="宋体" w:cs="宋体"/>
                <w:color w:val="0000FF"/>
                <w:sz w:val="24"/>
                <w:szCs w:val="24"/>
              </w:rPr>
              <w:t>。</w:t>
            </w:r>
            <w:r>
              <w:rPr>
                <w:rFonts w:ascii="宋体" w:hAnsi="宋体" w:eastAsia="宋体" w:cs="宋体"/>
                <w:color w:val="0000FF"/>
                <w:sz w:val="24"/>
                <w:szCs w:val="24"/>
              </w:rPr>
              <w:t>项目与水资源利用上线符合性分析表</w:t>
            </w:r>
            <w:r>
              <w:rPr>
                <w:rFonts w:hint="default" w:ascii="Times New Roman" w:hAnsi="Times New Roman" w:eastAsia="宋体" w:cs="Times New Roman"/>
                <w:color w:val="0000FF"/>
                <w:sz w:val="24"/>
                <w:szCs w:val="24"/>
                <w:lang w:val="en-US" w:eastAsia="zh-CN"/>
              </w:rPr>
              <w:t>1-</w:t>
            </w:r>
            <w:r>
              <w:rPr>
                <w:rFonts w:hint="eastAsia" w:ascii="Times New Roman" w:hAnsi="Times New Roman" w:eastAsia="宋体" w:cs="Times New Roman"/>
                <w:color w:val="0000FF"/>
                <w:sz w:val="24"/>
                <w:szCs w:val="24"/>
                <w:lang w:val="en-US" w:eastAsia="zh-CN"/>
              </w:rPr>
              <w:t>3</w:t>
            </w:r>
            <w:r>
              <w:rPr>
                <w:rFonts w:hint="default" w:ascii="Times New Roman" w:hAnsi="Times New Roman" w:eastAsia="宋体" w:cs="Times New Roman"/>
                <w:color w:val="0000FF"/>
                <w:sz w:val="24"/>
                <w:szCs w:val="24"/>
                <w:lang w:val="en-US" w:eastAsia="zh-CN"/>
              </w:rPr>
              <w:t>。</w:t>
            </w:r>
          </w:p>
          <w:p w14:paraId="07396452">
            <w:pPr>
              <w:pStyle w:val="44"/>
              <w:keepNext w:val="0"/>
              <w:keepLines w:val="0"/>
              <w:numPr>
                <w:ilvl w:val="0"/>
                <w:numId w:val="0"/>
              </w:numPr>
              <w:suppressLineNumbers w:val="0"/>
              <w:tabs>
                <w:tab w:val="left" w:pos="2040"/>
              </w:tabs>
              <w:spacing w:before="0" w:beforeAutospacing="0" w:after="0" w:afterAutospacing="0"/>
              <w:ind w:left="0" w:right="0"/>
              <w:jc w:val="center"/>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sz w:val="24"/>
                <w:szCs w:val="24"/>
                <w:highlight w:val="none"/>
                <w:lang w:val="en-US" w:eastAsia="zh-CN"/>
              </w:rPr>
              <w:t>表1-</w:t>
            </w:r>
            <w:r>
              <w:rPr>
                <w:rFonts w:hint="eastAsia" w:cs="Times New Roman"/>
                <w:b/>
                <w:bCs/>
                <w:color w:val="0000FF"/>
                <w:sz w:val="24"/>
                <w:szCs w:val="24"/>
                <w:highlight w:val="none"/>
                <w:lang w:val="en-US" w:eastAsia="zh-CN"/>
              </w:rPr>
              <w:t>3</w:t>
            </w:r>
            <w:r>
              <w:rPr>
                <w:rFonts w:ascii="宋体" w:hAnsi="宋体" w:eastAsia="宋体" w:cs="宋体"/>
                <w:b/>
                <w:bCs/>
                <w:color w:val="0000FF"/>
                <w:sz w:val="24"/>
                <w:szCs w:val="24"/>
              </w:rPr>
              <w:t>项目与水资源利用上线符合性分析</w:t>
            </w:r>
          </w:p>
          <w:tbl>
            <w:tblPr>
              <w:tblW w:w="5000"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15" w:type="dxa"/>
                <w:left w:w="15" w:type="dxa"/>
                <w:bottom w:w="15" w:type="dxa"/>
                <w:right w:w="15" w:type="dxa"/>
              </w:tblCellMar>
            </w:tblPr>
            <w:tblGrid>
              <w:gridCol w:w="642"/>
              <w:gridCol w:w="1288"/>
              <w:gridCol w:w="2544"/>
              <w:gridCol w:w="2266"/>
              <w:gridCol w:w="846"/>
            </w:tblGrid>
            <w:tr w14:paraId="6A58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rPr>
                <w:tblHeader/>
              </w:trPr>
              <w:tc>
                <w:tcPr>
                  <w:tcW w:w="642" w:type="dxa"/>
                  <w:shd w:val="clear"/>
                  <w:tcMar>
                    <w:top w:w="120" w:type="dxa"/>
                    <w:left w:w="120" w:type="dxa"/>
                    <w:bottom w:w="120" w:type="dxa"/>
                    <w:right w:w="120" w:type="dxa"/>
                  </w:tcMar>
                  <w:vAlign w:val="center"/>
                </w:tcPr>
                <w:p w14:paraId="3154988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序号</w:t>
                  </w:r>
                </w:p>
              </w:tc>
              <w:tc>
                <w:tcPr>
                  <w:tcW w:w="1288" w:type="dxa"/>
                  <w:shd w:val="clear"/>
                  <w:tcMar>
                    <w:top w:w="120" w:type="dxa"/>
                    <w:left w:w="120" w:type="dxa"/>
                    <w:bottom w:w="120" w:type="dxa"/>
                    <w:right w:w="120" w:type="dxa"/>
                  </w:tcMar>
                  <w:vAlign w:val="center"/>
                </w:tcPr>
                <w:p w14:paraId="566A06C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管控要点</w:t>
                  </w:r>
                </w:p>
              </w:tc>
              <w:tc>
                <w:tcPr>
                  <w:tcW w:w="2544" w:type="dxa"/>
                  <w:shd w:val="clear"/>
                  <w:tcMar>
                    <w:top w:w="120" w:type="dxa"/>
                    <w:left w:w="120" w:type="dxa"/>
                    <w:bottom w:w="120" w:type="dxa"/>
                    <w:right w:w="120" w:type="dxa"/>
                  </w:tcMar>
                  <w:vAlign w:val="center"/>
                </w:tcPr>
                <w:p w14:paraId="2FCC82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要求内容</w:t>
                  </w:r>
                </w:p>
              </w:tc>
              <w:tc>
                <w:tcPr>
                  <w:tcW w:w="2266" w:type="dxa"/>
                  <w:shd w:val="clear"/>
                  <w:tcMar>
                    <w:top w:w="120" w:type="dxa"/>
                    <w:left w:w="120" w:type="dxa"/>
                    <w:bottom w:w="120" w:type="dxa"/>
                    <w:right w:w="120" w:type="dxa"/>
                  </w:tcMar>
                  <w:vAlign w:val="center"/>
                </w:tcPr>
                <w:p w14:paraId="54DC21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本项目落实情况</w:t>
                  </w:r>
                </w:p>
              </w:tc>
              <w:tc>
                <w:tcPr>
                  <w:tcW w:w="846" w:type="dxa"/>
                  <w:shd w:val="clear"/>
                  <w:tcMar>
                    <w:top w:w="120" w:type="dxa"/>
                    <w:left w:w="120" w:type="dxa"/>
                    <w:bottom w:w="120" w:type="dxa"/>
                    <w:right w:w="120" w:type="dxa"/>
                  </w:tcMar>
                  <w:vAlign w:val="center"/>
                </w:tcPr>
                <w:p w14:paraId="11BF5B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符合性</w:t>
                  </w:r>
                </w:p>
              </w:tc>
            </w:tr>
            <w:tr w14:paraId="2F3C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2" w:type="dxa"/>
                  <w:shd w:val="clear"/>
                  <w:tcMar>
                    <w:top w:w="120" w:type="dxa"/>
                    <w:left w:w="120" w:type="dxa"/>
                    <w:bottom w:w="120" w:type="dxa"/>
                    <w:right w:w="120" w:type="dxa"/>
                  </w:tcMar>
                  <w:vAlign w:val="center"/>
                </w:tcPr>
                <w:p w14:paraId="7987B7C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1</w:t>
                  </w:r>
                </w:p>
              </w:tc>
              <w:tc>
                <w:tcPr>
                  <w:tcW w:w="1288" w:type="dxa"/>
                  <w:shd w:val="clear"/>
                  <w:tcMar>
                    <w:top w:w="120" w:type="dxa"/>
                    <w:left w:w="120" w:type="dxa"/>
                    <w:bottom w:w="120" w:type="dxa"/>
                    <w:right w:w="120" w:type="dxa"/>
                  </w:tcMar>
                  <w:vAlign w:val="center"/>
                </w:tcPr>
                <w:p w14:paraId="29A657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用水总量</w:t>
                  </w:r>
                </w:p>
              </w:tc>
              <w:tc>
                <w:tcPr>
                  <w:tcW w:w="2544" w:type="dxa"/>
                  <w:shd w:val="clear"/>
                  <w:tcMar>
                    <w:top w:w="120" w:type="dxa"/>
                    <w:left w:w="120" w:type="dxa"/>
                    <w:bottom w:w="120" w:type="dxa"/>
                    <w:right w:w="120" w:type="dxa"/>
                  </w:tcMar>
                  <w:vAlign w:val="center"/>
                </w:tcPr>
                <w:p w14:paraId="6B447C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以区域可供水资源为上限，不突破分配指标</w:t>
                  </w:r>
                </w:p>
              </w:tc>
              <w:tc>
                <w:tcPr>
                  <w:tcW w:w="2266" w:type="dxa"/>
                  <w:shd w:val="clear"/>
                  <w:tcMar>
                    <w:top w:w="120" w:type="dxa"/>
                    <w:left w:w="120" w:type="dxa"/>
                    <w:bottom w:w="120" w:type="dxa"/>
                    <w:right w:w="120" w:type="dxa"/>
                  </w:tcMar>
                  <w:vAlign w:val="center"/>
                </w:tcPr>
                <w:p w14:paraId="23F55D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年取水量</w:t>
                  </w:r>
                  <w:r>
                    <w:rPr>
                      <w:rStyle w:val="30"/>
                      <w:rFonts w:hint="default" w:ascii="Times New Roman" w:hAnsi="Times New Roman" w:eastAsia="宋体" w:cs="Times New Roman"/>
                      <w:color w:val="0000FF"/>
                      <w:kern w:val="0"/>
                      <w:sz w:val="21"/>
                      <w:szCs w:val="21"/>
                      <w:bdr w:val="none" w:color="auto" w:sz="0" w:space="0"/>
                      <w:lang w:val="en-US" w:eastAsia="zh-CN" w:bidi="ar"/>
                    </w:rPr>
                    <w:t>207.48 万 m³</w:t>
                  </w:r>
                  <w:r>
                    <w:rPr>
                      <w:rFonts w:hint="default" w:ascii="Times New Roman" w:hAnsi="Times New Roman" w:eastAsia="宋体" w:cs="Times New Roman"/>
                      <w:color w:val="0000FF"/>
                      <w:kern w:val="0"/>
                      <w:sz w:val="21"/>
                      <w:szCs w:val="21"/>
                      <w:bdr w:val="none" w:color="auto" w:sz="0" w:space="0"/>
                      <w:lang w:val="en-US" w:eastAsia="zh-CN" w:bidi="ar"/>
                    </w:rPr>
                    <w:t>，占黑河径流量</w:t>
                  </w:r>
                  <w:r>
                    <w:rPr>
                      <w:rStyle w:val="30"/>
                      <w:rFonts w:hint="default" w:ascii="Times New Roman" w:hAnsi="Times New Roman" w:eastAsia="宋体" w:cs="Times New Roman"/>
                      <w:color w:val="0000FF"/>
                      <w:kern w:val="0"/>
                      <w:sz w:val="21"/>
                      <w:szCs w:val="21"/>
                      <w:bdr w:val="none" w:color="auto" w:sz="0" w:space="0"/>
                      <w:lang w:val="en-US" w:eastAsia="zh-CN" w:bidi="ar"/>
                    </w:rPr>
                    <w:t>0.27%</w:t>
                  </w:r>
                  <w:r>
                    <w:rPr>
                      <w:rFonts w:hint="default" w:ascii="Times New Roman" w:hAnsi="Times New Roman" w:eastAsia="宋体" w:cs="Times New Roman"/>
                      <w:color w:val="0000FF"/>
                      <w:kern w:val="0"/>
                      <w:sz w:val="21"/>
                      <w:szCs w:val="21"/>
                      <w:bdr w:val="none" w:color="auto" w:sz="0" w:space="0"/>
                      <w:lang w:val="en-US" w:eastAsia="zh-CN" w:bidi="ar"/>
                    </w:rPr>
                    <w:t>，远低于上线</w:t>
                  </w:r>
                </w:p>
              </w:tc>
              <w:tc>
                <w:tcPr>
                  <w:tcW w:w="846" w:type="dxa"/>
                  <w:shd w:val="clear"/>
                  <w:tcMar>
                    <w:top w:w="120" w:type="dxa"/>
                    <w:left w:w="120" w:type="dxa"/>
                    <w:bottom w:w="120" w:type="dxa"/>
                    <w:right w:w="120" w:type="dxa"/>
                  </w:tcMar>
                  <w:vAlign w:val="center"/>
                </w:tcPr>
                <w:p w14:paraId="560E704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760A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2" w:type="dxa"/>
                  <w:shd w:val="clear"/>
                  <w:tcMar>
                    <w:top w:w="120" w:type="dxa"/>
                    <w:left w:w="120" w:type="dxa"/>
                    <w:bottom w:w="120" w:type="dxa"/>
                    <w:right w:w="120" w:type="dxa"/>
                  </w:tcMar>
                  <w:vAlign w:val="center"/>
                </w:tcPr>
                <w:p w14:paraId="20E42B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2</w:t>
                  </w:r>
                </w:p>
              </w:tc>
              <w:tc>
                <w:tcPr>
                  <w:tcW w:w="1288" w:type="dxa"/>
                  <w:shd w:val="clear"/>
                  <w:tcMar>
                    <w:top w:w="120" w:type="dxa"/>
                    <w:left w:w="120" w:type="dxa"/>
                    <w:bottom w:w="120" w:type="dxa"/>
                    <w:right w:w="120" w:type="dxa"/>
                  </w:tcMar>
                  <w:vAlign w:val="center"/>
                </w:tcPr>
                <w:p w14:paraId="4C25D75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水源结构</w:t>
                  </w:r>
                </w:p>
              </w:tc>
              <w:tc>
                <w:tcPr>
                  <w:tcW w:w="2544" w:type="dxa"/>
                  <w:shd w:val="clear"/>
                  <w:tcMar>
                    <w:top w:w="120" w:type="dxa"/>
                    <w:left w:w="120" w:type="dxa"/>
                    <w:bottom w:w="120" w:type="dxa"/>
                    <w:right w:w="120" w:type="dxa"/>
                  </w:tcMar>
                  <w:vAlign w:val="center"/>
                </w:tcPr>
                <w:p w14:paraId="416914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优先地表水，严控地下水，超采区减采、限采</w:t>
                  </w:r>
                </w:p>
              </w:tc>
              <w:tc>
                <w:tcPr>
                  <w:tcW w:w="2266" w:type="dxa"/>
                  <w:shd w:val="clear"/>
                  <w:tcMar>
                    <w:top w:w="120" w:type="dxa"/>
                    <w:left w:w="120" w:type="dxa"/>
                    <w:bottom w:w="120" w:type="dxa"/>
                    <w:right w:w="120" w:type="dxa"/>
                  </w:tcMar>
                  <w:vAlign w:val="center"/>
                </w:tcPr>
                <w:p w14:paraId="2C42B8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以</w:t>
                  </w:r>
                  <w:r>
                    <w:rPr>
                      <w:rStyle w:val="30"/>
                      <w:rFonts w:hint="default" w:ascii="Times New Roman" w:hAnsi="Times New Roman" w:eastAsia="宋体" w:cs="Times New Roman"/>
                      <w:color w:val="0000FF"/>
                      <w:kern w:val="0"/>
                      <w:sz w:val="21"/>
                      <w:szCs w:val="21"/>
                      <w:bdr w:val="none" w:color="auto" w:sz="0" w:space="0"/>
                      <w:lang w:val="en-US" w:eastAsia="zh-CN" w:bidi="ar"/>
                    </w:rPr>
                    <w:t>黑河地表水</w:t>
                  </w:r>
                  <w:r>
                    <w:rPr>
                      <w:rFonts w:hint="default" w:ascii="Times New Roman" w:hAnsi="Times New Roman" w:eastAsia="宋体" w:cs="Times New Roman"/>
                      <w:color w:val="0000FF"/>
                      <w:kern w:val="0"/>
                      <w:sz w:val="21"/>
                      <w:szCs w:val="21"/>
                      <w:bdr w:val="none" w:color="auto" w:sz="0" w:space="0"/>
                      <w:lang w:val="en-US" w:eastAsia="zh-CN" w:bidi="ar"/>
                    </w:rPr>
                    <w:t>为水源，替代地下水，年压采约</w:t>
                  </w:r>
                  <w:r>
                    <w:rPr>
                      <w:rStyle w:val="30"/>
                      <w:rFonts w:hint="default" w:ascii="Times New Roman" w:hAnsi="Times New Roman" w:eastAsia="宋体" w:cs="Times New Roman"/>
                      <w:color w:val="0000FF"/>
                      <w:kern w:val="0"/>
                      <w:sz w:val="21"/>
                      <w:szCs w:val="21"/>
                      <w:bdr w:val="none" w:color="auto" w:sz="0" w:space="0"/>
                      <w:lang w:val="en-US" w:eastAsia="zh-CN" w:bidi="ar"/>
                    </w:rPr>
                    <w:t>600万m³</w:t>
                  </w:r>
                </w:p>
              </w:tc>
              <w:tc>
                <w:tcPr>
                  <w:tcW w:w="846" w:type="dxa"/>
                  <w:shd w:val="clear"/>
                  <w:tcMar>
                    <w:top w:w="120" w:type="dxa"/>
                    <w:left w:w="120" w:type="dxa"/>
                    <w:bottom w:w="120" w:type="dxa"/>
                    <w:right w:w="120" w:type="dxa"/>
                  </w:tcMar>
                  <w:vAlign w:val="center"/>
                </w:tcPr>
                <w:p w14:paraId="17A8FE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2E97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2" w:type="dxa"/>
                  <w:shd w:val="clear"/>
                  <w:tcMar>
                    <w:top w:w="120" w:type="dxa"/>
                    <w:left w:w="120" w:type="dxa"/>
                    <w:bottom w:w="120" w:type="dxa"/>
                    <w:right w:w="120" w:type="dxa"/>
                  </w:tcMar>
                  <w:vAlign w:val="center"/>
                </w:tcPr>
                <w:p w14:paraId="0CFD44A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3</w:t>
                  </w:r>
                </w:p>
              </w:tc>
              <w:tc>
                <w:tcPr>
                  <w:tcW w:w="1288" w:type="dxa"/>
                  <w:shd w:val="clear"/>
                  <w:tcMar>
                    <w:top w:w="120" w:type="dxa"/>
                    <w:left w:w="120" w:type="dxa"/>
                    <w:bottom w:w="120" w:type="dxa"/>
                    <w:right w:w="120" w:type="dxa"/>
                  </w:tcMar>
                  <w:vAlign w:val="center"/>
                </w:tcPr>
                <w:p w14:paraId="775675C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用水管理</w:t>
                  </w:r>
                </w:p>
              </w:tc>
              <w:tc>
                <w:tcPr>
                  <w:tcW w:w="2544" w:type="dxa"/>
                  <w:shd w:val="clear"/>
                  <w:tcMar>
                    <w:top w:w="120" w:type="dxa"/>
                    <w:left w:w="120" w:type="dxa"/>
                    <w:bottom w:w="120" w:type="dxa"/>
                    <w:right w:w="120" w:type="dxa"/>
                  </w:tcMar>
                  <w:vAlign w:val="center"/>
                </w:tcPr>
                <w:p w14:paraId="104537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以水定产、强化水资源论证、服从水量调度</w:t>
                  </w:r>
                </w:p>
              </w:tc>
              <w:tc>
                <w:tcPr>
                  <w:tcW w:w="2266" w:type="dxa"/>
                  <w:shd w:val="clear"/>
                  <w:tcMar>
                    <w:top w:w="120" w:type="dxa"/>
                    <w:left w:w="120" w:type="dxa"/>
                    <w:bottom w:w="120" w:type="dxa"/>
                    <w:right w:w="120" w:type="dxa"/>
                  </w:tcMar>
                  <w:vAlign w:val="center"/>
                </w:tcPr>
                <w:p w14:paraId="39F300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已做水资源论证，严格服从黑河统一调度，不挤占生态流</w:t>
                  </w:r>
                  <w:r>
                    <w:rPr>
                      <w:rFonts w:hint="eastAsia" w:ascii="Times New Roman" w:hAnsi="Times New Roman" w:eastAsia="宋体" w:cs="Times New Roman"/>
                      <w:color w:val="0000FF"/>
                      <w:kern w:val="0"/>
                      <w:sz w:val="21"/>
                      <w:szCs w:val="21"/>
                      <w:bdr w:val="none" w:color="auto" w:sz="0" w:space="0"/>
                      <w:lang w:val="en-US" w:eastAsia="zh-CN" w:bidi="ar"/>
                    </w:rPr>
                    <w:t>量</w:t>
                  </w:r>
                </w:p>
              </w:tc>
              <w:tc>
                <w:tcPr>
                  <w:tcW w:w="846" w:type="dxa"/>
                  <w:shd w:val="clear"/>
                  <w:tcMar>
                    <w:top w:w="120" w:type="dxa"/>
                    <w:left w:w="120" w:type="dxa"/>
                    <w:bottom w:w="120" w:type="dxa"/>
                    <w:right w:w="120" w:type="dxa"/>
                  </w:tcMar>
                  <w:vAlign w:val="center"/>
                </w:tcPr>
                <w:p w14:paraId="19E885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704D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2" w:type="dxa"/>
                  <w:shd w:val="clear"/>
                  <w:tcMar>
                    <w:top w:w="120" w:type="dxa"/>
                    <w:left w:w="120" w:type="dxa"/>
                    <w:bottom w:w="120" w:type="dxa"/>
                    <w:right w:w="120" w:type="dxa"/>
                  </w:tcMar>
                  <w:vAlign w:val="center"/>
                </w:tcPr>
                <w:p w14:paraId="1DFB2A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4</w:t>
                  </w:r>
                </w:p>
              </w:tc>
              <w:tc>
                <w:tcPr>
                  <w:tcW w:w="1288" w:type="dxa"/>
                  <w:shd w:val="clear"/>
                  <w:tcMar>
                    <w:top w:w="120" w:type="dxa"/>
                    <w:left w:w="120" w:type="dxa"/>
                    <w:bottom w:w="120" w:type="dxa"/>
                    <w:right w:w="120" w:type="dxa"/>
                  </w:tcMar>
                  <w:vAlign w:val="center"/>
                </w:tcPr>
                <w:p w14:paraId="377682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利用效率</w:t>
                  </w:r>
                </w:p>
              </w:tc>
              <w:tc>
                <w:tcPr>
                  <w:tcW w:w="2544" w:type="dxa"/>
                  <w:shd w:val="clear"/>
                  <w:tcMar>
                    <w:top w:w="120" w:type="dxa"/>
                    <w:left w:w="120" w:type="dxa"/>
                    <w:bottom w:w="120" w:type="dxa"/>
                    <w:right w:w="120" w:type="dxa"/>
                  </w:tcMar>
                  <w:vAlign w:val="center"/>
                </w:tcPr>
                <w:p w14:paraId="05090E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提高供水保证率，减少浪费，推进节水</w:t>
                  </w:r>
                </w:p>
              </w:tc>
              <w:tc>
                <w:tcPr>
                  <w:tcW w:w="2266" w:type="dxa"/>
                  <w:shd w:val="clear"/>
                  <w:tcMar>
                    <w:top w:w="120" w:type="dxa"/>
                    <w:left w:w="120" w:type="dxa"/>
                    <w:bottom w:w="120" w:type="dxa"/>
                    <w:right w:w="120" w:type="dxa"/>
                  </w:tcMar>
                  <w:vAlign w:val="center"/>
                </w:tcPr>
                <w:p w14:paraId="45726C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水库调蓄保障枯水期供水，提升水资源利用效率</w:t>
                  </w:r>
                </w:p>
              </w:tc>
              <w:tc>
                <w:tcPr>
                  <w:tcW w:w="846" w:type="dxa"/>
                  <w:shd w:val="clear"/>
                  <w:tcMar>
                    <w:top w:w="120" w:type="dxa"/>
                    <w:left w:w="120" w:type="dxa"/>
                    <w:bottom w:w="120" w:type="dxa"/>
                    <w:right w:w="120" w:type="dxa"/>
                  </w:tcMar>
                  <w:vAlign w:val="center"/>
                </w:tcPr>
                <w:p w14:paraId="1B1D27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r w14:paraId="3A5F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42" w:type="dxa"/>
                  <w:shd w:val="clear"/>
                  <w:tcMar>
                    <w:top w:w="120" w:type="dxa"/>
                    <w:left w:w="120" w:type="dxa"/>
                    <w:bottom w:w="120" w:type="dxa"/>
                    <w:right w:w="120" w:type="dxa"/>
                  </w:tcMar>
                  <w:vAlign w:val="center"/>
                </w:tcPr>
                <w:p w14:paraId="5ED6C8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5</w:t>
                  </w:r>
                </w:p>
              </w:tc>
              <w:tc>
                <w:tcPr>
                  <w:tcW w:w="1288" w:type="dxa"/>
                  <w:shd w:val="clear"/>
                  <w:tcMar>
                    <w:top w:w="120" w:type="dxa"/>
                    <w:left w:w="120" w:type="dxa"/>
                    <w:bottom w:w="120" w:type="dxa"/>
                    <w:right w:w="120" w:type="dxa"/>
                  </w:tcMar>
                  <w:vAlign w:val="center"/>
                </w:tcPr>
                <w:p w14:paraId="1BE158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0"/>
                      <w:sz w:val="21"/>
                      <w:szCs w:val="21"/>
                      <w:bdr w:val="none" w:color="auto" w:sz="0" w:space="0"/>
                      <w:lang w:val="en-US" w:eastAsia="zh-CN" w:bidi="ar"/>
                    </w:rPr>
                  </w:pPr>
                  <w:r>
                    <w:rPr>
                      <w:rFonts w:hint="default" w:ascii="Times New Roman" w:hAnsi="Times New Roman" w:eastAsia="宋体" w:cs="Times New Roman"/>
                      <w:color w:val="0000FF"/>
                      <w:kern w:val="0"/>
                      <w:sz w:val="21"/>
                      <w:szCs w:val="21"/>
                      <w:bdr w:val="none" w:color="auto" w:sz="0" w:space="0"/>
                      <w:lang w:val="en-US" w:eastAsia="zh-CN" w:bidi="ar"/>
                    </w:rPr>
                    <w:t>地下水</w:t>
                  </w:r>
                </w:p>
                <w:p w14:paraId="0D6020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管控</w:t>
                  </w:r>
                </w:p>
              </w:tc>
              <w:tc>
                <w:tcPr>
                  <w:tcW w:w="2544" w:type="dxa"/>
                  <w:shd w:val="clear"/>
                  <w:tcMar>
                    <w:top w:w="120" w:type="dxa"/>
                    <w:left w:w="120" w:type="dxa"/>
                    <w:bottom w:w="120" w:type="dxa"/>
                    <w:right w:w="120" w:type="dxa"/>
                  </w:tcMar>
                  <w:vAlign w:val="center"/>
                </w:tcPr>
                <w:p w14:paraId="702A73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禁止新增工业自备井，逐步关停现有井</w:t>
                  </w:r>
                </w:p>
              </w:tc>
              <w:tc>
                <w:tcPr>
                  <w:tcW w:w="2266" w:type="dxa"/>
                  <w:shd w:val="clear"/>
                  <w:tcMar>
                    <w:top w:w="120" w:type="dxa"/>
                    <w:left w:w="120" w:type="dxa"/>
                    <w:bottom w:w="120" w:type="dxa"/>
                    <w:right w:w="120" w:type="dxa"/>
                  </w:tcMar>
                  <w:vAlign w:val="center"/>
                </w:tcPr>
                <w:p w14:paraId="51D526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项目建成后推动园区自备井</w:t>
                  </w:r>
                  <w:r>
                    <w:rPr>
                      <w:rStyle w:val="30"/>
                      <w:rFonts w:hint="default" w:ascii="Times New Roman" w:hAnsi="Times New Roman" w:eastAsia="宋体" w:cs="Times New Roman"/>
                      <w:color w:val="0000FF"/>
                      <w:kern w:val="0"/>
                      <w:sz w:val="21"/>
                      <w:szCs w:val="21"/>
                      <w:bdr w:val="none" w:color="auto" w:sz="0" w:space="0"/>
                      <w:lang w:val="en-US" w:eastAsia="zh-CN" w:bidi="ar"/>
                    </w:rPr>
                    <w:t>全部关停</w:t>
                  </w:r>
                  <w:r>
                    <w:rPr>
                      <w:rFonts w:hint="default" w:ascii="Times New Roman" w:hAnsi="Times New Roman" w:eastAsia="宋体" w:cs="Times New Roman"/>
                      <w:color w:val="0000FF"/>
                      <w:kern w:val="0"/>
                      <w:sz w:val="21"/>
                      <w:szCs w:val="21"/>
                      <w:bdr w:val="none" w:color="auto" w:sz="0" w:space="0"/>
                      <w:lang w:val="en-US" w:eastAsia="zh-CN" w:bidi="ar"/>
                    </w:rPr>
                    <w:t>，不新增地下水开采</w:t>
                  </w:r>
                </w:p>
              </w:tc>
              <w:tc>
                <w:tcPr>
                  <w:tcW w:w="846" w:type="dxa"/>
                  <w:shd w:val="clear"/>
                  <w:tcMar>
                    <w:top w:w="120" w:type="dxa"/>
                    <w:left w:w="120" w:type="dxa"/>
                    <w:bottom w:w="120" w:type="dxa"/>
                    <w:right w:w="120" w:type="dxa"/>
                  </w:tcMar>
                  <w:vAlign w:val="center"/>
                </w:tcPr>
                <w:p w14:paraId="32A761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符合</w:t>
                  </w:r>
                </w:p>
              </w:tc>
            </w:tr>
          </w:tbl>
          <w:p w14:paraId="7818B5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val="en-US" w:eastAsia="zh-CN"/>
              </w:rPr>
              <w:t>.6生态环境准入清单</w:t>
            </w:r>
          </w:p>
          <w:p w14:paraId="3428C36A">
            <w:pPr>
              <w:pStyle w:val="36"/>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根据《张掖市生态环境准入清单（试行）》，本项目与张掖市生态环境准入清单（试行）分析见表</w:t>
            </w:r>
            <w:r>
              <w:rPr>
                <w:rFonts w:hint="default" w:ascii="Times New Roman" w:hAnsi="Times New Roman" w:eastAsia="宋体" w:cs="Times New Roman"/>
                <w:b w:val="0"/>
                <w:kern w:val="2"/>
                <w:sz w:val="24"/>
                <w:szCs w:val="24"/>
                <w:lang w:val="en-US" w:eastAsia="zh-CN" w:bidi="ar-SA"/>
              </w:rPr>
              <w:t>1-4。</w:t>
            </w:r>
          </w:p>
          <w:p w14:paraId="78CA8589">
            <w:pPr>
              <w:pStyle w:val="44"/>
              <w:keepNext w:val="0"/>
              <w:keepLines w:val="0"/>
              <w:numPr>
                <w:ilvl w:val="0"/>
                <w:numId w:val="0"/>
              </w:numPr>
              <w:suppressLineNumbers w:val="0"/>
              <w:tabs>
                <w:tab w:val="left" w:pos="2040"/>
              </w:tabs>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表1-4张掖经济技术开发区生态环境准入清单</w:t>
            </w:r>
          </w:p>
          <w:tbl>
            <w:tblPr>
              <w:tblStyle w:val="27"/>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38"/>
              <w:gridCol w:w="3024"/>
              <w:gridCol w:w="2636"/>
            </w:tblGrid>
            <w:tr w14:paraId="5D596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Align w:val="center"/>
                </w:tcPr>
                <w:p w14:paraId="597CA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管控单元类别</w:t>
                  </w:r>
                </w:p>
              </w:tc>
              <w:tc>
                <w:tcPr>
                  <w:tcW w:w="1084" w:type="dxa"/>
                  <w:vAlign w:val="center"/>
                </w:tcPr>
                <w:p w14:paraId="31224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管控类别</w:t>
                  </w:r>
                </w:p>
              </w:tc>
              <w:tc>
                <w:tcPr>
                  <w:tcW w:w="2884" w:type="dxa"/>
                  <w:vAlign w:val="center"/>
                </w:tcPr>
                <w:p w14:paraId="35EA8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准入要求</w:t>
                  </w:r>
                </w:p>
              </w:tc>
              <w:tc>
                <w:tcPr>
                  <w:tcW w:w="2509" w:type="dxa"/>
                  <w:vAlign w:val="center"/>
                </w:tcPr>
                <w:p w14:paraId="20975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本项目符合性</w:t>
                  </w:r>
                </w:p>
              </w:tc>
            </w:tr>
            <w:tr w14:paraId="46F94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Merge w:val="restart"/>
                  <w:vAlign w:val="center"/>
                </w:tcPr>
                <w:p w14:paraId="5E74F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重点管控</w:t>
                  </w:r>
                </w:p>
              </w:tc>
              <w:tc>
                <w:tcPr>
                  <w:tcW w:w="1084" w:type="dxa"/>
                  <w:vAlign w:val="center"/>
                </w:tcPr>
                <w:p w14:paraId="3B045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空间布局约束</w:t>
                  </w:r>
                </w:p>
              </w:tc>
              <w:tc>
                <w:tcPr>
                  <w:tcW w:w="2884" w:type="dxa"/>
                  <w:vAlign w:val="center"/>
                </w:tcPr>
                <w:p w14:paraId="57B9A690">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严格按照国家产业指导目录，根据园</w:t>
                  </w:r>
                  <w:r>
                    <w:rPr>
                      <w:rFonts w:hint="default" w:ascii="Times New Roman" w:hAnsi="Times New Roman" w:eastAsia="宋体" w:cs="Times New Roman"/>
                      <w:spacing w:val="8"/>
                      <w:sz w:val="21"/>
                      <w:szCs w:val="21"/>
                    </w:rPr>
                    <w:t>区规划环评，结合产业布局和产业政策，杜绝淘汰类项目、高污染项目入园。严格执行国家投资规定和产业政</w:t>
                  </w:r>
                  <w:r>
                    <w:rPr>
                      <w:rFonts w:hint="default" w:ascii="Times New Roman" w:hAnsi="Times New Roman" w:eastAsia="宋体" w:cs="Times New Roman"/>
                      <w:spacing w:val="9"/>
                      <w:sz w:val="21"/>
                      <w:szCs w:val="21"/>
                    </w:rPr>
                    <w:t>策，加强产能过剩行业的项目管理。坚持把节能减排作为招商引资项目</w:t>
                  </w:r>
                </w:p>
                <w:p w14:paraId="4B1AC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pacing w:val="7"/>
                      <w:sz w:val="21"/>
                      <w:szCs w:val="21"/>
                    </w:rPr>
                    <w:t>的重要考量因素，强化绿色招商和环</w:t>
                  </w:r>
                  <w:r>
                    <w:rPr>
                      <w:rFonts w:hint="default" w:ascii="Times New Roman" w:hAnsi="Times New Roman" w:eastAsia="宋体" w:cs="Times New Roman"/>
                      <w:spacing w:val="8"/>
                      <w:sz w:val="21"/>
                      <w:szCs w:val="21"/>
                    </w:rPr>
                    <w:t>保前置审批，严把产业准入关。</w:t>
                  </w:r>
                </w:p>
              </w:tc>
              <w:tc>
                <w:tcPr>
                  <w:tcW w:w="2509" w:type="dxa"/>
                  <w:vAlign w:val="center"/>
                </w:tcPr>
                <w:p w14:paraId="4282A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rPr>
                    <w:t>项目为园区工业供水配套基础设施工程，不属于淘汰类、高污染项目，也非产能过剩行业项目；项目建设符合国家产业政策及园区规划环评要求，以保障园区工业用水、助力绿色产业发展为核心，落实节能减排理念，已按要求完成相关环保前置审查，项目准入符合园区产业管控要求。</w:t>
                  </w:r>
                </w:p>
              </w:tc>
            </w:tr>
            <w:tr w14:paraId="42555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Merge w:val="continue"/>
                  <w:vAlign w:val="center"/>
                </w:tcPr>
                <w:p w14:paraId="531E6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84" w:type="dxa"/>
                  <w:vAlign w:val="center"/>
                </w:tcPr>
                <w:p w14:paraId="4A155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污染物排放管控</w:t>
                  </w:r>
                </w:p>
              </w:tc>
              <w:tc>
                <w:tcPr>
                  <w:tcW w:w="2884" w:type="dxa"/>
                  <w:vAlign w:val="center"/>
                </w:tcPr>
                <w:p w14:paraId="497A84AF">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pacing w:val="9"/>
                      <w:sz w:val="21"/>
                      <w:szCs w:val="21"/>
                    </w:rPr>
                    <w:t>及早谋划部署新上项目入网接管事</w:t>
                  </w:r>
                  <w:r>
                    <w:rPr>
                      <w:rFonts w:hint="default" w:ascii="Times New Roman" w:hAnsi="Times New Roman" w:eastAsia="宋体" w:cs="Times New Roman"/>
                      <w:spacing w:val="8"/>
                      <w:sz w:val="21"/>
                      <w:szCs w:val="21"/>
                    </w:rPr>
                    <w:t>宜，按照新改扩建工业园区要同步规</w:t>
                  </w:r>
                  <w:r>
                    <w:rPr>
                      <w:rFonts w:hint="default" w:ascii="Times New Roman" w:hAnsi="Times New Roman" w:eastAsia="宋体" w:cs="Times New Roman"/>
                      <w:spacing w:val="9"/>
                      <w:sz w:val="21"/>
                      <w:szCs w:val="21"/>
                    </w:rPr>
                    <w:t>划、建设和完善污水、垃圾集中处置等污染治理设施的要求，及早完成园区污水处理设施建设任务，并按规定安装自动在线监控设施。同时，加强对生态科技产业园昆仑公司、大弓农</w:t>
                  </w:r>
                  <w:r>
                    <w:rPr>
                      <w:rFonts w:hint="default" w:ascii="Times New Roman" w:hAnsi="Times New Roman" w:eastAsia="宋体" w:cs="Times New Roman"/>
                      <w:spacing w:val="8"/>
                      <w:sz w:val="21"/>
                      <w:szCs w:val="21"/>
                    </w:rPr>
                    <w:t>化等5户涉水企业水污染防治设施建</w:t>
                  </w:r>
                  <w:r>
                    <w:rPr>
                      <w:rFonts w:hint="default" w:ascii="Times New Roman" w:hAnsi="Times New Roman" w:eastAsia="宋体" w:cs="Times New Roman"/>
                      <w:spacing w:val="9"/>
                      <w:sz w:val="21"/>
                      <w:szCs w:val="21"/>
                    </w:rPr>
                    <w:t>设情况的监督检查，确保企业污水处理站运行正常，废水达到行业排放执行标准后排入污水城市污水处理厂</w:t>
                  </w:r>
                  <w:r>
                    <w:rPr>
                      <w:rFonts w:hint="default" w:ascii="Times New Roman" w:hAnsi="Times New Roman" w:eastAsia="宋体" w:cs="Times New Roman"/>
                      <w:spacing w:val="5"/>
                      <w:sz w:val="21"/>
                      <w:szCs w:val="21"/>
                    </w:rPr>
                    <w:t>深度处理。</w:t>
                  </w:r>
                </w:p>
              </w:tc>
              <w:tc>
                <w:tcPr>
                  <w:tcW w:w="2509" w:type="dxa"/>
                  <w:vAlign w:val="center"/>
                </w:tcPr>
                <w:p w14:paraId="1DAE0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rPr>
                    <w:t>本项目为供水基础设施，建设及运营阶段无生产废水、生活污水、固废等污染物产生与排放，无需入网接管，也不涉及工业废水处理及排放环节；项目建设可完善园区基础设施配套，为园区污水处理设施、污染物治理设施的正常运行提供用水保障，契合园区污染治理设施建设的整体规划。</w:t>
                  </w:r>
                </w:p>
              </w:tc>
            </w:tr>
            <w:tr w14:paraId="4D45F9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Merge w:val="continue"/>
                  <w:vAlign w:val="center"/>
                </w:tcPr>
                <w:p w14:paraId="152EB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84" w:type="dxa"/>
                  <w:vAlign w:val="center"/>
                </w:tcPr>
                <w:p w14:paraId="1C3A9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环境风险防控</w:t>
                  </w:r>
                </w:p>
              </w:tc>
              <w:tc>
                <w:tcPr>
                  <w:tcW w:w="2884" w:type="dxa"/>
                  <w:vAlign w:val="center"/>
                </w:tcPr>
                <w:p w14:paraId="04D5B01A">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pacing w:val="9"/>
                      <w:sz w:val="21"/>
                      <w:szCs w:val="21"/>
                    </w:rPr>
                    <w:t>建立健全生态环境风险联防联控体</w:t>
                  </w:r>
                  <w:r>
                    <w:rPr>
                      <w:rFonts w:hint="default" w:ascii="Times New Roman" w:hAnsi="Times New Roman" w:eastAsia="宋体" w:cs="Times New Roman"/>
                      <w:spacing w:val="8"/>
                      <w:sz w:val="21"/>
                      <w:szCs w:val="21"/>
                    </w:rPr>
                    <w:t>系，建立环保、公安、安全生产等部</w:t>
                  </w:r>
                  <w:r>
                    <w:rPr>
                      <w:rFonts w:hint="default" w:ascii="Times New Roman" w:hAnsi="Times New Roman" w:eastAsia="宋体" w:cs="Times New Roman"/>
                      <w:spacing w:val="9"/>
                      <w:sz w:val="21"/>
                      <w:szCs w:val="21"/>
                    </w:rPr>
                    <w:t>门联动的环境应急救援体系。启动开展经开区环境风险评估和应急预案编制工作，加强环境突发事件预防预警和应急处置，提升环境风险防控能力和应急救援能力。加大生态环境风险源治理。强化环境风险防范管理要</w:t>
                  </w:r>
                  <w:r>
                    <w:rPr>
                      <w:rFonts w:hint="default" w:ascii="Times New Roman" w:hAnsi="Times New Roman" w:eastAsia="宋体" w:cs="Times New Roman"/>
                      <w:spacing w:val="8"/>
                      <w:sz w:val="21"/>
                      <w:szCs w:val="21"/>
                    </w:rPr>
                    <w:t>求和环境风险隐患的执法监管。</w:t>
                  </w:r>
                </w:p>
              </w:tc>
              <w:tc>
                <w:tcPr>
                  <w:tcW w:w="2509" w:type="dxa"/>
                  <w:vAlign w:val="center"/>
                </w:tcPr>
                <w:p w14:paraId="5E202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rPr>
                    <w:t>本项目无危险化学品、有毒有害物质储存、使用及输送环节，不存在生态环境风险源；项目编制了相应的安全及环境应急预案，可纳入园区生态环境风险联防联控体系，配合园区开展环境突发事件预防预警，项目建设及运营严格落实园区环境风险防范管理要求，无环境风险隐患。</w:t>
                  </w:r>
                </w:p>
              </w:tc>
            </w:tr>
            <w:tr w14:paraId="589BD3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Merge w:val="continue"/>
                  <w:vAlign w:val="center"/>
                </w:tcPr>
                <w:p w14:paraId="71D92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84" w:type="dxa"/>
                  <w:vAlign w:val="center"/>
                </w:tcPr>
                <w:p w14:paraId="1893BB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p w14:paraId="53FB6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p w14:paraId="6BCA6C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p w14:paraId="3316F5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p>
                <w:p w14:paraId="586BC7AF">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pacing w:val="5"/>
                      <w:sz w:val="21"/>
                      <w:szCs w:val="21"/>
                    </w:rPr>
                    <w:t>资源利用</w:t>
                  </w:r>
                  <w:r>
                    <w:rPr>
                      <w:rFonts w:hint="default" w:ascii="Times New Roman" w:hAnsi="Times New Roman" w:eastAsia="宋体" w:cs="Times New Roman"/>
                      <w:spacing w:val="6"/>
                      <w:sz w:val="21"/>
                      <w:szCs w:val="21"/>
                    </w:rPr>
                    <w:t>率要求</w:t>
                  </w:r>
                </w:p>
              </w:tc>
              <w:tc>
                <w:tcPr>
                  <w:tcW w:w="2884" w:type="dxa"/>
                  <w:vAlign w:val="center"/>
                </w:tcPr>
                <w:p w14:paraId="7C5BD773">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pacing w:val="9"/>
                      <w:sz w:val="21"/>
                      <w:szCs w:val="21"/>
                    </w:rPr>
                  </w:pPr>
                  <w:r>
                    <w:rPr>
                      <w:rFonts w:hint="default" w:ascii="Times New Roman" w:hAnsi="Times New Roman" w:eastAsia="宋体" w:cs="Times New Roman"/>
                      <w:spacing w:val="9"/>
                      <w:sz w:val="21"/>
                      <w:szCs w:val="21"/>
                    </w:rPr>
                    <w:t>推进循环经济体系建设，谋划引进一批高附加值、低能耗、低排放的循环经济项目，形成良好的循环经济发展模式，重点培育一批清洁示范企业，组织实施一批节能技改和减排工程重点项目，鼓励企业积极开展</w:t>
                  </w:r>
                  <w:r>
                    <w:rPr>
                      <w:rFonts w:hint="default" w:ascii="Times New Roman" w:hAnsi="Times New Roman" w:eastAsia="宋体" w:cs="Times New Roman"/>
                      <w:sz w:val="21"/>
                      <w:szCs w:val="21"/>
                    </w:rPr>
                    <w:t>ISO</w:t>
                  </w:r>
                  <w:r>
                    <w:rPr>
                      <w:rFonts w:hint="default" w:ascii="Times New Roman" w:hAnsi="Times New Roman" w:eastAsia="宋体" w:cs="Times New Roman"/>
                      <w:spacing w:val="4"/>
                      <w:sz w:val="21"/>
                      <w:szCs w:val="21"/>
                    </w:rPr>
                    <w:t>14001环境体系认证，利用科学的</w:t>
                  </w:r>
                  <w:r>
                    <w:rPr>
                      <w:rFonts w:hint="default" w:ascii="Times New Roman" w:hAnsi="Times New Roman" w:eastAsia="宋体" w:cs="Times New Roman"/>
                      <w:spacing w:val="9"/>
                      <w:sz w:val="21"/>
                      <w:szCs w:val="21"/>
                    </w:rPr>
                    <w:t>环境管理方法控制和减少废物排放、提高能源利用效率，树立环保型、节</w:t>
                  </w:r>
                  <w:r>
                    <w:rPr>
                      <w:rFonts w:hint="default" w:ascii="Times New Roman" w:hAnsi="Times New Roman" w:eastAsia="宋体" w:cs="Times New Roman"/>
                      <w:spacing w:val="7"/>
                      <w:sz w:val="21"/>
                      <w:szCs w:val="21"/>
                    </w:rPr>
                    <w:t>约型企业形象。</w:t>
                  </w:r>
                </w:p>
              </w:tc>
              <w:tc>
                <w:tcPr>
                  <w:tcW w:w="2509" w:type="dxa"/>
                  <w:vAlign w:val="center"/>
                </w:tcPr>
                <w:p w14:paraId="383E6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rPr>
                    <w:t>本项目为低能耗、零排放的园区配套项目，契合园区循环经济体系建设要求；项目采用节水型供水工艺、节能型泵站设备，配套管网防渗、泵站节能运行措施，大幅提升水资源输送效率、降低能源消耗，无废物排放，符合园区提高资源能源利用效率、建设环保节约型园区的整体要求。</w:t>
                  </w:r>
                </w:p>
              </w:tc>
            </w:tr>
            <w:tr w14:paraId="5F6BB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4" w:type="dxa"/>
                  <w:vMerge w:val="continue"/>
                  <w:vAlign w:val="center"/>
                </w:tcPr>
                <w:p w14:paraId="345BD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84" w:type="dxa"/>
                  <w:vAlign w:val="center"/>
                </w:tcPr>
                <w:p w14:paraId="12543624">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spacing w:val="7"/>
                      <w:sz w:val="21"/>
                      <w:szCs w:val="21"/>
                    </w:rPr>
                  </w:pPr>
                  <w:r>
                    <w:rPr>
                      <w:rFonts w:hint="default" w:ascii="Times New Roman" w:hAnsi="Times New Roman" w:eastAsia="宋体" w:cs="Times New Roman"/>
                      <w:spacing w:val="7"/>
                      <w:sz w:val="21"/>
                      <w:szCs w:val="21"/>
                    </w:rPr>
                    <w:t>环境</w:t>
                  </w:r>
                </w:p>
                <w:p w14:paraId="408A1DAD">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pacing w:val="7"/>
                      <w:sz w:val="21"/>
                      <w:szCs w:val="21"/>
                    </w:rPr>
                    <w:t>要素</w:t>
                  </w:r>
                </w:p>
              </w:tc>
              <w:tc>
                <w:tcPr>
                  <w:tcW w:w="2884" w:type="dxa"/>
                  <w:vAlign w:val="center"/>
                </w:tcPr>
                <w:p w14:paraId="58F41EBC">
                  <w:pPr>
                    <w:pStyle w:val="36"/>
                    <w:keepNext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spacing w:val="9"/>
                      <w:sz w:val="21"/>
                      <w:szCs w:val="21"/>
                    </w:rPr>
                  </w:pPr>
                  <w:r>
                    <w:rPr>
                      <w:rFonts w:hint="default" w:ascii="Times New Roman" w:hAnsi="Times New Roman" w:eastAsia="宋体" w:cs="Times New Roman"/>
                      <w:spacing w:val="8"/>
                      <w:sz w:val="21"/>
                      <w:szCs w:val="21"/>
                    </w:rPr>
                    <w:t>水农业、水工业、禁燃区</w:t>
                  </w:r>
                </w:p>
              </w:tc>
              <w:tc>
                <w:tcPr>
                  <w:tcW w:w="2509" w:type="dxa"/>
                  <w:vAlign w:val="center"/>
                </w:tcPr>
                <w:p w14:paraId="6656A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z w:val="21"/>
                      <w:szCs w:val="21"/>
                    </w:rPr>
                    <w:t>本项目核心为园区工业用水保障，严格遵循园区水工业管控要求，水资源调配优先保障农业用水，不挤占农业用水指标；项目建设及运营区域属于园区禁燃区范围，项目无燃煤、燃油等燃用环节，完全遵守禁燃区管控规定。</w:t>
                  </w:r>
                </w:p>
              </w:tc>
            </w:tr>
          </w:tbl>
          <w:p w14:paraId="02F72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sz w:val="24"/>
                <w:szCs w:val="24"/>
              </w:rPr>
            </w:pPr>
            <w:r>
              <w:rPr>
                <w:rFonts w:hint="default" w:ascii="宋体" w:hAnsi="宋体" w:eastAsia="宋体" w:cs="宋体"/>
                <w:sz w:val="24"/>
                <w:szCs w:val="24"/>
              </w:rPr>
              <w:t>综上，本项目作为张掖经济技术开发区的工业供水配套基础设施工程，对照园区重点管控单元生态环境准入清单五大类别准入要求逐项核查，各项建设内容、运营模式均严格遵循清单管控规定，无不符合项，整体与张掖经济技术开发区生态环境准入清单要求高度相符。</w:t>
            </w:r>
          </w:p>
          <w:p w14:paraId="5EBB0AC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lang w:val="en-US" w:eastAsia="zh-CN"/>
              </w:rPr>
            </w:pPr>
            <w:r>
              <w:rPr>
                <w:rFonts w:hint="eastAsia" w:cs="Times New Roman"/>
                <w:b/>
                <w:bCs/>
                <w:color w:val="auto"/>
                <w:sz w:val="24"/>
                <w:szCs w:val="32"/>
                <w:highlight w:val="none"/>
                <w:lang w:val="en-US" w:eastAsia="zh-CN"/>
              </w:rPr>
              <w:t>4.</w:t>
            </w:r>
            <w:r>
              <w:rPr>
                <w:rFonts w:hint="default" w:ascii="Times New Roman" w:hAnsi="Times New Roman" w:eastAsia="宋体" w:cs="Times New Roman"/>
                <w:b/>
                <w:bCs/>
                <w:color w:val="auto"/>
                <w:sz w:val="24"/>
                <w:szCs w:val="32"/>
                <w:highlight w:val="none"/>
                <w:lang w:val="en-US" w:eastAsia="zh-CN"/>
              </w:rPr>
              <w:t>与《张掖市水利发展“十</w:t>
            </w:r>
            <w:r>
              <w:rPr>
                <w:rFonts w:hint="eastAsia" w:cs="Times New Roman"/>
                <w:b/>
                <w:bCs/>
                <w:color w:val="auto"/>
                <w:sz w:val="24"/>
                <w:szCs w:val="32"/>
                <w:highlight w:val="none"/>
                <w:lang w:val="en-US" w:eastAsia="zh-CN"/>
              </w:rPr>
              <w:t>五</w:t>
            </w:r>
            <w:r>
              <w:rPr>
                <w:rFonts w:hint="default" w:ascii="Times New Roman" w:hAnsi="Times New Roman" w:eastAsia="宋体" w:cs="Times New Roman"/>
                <w:b/>
                <w:bCs/>
                <w:color w:val="auto"/>
                <w:sz w:val="24"/>
                <w:szCs w:val="32"/>
                <w:highlight w:val="none"/>
                <w:lang w:val="en-US" w:eastAsia="zh-CN"/>
              </w:rPr>
              <w:t>五”规划》符合性</w:t>
            </w:r>
          </w:p>
          <w:p w14:paraId="576D27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t>根据</w:t>
            </w:r>
            <w:r>
              <w:rPr>
                <w:rFonts w:hint="default" w:ascii="Times New Roman" w:hAnsi="Times New Roman" w:eastAsia="宋体" w:cs="Times New Roman"/>
                <w:color w:val="auto"/>
                <w:sz w:val="24"/>
                <w:szCs w:val="32"/>
                <w:highlight w:val="none"/>
                <w:lang w:val="en-US" w:eastAsia="zh-CN"/>
              </w:rPr>
              <w:t>《张掖市水利发展“十</w:t>
            </w:r>
            <w:r>
              <w:rPr>
                <w:rFonts w:hint="eastAsia" w:cs="Times New Roman"/>
                <w:color w:val="auto"/>
                <w:sz w:val="24"/>
                <w:szCs w:val="32"/>
                <w:highlight w:val="none"/>
                <w:lang w:val="en-US" w:eastAsia="zh-CN"/>
              </w:rPr>
              <w:t>五</w:t>
            </w:r>
            <w:r>
              <w:rPr>
                <w:rFonts w:hint="default" w:ascii="Times New Roman" w:hAnsi="Times New Roman" w:eastAsia="宋体" w:cs="Times New Roman"/>
                <w:color w:val="auto"/>
                <w:sz w:val="24"/>
                <w:szCs w:val="32"/>
                <w:highlight w:val="none"/>
                <w:lang w:val="en-US" w:eastAsia="zh-CN"/>
              </w:rPr>
              <w:t>五”规划》</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张掖市</w:t>
            </w:r>
            <w:r>
              <w:rPr>
                <w:rFonts w:hint="default" w:ascii="Times New Roman" w:hAnsi="Times New Roman" w:eastAsia="宋体" w:cs="Times New Roman"/>
                <w:color w:val="auto"/>
                <w:sz w:val="24"/>
                <w:szCs w:val="32"/>
                <w:highlight w:val="none"/>
              </w:rPr>
              <w:t>“十</w:t>
            </w:r>
            <w:r>
              <w:rPr>
                <w:rFonts w:hint="eastAsia" w:cs="Times New Roman"/>
                <w:color w:val="auto"/>
                <w:sz w:val="24"/>
                <w:szCs w:val="32"/>
                <w:highlight w:val="none"/>
                <w:lang w:eastAsia="zh-CN"/>
              </w:rPr>
              <w:t>五</w:t>
            </w:r>
            <w:r>
              <w:rPr>
                <w:rFonts w:hint="default" w:ascii="Times New Roman" w:hAnsi="Times New Roman" w:eastAsia="宋体" w:cs="Times New Roman"/>
                <w:color w:val="auto"/>
                <w:sz w:val="24"/>
                <w:szCs w:val="32"/>
                <w:highlight w:val="none"/>
              </w:rPr>
              <w:t>五”水利发展规划思路及目标任务（四）总体布局</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优”：加强水资源保护和水污染防治，建设黑河干支流生态廊道，全面改善城乡人居环境，以加强水资源优化配置和高效利用为重点，积极挖潜、盘活存量。优化水资源配置，提高黑河干流水量统一调度能力，统筹区域内外多种水源，加强水资源优化配置和高效利用，形成以水库、枢纽、干支渠系等工程为骨干的供水网络，保障区域供水安全</w:t>
            </w:r>
            <w:r>
              <w:rPr>
                <w:rFonts w:hint="default" w:ascii="Times New Roman" w:hAnsi="Times New Roman" w:eastAsia="宋体" w:cs="Times New Roman"/>
                <w:color w:val="auto"/>
                <w:sz w:val="24"/>
                <w:szCs w:val="32"/>
                <w:highlight w:val="none"/>
                <w:lang w:eastAsia="zh-CN"/>
              </w:rPr>
              <w:t>。</w:t>
            </w:r>
          </w:p>
          <w:p w14:paraId="045470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本项目为水库建设项目，项目的建设起到</w:t>
            </w:r>
            <w:r>
              <w:rPr>
                <w:rFonts w:hint="default" w:ascii="Times New Roman" w:hAnsi="Times New Roman" w:eastAsia="宋体" w:cs="Times New Roman"/>
                <w:color w:val="auto"/>
                <w:sz w:val="24"/>
                <w:szCs w:val="32"/>
                <w:highlight w:val="none"/>
              </w:rPr>
              <w:t>优化水资源配置，提高黑河干流水量统一调度能力，统筹区域内外多种水源，加强水资源优化配置和高效利用，形成以水库、枢纽、干支渠系等工程为骨干的供水网络，保障区域供水安全</w:t>
            </w:r>
            <w:r>
              <w:rPr>
                <w:rFonts w:hint="default" w:ascii="Times New Roman" w:hAnsi="Times New Roman" w:eastAsia="宋体" w:cs="Times New Roman"/>
                <w:color w:val="auto"/>
                <w:sz w:val="24"/>
                <w:szCs w:val="32"/>
                <w:highlight w:val="none"/>
                <w:lang w:eastAsia="zh-CN"/>
              </w:rPr>
              <w:t>，符合《</w:t>
            </w:r>
            <w:r>
              <w:rPr>
                <w:rFonts w:hint="default" w:ascii="Times New Roman" w:hAnsi="Times New Roman" w:eastAsia="宋体" w:cs="Times New Roman"/>
                <w:color w:val="auto"/>
                <w:sz w:val="24"/>
                <w:szCs w:val="32"/>
                <w:highlight w:val="none"/>
                <w:lang w:val="en-US" w:eastAsia="zh-CN"/>
              </w:rPr>
              <w:t>张掖市水利发展“十</w:t>
            </w:r>
            <w:r>
              <w:rPr>
                <w:rFonts w:hint="eastAsia" w:cs="Times New Roman"/>
                <w:color w:val="auto"/>
                <w:sz w:val="24"/>
                <w:szCs w:val="32"/>
                <w:highlight w:val="none"/>
                <w:lang w:val="en-US" w:eastAsia="zh-CN"/>
              </w:rPr>
              <w:t>五</w:t>
            </w:r>
            <w:r>
              <w:rPr>
                <w:rFonts w:hint="default" w:ascii="Times New Roman" w:hAnsi="Times New Roman" w:eastAsia="宋体" w:cs="Times New Roman"/>
                <w:color w:val="auto"/>
                <w:sz w:val="24"/>
                <w:szCs w:val="32"/>
                <w:highlight w:val="none"/>
                <w:lang w:val="en-US" w:eastAsia="zh-CN"/>
              </w:rPr>
              <w:t>五”规划》</w:t>
            </w:r>
            <w:r>
              <w:rPr>
                <w:rFonts w:hint="default" w:ascii="Times New Roman" w:hAnsi="Times New Roman" w:eastAsia="宋体" w:cs="Times New Roman"/>
                <w:color w:val="auto"/>
                <w:sz w:val="24"/>
                <w:szCs w:val="32"/>
                <w:highlight w:val="none"/>
                <w:lang w:eastAsia="zh-CN"/>
              </w:rPr>
              <w:t>中的相关规划。</w:t>
            </w:r>
          </w:p>
          <w:p w14:paraId="76664B4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3B2C42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8CAB2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C31AA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7A4D9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618EC6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4EBA5A1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26CE7805">
            <w:pPr>
              <w:pStyle w:val="38"/>
              <w:rPr>
                <w:rFonts w:hint="default" w:ascii="Times New Roman" w:hAnsi="Times New Roman" w:eastAsia="宋体" w:cs="Times New Roman"/>
                <w:color w:val="auto"/>
                <w:sz w:val="24"/>
                <w:szCs w:val="32"/>
                <w:highlight w:val="none"/>
                <w:lang w:eastAsia="zh-CN"/>
              </w:rPr>
            </w:pPr>
          </w:p>
          <w:p w14:paraId="20376B7B">
            <w:pPr>
              <w:rPr>
                <w:rFonts w:hint="default" w:ascii="Times New Roman" w:hAnsi="Times New Roman" w:eastAsia="宋体" w:cs="Times New Roman"/>
                <w:color w:val="auto"/>
                <w:sz w:val="24"/>
                <w:szCs w:val="32"/>
                <w:highlight w:val="none"/>
                <w:lang w:eastAsia="zh-CN"/>
              </w:rPr>
            </w:pPr>
          </w:p>
          <w:p w14:paraId="672DE421">
            <w:pPr>
              <w:pStyle w:val="38"/>
              <w:rPr>
                <w:rFonts w:hint="default" w:ascii="Times New Roman" w:hAnsi="Times New Roman" w:eastAsia="宋体" w:cs="Times New Roman"/>
                <w:color w:val="auto"/>
                <w:sz w:val="24"/>
                <w:szCs w:val="32"/>
                <w:highlight w:val="none"/>
                <w:lang w:eastAsia="zh-CN"/>
              </w:rPr>
            </w:pPr>
          </w:p>
          <w:p w14:paraId="4CD4E052">
            <w:pPr>
              <w:rPr>
                <w:rFonts w:hint="default" w:ascii="Times New Roman" w:hAnsi="Times New Roman" w:eastAsia="宋体" w:cs="Times New Roman"/>
                <w:color w:val="auto"/>
                <w:sz w:val="24"/>
                <w:szCs w:val="32"/>
                <w:highlight w:val="none"/>
                <w:lang w:eastAsia="zh-CN"/>
              </w:rPr>
            </w:pPr>
          </w:p>
          <w:p w14:paraId="676598B6">
            <w:pPr>
              <w:pStyle w:val="38"/>
              <w:rPr>
                <w:rFonts w:hint="default" w:ascii="Times New Roman" w:hAnsi="Times New Roman" w:eastAsia="宋体" w:cs="Times New Roman"/>
                <w:color w:val="auto"/>
                <w:sz w:val="24"/>
                <w:szCs w:val="32"/>
                <w:highlight w:val="none"/>
                <w:lang w:eastAsia="zh-CN"/>
              </w:rPr>
            </w:pPr>
          </w:p>
          <w:p w14:paraId="3E9C4509">
            <w:pPr>
              <w:rPr>
                <w:rFonts w:hint="default" w:ascii="Times New Roman" w:hAnsi="Times New Roman" w:eastAsia="宋体" w:cs="Times New Roman"/>
                <w:color w:val="auto"/>
                <w:sz w:val="24"/>
                <w:szCs w:val="32"/>
                <w:highlight w:val="none"/>
                <w:lang w:eastAsia="zh-CN"/>
              </w:rPr>
            </w:pPr>
          </w:p>
          <w:p w14:paraId="27CD955C">
            <w:pPr>
              <w:pStyle w:val="38"/>
              <w:rPr>
                <w:rFonts w:hint="default" w:ascii="Times New Roman" w:hAnsi="Times New Roman" w:eastAsia="宋体" w:cs="Times New Roman"/>
                <w:color w:val="auto"/>
                <w:sz w:val="24"/>
                <w:szCs w:val="32"/>
                <w:highlight w:val="none"/>
                <w:lang w:eastAsia="zh-CN"/>
              </w:rPr>
            </w:pPr>
          </w:p>
          <w:p w14:paraId="28BF6437">
            <w:pPr>
              <w:rPr>
                <w:rFonts w:hint="default" w:ascii="Times New Roman" w:hAnsi="Times New Roman" w:eastAsia="宋体" w:cs="Times New Roman"/>
                <w:color w:val="auto"/>
                <w:sz w:val="24"/>
                <w:szCs w:val="32"/>
                <w:highlight w:val="none"/>
                <w:lang w:eastAsia="zh-CN"/>
              </w:rPr>
            </w:pPr>
          </w:p>
          <w:p w14:paraId="2B3DC369">
            <w:pPr>
              <w:pStyle w:val="38"/>
              <w:rPr>
                <w:rFonts w:hint="default" w:ascii="Times New Roman" w:hAnsi="Times New Roman" w:eastAsia="宋体" w:cs="Times New Roman"/>
                <w:color w:val="auto"/>
                <w:sz w:val="24"/>
                <w:szCs w:val="32"/>
                <w:highlight w:val="none"/>
                <w:lang w:eastAsia="zh-CN"/>
              </w:rPr>
            </w:pPr>
          </w:p>
          <w:p w14:paraId="3F6C23D2">
            <w:pPr>
              <w:rPr>
                <w:rFonts w:hint="default" w:ascii="Times New Roman" w:hAnsi="Times New Roman" w:eastAsia="宋体" w:cs="Times New Roman"/>
                <w:color w:val="auto"/>
                <w:sz w:val="24"/>
                <w:szCs w:val="32"/>
                <w:highlight w:val="none"/>
                <w:lang w:eastAsia="zh-CN"/>
              </w:rPr>
            </w:pPr>
          </w:p>
          <w:p w14:paraId="29D90CFD">
            <w:pPr>
              <w:pStyle w:val="38"/>
              <w:rPr>
                <w:rFonts w:hint="default" w:ascii="Times New Roman" w:hAnsi="Times New Roman" w:eastAsia="宋体" w:cs="Times New Roman"/>
                <w:color w:val="auto"/>
                <w:sz w:val="24"/>
                <w:szCs w:val="32"/>
                <w:highlight w:val="none"/>
                <w:lang w:eastAsia="zh-CN"/>
              </w:rPr>
            </w:pPr>
          </w:p>
          <w:p w14:paraId="512B825A">
            <w:pPr>
              <w:rPr>
                <w:rFonts w:hint="default" w:ascii="Times New Roman" w:hAnsi="Times New Roman" w:eastAsia="宋体" w:cs="Times New Roman"/>
                <w:color w:val="auto"/>
                <w:sz w:val="24"/>
                <w:szCs w:val="32"/>
                <w:highlight w:val="none"/>
                <w:lang w:eastAsia="zh-CN"/>
              </w:rPr>
            </w:pPr>
          </w:p>
          <w:p w14:paraId="7592AB90">
            <w:pPr>
              <w:pStyle w:val="38"/>
              <w:rPr>
                <w:rFonts w:hint="default" w:ascii="Times New Roman" w:hAnsi="Times New Roman" w:eastAsia="宋体" w:cs="Times New Roman"/>
                <w:color w:val="auto"/>
                <w:sz w:val="24"/>
                <w:szCs w:val="32"/>
                <w:highlight w:val="none"/>
                <w:lang w:eastAsia="zh-CN"/>
              </w:rPr>
            </w:pPr>
          </w:p>
          <w:p w14:paraId="3D779647">
            <w:pPr>
              <w:rPr>
                <w:rFonts w:hint="default" w:ascii="Times New Roman" w:hAnsi="Times New Roman" w:eastAsia="宋体" w:cs="Times New Roman"/>
                <w:color w:val="auto"/>
                <w:sz w:val="24"/>
                <w:szCs w:val="32"/>
                <w:highlight w:val="none"/>
                <w:lang w:eastAsia="zh-CN"/>
              </w:rPr>
            </w:pPr>
          </w:p>
          <w:p w14:paraId="457E8D0C">
            <w:pPr>
              <w:pStyle w:val="38"/>
              <w:rPr>
                <w:rFonts w:hint="default" w:ascii="Times New Roman" w:hAnsi="Times New Roman" w:eastAsia="宋体" w:cs="Times New Roman"/>
                <w:color w:val="auto"/>
                <w:sz w:val="24"/>
                <w:szCs w:val="32"/>
                <w:highlight w:val="none"/>
                <w:lang w:eastAsia="zh-CN"/>
              </w:rPr>
            </w:pPr>
          </w:p>
          <w:p w14:paraId="57A8DA8E">
            <w:pPr>
              <w:rPr>
                <w:rFonts w:hint="default" w:ascii="Times New Roman" w:hAnsi="Times New Roman" w:eastAsia="宋体" w:cs="Times New Roman"/>
                <w:color w:val="auto"/>
                <w:sz w:val="24"/>
                <w:szCs w:val="32"/>
                <w:highlight w:val="none"/>
                <w:lang w:eastAsia="zh-CN"/>
              </w:rPr>
            </w:pPr>
          </w:p>
          <w:p w14:paraId="39D3E2ED">
            <w:pPr>
              <w:pStyle w:val="38"/>
              <w:rPr>
                <w:rFonts w:hint="default" w:ascii="Times New Roman" w:hAnsi="Times New Roman" w:eastAsia="宋体" w:cs="Times New Roman"/>
                <w:color w:val="auto"/>
                <w:sz w:val="24"/>
                <w:szCs w:val="32"/>
                <w:highlight w:val="none"/>
                <w:lang w:eastAsia="zh-CN"/>
              </w:rPr>
            </w:pPr>
          </w:p>
          <w:p w14:paraId="2FB61ADB">
            <w:pPr>
              <w:rPr>
                <w:rFonts w:hint="default" w:ascii="Times New Roman" w:hAnsi="Times New Roman" w:eastAsia="宋体" w:cs="Times New Roman"/>
                <w:color w:val="auto"/>
                <w:sz w:val="24"/>
                <w:szCs w:val="32"/>
                <w:highlight w:val="none"/>
                <w:lang w:eastAsia="zh-CN"/>
              </w:rPr>
            </w:pPr>
          </w:p>
          <w:p w14:paraId="519A16AB">
            <w:pPr>
              <w:pStyle w:val="38"/>
              <w:rPr>
                <w:rFonts w:hint="default" w:ascii="Times New Roman" w:hAnsi="Times New Roman" w:eastAsia="宋体" w:cs="Times New Roman"/>
                <w:color w:val="auto"/>
                <w:sz w:val="24"/>
                <w:szCs w:val="32"/>
                <w:highlight w:val="none"/>
                <w:lang w:eastAsia="zh-CN"/>
              </w:rPr>
            </w:pPr>
          </w:p>
          <w:p w14:paraId="3297F0EE">
            <w:pPr>
              <w:rPr>
                <w:rFonts w:hint="default" w:ascii="Times New Roman" w:hAnsi="Times New Roman" w:eastAsia="宋体" w:cs="Times New Roman"/>
                <w:color w:val="auto"/>
                <w:sz w:val="24"/>
                <w:szCs w:val="32"/>
                <w:highlight w:val="none"/>
                <w:lang w:eastAsia="zh-CN"/>
              </w:rPr>
            </w:pPr>
          </w:p>
          <w:p w14:paraId="63043856">
            <w:pPr>
              <w:pStyle w:val="38"/>
              <w:rPr>
                <w:rFonts w:hint="default" w:ascii="Times New Roman" w:hAnsi="Times New Roman" w:eastAsia="宋体" w:cs="Times New Roman"/>
                <w:color w:val="auto"/>
                <w:sz w:val="24"/>
                <w:szCs w:val="32"/>
                <w:highlight w:val="none"/>
                <w:lang w:eastAsia="zh-CN"/>
              </w:rPr>
            </w:pPr>
          </w:p>
          <w:p w14:paraId="71B55A75">
            <w:pPr>
              <w:rPr>
                <w:rFonts w:hint="default" w:ascii="Times New Roman" w:hAnsi="Times New Roman" w:eastAsia="宋体" w:cs="Times New Roman"/>
                <w:color w:val="auto"/>
                <w:sz w:val="24"/>
                <w:szCs w:val="32"/>
                <w:highlight w:val="none"/>
                <w:lang w:eastAsia="zh-CN"/>
              </w:rPr>
            </w:pPr>
          </w:p>
          <w:p w14:paraId="4496B06C">
            <w:pPr>
              <w:pStyle w:val="38"/>
              <w:rPr>
                <w:rFonts w:hint="default" w:ascii="Times New Roman" w:hAnsi="Times New Roman" w:eastAsia="宋体" w:cs="Times New Roman"/>
                <w:color w:val="auto"/>
                <w:sz w:val="24"/>
                <w:szCs w:val="32"/>
                <w:highlight w:val="none"/>
                <w:lang w:eastAsia="zh-CN"/>
              </w:rPr>
            </w:pPr>
          </w:p>
          <w:p w14:paraId="2FD5FE75">
            <w:pPr>
              <w:rPr>
                <w:rFonts w:hint="default" w:ascii="Times New Roman" w:hAnsi="Times New Roman" w:eastAsia="宋体" w:cs="Times New Roman"/>
                <w:color w:val="auto"/>
                <w:sz w:val="24"/>
                <w:szCs w:val="32"/>
                <w:highlight w:val="none"/>
                <w:lang w:eastAsia="zh-CN"/>
              </w:rPr>
            </w:pPr>
          </w:p>
          <w:p w14:paraId="49EBC8C6">
            <w:pPr>
              <w:pStyle w:val="38"/>
              <w:rPr>
                <w:rFonts w:hint="default" w:ascii="Times New Roman" w:hAnsi="Times New Roman" w:eastAsia="宋体" w:cs="Times New Roman"/>
                <w:color w:val="auto"/>
                <w:sz w:val="24"/>
                <w:szCs w:val="32"/>
                <w:highlight w:val="none"/>
                <w:lang w:eastAsia="zh-CN"/>
              </w:rPr>
            </w:pPr>
          </w:p>
          <w:p w14:paraId="06303876">
            <w:pPr>
              <w:rPr>
                <w:rFonts w:hint="default" w:ascii="Times New Roman" w:hAnsi="Times New Roman" w:eastAsia="宋体" w:cs="Times New Roman"/>
                <w:color w:val="auto"/>
                <w:sz w:val="24"/>
                <w:szCs w:val="32"/>
                <w:highlight w:val="none"/>
                <w:lang w:eastAsia="zh-CN"/>
              </w:rPr>
            </w:pPr>
          </w:p>
          <w:p w14:paraId="5C638978">
            <w:pPr>
              <w:pStyle w:val="38"/>
              <w:rPr>
                <w:rFonts w:hint="default" w:ascii="Times New Roman" w:hAnsi="Times New Roman" w:eastAsia="宋体" w:cs="Times New Roman"/>
                <w:color w:val="auto"/>
                <w:sz w:val="24"/>
                <w:szCs w:val="32"/>
                <w:highlight w:val="none"/>
                <w:lang w:eastAsia="zh-CN"/>
              </w:rPr>
            </w:pPr>
          </w:p>
          <w:p w14:paraId="79A21617">
            <w:pPr>
              <w:rPr>
                <w:rFonts w:hint="default" w:ascii="Times New Roman" w:hAnsi="Times New Roman" w:eastAsia="宋体" w:cs="Times New Roman"/>
                <w:color w:val="auto"/>
                <w:sz w:val="24"/>
                <w:szCs w:val="32"/>
                <w:highlight w:val="none"/>
                <w:lang w:eastAsia="zh-CN"/>
              </w:rPr>
            </w:pPr>
          </w:p>
          <w:p w14:paraId="2164F91F">
            <w:pPr>
              <w:pStyle w:val="38"/>
              <w:rPr>
                <w:rFonts w:hint="default" w:ascii="Times New Roman" w:hAnsi="Times New Roman" w:eastAsia="宋体" w:cs="Times New Roman"/>
                <w:color w:val="auto"/>
                <w:sz w:val="24"/>
                <w:szCs w:val="32"/>
                <w:highlight w:val="none"/>
                <w:lang w:eastAsia="zh-CN"/>
              </w:rPr>
            </w:pPr>
          </w:p>
          <w:p w14:paraId="238C9C3A">
            <w:pPr>
              <w:rPr>
                <w:rFonts w:hint="default" w:ascii="Times New Roman" w:hAnsi="Times New Roman" w:eastAsia="宋体" w:cs="Times New Roman"/>
                <w:color w:val="auto"/>
                <w:sz w:val="24"/>
                <w:szCs w:val="32"/>
                <w:highlight w:val="none"/>
                <w:lang w:eastAsia="zh-CN"/>
              </w:rPr>
            </w:pPr>
          </w:p>
          <w:p w14:paraId="342F4B8F">
            <w:pPr>
              <w:pStyle w:val="38"/>
              <w:rPr>
                <w:rFonts w:hint="default"/>
                <w:lang w:eastAsia="zh-CN"/>
              </w:rPr>
            </w:pPr>
          </w:p>
          <w:p w14:paraId="569EB9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69A4FC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0"/>
                <w:sz w:val="24"/>
                <w:highlight w:val="none"/>
              </w:rPr>
            </w:pPr>
          </w:p>
        </w:tc>
      </w:tr>
    </w:tbl>
    <w:p w14:paraId="1AA69FFB">
      <w:pPr>
        <w:spacing w:line="360" w:lineRule="auto"/>
        <w:rPr>
          <w:rFonts w:hint="default" w:ascii="Times New Roman" w:hAnsi="Times New Roman" w:eastAsia="仿宋" w:cs="Times New Roman"/>
          <w:color w:val="auto"/>
          <w:sz w:val="30"/>
          <w:highlight w:val="none"/>
        </w:rPr>
        <w:sectPr>
          <w:pgSz w:w="11906" w:h="16838"/>
          <w:pgMar w:top="1134" w:right="1134" w:bottom="1134" w:left="1134" w:header="851" w:footer="1077" w:gutter="0"/>
          <w:pgBorders>
            <w:top w:val="none" w:sz="0" w:space="0"/>
            <w:left w:val="none" w:sz="0" w:space="0"/>
            <w:bottom w:val="none" w:sz="0" w:space="0"/>
            <w:right w:val="none" w:sz="0" w:space="0"/>
          </w:pgBorders>
          <w:cols w:space="720" w:num="1"/>
          <w:docGrid w:linePitch="312" w:charSpace="0"/>
        </w:sectPr>
      </w:pPr>
    </w:p>
    <w:p w14:paraId="79AD8FF4">
      <w:pPr>
        <w:pStyle w:val="23"/>
        <w:spacing w:before="0" w:beforeAutospacing="0" w:after="0" w:afterAutospacing="0"/>
        <w:jc w:val="center"/>
        <w:outlineLvl w:val="0"/>
        <w:rPr>
          <w:rFonts w:hint="default" w:ascii="Times New Roman" w:hAnsi="Times New Roman" w:eastAsia="仿宋" w:cs="Times New Roman"/>
          <w:b/>
          <w:bCs/>
          <w:snapToGrid w:val="0"/>
          <w:color w:val="auto"/>
          <w:sz w:val="30"/>
          <w:szCs w:val="30"/>
          <w:highlight w:val="none"/>
        </w:rPr>
      </w:pPr>
      <w:bookmarkStart w:id="1" w:name="_Toc9440"/>
      <w:r>
        <w:rPr>
          <w:rFonts w:hint="default" w:ascii="Times New Roman" w:hAnsi="Times New Roman" w:eastAsia="仿宋" w:cs="Times New Roman"/>
          <w:b/>
          <w:bCs/>
          <w:snapToGrid w:val="0"/>
          <w:color w:val="auto"/>
          <w:sz w:val="30"/>
          <w:szCs w:val="30"/>
          <w:highlight w:val="none"/>
        </w:rPr>
        <w:t>二、建设内容</w:t>
      </w:r>
      <w:bookmarkEnd w:id="1"/>
    </w:p>
    <w:tbl>
      <w:tblPr>
        <w:tblStyle w:val="26"/>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98"/>
      </w:tblGrid>
      <w:tr w14:paraId="0DCDC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87" w:type="pct"/>
            <w:vAlign w:val="center"/>
          </w:tcPr>
          <w:p w14:paraId="3F5302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kern w:val="0"/>
                <w:sz w:val="24"/>
                <w:szCs w:val="22"/>
                <w:highlight w:val="none"/>
              </w:rPr>
            </w:pPr>
            <w:r>
              <w:rPr>
                <w:rFonts w:hint="default" w:ascii="Times New Roman" w:hAnsi="Times New Roman" w:eastAsia="仿宋" w:cs="Times New Roman"/>
                <w:b/>
                <w:bCs/>
                <w:color w:val="auto"/>
                <w:kern w:val="0"/>
                <w:sz w:val="24"/>
                <w:szCs w:val="22"/>
                <w:highlight w:val="none"/>
              </w:rPr>
              <w:t>地理位置</w:t>
            </w:r>
          </w:p>
        </w:tc>
        <w:tc>
          <w:tcPr>
            <w:tcW w:w="4712" w:type="pct"/>
            <w:vAlign w:val="center"/>
          </w:tcPr>
          <w:p w14:paraId="7498B3F7">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本工程位于张掖经济技术开发区循环经济示范园园区内，</w:t>
            </w:r>
            <w:r>
              <w:rPr>
                <w:rFonts w:hint="default" w:ascii="Times New Roman" w:hAnsi="Times New Roman" w:eastAsia="宋体" w:cs="Times New Roman"/>
                <w:spacing w:val="8"/>
                <w:sz w:val="24"/>
                <w:szCs w:val="24"/>
              </w:rPr>
              <w:t>地块以北为甘肃电投张掖发电有限责任公司，以西为净水厂，以南为张阿公路。</w:t>
            </w:r>
            <w:r>
              <w:rPr>
                <w:rFonts w:hint="default" w:ascii="Times New Roman" w:hAnsi="Times New Roman" w:eastAsia="宋体" w:cs="Times New Roman"/>
                <w:spacing w:val="5"/>
                <w:sz w:val="24"/>
                <w:szCs w:val="24"/>
              </w:rPr>
              <w:t>项目区中心地理坐标为E100°28′17.65″，N39</w:t>
            </w:r>
            <w:r>
              <w:rPr>
                <w:rFonts w:hint="default" w:ascii="Times New Roman" w:hAnsi="Times New Roman" w:eastAsia="宋体" w:cs="Times New Roman"/>
                <w:spacing w:val="4"/>
                <w:sz w:val="24"/>
                <w:szCs w:val="24"/>
              </w:rPr>
              <w:t>°3′47.91″。</w:t>
            </w:r>
          </w:p>
          <w:p w14:paraId="12AB1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本项目地理位置见附图1。</w:t>
            </w:r>
          </w:p>
        </w:tc>
      </w:tr>
      <w:tr w14:paraId="14994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5" w:hRule="atLeast"/>
          <w:jc w:val="center"/>
        </w:trPr>
        <w:tc>
          <w:tcPr>
            <w:tcW w:w="287" w:type="pct"/>
            <w:vAlign w:val="center"/>
          </w:tcPr>
          <w:p w14:paraId="089B0F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kern w:val="0"/>
                <w:sz w:val="24"/>
                <w:szCs w:val="22"/>
                <w:highlight w:val="none"/>
              </w:rPr>
            </w:pPr>
            <w:r>
              <w:rPr>
                <w:rFonts w:hint="default" w:ascii="Times New Roman" w:hAnsi="Times New Roman" w:eastAsia="仿宋" w:cs="Times New Roman"/>
                <w:b/>
                <w:bCs/>
                <w:color w:val="auto"/>
                <w:kern w:val="0"/>
                <w:sz w:val="24"/>
                <w:szCs w:val="22"/>
                <w:highlight w:val="none"/>
              </w:rPr>
              <w:t>项目组成及规模</w:t>
            </w:r>
          </w:p>
        </w:tc>
        <w:tc>
          <w:tcPr>
            <w:tcW w:w="4712" w:type="pct"/>
            <w:vAlign w:val="center"/>
          </w:tcPr>
          <w:p w14:paraId="06410F75">
            <w:pPr>
              <w:keepNext w:val="0"/>
              <w:keepLines w:val="0"/>
              <w:widowControl/>
              <w:suppressLineNumbers w:val="0"/>
              <w:tabs>
                <w:tab w:val="left" w:pos="398"/>
              </w:tabs>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1、项目建设的必要性</w:t>
            </w:r>
          </w:p>
          <w:p w14:paraId="43836289">
            <w:pPr>
              <w:pStyle w:val="1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16" w:firstLineChars="200"/>
              <w:jc w:val="both"/>
              <w:textAlignment w:val="auto"/>
              <w:rPr>
                <w:rFonts w:hint="default" w:ascii="Times New Roman" w:hAnsi="Times New Roman" w:eastAsia="宋体" w:cs="Times New Roman"/>
                <w:spacing w:val="9"/>
                <w:sz w:val="24"/>
                <w:szCs w:val="24"/>
                <w:lang w:eastAsia="zh-CN"/>
              </w:rPr>
            </w:pPr>
            <w:r>
              <w:rPr>
                <w:rFonts w:hint="default" w:ascii="Times New Roman" w:hAnsi="Times New Roman" w:eastAsia="宋体" w:cs="Times New Roman"/>
                <w:spacing w:val="9"/>
                <w:sz w:val="24"/>
                <w:szCs w:val="24"/>
              </w:rPr>
              <w:t>目前，张掖经济技术开发区循环经济示范园暂时通过自备机井供水，随着工业企业入驻数量增加，工业用水还会持续增长，而甘州区地下水管控要求逐步收紧，自备水井须逐步关闭，因此，亟待开辟地表水源替换现有地下水源，保障园区工业用水</w:t>
            </w:r>
            <w:r>
              <w:rPr>
                <w:rFonts w:hint="default" w:ascii="Times New Roman" w:hAnsi="Times New Roman" w:eastAsia="宋体" w:cs="Times New Roman"/>
                <w:spacing w:val="9"/>
                <w:sz w:val="24"/>
                <w:szCs w:val="24"/>
                <w:lang w:eastAsia="zh-CN"/>
              </w:rPr>
              <w:t>。</w:t>
            </w:r>
          </w:p>
          <w:p w14:paraId="00B634C0">
            <w:pPr>
              <w:pStyle w:val="1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16" w:firstLineChars="200"/>
              <w:jc w:val="both"/>
              <w:textAlignment w:val="auto"/>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lang w:val="en-US" w:eastAsia="zh-CN"/>
              </w:rPr>
              <w:t>为实现向张掖经济技术开发区循环经济示范园供水，需配套实施输水工程、调蓄工程及配水工程，输水工程已在《张掖经济技术开发区循环经济示范园水源保障工程》中得以解决，建设内容主要包括自黑河取水的临河泵站一座、临河泵站至水厂3.35km供水管线；配水工程在《张掖经济技术开发区循环经济示范园供水项目》中得以解决，建设内容主要包括净水厂一座、42km长的净水厂至各供水点管网；本项目为工程体系中的调蓄工程，用于解决黑河河道闭口期、枯水期及检修期内用水问题。主要建设内容为一座156万m</w:t>
            </w:r>
            <w:r>
              <w:rPr>
                <w:rFonts w:hint="default" w:ascii="Times New Roman" w:hAnsi="Times New Roman" w:eastAsia="宋体" w:cs="Times New Roman"/>
                <w:spacing w:val="9"/>
                <w:sz w:val="24"/>
                <w:szCs w:val="24"/>
                <w:vertAlign w:val="superscript"/>
                <w:lang w:val="en-US" w:eastAsia="zh-CN"/>
              </w:rPr>
              <w:t>3</w:t>
            </w:r>
            <w:r>
              <w:rPr>
                <w:rFonts w:hint="default" w:ascii="Times New Roman" w:hAnsi="Times New Roman" w:eastAsia="宋体" w:cs="Times New Roman"/>
                <w:spacing w:val="9"/>
                <w:sz w:val="24"/>
                <w:szCs w:val="24"/>
                <w:lang w:val="en-US" w:eastAsia="zh-CN"/>
              </w:rPr>
              <w:t>调蓄水库，配套实施0.29km调蓄水库至净水厂供水管及一座水厂泵站用于解决水库低水位向净水厂的供水问题。</w:t>
            </w:r>
          </w:p>
          <w:p w14:paraId="2212027C">
            <w:pPr>
              <w:keepNext w:val="0"/>
              <w:keepLines w:val="0"/>
              <w:widowControl/>
              <w:suppressLineNumbers w:val="0"/>
              <w:tabs>
                <w:tab w:val="left" w:pos="398"/>
              </w:tabs>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2、主要建设内容</w:t>
            </w:r>
          </w:p>
          <w:p w14:paraId="71C2C581">
            <w:pPr>
              <w:pStyle w:val="1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516" w:firstLineChars="200"/>
              <w:jc w:val="both"/>
              <w:textAlignment w:val="auto"/>
              <w:rPr>
                <w:rFonts w:hint="eastAsia" w:eastAsia="宋体"/>
                <w:sz w:val="24"/>
                <w:szCs w:val="24"/>
                <w:lang w:eastAsia="zh-CN"/>
              </w:rPr>
            </w:pPr>
            <w:r>
              <w:rPr>
                <w:rFonts w:hint="default"/>
                <w:spacing w:val="9"/>
                <w:sz w:val="24"/>
                <w:szCs w:val="24"/>
              </w:rPr>
              <w:t>本工程主要建设内容为新建库</w:t>
            </w:r>
            <w:r>
              <w:rPr>
                <w:rFonts w:hint="default"/>
                <w:spacing w:val="11"/>
                <w:sz w:val="24"/>
                <w:szCs w:val="24"/>
              </w:rPr>
              <w:t>容</w:t>
            </w:r>
            <w:r>
              <w:rPr>
                <w:rFonts w:hint="default" w:ascii="Times New Roman" w:hAnsi="Times New Roman" w:eastAsia="Times New Roman" w:cs="Times New Roman"/>
                <w:spacing w:val="11"/>
                <w:sz w:val="24"/>
                <w:szCs w:val="24"/>
              </w:rPr>
              <w:t>156</w:t>
            </w:r>
            <w:r>
              <w:rPr>
                <w:rFonts w:hint="default"/>
                <w:spacing w:val="11"/>
                <w:sz w:val="24"/>
                <w:szCs w:val="24"/>
              </w:rPr>
              <w:t>万</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spacing w:val="11"/>
                <w:sz w:val="24"/>
                <w:szCs w:val="24"/>
              </w:rPr>
              <w:t>水库一座，</w:t>
            </w:r>
            <w:r>
              <w:rPr>
                <w:rFonts w:hint="eastAsia"/>
                <w:spacing w:val="11"/>
                <w:sz w:val="24"/>
                <w:szCs w:val="24"/>
                <w:lang w:eastAsia="zh-CN"/>
              </w:rPr>
              <w:t>水厂</w:t>
            </w:r>
            <w:r>
              <w:rPr>
                <w:rFonts w:hint="default"/>
                <w:spacing w:val="11"/>
                <w:sz w:val="24"/>
                <w:szCs w:val="24"/>
              </w:rPr>
              <w:t>泵站一座，铺设供水管</w:t>
            </w:r>
            <w:r>
              <w:rPr>
                <w:rFonts w:hint="default" w:ascii="Times New Roman" w:hAnsi="Times New Roman" w:eastAsia="Times New Roman" w:cs="Times New Roman"/>
                <w:spacing w:val="11"/>
                <w:sz w:val="24"/>
                <w:szCs w:val="24"/>
              </w:rPr>
              <w:t>0.29</w:t>
            </w:r>
            <w:r>
              <w:rPr>
                <w:rFonts w:hint="default" w:ascii="Times New Roman" w:hAnsi="Times New Roman" w:eastAsia="Times New Roman" w:cs="Times New Roman"/>
                <w:sz w:val="24"/>
                <w:szCs w:val="24"/>
              </w:rPr>
              <w:t>km</w:t>
            </w:r>
            <w:r>
              <w:rPr>
                <w:rFonts w:hint="eastAsia" w:eastAsia="宋体"/>
                <w:spacing w:val="11"/>
                <w:sz w:val="24"/>
                <w:szCs w:val="24"/>
                <w:lang w:eastAsia="zh-CN"/>
              </w:rPr>
              <w:t>。</w:t>
            </w:r>
          </w:p>
          <w:p w14:paraId="08C3F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rPr>
            </w:pPr>
            <w:r>
              <w:rPr>
                <w:rFonts w:hint="default" w:ascii="Times New Roman" w:hAnsi="Times New Roman" w:eastAsia="宋体" w:cs="Times New Roman"/>
                <w:color w:val="auto"/>
                <w:sz w:val="24"/>
                <w:szCs w:val="24"/>
                <w:highlight w:val="none"/>
                <w:lang w:val="en-US" w:eastAsia="zh-CN"/>
              </w:rPr>
              <w:t>本项目水源工程（包括：一座临河泵站，设计流量0.29m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临河泵站至调蓄水池压力输水管道一根，管径DN500、长度3.35km，引水流量0.29m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纳入</w:t>
            </w:r>
            <w:r>
              <w:rPr>
                <w:rFonts w:hint="default" w:ascii="Times New Roman" w:hAnsi="Times New Roman" w:eastAsia="宋体" w:cs="Times New Roman"/>
                <w:color w:val="auto"/>
                <w:sz w:val="24"/>
                <w:szCs w:val="24"/>
                <w:highlight w:val="none"/>
                <w:lang w:val="en-US" w:eastAsia="zh-CN"/>
              </w:rPr>
              <w:t>《张掖经济技术开发区循环经济示范园水源保障工程环境影响报告书》中进行评价，</w:t>
            </w:r>
            <w:r>
              <w:rPr>
                <w:rFonts w:hint="default" w:ascii="宋体" w:hAnsi="宋体" w:eastAsia="宋体" w:cs="宋体"/>
                <w:kern w:val="0"/>
                <w:sz w:val="24"/>
                <w:szCs w:val="24"/>
                <w:lang w:val="en-US" w:eastAsia="zh-CN" w:bidi="ar"/>
              </w:rPr>
              <w:t>目前该环评报告书正处于编制阶段，与本项目建设工作同步推进。</w:t>
            </w:r>
          </w:p>
          <w:p w14:paraId="2101D6E8">
            <w:pPr>
              <w:pStyle w:val="4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本次环评对</w:t>
            </w:r>
            <w:r>
              <w:rPr>
                <w:rFonts w:hint="eastAsia" w:ascii="Times New Roman" w:hAnsi="Times New Roman" w:eastAsia="宋体" w:cs="Times New Roman"/>
                <w:color w:val="auto"/>
                <w:sz w:val="24"/>
                <w:szCs w:val="24"/>
                <w:highlight w:val="none"/>
                <w:lang w:val="en-US" w:eastAsia="zh-CN"/>
              </w:rPr>
              <w:t>本工程建设内容</w:t>
            </w:r>
            <w:r>
              <w:rPr>
                <w:rFonts w:hint="default" w:ascii="Times New Roman" w:hAnsi="Times New Roman" w:eastAsia="宋体" w:cs="Times New Roman"/>
                <w:color w:val="auto"/>
                <w:sz w:val="24"/>
                <w:szCs w:val="24"/>
                <w:highlight w:val="none"/>
                <w:lang w:val="en-US" w:eastAsia="zh-CN"/>
              </w:rPr>
              <w:t>进行评价，对水源工程不进行评价。</w:t>
            </w:r>
          </w:p>
          <w:p w14:paraId="30C905F3">
            <w:pPr>
              <w:pStyle w:val="4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本项目工程组成内容见表2-1。</w:t>
            </w:r>
          </w:p>
          <w:p w14:paraId="2A6A52F9">
            <w:pPr>
              <w:pStyle w:val="44"/>
              <w:keepNext w:val="0"/>
              <w:keepLines w:val="0"/>
              <w:numPr>
                <w:ilvl w:val="0"/>
                <w:numId w:val="0"/>
              </w:numPr>
              <w:suppressLineNumbers w:val="0"/>
              <w:tabs>
                <w:tab w:val="left" w:pos="2040"/>
              </w:tabs>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表2-1项目工程组成一览表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115"/>
              <w:gridCol w:w="6563"/>
              <w:gridCol w:w="745"/>
            </w:tblGrid>
            <w:tr w14:paraId="0796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shd w:val="clear" w:color="auto" w:fill="auto"/>
                  <w:vAlign w:val="center"/>
                </w:tcPr>
                <w:p w14:paraId="1BCB94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工程类别</w:t>
                  </w:r>
                </w:p>
              </w:tc>
              <w:tc>
                <w:tcPr>
                  <w:tcW w:w="608" w:type="pct"/>
                  <w:shd w:val="clear" w:color="auto" w:fill="auto"/>
                  <w:vAlign w:val="center"/>
                </w:tcPr>
                <w:p w14:paraId="3E4A13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3578" w:type="pct"/>
                  <w:shd w:val="clear" w:color="auto" w:fill="auto"/>
                  <w:vAlign w:val="center"/>
                </w:tcPr>
                <w:p w14:paraId="0E00716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406" w:type="pct"/>
                  <w:shd w:val="clear" w:color="auto" w:fill="auto"/>
                  <w:vAlign w:val="center"/>
                </w:tcPr>
                <w:p w14:paraId="439535C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67C1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restart"/>
                  <w:shd w:val="clear" w:color="auto" w:fill="auto"/>
                  <w:vAlign w:val="center"/>
                </w:tcPr>
                <w:p w14:paraId="0CAFD1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608" w:type="pct"/>
                  <w:shd w:val="clear" w:color="auto" w:fill="auto"/>
                  <w:vAlign w:val="center"/>
                </w:tcPr>
                <w:p w14:paraId="5B046B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调蓄</w:t>
                  </w:r>
                </w:p>
                <w:p w14:paraId="2760990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r>
                    <w:rPr>
                      <w:rFonts w:hint="eastAsia" w:ascii="Times New Roman" w:hAnsi="Times New Roman" w:eastAsia="宋体" w:cs="Times New Roman"/>
                      <w:color w:val="auto"/>
                      <w:sz w:val="21"/>
                      <w:szCs w:val="21"/>
                      <w:highlight w:val="none"/>
                      <w:lang w:val="en-US" w:eastAsia="zh-CN"/>
                    </w:rPr>
                    <w:t>库</w:t>
                  </w:r>
                </w:p>
              </w:tc>
              <w:tc>
                <w:tcPr>
                  <w:tcW w:w="3578" w:type="pct"/>
                  <w:shd w:val="clear" w:color="auto" w:fill="auto"/>
                  <w:vAlign w:val="center"/>
                </w:tcPr>
                <w:p w14:paraId="5AAC9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000000"/>
                      <w:kern w:val="0"/>
                      <w:sz w:val="21"/>
                      <w:szCs w:val="21"/>
                      <w:lang w:val="en-US" w:eastAsia="zh-CN" w:bidi="ar"/>
                    </w:rPr>
                    <w:t>水库为一注入型水库，总库容</w:t>
                  </w:r>
                  <w:r>
                    <w:rPr>
                      <w:rFonts w:hint="default" w:ascii="Times New Roman" w:hAnsi="Times New Roman" w:eastAsia="宋体" w:cs="Times New Roman"/>
                      <w:color w:val="000000"/>
                      <w:kern w:val="0"/>
                      <w:sz w:val="21"/>
                      <w:szCs w:val="21"/>
                      <w:lang w:val="en-US" w:eastAsia="zh-CN" w:bidi="ar"/>
                    </w:rPr>
                    <w:t>156</w:t>
                  </w:r>
                  <w:r>
                    <w:rPr>
                      <w:rFonts w:hint="eastAsia" w:ascii="宋体" w:hAnsi="宋体" w:eastAsia="宋体" w:cs="宋体"/>
                      <w:color w:val="000000"/>
                      <w:kern w:val="0"/>
                      <w:sz w:val="21"/>
                      <w:szCs w:val="21"/>
                      <w:lang w:val="en-US" w:eastAsia="zh-CN" w:bidi="ar"/>
                    </w:rPr>
                    <w:t>万</w:t>
                  </w:r>
                  <w:r>
                    <w:rPr>
                      <w:rFonts w:hint="default" w:ascii="Times New Roman" w:hAnsi="Times New Roman" w:eastAsia="宋体" w:cs="Times New Roman"/>
                      <w:color w:val="000000"/>
                      <w:kern w:val="0"/>
                      <w:sz w:val="21"/>
                      <w:szCs w:val="21"/>
                      <w:lang w:val="en-US" w:eastAsia="zh-CN" w:bidi="ar"/>
                    </w:rPr>
                    <w:t>m³</w:t>
                  </w:r>
                  <w:r>
                    <w:rPr>
                      <w:rFonts w:hint="eastAsia" w:ascii="宋体" w:hAnsi="宋体" w:eastAsia="宋体" w:cs="宋体"/>
                      <w:color w:val="000000"/>
                      <w:kern w:val="0"/>
                      <w:sz w:val="21"/>
                      <w:szCs w:val="21"/>
                      <w:lang w:val="en-US" w:eastAsia="zh-CN" w:bidi="ar"/>
                    </w:rPr>
                    <w:t>，其中死库容</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万</w:t>
                  </w:r>
                  <w:r>
                    <w:rPr>
                      <w:rFonts w:hint="default" w:ascii="Times New Roman" w:hAnsi="Times New Roman" w:eastAsia="宋体" w:cs="Times New Roman"/>
                      <w:color w:val="000000"/>
                      <w:kern w:val="0"/>
                      <w:sz w:val="21"/>
                      <w:szCs w:val="21"/>
                      <w:lang w:val="en-US" w:eastAsia="zh-CN" w:bidi="ar"/>
                    </w:rPr>
                    <w:t>m³</w:t>
                  </w:r>
                  <w:r>
                    <w:rPr>
                      <w:rFonts w:hint="eastAsia" w:ascii="宋体" w:hAnsi="宋体" w:eastAsia="宋体" w:cs="宋体"/>
                      <w:color w:val="000000"/>
                      <w:kern w:val="0"/>
                      <w:sz w:val="21"/>
                      <w:szCs w:val="21"/>
                      <w:lang w:val="en-US" w:eastAsia="zh-CN" w:bidi="ar"/>
                    </w:rPr>
                    <w:t>，兴利库容</w:t>
                  </w:r>
                  <w:r>
                    <w:rPr>
                      <w:rFonts w:hint="default" w:ascii="Times New Roman" w:hAnsi="Times New Roman" w:eastAsia="宋体" w:cs="Times New Roman"/>
                      <w:color w:val="000000"/>
                      <w:kern w:val="0"/>
                      <w:sz w:val="21"/>
                      <w:szCs w:val="21"/>
                      <w:lang w:val="en-US" w:eastAsia="zh-CN" w:bidi="ar"/>
                    </w:rPr>
                    <w:t>146</w:t>
                  </w:r>
                  <w:r>
                    <w:rPr>
                      <w:rFonts w:hint="eastAsia" w:ascii="宋体" w:hAnsi="宋体" w:eastAsia="宋体" w:cs="宋体"/>
                      <w:color w:val="000000"/>
                      <w:kern w:val="0"/>
                      <w:sz w:val="21"/>
                      <w:szCs w:val="21"/>
                      <w:lang w:val="en-US" w:eastAsia="zh-CN" w:bidi="ar"/>
                    </w:rPr>
                    <w:t>万</w:t>
                  </w:r>
                  <w:r>
                    <w:rPr>
                      <w:rFonts w:hint="default" w:ascii="Times New Roman" w:hAnsi="Times New Roman" w:eastAsia="宋体" w:cs="Times New Roman"/>
                      <w:color w:val="000000"/>
                      <w:kern w:val="0"/>
                      <w:sz w:val="21"/>
                      <w:szCs w:val="21"/>
                      <w:lang w:val="en-US" w:eastAsia="zh-CN" w:bidi="ar"/>
                    </w:rPr>
                    <w:t>m³</w:t>
                  </w:r>
                  <w:r>
                    <w:rPr>
                      <w:rFonts w:hint="eastAsia" w:ascii="宋体" w:hAnsi="宋体" w:eastAsia="宋体" w:cs="宋体"/>
                      <w:color w:val="000000"/>
                      <w:kern w:val="0"/>
                      <w:sz w:val="21"/>
                      <w:szCs w:val="21"/>
                      <w:lang w:val="en-US" w:eastAsia="zh-CN" w:bidi="ar"/>
                    </w:rPr>
                    <w:t>，深</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，轴线长度</w:t>
                  </w:r>
                  <w:r>
                    <w:rPr>
                      <w:rFonts w:hint="default" w:ascii="Times New Roman" w:hAnsi="Times New Roman" w:eastAsia="宋体" w:cs="Times New Roman"/>
                      <w:color w:val="000000"/>
                      <w:kern w:val="0"/>
                      <w:sz w:val="21"/>
                      <w:szCs w:val="21"/>
                      <w:lang w:val="en-US" w:eastAsia="zh-CN" w:bidi="ar"/>
                    </w:rPr>
                    <w:t>1394.55m</w:t>
                  </w:r>
                  <w:r>
                    <w:rPr>
                      <w:rFonts w:hint="eastAsia" w:ascii="宋体" w:hAnsi="宋体" w:eastAsia="宋体" w:cs="宋体"/>
                      <w:color w:val="000000"/>
                      <w:kern w:val="0"/>
                      <w:sz w:val="21"/>
                      <w:szCs w:val="21"/>
                      <w:lang w:val="en-US" w:eastAsia="zh-CN" w:bidi="ar"/>
                    </w:rPr>
                    <w:t>。</w:t>
                  </w:r>
                </w:p>
              </w:tc>
              <w:tc>
                <w:tcPr>
                  <w:tcW w:w="406" w:type="pct"/>
                  <w:shd w:val="clear" w:color="auto" w:fill="auto"/>
                  <w:vAlign w:val="center"/>
                </w:tcPr>
                <w:p w14:paraId="43E774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新建</w:t>
                  </w:r>
                </w:p>
              </w:tc>
            </w:tr>
            <w:tr w14:paraId="4369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continue"/>
                  <w:shd w:val="clear" w:color="auto" w:fill="auto"/>
                  <w:vAlign w:val="center"/>
                </w:tcPr>
                <w:p w14:paraId="6660DCC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5B82FE9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水厂</w:t>
                  </w:r>
                </w:p>
                <w:p w14:paraId="1CF053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泵站</w:t>
                  </w:r>
                </w:p>
              </w:tc>
              <w:tc>
                <w:tcPr>
                  <w:tcW w:w="3578" w:type="pct"/>
                  <w:shd w:val="clear" w:color="auto" w:fill="auto"/>
                  <w:vAlign w:val="center"/>
                </w:tcPr>
                <w:p w14:paraId="50C0158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1"/>
                      <w:sz w:val="21"/>
                      <w:szCs w:val="21"/>
                    </w:rPr>
                    <w:t>占地面积0.0</w:t>
                  </w:r>
                  <w:r>
                    <w:rPr>
                      <w:rFonts w:hint="eastAsia" w:ascii="Times New Roman" w:hAnsi="Times New Roman" w:eastAsia="宋体" w:cs="Times New Roman"/>
                      <w:spacing w:val="1"/>
                      <w:sz w:val="21"/>
                      <w:szCs w:val="21"/>
                      <w:lang w:val="en-US" w:eastAsia="zh-CN"/>
                    </w:rPr>
                    <w:t>3</w:t>
                  </w:r>
                  <w:r>
                    <w:rPr>
                      <w:rFonts w:hint="default" w:ascii="Times New Roman" w:hAnsi="Times New Roman" w:eastAsia="宋体" w:cs="Times New Roman"/>
                      <w:sz w:val="21"/>
                      <w:szCs w:val="21"/>
                    </w:rPr>
                    <w:t>hm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pacing w:val="1"/>
                      <w:sz w:val="21"/>
                      <w:szCs w:val="21"/>
                      <w:lang w:eastAsia="zh-CN"/>
                    </w:rPr>
                    <w:t>，位于调蓄水池西南角，</w:t>
                  </w:r>
                  <w:r>
                    <w:rPr>
                      <w:rFonts w:hint="default" w:ascii="Times New Roman" w:hAnsi="Times New Roman" w:eastAsia="宋体" w:cs="Times New Roman"/>
                      <w:spacing w:val="14"/>
                      <w:sz w:val="21"/>
                      <w:szCs w:val="21"/>
                    </w:rPr>
                    <w:t>用于水库低水位向净水厂供水</w:t>
                  </w:r>
                  <w:r>
                    <w:rPr>
                      <w:rFonts w:hint="eastAsia" w:ascii="Times New Roman" w:hAnsi="Times New Roman" w:eastAsia="宋体" w:cs="Times New Roman"/>
                      <w:spacing w:val="14"/>
                      <w:sz w:val="21"/>
                      <w:szCs w:val="21"/>
                      <w:lang w:eastAsia="zh-CN"/>
                    </w:rPr>
                    <w:t>。</w:t>
                  </w:r>
                </w:p>
              </w:tc>
              <w:tc>
                <w:tcPr>
                  <w:tcW w:w="406" w:type="pct"/>
                  <w:shd w:val="clear" w:color="auto" w:fill="auto"/>
                  <w:vAlign w:val="center"/>
                </w:tcPr>
                <w:p w14:paraId="21FA7E6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745E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5" w:type="pct"/>
                  <w:vMerge w:val="continue"/>
                  <w:shd w:val="clear" w:color="auto" w:fill="auto"/>
                  <w:vAlign w:val="center"/>
                </w:tcPr>
                <w:p w14:paraId="36110F3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4C6F11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000000"/>
                      <w:kern w:val="0"/>
                      <w:sz w:val="21"/>
                      <w:szCs w:val="21"/>
                      <w:lang w:val="en-US" w:eastAsia="zh-CN" w:bidi="ar"/>
                    </w:rPr>
                    <w:t>供水管</w:t>
                  </w:r>
                </w:p>
              </w:tc>
              <w:tc>
                <w:tcPr>
                  <w:tcW w:w="3578" w:type="pct"/>
                  <w:shd w:val="clear" w:color="auto" w:fill="auto"/>
                  <w:vAlign w:val="center"/>
                </w:tcPr>
                <w:p w14:paraId="18F34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eastAsia" w:ascii="宋体" w:hAnsi="宋体" w:eastAsia="宋体" w:cs="宋体"/>
                      <w:color w:val="000000"/>
                      <w:kern w:val="0"/>
                      <w:sz w:val="21"/>
                      <w:szCs w:val="21"/>
                      <w:lang w:val="en-US" w:eastAsia="zh-CN" w:bidi="ar"/>
                    </w:rPr>
                    <w:t>一条长</w:t>
                  </w:r>
                  <w:r>
                    <w:rPr>
                      <w:rFonts w:hint="default" w:ascii="Times New Roman" w:hAnsi="Times New Roman" w:eastAsia="宋体" w:cs="Times New Roman"/>
                      <w:color w:val="000000"/>
                      <w:kern w:val="0"/>
                      <w:sz w:val="21"/>
                      <w:szCs w:val="21"/>
                      <w:lang w:val="en-US" w:eastAsia="zh-CN" w:bidi="ar"/>
                    </w:rPr>
                    <w:t>0.29km</w:t>
                  </w:r>
                  <w:r>
                    <w:rPr>
                      <w:rFonts w:hint="eastAsia" w:ascii="宋体" w:hAnsi="宋体" w:eastAsia="宋体" w:cs="宋体"/>
                      <w:color w:val="000000"/>
                      <w:kern w:val="0"/>
                      <w:sz w:val="21"/>
                      <w:szCs w:val="21"/>
                      <w:lang w:val="en-US" w:eastAsia="zh-CN" w:bidi="ar"/>
                    </w:rPr>
                    <w:t>水库至净水厂供水管，单管布置，管径</w:t>
                  </w:r>
                  <w:r>
                    <w:rPr>
                      <w:rFonts w:hint="default" w:ascii="Times New Roman" w:hAnsi="Times New Roman" w:eastAsia="宋体" w:cs="Times New Roman"/>
                      <w:color w:val="000000"/>
                      <w:kern w:val="0"/>
                      <w:sz w:val="21"/>
                      <w:szCs w:val="21"/>
                      <w:lang w:val="en-US" w:eastAsia="zh-CN" w:bidi="ar"/>
                    </w:rPr>
                    <w:t>DN600</w:t>
                  </w:r>
                  <w:r>
                    <w:rPr>
                      <w:rFonts w:hint="eastAsia" w:ascii="宋体" w:hAnsi="宋体" w:eastAsia="宋体" w:cs="宋体"/>
                      <w:color w:val="000000"/>
                      <w:kern w:val="0"/>
                      <w:sz w:val="21"/>
                      <w:szCs w:val="21"/>
                      <w:lang w:val="en-US" w:eastAsia="zh-CN" w:bidi="ar"/>
                    </w:rPr>
                    <w:t>。</w:t>
                  </w:r>
                </w:p>
              </w:tc>
              <w:tc>
                <w:tcPr>
                  <w:tcW w:w="406" w:type="pct"/>
                  <w:shd w:val="clear" w:color="auto" w:fill="auto"/>
                  <w:vAlign w:val="center"/>
                </w:tcPr>
                <w:p w14:paraId="418DC93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5D3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shd w:val="clear" w:color="auto" w:fill="auto"/>
                  <w:vAlign w:val="center"/>
                </w:tcPr>
                <w:p w14:paraId="34E2257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辅助工程</w:t>
                  </w:r>
                </w:p>
              </w:tc>
              <w:tc>
                <w:tcPr>
                  <w:tcW w:w="608" w:type="pct"/>
                  <w:shd w:val="clear" w:color="auto" w:fill="auto"/>
                  <w:vAlign w:val="center"/>
                </w:tcPr>
                <w:p w14:paraId="4031D36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监测</w:t>
                  </w:r>
                </w:p>
                <w:p w14:paraId="7D845B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系统</w:t>
                  </w:r>
                </w:p>
              </w:tc>
              <w:tc>
                <w:tcPr>
                  <w:tcW w:w="3578" w:type="pct"/>
                  <w:shd w:val="clear" w:color="auto" w:fill="auto"/>
                  <w:vAlign w:val="center"/>
                </w:tcPr>
                <w:p w14:paraId="0CD28B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设置观测断面</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处、设置</w:t>
                  </w:r>
                  <w:r>
                    <w:rPr>
                      <w:rFonts w:hint="eastAsia" w:ascii="宋体" w:hAnsi="宋体" w:eastAsia="宋体" w:cs="宋体"/>
                      <w:color w:val="000000" w:themeColor="text1"/>
                      <w:kern w:val="0"/>
                      <w:sz w:val="21"/>
                      <w:szCs w:val="21"/>
                      <w:lang w:val="en-US" w:eastAsia="zh-CN" w:bidi="ar"/>
                      <w14:textFill>
                        <w14:solidFill>
                          <w14:schemeClr w14:val="tx1"/>
                        </w14:solidFill>
                      </w14:textFill>
                    </w:rPr>
                    <w:t>观测工作基点</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eastAsia" w:ascii="宋体" w:hAnsi="宋体" w:eastAsia="宋体" w:cs="宋体"/>
                      <w:color w:val="000000" w:themeColor="text1"/>
                      <w:kern w:val="0"/>
                      <w:sz w:val="21"/>
                      <w:szCs w:val="21"/>
                      <w:lang w:val="en-US" w:eastAsia="zh-CN" w:bidi="ar"/>
                      <w14:textFill>
                        <w14:solidFill>
                          <w14:schemeClr w14:val="tx1"/>
                        </w14:solidFill>
                      </w14:textFill>
                    </w:rPr>
                    <w:t>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6" w:type="pct"/>
                  <w:shd w:val="clear" w:color="auto" w:fill="auto"/>
                  <w:vAlign w:val="center"/>
                </w:tcPr>
                <w:p w14:paraId="3F27E8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新建</w:t>
                  </w:r>
                </w:p>
              </w:tc>
            </w:tr>
            <w:tr w14:paraId="43F0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restart"/>
                  <w:shd w:val="clear" w:color="auto" w:fill="auto"/>
                  <w:vAlign w:val="center"/>
                </w:tcPr>
                <w:p w14:paraId="296BD2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临时工程</w:t>
                  </w:r>
                </w:p>
              </w:tc>
              <w:tc>
                <w:tcPr>
                  <w:tcW w:w="608" w:type="pct"/>
                  <w:shd w:val="clear" w:color="auto" w:fill="auto"/>
                  <w:vAlign w:val="center"/>
                </w:tcPr>
                <w:p w14:paraId="4D93A42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p>
                <w:p w14:paraId="42A63F5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场地</w:t>
                  </w:r>
                </w:p>
              </w:tc>
              <w:tc>
                <w:tcPr>
                  <w:tcW w:w="3578" w:type="pct"/>
                  <w:shd w:val="clear" w:color="auto" w:fill="auto"/>
                  <w:vAlign w:val="center"/>
                </w:tcPr>
                <w:p w14:paraId="2C338D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val="en-US" w:eastAsia="zh-CN"/>
                    </w:rPr>
                    <w:t>场地包括仓库工棚、临时混凝土拌合站和办公生活房屋，位于调蓄水池</w:t>
                  </w:r>
                  <w:r>
                    <w:rPr>
                      <w:rFonts w:hint="eastAsia" w:cs="Times New Roman"/>
                      <w:color w:val="auto"/>
                      <w:sz w:val="21"/>
                      <w:szCs w:val="21"/>
                      <w:highlight w:val="none"/>
                      <w:lang w:val="en-US" w:eastAsia="zh-CN"/>
                    </w:rPr>
                    <w:t>东南</w:t>
                  </w:r>
                  <w:r>
                    <w:rPr>
                      <w:rFonts w:hint="default" w:ascii="Times New Roman" w:hAnsi="Times New Roman" w:eastAsia="宋体" w:cs="Times New Roman"/>
                      <w:color w:val="auto"/>
                      <w:sz w:val="21"/>
                      <w:szCs w:val="21"/>
                      <w:highlight w:val="none"/>
                      <w:lang w:val="en-US" w:eastAsia="zh-CN"/>
                    </w:rPr>
                    <w:t>侧。仓库及工棚及临时混凝土拌合站占地面积</w:t>
                  </w:r>
                  <w:r>
                    <w:rPr>
                      <w:rFonts w:hint="eastAsia"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办公生活房屋占地面积1</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val="en-US" w:eastAsia="zh-CN"/>
                    </w:rPr>
                    <w:t>场地总占地面积</w:t>
                  </w:r>
                  <w:r>
                    <w:rPr>
                      <w:rFonts w:hint="eastAsia" w:cs="Times New Roman"/>
                      <w:color w:val="auto"/>
                      <w:sz w:val="21"/>
                      <w:szCs w:val="21"/>
                      <w:highlight w:val="none"/>
                      <w:lang w:val="en-US" w:eastAsia="zh-CN"/>
                    </w:rPr>
                    <w:t>3300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406" w:type="pct"/>
                  <w:shd w:val="clear" w:color="auto" w:fill="auto"/>
                  <w:vAlign w:val="center"/>
                </w:tcPr>
                <w:p w14:paraId="013EA74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01F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continue"/>
                  <w:shd w:val="clear" w:color="auto" w:fill="auto"/>
                  <w:vAlign w:val="center"/>
                </w:tcPr>
                <w:p w14:paraId="35267DC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2974348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w:t>
                  </w:r>
                </w:p>
                <w:p w14:paraId="05BA73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w:t>
                  </w:r>
                </w:p>
              </w:tc>
              <w:tc>
                <w:tcPr>
                  <w:tcW w:w="3578" w:type="pct"/>
                  <w:shd w:val="clear" w:color="auto" w:fill="auto"/>
                  <w:vAlign w:val="center"/>
                </w:tcPr>
                <w:p w14:paraId="7F46E4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工程区交通便利，</w:t>
                  </w:r>
                  <w:r>
                    <w:rPr>
                      <w:rFonts w:hint="default" w:ascii="Times New Roman" w:hAnsi="Times New Roman" w:eastAsia="宋体" w:cs="Times New Roman"/>
                      <w:color w:val="000000"/>
                      <w:kern w:val="0"/>
                      <w:sz w:val="21"/>
                      <w:szCs w:val="21"/>
                      <w:lang w:val="en-US" w:eastAsia="zh-CN" w:bidi="ar"/>
                    </w:rPr>
                    <w:t>S237</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S301</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Y360</w:t>
                  </w:r>
                  <w:r>
                    <w:rPr>
                      <w:rFonts w:hint="eastAsia" w:ascii="宋体" w:hAnsi="宋体" w:eastAsia="宋体" w:cs="宋体"/>
                      <w:color w:val="000000"/>
                      <w:kern w:val="0"/>
                      <w:sz w:val="21"/>
                      <w:szCs w:val="21"/>
                      <w:lang w:val="en-US" w:eastAsia="zh-CN" w:bidi="ar"/>
                    </w:rPr>
                    <w:t>等道路</w:t>
                  </w:r>
                  <w:r>
                    <w:rPr>
                      <w:rFonts w:hint="default" w:ascii="Times New Roman" w:hAnsi="Times New Roman" w:eastAsia="宋体" w:cs="Times New Roman"/>
                      <w:color w:val="auto"/>
                      <w:sz w:val="21"/>
                      <w:szCs w:val="21"/>
                      <w:highlight w:val="none"/>
                      <w:lang w:val="en-US" w:eastAsia="zh-CN"/>
                    </w:rPr>
                    <w:t>可直达工区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工程所需主要外购材料均可由公路运输至施工现场</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lang w:val="en-US" w:eastAsia="zh-CN"/>
                    </w:rPr>
                    <w:t>不新设临时道路。</w:t>
                  </w:r>
                </w:p>
              </w:tc>
              <w:tc>
                <w:tcPr>
                  <w:tcW w:w="406" w:type="pct"/>
                  <w:shd w:val="clear" w:color="auto" w:fill="auto"/>
                  <w:vAlign w:val="center"/>
                </w:tcPr>
                <w:p w14:paraId="74C1BF8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6DE0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5" w:type="pct"/>
                  <w:vMerge w:val="restart"/>
                  <w:shd w:val="clear" w:color="auto" w:fill="auto"/>
                  <w:vAlign w:val="center"/>
                </w:tcPr>
                <w:p w14:paraId="14E55C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608" w:type="pct"/>
                  <w:shd w:val="clear" w:color="auto" w:fill="auto"/>
                  <w:vAlign w:val="center"/>
                </w:tcPr>
                <w:p w14:paraId="42F43C1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p>
                <w:p w14:paraId="2758866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3578" w:type="pct"/>
                  <w:shd w:val="clear" w:color="auto" w:fill="auto"/>
                  <w:vAlign w:val="center"/>
                </w:tcPr>
                <w:p w14:paraId="6CBD6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施工用水抽取黑河河水，</w:t>
                  </w:r>
                  <w:r>
                    <w:rPr>
                      <w:rFonts w:hint="default" w:ascii="Times New Roman" w:hAnsi="Times New Roman" w:eastAsia="宋体" w:cs="Times New Roman"/>
                      <w:color w:val="auto"/>
                      <w:sz w:val="21"/>
                      <w:szCs w:val="21"/>
                      <w:highlight w:val="none"/>
                      <w:lang w:val="en-US" w:eastAsia="zh-CN"/>
                    </w:rPr>
                    <w:t>5t</w:t>
                  </w:r>
                  <w:r>
                    <w:rPr>
                      <w:rFonts w:hint="eastAsia" w:ascii="Times New Roman" w:hAnsi="Times New Roman" w:eastAsia="宋体" w:cs="Times New Roman"/>
                      <w:color w:val="auto"/>
                      <w:sz w:val="21"/>
                      <w:szCs w:val="21"/>
                      <w:highlight w:val="none"/>
                      <w:lang w:val="en-US" w:eastAsia="zh-CN"/>
                    </w:rPr>
                    <w:t>载重汽车拉运至施工区，</w:t>
                  </w: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塑料水箱储存，平均运距约</w:t>
                  </w:r>
                  <w:r>
                    <w:rPr>
                      <w:rFonts w:hint="default" w:ascii="Times New Roman" w:hAnsi="Times New Roman" w:eastAsia="宋体" w:cs="Times New Roman"/>
                      <w:color w:val="auto"/>
                      <w:sz w:val="21"/>
                      <w:szCs w:val="21"/>
                      <w:highlight w:val="none"/>
                      <w:lang w:val="en-US" w:eastAsia="zh-CN"/>
                    </w:rPr>
                    <w:t>1km</w:t>
                  </w:r>
                </w:p>
              </w:tc>
              <w:tc>
                <w:tcPr>
                  <w:tcW w:w="406" w:type="pct"/>
                  <w:shd w:val="clear" w:color="auto" w:fill="auto"/>
                  <w:vAlign w:val="center"/>
                </w:tcPr>
                <w:p w14:paraId="563436A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055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continue"/>
                  <w:shd w:val="clear" w:color="auto" w:fill="auto"/>
                  <w:vAlign w:val="center"/>
                </w:tcPr>
                <w:p w14:paraId="65E6CB1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5979832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p>
                <w:p w14:paraId="18124A5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3578" w:type="pct"/>
                  <w:shd w:val="clear" w:color="auto" w:fill="auto"/>
                  <w:vAlign w:val="center"/>
                </w:tcPr>
                <w:p w14:paraId="60592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本工程区已有10kv输电线路，施工时通过“T”接作为本工程施工用电源。</w:t>
                  </w:r>
                </w:p>
              </w:tc>
              <w:tc>
                <w:tcPr>
                  <w:tcW w:w="406" w:type="pct"/>
                  <w:shd w:val="clear" w:color="auto" w:fill="auto"/>
                  <w:vAlign w:val="center"/>
                </w:tcPr>
                <w:p w14:paraId="639D54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1E3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continue"/>
                  <w:shd w:val="clear" w:color="auto" w:fill="auto"/>
                  <w:vAlign w:val="center"/>
                </w:tcPr>
                <w:p w14:paraId="78B8A3A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105818F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供暖</w:t>
                  </w:r>
                </w:p>
              </w:tc>
              <w:tc>
                <w:tcPr>
                  <w:tcW w:w="3578" w:type="pct"/>
                  <w:shd w:val="clear" w:color="auto" w:fill="auto"/>
                  <w:vAlign w:val="center"/>
                </w:tcPr>
                <w:p w14:paraId="621C4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泵站中控室冬季采用电暖</w:t>
                  </w:r>
                </w:p>
              </w:tc>
              <w:tc>
                <w:tcPr>
                  <w:tcW w:w="406" w:type="pct"/>
                  <w:shd w:val="clear" w:color="auto" w:fill="auto"/>
                  <w:vAlign w:val="center"/>
                </w:tcPr>
                <w:p w14:paraId="7B5E9D0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85D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405" w:type="pct"/>
                  <w:vMerge w:val="restart"/>
                  <w:shd w:val="clear" w:color="auto" w:fill="auto"/>
                  <w:vAlign w:val="center"/>
                </w:tcPr>
                <w:p w14:paraId="69EFFFD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608" w:type="pct"/>
                  <w:vMerge w:val="restart"/>
                  <w:shd w:val="clear" w:color="auto" w:fill="auto"/>
                  <w:vAlign w:val="center"/>
                </w:tcPr>
                <w:p w14:paraId="644607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3578" w:type="pct"/>
                  <w:shd w:val="clear" w:color="auto" w:fill="auto"/>
                  <w:vAlign w:val="center"/>
                </w:tcPr>
                <w:p w14:paraId="42163340">
                  <w:pPr>
                    <w:pStyle w:val="36"/>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r>
                    <w:rPr>
                      <w:rFonts w:hint="default" w:ascii="Times New Roman" w:hAnsi="Times New Roman" w:eastAsia="宋体" w:cs="Times New Roman"/>
                      <w:color w:val="auto"/>
                      <w:sz w:val="21"/>
                      <w:szCs w:val="21"/>
                      <w:highlight w:val="none"/>
                    </w:rPr>
                    <w:t>在施工场地建设1座10m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玻璃钢化粪池，</w:t>
                  </w:r>
                  <w:r>
                    <w:rPr>
                      <w:rFonts w:hint="default" w:ascii="Times New Roman" w:hAnsi="Times New Roman" w:eastAsia="宋体" w:cs="Times New Roman"/>
                      <w:color w:val="auto"/>
                      <w:sz w:val="21"/>
                      <w:szCs w:val="21"/>
                      <w:highlight w:val="none"/>
                      <w:lang w:val="en-US" w:eastAsia="zh-CN"/>
                    </w:rPr>
                    <w:t>餐饮废水先经隔油池（1m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val="en-US" w:eastAsia="zh-CN"/>
                    </w:rPr>
                    <w:t>与生活污水一同进入化粪池处理，</w:t>
                  </w:r>
                  <w:r>
                    <w:rPr>
                      <w:rFonts w:hint="eastAsia" w:ascii="Times New Roman" w:hAnsi="Times New Roman" w:eastAsia="宋体" w:cs="Times New Roman"/>
                      <w:b w:val="0"/>
                      <w:color w:val="auto"/>
                      <w:kern w:val="2"/>
                      <w:sz w:val="21"/>
                      <w:szCs w:val="21"/>
                      <w:highlight w:val="none"/>
                      <w:lang w:val="en-US" w:eastAsia="zh-CN" w:bidi="ar-SA"/>
                    </w:rPr>
                    <w:t>经</w:t>
                  </w:r>
                  <w:r>
                    <w:rPr>
                      <w:rFonts w:hint="default" w:ascii="Times New Roman" w:hAnsi="Times New Roman" w:eastAsia="宋体" w:cs="Times New Roman"/>
                      <w:b w:val="0"/>
                      <w:color w:val="auto"/>
                      <w:kern w:val="2"/>
                      <w:sz w:val="21"/>
                      <w:szCs w:val="21"/>
                      <w:highlight w:val="none"/>
                      <w:lang w:val="en-US" w:eastAsia="zh-CN" w:bidi="ar-SA"/>
                    </w:rPr>
                    <w:t>化粪池处理后</w:t>
                  </w:r>
                  <w:r>
                    <w:rPr>
                      <w:rFonts w:hint="eastAsia" w:ascii="Times New Roman" w:hAnsi="Times New Roman" w:eastAsia="宋体" w:cs="Times New Roman"/>
                      <w:b w:val="0"/>
                      <w:color w:val="auto"/>
                      <w:kern w:val="2"/>
                      <w:sz w:val="21"/>
                      <w:szCs w:val="21"/>
                      <w:highlight w:val="none"/>
                      <w:lang w:val="en-US" w:eastAsia="zh-CN" w:bidi="ar-SA"/>
                    </w:rPr>
                    <w:t>通过</w:t>
                  </w:r>
                  <w:r>
                    <w:rPr>
                      <w:rFonts w:hint="default" w:ascii="Times New Roman" w:hAnsi="Times New Roman" w:eastAsia="宋体" w:cs="Times New Roman"/>
                      <w:b w:val="0"/>
                      <w:color w:val="auto"/>
                      <w:kern w:val="2"/>
                      <w:sz w:val="21"/>
                      <w:szCs w:val="21"/>
                      <w:highlight w:val="none"/>
                      <w:lang w:val="en-US" w:eastAsia="zh-CN" w:bidi="ar-SA"/>
                    </w:rPr>
                    <w:t>园区污水管网进入张掖经济技术开发区循环经济示范园污水处理厂处理。施工期机械与车辆冲洗水经沉淀池沉淀后循环使用不外排。</w:t>
                  </w:r>
                </w:p>
              </w:tc>
              <w:tc>
                <w:tcPr>
                  <w:tcW w:w="406" w:type="pct"/>
                  <w:shd w:val="clear" w:color="auto" w:fill="auto"/>
                  <w:vAlign w:val="center"/>
                </w:tcPr>
                <w:p w14:paraId="6489D5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139E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405" w:type="pct"/>
                  <w:vMerge w:val="continue"/>
                  <w:shd w:val="clear" w:color="auto" w:fill="auto"/>
                  <w:vAlign w:val="center"/>
                </w:tcPr>
                <w:p w14:paraId="2030275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continue"/>
                  <w:shd w:val="clear" w:color="auto" w:fill="auto"/>
                  <w:vAlign w:val="center"/>
                </w:tcPr>
                <w:p w14:paraId="7663F35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578" w:type="pct"/>
                  <w:shd w:val="clear" w:color="auto" w:fill="auto"/>
                  <w:vAlign w:val="center"/>
                </w:tcPr>
                <w:p w14:paraId="1996EF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w:t>
                  </w:r>
                  <w:r>
                    <w:rPr>
                      <w:rFonts w:hint="eastAsia" w:cs="Times New Roman"/>
                      <w:color w:val="auto"/>
                      <w:sz w:val="21"/>
                      <w:szCs w:val="21"/>
                      <w:lang w:eastAsia="zh-CN"/>
                    </w:rPr>
                    <w:t>水库工程仅开展定期巡检工作，人员隶属于西侧自来水厂，不单独设置常驻运维人员，无废水产生。</w:t>
                  </w:r>
                </w:p>
              </w:tc>
              <w:tc>
                <w:tcPr>
                  <w:tcW w:w="406" w:type="pct"/>
                  <w:shd w:val="clear" w:color="auto" w:fill="auto"/>
                  <w:vAlign w:val="center"/>
                </w:tcPr>
                <w:p w14:paraId="194EC73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5E3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blHeader/>
                <w:jc w:val="center"/>
              </w:trPr>
              <w:tc>
                <w:tcPr>
                  <w:tcW w:w="405" w:type="pct"/>
                  <w:vMerge w:val="continue"/>
                  <w:shd w:val="clear" w:color="auto" w:fill="auto"/>
                  <w:vAlign w:val="center"/>
                </w:tcPr>
                <w:p w14:paraId="6E69A3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restart"/>
                  <w:shd w:val="clear" w:color="auto" w:fill="auto"/>
                  <w:vAlign w:val="center"/>
                </w:tcPr>
                <w:p w14:paraId="2B962D9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3578" w:type="pct"/>
                  <w:shd w:val="clear" w:color="auto" w:fill="auto"/>
                  <w:vAlign w:val="center"/>
                </w:tcPr>
                <w:p w14:paraId="34A16A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t>施工</w:t>
                  </w:r>
                  <w:r>
                    <w:rPr>
                      <w:rFonts w:hint="eastAsia" w:cs="Times New Roman"/>
                      <w:color w:val="auto"/>
                      <w:sz w:val="21"/>
                      <w:szCs w:val="21"/>
                      <w:highlight w:val="none"/>
                      <w:lang w:val="en-US" w:eastAsia="zh-CN"/>
                    </w:rPr>
                    <w:t>扬尘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扬尘采用洒水降尘、对运输车辆进行遮盖，施工区设置围挡，临时土方、物料防尘网遮盖，及时洒水、清运土方等措施。</w:t>
                  </w:r>
                </w:p>
                <w:p w14:paraId="73A32E8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lang w:val="en-US" w:eastAsia="zh-CN"/>
                    </w:rPr>
                  </w:pPr>
                  <w:r>
                    <w:rPr>
                      <w:rFonts w:hint="eastAsia"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t>混凝土临时拌合站废气</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设置集气罩+布袋除尘器+15m高的排气筒排放</w:t>
                  </w:r>
                  <w:r>
                    <w:rPr>
                      <w:rFonts w:hint="default" w:ascii="Times New Roman" w:hAnsi="Times New Roman" w:eastAsia="宋体" w:cs="Times New Roman"/>
                      <w:color w:val="auto"/>
                      <w:sz w:val="21"/>
                      <w:szCs w:val="21"/>
                      <w:highlight w:val="none"/>
                    </w:rPr>
                    <w:t>。</w:t>
                  </w:r>
                </w:p>
              </w:tc>
              <w:tc>
                <w:tcPr>
                  <w:tcW w:w="406" w:type="pct"/>
                  <w:shd w:val="clear" w:color="auto" w:fill="auto"/>
                  <w:vAlign w:val="center"/>
                </w:tcPr>
                <w:p w14:paraId="5A498A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4CC6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405" w:type="pct"/>
                  <w:vMerge w:val="continue"/>
                  <w:shd w:val="clear" w:color="auto" w:fill="auto"/>
                  <w:vAlign w:val="center"/>
                </w:tcPr>
                <w:p w14:paraId="0E22DE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continue"/>
                  <w:shd w:val="clear" w:color="auto" w:fill="auto"/>
                  <w:vAlign w:val="center"/>
                </w:tcPr>
                <w:p w14:paraId="6533756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578" w:type="pct"/>
                  <w:shd w:val="clear" w:color="auto" w:fill="auto"/>
                  <w:vAlign w:val="center"/>
                </w:tcPr>
                <w:p w14:paraId="6208C8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w:t>
                  </w:r>
                  <w:r>
                    <w:rPr>
                      <w:rFonts w:hint="eastAsia" w:cs="Times New Roman"/>
                      <w:color w:val="auto"/>
                      <w:sz w:val="21"/>
                      <w:szCs w:val="21"/>
                      <w:lang w:eastAsia="zh-CN"/>
                    </w:rPr>
                    <w:t>无废气污染物产生与排放。</w:t>
                  </w:r>
                </w:p>
              </w:tc>
              <w:tc>
                <w:tcPr>
                  <w:tcW w:w="406" w:type="pct"/>
                  <w:shd w:val="clear" w:color="auto" w:fill="auto"/>
                  <w:vAlign w:val="center"/>
                </w:tcPr>
                <w:p w14:paraId="7B92D98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67A2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405" w:type="pct"/>
                  <w:vMerge w:val="continue"/>
                  <w:shd w:val="clear" w:color="auto" w:fill="auto"/>
                  <w:vAlign w:val="center"/>
                </w:tcPr>
                <w:p w14:paraId="09573A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restart"/>
                  <w:shd w:val="clear" w:color="auto" w:fill="auto"/>
                  <w:vAlign w:val="center"/>
                </w:tcPr>
                <w:p w14:paraId="0C400E9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578" w:type="pct"/>
                  <w:shd w:val="clear" w:color="auto" w:fill="auto"/>
                  <w:vAlign w:val="center"/>
                </w:tcPr>
                <w:p w14:paraId="25EF217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w:t>
                  </w:r>
                  <w:r>
                    <w:rPr>
                      <w:rFonts w:hint="default" w:ascii="Times New Roman" w:hAnsi="Times New Roman" w:eastAsia="宋体" w:cs="Times New Roman"/>
                      <w:color w:val="auto"/>
                      <w:sz w:val="21"/>
                      <w:szCs w:val="21"/>
                      <w:highlight w:val="none"/>
                    </w:rPr>
                    <w:t>施工期合理进行场地布置，使</w:t>
                  </w:r>
                  <w:r>
                    <w:rPr>
                      <w:rFonts w:hint="default" w:ascii="Times New Roman" w:hAnsi="Times New Roman" w:eastAsia="宋体" w:cs="Times New Roman"/>
                      <w:color w:val="auto"/>
                      <w:sz w:val="21"/>
                      <w:szCs w:val="21"/>
                      <w:highlight w:val="none"/>
                      <w:lang w:val="en-US" w:eastAsia="zh-CN"/>
                    </w:rPr>
                    <w:t>施工</w:t>
                  </w:r>
                  <w:r>
                    <w:rPr>
                      <w:rFonts w:hint="default" w:ascii="Times New Roman" w:hAnsi="Times New Roman" w:eastAsia="宋体" w:cs="Times New Roman"/>
                      <w:color w:val="auto"/>
                      <w:sz w:val="21"/>
                      <w:szCs w:val="21"/>
                      <w:highlight w:val="none"/>
                    </w:rPr>
                    <w:t>生活区尽量远离高噪声场区；进场设备噪声必须符合环保标准，并加强施工期间的维修与保养，合理安排工作时间，尽量减少夜间作业。</w:t>
                  </w:r>
                </w:p>
              </w:tc>
              <w:tc>
                <w:tcPr>
                  <w:tcW w:w="406" w:type="pct"/>
                  <w:shd w:val="clear" w:color="auto" w:fill="auto"/>
                  <w:vAlign w:val="center"/>
                </w:tcPr>
                <w:p w14:paraId="7E8FE2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34AE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405" w:type="pct"/>
                  <w:vMerge w:val="continue"/>
                  <w:shd w:val="clear" w:color="auto" w:fill="auto"/>
                  <w:vAlign w:val="center"/>
                </w:tcPr>
                <w:p w14:paraId="794A584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continue"/>
                  <w:shd w:val="clear" w:color="auto" w:fill="auto"/>
                  <w:vAlign w:val="center"/>
                </w:tcPr>
                <w:p w14:paraId="56DFE1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578" w:type="pct"/>
                  <w:shd w:val="clear" w:color="auto" w:fill="auto"/>
                  <w:vAlign w:val="center"/>
                </w:tcPr>
                <w:p w14:paraId="3B4341A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w:t>
                  </w:r>
                  <w:r>
                    <w:rPr>
                      <w:rFonts w:hint="eastAsia" w:ascii="Times New Roman" w:hAnsi="Times New Roman" w:eastAsia="宋体" w:cs="Times New Roman"/>
                      <w:color w:val="auto"/>
                      <w:sz w:val="21"/>
                      <w:szCs w:val="21"/>
                      <w:highlight w:val="none"/>
                      <w:lang w:val="en-US" w:eastAsia="zh-CN"/>
                    </w:rPr>
                    <w:t>水厂水泵</w:t>
                  </w:r>
                  <w:r>
                    <w:rPr>
                      <w:rFonts w:hint="eastAsia" w:ascii="Times New Roman" w:hAnsi="Times New Roman" w:eastAsia="宋体" w:cs="Times New Roman"/>
                      <w:color w:val="auto"/>
                      <w:sz w:val="21"/>
                      <w:szCs w:val="21"/>
                      <w:highlight w:val="none"/>
                    </w:rPr>
                    <w:t>选用低噪声设备、基础减振，隔声、距离衰减等。</w:t>
                  </w:r>
                </w:p>
              </w:tc>
              <w:tc>
                <w:tcPr>
                  <w:tcW w:w="406" w:type="pct"/>
                  <w:shd w:val="clear" w:color="auto" w:fill="auto"/>
                  <w:vAlign w:val="center"/>
                </w:tcPr>
                <w:p w14:paraId="2DD0D9A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E23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5" w:type="pct"/>
                  <w:vMerge w:val="continue"/>
                  <w:shd w:val="clear" w:color="auto" w:fill="auto"/>
                  <w:vAlign w:val="center"/>
                </w:tcPr>
                <w:p w14:paraId="15C0B7B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restart"/>
                  <w:shd w:val="clear" w:color="auto" w:fill="auto"/>
                  <w:vAlign w:val="center"/>
                </w:tcPr>
                <w:p w14:paraId="2BC108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3578" w:type="pct"/>
                  <w:shd w:val="clear" w:color="auto" w:fill="auto"/>
                  <w:vAlign w:val="center"/>
                </w:tcPr>
                <w:p w14:paraId="2543ED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施工期：施工营地设置垃圾收集箱收集，定期交由当地环卫部门处置。库区开挖的土石方填筑到坝体，无弃方产生。混凝土临时拌合站产生的固废均回用作生产。</w:t>
                  </w:r>
                </w:p>
              </w:tc>
              <w:tc>
                <w:tcPr>
                  <w:tcW w:w="406" w:type="pct"/>
                  <w:shd w:val="clear" w:color="auto" w:fill="auto"/>
                  <w:vAlign w:val="center"/>
                </w:tcPr>
                <w:p w14:paraId="52C437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3685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5" w:type="pct"/>
                  <w:vMerge w:val="continue"/>
                  <w:shd w:val="clear" w:color="auto" w:fill="auto"/>
                  <w:vAlign w:val="center"/>
                </w:tcPr>
                <w:p w14:paraId="4E1ACBA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vMerge w:val="continue"/>
                  <w:shd w:val="clear" w:color="auto" w:fill="auto"/>
                  <w:vAlign w:val="center"/>
                </w:tcPr>
                <w:p w14:paraId="1AF16C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578" w:type="pct"/>
                  <w:shd w:val="clear" w:color="auto" w:fill="auto"/>
                  <w:vAlign w:val="center"/>
                </w:tcPr>
                <w:p w14:paraId="4874C3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w:t>
                  </w:r>
                  <w:r>
                    <w:rPr>
                      <w:rFonts w:hint="eastAsia" w:ascii="Times New Roman" w:hAnsi="Times New Roman" w:eastAsia="宋体" w:cs="Times New Roman"/>
                      <w:color w:val="auto"/>
                      <w:sz w:val="21"/>
                      <w:szCs w:val="21"/>
                      <w:highlight w:val="none"/>
                      <w:lang w:val="en-US" w:eastAsia="zh-CN"/>
                    </w:rPr>
                    <w:t>项目运营期仅开展定期巡检工作，不单独设置常驻运维人员，无生活垃圾产生。泵站运营期仅进行日常巡检及简单维护，不产生危险废物。</w:t>
                  </w:r>
                </w:p>
              </w:tc>
              <w:tc>
                <w:tcPr>
                  <w:tcW w:w="406" w:type="pct"/>
                  <w:shd w:val="clear" w:color="auto" w:fill="auto"/>
                  <w:vAlign w:val="center"/>
                </w:tcPr>
                <w:p w14:paraId="7C36EF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6706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05" w:type="pct"/>
                  <w:vMerge w:val="continue"/>
                  <w:shd w:val="clear" w:color="auto" w:fill="auto"/>
                  <w:vAlign w:val="center"/>
                </w:tcPr>
                <w:p w14:paraId="33761BD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08" w:type="pct"/>
                  <w:shd w:val="clear" w:color="auto" w:fill="auto"/>
                  <w:vAlign w:val="center"/>
                </w:tcPr>
                <w:p w14:paraId="6A9C8A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w:t>
                  </w:r>
                </w:p>
              </w:tc>
              <w:tc>
                <w:tcPr>
                  <w:tcW w:w="3578" w:type="pct"/>
                  <w:shd w:val="clear" w:color="auto" w:fill="auto"/>
                  <w:vAlign w:val="center"/>
                </w:tcPr>
                <w:p w14:paraId="6FA000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各种施工机械和运输车辆固定行车路线，不能随意下道行驶或另行开辟便道，碾压草皮，避免造成生态破坏范围的扩大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项目施工结束后，临时工程拆除后</w:t>
                  </w:r>
                  <w:r>
                    <w:rPr>
                      <w:rFonts w:hint="default" w:ascii="Times New Roman" w:hAnsi="Times New Roman" w:eastAsia="宋体" w:cs="Times New Roman"/>
                      <w:color w:val="auto"/>
                      <w:sz w:val="21"/>
                      <w:szCs w:val="21"/>
                      <w:highlight w:val="none"/>
                      <w:lang w:val="en-US" w:eastAsia="zh-CN"/>
                    </w:rPr>
                    <w:t>场地</w:t>
                  </w:r>
                  <w:r>
                    <w:rPr>
                      <w:rFonts w:hint="default" w:ascii="Times New Roman" w:hAnsi="Times New Roman" w:eastAsia="宋体" w:cs="Times New Roman"/>
                      <w:color w:val="auto"/>
                      <w:sz w:val="21"/>
                      <w:szCs w:val="21"/>
                      <w:highlight w:val="none"/>
                    </w:rPr>
                    <w:t>及时进行</w:t>
                  </w:r>
                  <w:r>
                    <w:rPr>
                      <w:rFonts w:hint="default" w:ascii="Times New Roman" w:hAnsi="Times New Roman" w:eastAsia="宋体" w:cs="Times New Roman"/>
                      <w:color w:val="auto"/>
                      <w:sz w:val="21"/>
                      <w:szCs w:val="21"/>
                      <w:highlight w:val="none"/>
                      <w:lang w:val="en-US" w:eastAsia="zh-CN"/>
                    </w:rPr>
                    <w:t>原状</w:t>
                  </w:r>
                  <w:r>
                    <w:rPr>
                      <w:rFonts w:hint="default" w:ascii="Times New Roman" w:hAnsi="Times New Roman" w:eastAsia="宋体" w:cs="Times New Roman"/>
                      <w:color w:val="auto"/>
                      <w:sz w:val="21"/>
                      <w:szCs w:val="21"/>
                      <w:highlight w:val="none"/>
                    </w:rPr>
                    <w:t>恢复</w:t>
                  </w:r>
                  <w:r>
                    <w:rPr>
                      <w:rFonts w:hint="default" w:ascii="Times New Roman" w:hAnsi="Times New Roman" w:eastAsia="宋体" w:cs="Times New Roman"/>
                      <w:color w:val="auto"/>
                      <w:sz w:val="21"/>
                      <w:szCs w:val="21"/>
                      <w:highlight w:val="none"/>
                      <w:lang w:val="en-US" w:eastAsia="zh-CN"/>
                    </w:rPr>
                    <w:t>等。</w:t>
                  </w:r>
                </w:p>
              </w:tc>
              <w:tc>
                <w:tcPr>
                  <w:tcW w:w="406" w:type="pct"/>
                  <w:shd w:val="clear" w:color="auto" w:fill="auto"/>
                  <w:vAlign w:val="center"/>
                </w:tcPr>
                <w:p w14:paraId="2B72DFD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新建</w:t>
                  </w:r>
                </w:p>
              </w:tc>
            </w:tr>
          </w:tbl>
          <w:p w14:paraId="226EF676">
            <w:pPr>
              <w:pStyle w:val="3"/>
              <w:keepNext w:val="0"/>
              <w:keepLines w:val="0"/>
              <w:pageBreakBefore w:val="0"/>
              <w:suppressLineNumbers w:val="0"/>
              <w:wordWrap/>
              <w:topLinePunct w:val="0"/>
              <w:bidi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工程建设内容和等级</w:t>
            </w:r>
          </w:p>
          <w:p w14:paraId="5E6CBCE1">
            <w:pPr>
              <w:keepNext w:val="0"/>
              <w:keepLines w:val="0"/>
              <w:pageBreakBefore w:val="0"/>
              <w:suppressLineNumbers w:val="0"/>
              <w:kinsoku w:val="0"/>
              <w:wordWrap/>
              <w:overflowPunct w:val="0"/>
              <w:topLinePunct w:val="0"/>
              <w:bidi w:val="0"/>
              <w:spacing w:before="0" w:beforeAutospacing="0" w:after="0" w:afterAutospacing="0" w:line="360" w:lineRule="auto"/>
              <w:ind w:left="0" w:leftChars="0" w:right="0" w:firstLine="486" w:firstLineChars="200"/>
              <w:jc w:val="both"/>
              <w:textAlignment w:val="auto"/>
              <w:rPr>
                <w:rFonts w:hint="eastAsia" w:ascii="Times New Roman" w:hAnsi="Times New Roman" w:eastAsia="宋体" w:cs="Times New Roman"/>
                <w:b/>
                <w:bCs/>
                <w:color w:val="auto"/>
                <w:spacing w:val="1"/>
                <w:sz w:val="24"/>
                <w:szCs w:val="24"/>
                <w:lang w:val="en-US" w:eastAsia="zh-CN"/>
              </w:rPr>
            </w:pPr>
            <w:r>
              <w:rPr>
                <w:rFonts w:hint="eastAsia" w:ascii="Times New Roman" w:hAnsi="Times New Roman" w:eastAsia="宋体" w:cs="Times New Roman"/>
                <w:b/>
                <w:bCs/>
                <w:color w:val="auto"/>
                <w:spacing w:val="1"/>
                <w:sz w:val="24"/>
                <w:szCs w:val="24"/>
                <w:lang w:val="en-US" w:eastAsia="zh-CN"/>
              </w:rPr>
              <w:t>3.1水库工程</w:t>
            </w:r>
          </w:p>
          <w:p w14:paraId="35456612">
            <w:pPr>
              <w:keepNext w:val="0"/>
              <w:keepLines w:val="0"/>
              <w:pageBreakBefore w:val="0"/>
              <w:suppressLineNumbers w:val="0"/>
              <w:kinsoku w:val="0"/>
              <w:wordWrap/>
              <w:overflowPunct w:val="0"/>
              <w:topLinePunct w:val="0"/>
              <w:bidi w:val="0"/>
              <w:spacing w:before="0" w:beforeAutospacing="0" w:after="0" w:afterAutospacing="0" w:line="360" w:lineRule="auto"/>
              <w:ind w:left="0" w:leftChars="0" w:right="0" w:firstLine="486" w:firstLineChars="200"/>
              <w:jc w:val="both"/>
              <w:textAlignment w:val="auto"/>
              <w:rPr>
                <w:rFonts w:hint="eastAsia" w:ascii="Times New Roman" w:hAnsi="Times New Roman" w:eastAsia="宋体" w:cs="Times New Roman"/>
                <w:b/>
                <w:bCs/>
                <w:color w:val="auto"/>
                <w:spacing w:val="1"/>
                <w:sz w:val="24"/>
                <w:szCs w:val="24"/>
                <w:lang w:val="en-US" w:eastAsia="zh-CN"/>
              </w:rPr>
            </w:pPr>
            <w:r>
              <w:rPr>
                <w:rFonts w:hint="eastAsia" w:ascii="Times New Roman" w:hAnsi="Times New Roman" w:eastAsia="宋体" w:cs="Times New Roman"/>
                <w:b/>
                <w:bCs/>
                <w:color w:val="auto"/>
                <w:spacing w:val="1"/>
                <w:sz w:val="24"/>
                <w:szCs w:val="24"/>
                <w:lang w:val="en-US" w:eastAsia="zh-CN"/>
              </w:rPr>
              <w:t>（1）调蓄水池</w:t>
            </w:r>
          </w:p>
          <w:p w14:paraId="5D0316B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3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4"/>
                <w:sz w:val="24"/>
                <w:szCs w:val="24"/>
              </w:rPr>
              <w:t>调蓄水</w:t>
            </w:r>
            <w:r>
              <w:rPr>
                <w:rFonts w:hint="eastAsia" w:ascii="Times New Roman" w:hAnsi="Times New Roman" w:eastAsia="宋体" w:cs="Times New Roman"/>
                <w:spacing w:val="14"/>
                <w:sz w:val="24"/>
                <w:szCs w:val="24"/>
                <w:lang w:eastAsia="zh-CN"/>
              </w:rPr>
              <w:t>池</w:t>
            </w:r>
            <w:r>
              <w:rPr>
                <w:rFonts w:hint="default" w:ascii="Times New Roman" w:hAnsi="Times New Roman" w:eastAsia="宋体" w:cs="Times New Roman"/>
                <w:spacing w:val="14"/>
                <w:sz w:val="24"/>
                <w:szCs w:val="24"/>
              </w:rPr>
              <w:t>为</w:t>
            </w:r>
            <w:r>
              <w:rPr>
                <w:rFonts w:hint="default" w:ascii="Times New Roman" w:hAnsi="Times New Roman" w:eastAsia="宋体" w:cs="Times New Roman"/>
                <w:spacing w:val="14"/>
                <w:sz w:val="24"/>
                <w:szCs w:val="24"/>
                <w:lang w:eastAsia="zh-CN"/>
              </w:rPr>
              <w:t>长</w:t>
            </w:r>
            <w:r>
              <w:rPr>
                <w:rFonts w:hint="default" w:ascii="Times New Roman" w:hAnsi="Times New Roman" w:eastAsia="宋体" w:cs="Times New Roman"/>
                <w:spacing w:val="14"/>
                <w:sz w:val="24"/>
                <w:szCs w:val="24"/>
              </w:rPr>
              <w:t>方形，长度方向占地与规划用地地块短边方向一致，宽度方向与地块长边方向平行，采用露天布置型式，结合选定的库址地形条件、</w:t>
            </w:r>
            <w:r>
              <w:rPr>
                <w:rFonts w:hint="default" w:ascii="Times New Roman" w:hAnsi="Times New Roman" w:eastAsia="宋体" w:cs="Times New Roman"/>
                <w:spacing w:val="13"/>
                <w:sz w:val="24"/>
                <w:szCs w:val="24"/>
              </w:rPr>
              <w:t>自然</w:t>
            </w:r>
            <w:r>
              <w:rPr>
                <w:rFonts w:hint="default" w:ascii="Times New Roman" w:hAnsi="Times New Roman" w:eastAsia="宋体" w:cs="Times New Roman"/>
                <w:spacing w:val="3"/>
                <w:sz w:val="24"/>
                <w:szCs w:val="24"/>
              </w:rPr>
              <w:t>坡降，外侧填筑围坝。</w:t>
            </w:r>
          </w:p>
          <w:p w14:paraId="46FFA672">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本项目设计水库1座，水库长449.60m，宽420.8</w:t>
            </w:r>
            <w:r>
              <w:rPr>
                <w:rFonts w:hint="default" w:ascii="Times New Roman" w:hAnsi="Times New Roman" w:eastAsia="宋体" w:cs="Times New Roman"/>
                <w:spacing w:val="11"/>
                <w:sz w:val="24"/>
                <w:szCs w:val="24"/>
              </w:rPr>
              <w:t>0m，确定水库面积为</w:t>
            </w:r>
            <w:r>
              <w:rPr>
                <w:rFonts w:hint="default" w:ascii="Times New Roman" w:hAnsi="Times New Roman" w:eastAsia="宋体" w:cs="Times New Roman"/>
                <w:spacing w:val="12"/>
                <w:sz w:val="24"/>
                <w:szCs w:val="24"/>
              </w:rPr>
              <w:t>18.</w:t>
            </w:r>
            <w:r>
              <w:rPr>
                <w:rFonts w:hint="eastAsia" w:ascii="Times New Roman" w:hAnsi="Times New Roman" w:eastAsia="宋体" w:cs="Times New Roman"/>
                <w:spacing w:val="12"/>
                <w:sz w:val="24"/>
                <w:szCs w:val="24"/>
                <w:lang w:val="en-US" w:eastAsia="zh-CN"/>
              </w:rPr>
              <w:t>79</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2"/>
                <w:sz w:val="24"/>
                <w:szCs w:val="24"/>
              </w:rPr>
              <w:t>，经考虑到水库土石方平衡，开挖水库高程为1450.483m，库底高程</w:t>
            </w:r>
            <w:r>
              <w:rPr>
                <w:rFonts w:hint="default" w:ascii="Times New Roman" w:hAnsi="Times New Roman" w:eastAsia="宋体" w:cs="Times New Roman"/>
                <w:spacing w:val="7"/>
                <w:sz w:val="24"/>
                <w:szCs w:val="24"/>
              </w:rPr>
              <w:t>为1446.70m，挖深3.783m，</w:t>
            </w:r>
            <w:r>
              <w:rPr>
                <w:rFonts w:hint="default" w:ascii="Times New Roman" w:hAnsi="Times New Roman" w:eastAsia="宋体" w:cs="Times New Roman"/>
                <w:spacing w:val="6"/>
                <w:sz w:val="24"/>
                <w:szCs w:val="24"/>
              </w:rPr>
              <w:t>开挖上宽口311.048m，下宽口274m，开挖土石方</w:t>
            </w:r>
            <w:r>
              <w:rPr>
                <w:rFonts w:hint="default" w:ascii="Times New Roman" w:hAnsi="Times New Roman" w:eastAsia="宋体" w:cs="Times New Roman"/>
                <w:sz w:val="24"/>
                <w:szCs w:val="24"/>
              </w:rPr>
              <w:t>33.53万m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w:t>
            </w:r>
          </w:p>
          <w:p w14:paraId="49243A97">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8"/>
                <w:sz w:val="24"/>
                <w:szCs w:val="24"/>
              </w:rPr>
            </w:pPr>
            <w:r>
              <w:rPr>
                <w:rFonts w:hint="default" w:ascii="Times New Roman" w:hAnsi="Times New Roman" w:eastAsia="宋体" w:cs="Times New Roman"/>
                <w:spacing w:val="6"/>
                <w:sz w:val="24"/>
                <w:szCs w:val="24"/>
              </w:rPr>
              <w:t>主体设计本项目土石方平衡，自地面高程1450.483m处向下挖深3.783m，</w:t>
            </w:r>
            <w:r>
              <w:rPr>
                <w:rFonts w:hint="default" w:ascii="Times New Roman" w:hAnsi="Times New Roman" w:eastAsia="宋体" w:cs="Times New Roman"/>
                <w:spacing w:val="5"/>
                <w:sz w:val="24"/>
                <w:szCs w:val="24"/>
              </w:rPr>
              <w:t>将开挖的土石方填至水库四周坝体，坝体填筑9.064m，坝体坝顶高程1461.</w:t>
            </w:r>
            <w:r>
              <w:rPr>
                <w:rFonts w:hint="default" w:ascii="Times New Roman" w:hAnsi="Times New Roman" w:eastAsia="宋体" w:cs="Times New Roman"/>
                <w:spacing w:val="4"/>
                <w:sz w:val="24"/>
                <w:szCs w:val="24"/>
              </w:rPr>
              <w:t>70m，</w:t>
            </w:r>
            <w:r>
              <w:rPr>
                <w:rFonts w:hint="default" w:ascii="Times New Roman" w:hAnsi="Times New Roman" w:eastAsia="宋体" w:cs="Times New Roman"/>
                <w:spacing w:val="11"/>
                <w:sz w:val="24"/>
                <w:szCs w:val="24"/>
              </w:rPr>
              <w:t>设计水位高程1461.20m，总库容156万m</w:t>
            </w:r>
            <w:r>
              <w:rPr>
                <w:rFonts w:hint="eastAsia" w:ascii="Times New Roman" w:hAnsi="Times New Roman" w:eastAsia="宋体" w:cs="Times New Roman"/>
                <w:spacing w:val="11"/>
                <w:sz w:val="24"/>
                <w:szCs w:val="24"/>
                <w:vertAlign w:val="superscript"/>
                <w:lang w:val="en-US" w:eastAsia="zh-CN"/>
              </w:rPr>
              <w:t>3</w:t>
            </w:r>
            <w:r>
              <w:rPr>
                <w:rFonts w:hint="default" w:ascii="Times New Roman" w:hAnsi="Times New Roman" w:eastAsia="宋体" w:cs="Times New Roman"/>
                <w:spacing w:val="11"/>
                <w:sz w:val="24"/>
                <w:szCs w:val="24"/>
              </w:rPr>
              <w:t>，坝顶宽度为5m，迎水面边坡</w:t>
            </w:r>
            <w:r>
              <w:rPr>
                <w:rFonts w:hint="default" w:ascii="Times New Roman" w:hAnsi="Times New Roman" w:eastAsia="宋体" w:cs="Times New Roman"/>
                <w:spacing w:val="8"/>
                <w:sz w:val="24"/>
                <w:szCs w:val="24"/>
              </w:rPr>
              <w:t>1:2.75，背水面边坡为1:2.0，围坝轴线长1394.55m，共计需填土石方33.53万m</w:t>
            </w:r>
            <w:r>
              <w:rPr>
                <w:rFonts w:hint="eastAsia" w:ascii="Times New Roman" w:hAnsi="Times New Roman" w:eastAsia="宋体" w:cs="Times New Roman"/>
                <w:spacing w:val="8"/>
                <w:sz w:val="24"/>
                <w:szCs w:val="24"/>
                <w:vertAlign w:val="superscript"/>
                <w:lang w:val="en-US" w:eastAsia="zh-CN"/>
              </w:rPr>
              <w:t>3</w:t>
            </w:r>
            <w:r>
              <w:rPr>
                <w:rFonts w:hint="default" w:ascii="Times New Roman" w:hAnsi="Times New Roman" w:eastAsia="宋体" w:cs="Times New Roman"/>
                <w:spacing w:val="8"/>
                <w:sz w:val="24"/>
                <w:szCs w:val="24"/>
              </w:rPr>
              <w:t>。调蓄水库库底及挡水坝体均采用两布一膜复合土工膜进行防渗。</w:t>
            </w:r>
          </w:p>
          <w:p w14:paraId="33D3E9F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4" w:firstLineChars="200"/>
              <w:textAlignment w:val="auto"/>
              <w:rPr>
                <w:rFonts w:hint="default" w:ascii="Times New Roman" w:hAnsi="Times New Roman" w:eastAsia="宋体" w:cs="Times New Roman"/>
                <w:b/>
                <w:bCs/>
                <w:spacing w:val="8"/>
                <w:sz w:val="24"/>
                <w:szCs w:val="24"/>
              </w:rPr>
            </w:pPr>
            <w:r>
              <w:rPr>
                <w:rFonts w:hint="eastAsia" w:ascii="Times New Roman" w:hAnsi="Times New Roman" w:eastAsia="宋体" w:cs="Times New Roman"/>
                <w:b/>
                <w:bCs/>
                <w:spacing w:val="8"/>
                <w:sz w:val="24"/>
                <w:szCs w:val="24"/>
                <w:lang w:eastAsia="zh-CN"/>
              </w:rPr>
              <w:t>（</w:t>
            </w:r>
            <w:r>
              <w:rPr>
                <w:rFonts w:hint="eastAsia" w:ascii="Times New Roman" w:hAnsi="Times New Roman" w:eastAsia="宋体" w:cs="Times New Roman"/>
                <w:b/>
                <w:bCs/>
                <w:spacing w:val="8"/>
                <w:sz w:val="24"/>
                <w:szCs w:val="24"/>
                <w:lang w:val="en-US" w:eastAsia="zh-CN"/>
              </w:rPr>
              <w:t>2</w:t>
            </w:r>
            <w:r>
              <w:rPr>
                <w:rFonts w:hint="eastAsia" w:ascii="Times New Roman" w:hAnsi="Times New Roman" w:eastAsia="宋体" w:cs="Times New Roman"/>
                <w:b/>
                <w:bCs/>
                <w:spacing w:val="8"/>
                <w:sz w:val="24"/>
                <w:szCs w:val="24"/>
                <w:lang w:eastAsia="zh-CN"/>
              </w:rPr>
              <w:t>）</w:t>
            </w:r>
            <w:r>
              <w:rPr>
                <w:rFonts w:hint="default" w:ascii="Times New Roman" w:hAnsi="Times New Roman" w:eastAsia="宋体" w:cs="Times New Roman"/>
                <w:b/>
                <w:bCs/>
                <w:spacing w:val="8"/>
                <w:sz w:val="24"/>
                <w:szCs w:val="24"/>
              </w:rPr>
              <w:t>调蓄水库围坝坝型</w:t>
            </w:r>
          </w:p>
          <w:p w14:paraId="2C73F449">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2" w:firstLineChars="200"/>
              <w:textAlignment w:val="auto"/>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拟建的调蓄水库容积较大，采用露天布置型式。结合选定的库址地形条件、自然坡降，采用可利用现有地形进行库盆开挖取料，外侧填筑围坝，充分利用开挖料，施工方便、弃料少的土石围坝结构型式。</w:t>
            </w:r>
          </w:p>
          <w:p w14:paraId="5D184AA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position w:val="-47"/>
              </w:rPr>
            </w:pPr>
            <w:r>
              <w:rPr>
                <w:rFonts w:hint="default"/>
                <w:position w:val="-47"/>
              </w:rPr>
              <w:drawing>
                <wp:inline distT="0" distB="0" distL="0" distR="0">
                  <wp:extent cx="5273040" cy="1513205"/>
                  <wp:effectExtent l="0" t="0" r="3810" b="10795"/>
                  <wp:docPr id="7" name="IM 30"/>
                  <wp:cNvGraphicFramePr/>
                  <a:graphic xmlns:a="http://schemas.openxmlformats.org/drawingml/2006/main">
                    <a:graphicData uri="http://schemas.openxmlformats.org/drawingml/2006/picture">
                      <pic:pic xmlns:pic="http://schemas.openxmlformats.org/drawingml/2006/picture">
                        <pic:nvPicPr>
                          <pic:cNvPr id="7" name="IM 30"/>
                          <pic:cNvPicPr/>
                        </pic:nvPicPr>
                        <pic:blipFill>
                          <a:blip r:embed="rId15"/>
                          <a:stretch>
                            <a:fillRect/>
                          </a:stretch>
                        </pic:blipFill>
                        <pic:spPr>
                          <a:xfrm>
                            <a:off x="0" y="0"/>
                            <a:ext cx="5273040" cy="1513331"/>
                          </a:xfrm>
                          <a:prstGeom prst="rect">
                            <a:avLst/>
                          </a:prstGeom>
                        </pic:spPr>
                      </pic:pic>
                    </a:graphicData>
                  </a:graphic>
                </wp:inline>
              </w:drawing>
            </w:r>
          </w:p>
          <w:p w14:paraId="5491F4EC">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4"/>
                <w:szCs w:val="24"/>
              </w:rPr>
            </w:pPr>
            <w:r>
              <w:rPr>
                <w:rFonts w:hint="default"/>
                <w:b/>
                <w:bCs/>
                <w:spacing w:val="3"/>
                <w:sz w:val="24"/>
                <w:szCs w:val="24"/>
              </w:rPr>
              <w:t>图</w:t>
            </w:r>
            <w:r>
              <w:rPr>
                <w:rFonts w:hint="eastAsia" w:ascii="Times New Roman" w:hAnsi="Times New Roman" w:eastAsia="宋体" w:cs="Times New Roman"/>
                <w:b/>
                <w:bCs/>
                <w:spacing w:val="3"/>
                <w:sz w:val="24"/>
                <w:szCs w:val="24"/>
                <w:lang w:val="en-US" w:eastAsia="zh-CN"/>
              </w:rPr>
              <w:t>2-1</w:t>
            </w:r>
            <w:r>
              <w:rPr>
                <w:rFonts w:hint="default"/>
                <w:b/>
                <w:bCs/>
                <w:spacing w:val="3"/>
                <w:sz w:val="24"/>
                <w:szCs w:val="24"/>
              </w:rPr>
              <w:t>坝顶构造设计图</w:t>
            </w:r>
          </w:p>
          <w:p w14:paraId="4EB8581C">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2" w:firstLineChars="200"/>
              <w:textAlignment w:val="auto"/>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库趾周边设置矩形排水沟，排水沟长1741m，宽0.5m，高0.5m，衬砌厚度0.3m，共计开挖土石方0.18万m</w:t>
            </w:r>
            <w:r>
              <w:rPr>
                <w:rFonts w:hint="default" w:ascii="Times New Roman" w:hAnsi="Times New Roman" w:eastAsia="宋体" w:cs="Times New Roman"/>
                <w:spacing w:val="8"/>
                <w:sz w:val="24"/>
                <w:szCs w:val="24"/>
                <w:vertAlign w:val="superscript"/>
              </w:rPr>
              <w:t>3</w:t>
            </w:r>
            <w:r>
              <w:rPr>
                <w:rFonts w:hint="default" w:ascii="Times New Roman" w:hAnsi="Times New Roman" w:eastAsia="宋体" w:cs="Times New Roman"/>
                <w:spacing w:val="8"/>
                <w:sz w:val="24"/>
                <w:szCs w:val="24"/>
              </w:rPr>
              <w:t>。</w:t>
            </w:r>
          </w:p>
          <w:p w14:paraId="5B36B8A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jc w:val="center"/>
              <w:textAlignment w:val="auto"/>
              <w:rPr>
                <w:rFonts w:hint="default" w:ascii="Times New Roman" w:hAnsi="Times New Roman" w:eastAsia="宋体" w:cs="Times New Roman"/>
                <w:spacing w:val="8"/>
                <w:sz w:val="24"/>
                <w:szCs w:val="24"/>
              </w:rPr>
            </w:pPr>
            <w:r>
              <w:rPr>
                <w:rFonts w:hint="default"/>
                <w:position w:val="-105"/>
              </w:rPr>
              <w:drawing>
                <wp:inline distT="0" distB="0" distL="0" distR="0">
                  <wp:extent cx="4859655" cy="2489200"/>
                  <wp:effectExtent l="0" t="0" r="17145" b="6350"/>
                  <wp:docPr id="3" name="IM 32"/>
                  <wp:cNvGraphicFramePr/>
                  <a:graphic xmlns:a="http://schemas.openxmlformats.org/drawingml/2006/main">
                    <a:graphicData uri="http://schemas.openxmlformats.org/drawingml/2006/picture">
                      <pic:pic xmlns:pic="http://schemas.openxmlformats.org/drawingml/2006/picture">
                        <pic:nvPicPr>
                          <pic:cNvPr id="3" name="IM 32"/>
                          <pic:cNvPicPr/>
                        </pic:nvPicPr>
                        <pic:blipFill>
                          <a:blip r:embed="rId16"/>
                          <a:stretch>
                            <a:fillRect/>
                          </a:stretch>
                        </pic:blipFill>
                        <pic:spPr>
                          <a:xfrm>
                            <a:off x="0" y="0"/>
                            <a:ext cx="4859655" cy="2489200"/>
                          </a:xfrm>
                          <a:prstGeom prst="rect">
                            <a:avLst/>
                          </a:prstGeom>
                        </pic:spPr>
                      </pic:pic>
                    </a:graphicData>
                  </a:graphic>
                </wp:inline>
              </w:drawing>
            </w:r>
          </w:p>
          <w:p w14:paraId="73C55A4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4"/>
                <w:szCs w:val="24"/>
              </w:rPr>
            </w:pPr>
            <w:r>
              <w:rPr>
                <w:rFonts w:hint="default"/>
                <w:b/>
                <w:bCs/>
                <w:spacing w:val="3"/>
                <w:sz w:val="24"/>
                <w:szCs w:val="24"/>
              </w:rPr>
              <w:t>图</w:t>
            </w:r>
            <w:r>
              <w:rPr>
                <w:rFonts w:hint="eastAsia" w:ascii="Times New Roman" w:hAnsi="Times New Roman" w:eastAsia="宋体" w:cs="Times New Roman"/>
                <w:b/>
                <w:bCs/>
                <w:spacing w:val="3"/>
                <w:sz w:val="24"/>
                <w:szCs w:val="24"/>
                <w:lang w:val="en-US" w:eastAsia="zh-CN"/>
              </w:rPr>
              <w:t>2-2</w:t>
            </w:r>
            <w:r>
              <w:rPr>
                <w:rFonts w:hint="default"/>
                <w:b/>
                <w:bCs/>
                <w:spacing w:val="3"/>
                <w:sz w:val="24"/>
                <w:szCs w:val="24"/>
              </w:rPr>
              <w:t>排水沟设计图</w:t>
            </w:r>
          </w:p>
          <w:p w14:paraId="2389667A">
            <w:pPr>
              <w:keepNext w:val="0"/>
              <w:keepLines w:val="0"/>
              <w:pageBreakBefore w:val="0"/>
              <w:suppressLineNumbers w:val="0"/>
              <w:kinsoku w:val="0"/>
              <w:wordWrap/>
              <w:overflowPunct w:val="0"/>
              <w:topLinePunct w:val="0"/>
              <w:bidi w:val="0"/>
              <w:spacing w:before="0" w:beforeAutospacing="0" w:after="0" w:afterAutospacing="0" w:line="360" w:lineRule="auto"/>
              <w:ind w:left="0" w:leftChars="0" w:right="0" w:firstLine="486" w:firstLineChars="200"/>
              <w:jc w:val="both"/>
              <w:textAlignment w:val="auto"/>
              <w:rPr>
                <w:rFonts w:hint="eastAsia" w:ascii="Times New Roman" w:hAnsi="Times New Roman" w:eastAsia="宋体" w:cs="Times New Roman"/>
                <w:b/>
                <w:bCs/>
                <w:color w:val="auto"/>
                <w:spacing w:val="1"/>
                <w:sz w:val="24"/>
                <w:szCs w:val="24"/>
                <w:lang w:val="en-US" w:eastAsia="zh-CN"/>
              </w:rPr>
            </w:pPr>
            <w:r>
              <w:rPr>
                <w:rFonts w:hint="eastAsia" w:ascii="Times New Roman" w:hAnsi="Times New Roman" w:eastAsia="宋体" w:cs="Times New Roman"/>
                <w:b/>
                <w:bCs/>
                <w:color w:val="auto"/>
                <w:spacing w:val="1"/>
                <w:sz w:val="24"/>
                <w:szCs w:val="24"/>
                <w:lang w:val="en-US" w:eastAsia="zh-CN"/>
              </w:rPr>
              <w:t>（3）护坡设计</w:t>
            </w:r>
          </w:p>
          <w:p w14:paraId="4A1108E3">
            <w:pPr>
              <w:keepNext w:val="0"/>
              <w:keepLines w:val="0"/>
              <w:pageBreakBefore w:val="0"/>
              <w:suppressLineNumbers w:val="0"/>
              <w:kinsoku w:val="0"/>
              <w:wordWrap/>
              <w:overflowPunct w:val="0"/>
              <w:topLinePunct w:val="0"/>
              <w:bidi w:val="0"/>
              <w:spacing w:before="0" w:beforeAutospacing="0" w:after="0" w:afterAutospacing="0" w:line="360" w:lineRule="auto"/>
              <w:ind w:left="0" w:leftChars="0" w:right="0" w:firstLine="484" w:firstLineChars="200"/>
              <w:jc w:val="both"/>
              <w:textAlignment w:val="auto"/>
              <w:rPr>
                <w:rFonts w:hint="default" w:ascii="Times New Roman" w:hAnsi="Times New Roman" w:eastAsia="宋体" w:cs="Times New Roman"/>
                <w:b w:val="0"/>
                <w:bCs w:val="0"/>
                <w:color w:val="auto"/>
                <w:spacing w:val="1"/>
                <w:sz w:val="24"/>
                <w:szCs w:val="24"/>
                <w:lang w:val="en-US" w:eastAsia="zh-CN"/>
              </w:rPr>
            </w:pPr>
            <w:r>
              <w:rPr>
                <w:rFonts w:hint="default" w:ascii="Times New Roman" w:hAnsi="Times New Roman" w:eastAsia="宋体" w:cs="Times New Roman"/>
                <w:b w:val="0"/>
                <w:bCs w:val="0"/>
                <w:color w:val="auto"/>
                <w:spacing w:val="1"/>
                <w:sz w:val="24"/>
                <w:szCs w:val="24"/>
                <w:lang w:val="en-US" w:eastAsia="zh-CN"/>
              </w:rPr>
              <w:t>为提高水池整体外观效果及池后坡抗冲刷能力，本次选择网格梁护坡，调蓄水库格梁体型为四菱体结构，边长为2.27m，格梁垂直距离为2.0m，格梁尺寸为0.3m×0.15m（高×宽）。网格梁平面设计见下图。</w:t>
            </w:r>
          </w:p>
          <w:p w14:paraId="7D56F7C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3"/>
                <w:sz w:val="24"/>
                <w:szCs w:val="24"/>
              </w:rPr>
            </w:pPr>
            <w:r>
              <w:rPr>
                <w:rFonts w:hint="default" w:ascii="Times New Roman" w:hAnsi="Times New Roman" w:eastAsia="宋体" w:cs="Times New Roman"/>
                <w:b/>
                <w:bCs/>
                <w:spacing w:val="3"/>
                <w:sz w:val="24"/>
                <w:szCs w:val="24"/>
              </w:rPr>
              <w:drawing>
                <wp:inline distT="0" distB="0" distL="0" distR="0">
                  <wp:extent cx="3288665" cy="3114675"/>
                  <wp:effectExtent l="0" t="0" r="6985" b="9525"/>
                  <wp:docPr id="24" name="IM 36"/>
                  <wp:cNvGraphicFramePr/>
                  <a:graphic xmlns:a="http://schemas.openxmlformats.org/drawingml/2006/main">
                    <a:graphicData uri="http://schemas.openxmlformats.org/drawingml/2006/picture">
                      <pic:pic xmlns:pic="http://schemas.openxmlformats.org/drawingml/2006/picture">
                        <pic:nvPicPr>
                          <pic:cNvPr id="24" name="IM 36"/>
                          <pic:cNvPicPr/>
                        </pic:nvPicPr>
                        <pic:blipFill>
                          <a:blip r:embed="rId17"/>
                          <a:stretch>
                            <a:fillRect/>
                          </a:stretch>
                        </pic:blipFill>
                        <pic:spPr>
                          <a:xfrm>
                            <a:off x="0" y="0"/>
                            <a:ext cx="3288792" cy="3115056"/>
                          </a:xfrm>
                          <a:prstGeom prst="rect">
                            <a:avLst/>
                          </a:prstGeom>
                        </pic:spPr>
                      </pic:pic>
                    </a:graphicData>
                  </a:graphic>
                </wp:inline>
              </w:drawing>
            </w:r>
          </w:p>
          <w:p w14:paraId="5D040C5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3"/>
                <w:sz w:val="24"/>
                <w:szCs w:val="24"/>
              </w:rPr>
            </w:pPr>
            <w:r>
              <w:rPr>
                <w:rFonts w:hint="default" w:ascii="Times New Roman" w:hAnsi="Times New Roman" w:eastAsia="宋体" w:cs="Times New Roman"/>
                <w:b/>
                <w:bCs/>
                <w:spacing w:val="3"/>
                <w:sz w:val="24"/>
                <w:szCs w:val="24"/>
              </w:rPr>
              <w:t>图</w:t>
            </w:r>
            <w:r>
              <w:rPr>
                <w:rFonts w:hint="eastAsia" w:ascii="Times New Roman" w:hAnsi="Times New Roman" w:eastAsia="宋体" w:cs="Times New Roman"/>
                <w:b/>
                <w:bCs/>
                <w:spacing w:val="3"/>
                <w:sz w:val="24"/>
                <w:szCs w:val="24"/>
                <w:lang w:val="en-US" w:eastAsia="zh-CN"/>
              </w:rPr>
              <w:t>2-3</w:t>
            </w:r>
            <w:r>
              <w:rPr>
                <w:rFonts w:hint="default" w:ascii="Times New Roman" w:hAnsi="Times New Roman" w:eastAsia="宋体" w:cs="Times New Roman"/>
                <w:b/>
                <w:bCs/>
                <w:spacing w:val="3"/>
                <w:sz w:val="24"/>
                <w:szCs w:val="24"/>
              </w:rPr>
              <w:t>网格梁平面设计图</w:t>
            </w:r>
          </w:p>
          <w:p w14:paraId="5009943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8"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lang w:val="en-US" w:eastAsia="zh-CN"/>
              </w:rPr>
              <w:t>3.2</w:t>
            </w:r>
            <w:r>
              <w:rPr>
                <w:rFonts w:hint="default" w:ascii="Times New Roman" w:hAnsi="Times New Roman" w:eastAsia="宋体" w:cs="Times New Roman"/>
                <w:b/>
                <w:bCs/>
                <w:spacing w:val="4"/>
                <w:sz w:val="24"/>
                <w:szCs w:val="24"/>
              </w:rPr>
              <w:t>水厂泵站工程</w:t>
            </w:r>
          </w:p>
          <w:p w14:paraId="45D82DE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eastAsia" w:ascii="Times New Roman" w:hAnsi="Times New Roman" w:eastAsia="宋体" w:cs="Times New Roman"/>
                <w:spacing w:val="14"/>
                <w:sz w:val="24"/>
                <w:szCs w:val="24"/>
                <w:lang w:eastAsia="zh-CN"/>
              </w:rPr>
            </w:pPr>
            <w:r>
              <w:rPr>
                <w:rFonts w:hint="default" w:ascii="Times New Roman" w:hAnsi="Times New Roman" w:eastAsia="宋体" w:cs="Times New Roman"/>
                <w:spacing w:val="4"/>
                <w:sz w:val="24"/>
                <w:szCs w:val="24"/>
              </w:rPr>
              <w:t>工程需修建一座水厂泵站，</w:t>
            </w:r>
            <w:r>
              <w:rPr>
                <w:rFonts w:hint="eastAsia" w:ascii="Times New Roman" w:hAnsi="Times New Roman" w:eastAsia="宋体" w:cs="Times New Roman"/>
                <w:spacing w:val="4"/>
                <w:sz w:val="24"/>
                <w:szCs w:val="24"/>
                <w:lang w:eastAsia="zh-CN"/>
              </w:rPr>
              <w:t>占地</w:t>
            </w:r>
            <w:r>
              <w:rPr>
                <w:rFonts w:hint="default" w:ascii="Times New Roman" w:hAnsi="Times New Roman" w:eastAsia="宋体" w:cs="Times New Roman"/>
                <w:spacing w:val="4"/>
                <w:sz w:val="24"/>
                <w:szCs w:val="24"/>
              </w:rPr>
              <w:t>长28.90m，</w:t>
            </w:r>
            <w:r>
              <w:rPr>
                <w:rFonts w:hint="eastAsia" w:ascii="Times New Roman" w:hAnsi="Times New Roman" w:eastAsia="宋体" w:cs="Times New Roman"/>
                <w:spacing w:val="4"/>
                <w:sz w:val="24"/>
                <w:szCs w:val="24"/>
                <w:lang w:eastAsia="zh-CN"/>
              </w:rPr>
              <w:t>宽</w:t>
            </w:r>
            <w:r>
              <w:rPr>
                <w:rFonts w:hint="default" w:ascii="Times New Roman" w:hAnsi="Times New Roman" w:eastAsia="宋体" w:cs="Times New Roman"/>
                <w:spacing w:val="4"/>
                <w:sz w:val="24"/>
                <w:szCs w:val="24"/>
              </w:rPr>
              <w:t>11.90m，</w:t>
            </w:r>
            <w:r>
              <w:rPr>
                <w:rFonts w:hint="default" w:ascii="Times New Roman" w:hAnsi="Times New Roman" w:eastAsia="宋体" w:cs="Times New Roman"/>
                <w:spacing w:val="1"/>
                <w:sz w:val="24"/>
                <w:szCs w:val="24"/>
              </w:rPr>
              <w:t>占地面积0.0</w:t>
            </w:r>
            <w:r>
              <w:rPr>
                <w:rFonts w:hint="eastAsia" w:ascii="Times New Roman" w:hAnsi="Times New Roman" w:eastAsia="宋体" w:cs="Times New Roman"/>
                <w:spacing w:val="1"/>
                <w:sz w:val="24"/>
                <w:szCs w:val="24"/>
                <w:lang w:val="en-US" w:eastAsia="zh-CN"/>
              </w:rPr>
              <w:t>3</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4"/>
                <w:sz w:val="24"/>
                <w:szCs w:val="24"/>
              </w:rPr>
              <w:t>用于水库低水位向净水厂供水</w:t>
            </w:r>
            <w:r>
              <w:rPr>
                <w:rFonts w:hint="eastAsia" w:ascii="Times New Roman" w:hAnsi="Times New Roman" w:eastAsia="宋体" w:cs="Times New Roman"/>
                <w:spacing w:val="14"/>
                <w:sz w:val="24"/>
                <w:szCs w:val="24"/>
                <w:lang w:eastAsia="zh-CN"/>
              </w:rPr>
              <w:t>，</w:t>
            </w:r>
            <w:r>
              <w:rPr>
                <w:rFonts w:hint="eastAsia" w:ascii="宋体" w:hAnsi="宋体" w:eastAsia="宋体" w:cs="宋体"/>
                <w:color w:val="000000"/>
                <w:kern w:val="0"/>
                <w:sz w:val="24"/>
                <w:szCs w:val="24"/>
                <w:lang w:val="en-US" w:eastAsia="zh-CN" w:bidi="ar"/>
              </w:rPr>
              <w:t>泵站设计流量</w:t>
            </w:r>
            <w:r>
              <w:rPr>
                <w:rFonts w:hint="default" w:ascii="Times New Roman" w:hAnsi="Times New Roman" w:eastAsia="宋体" w:cs="Times New Roman"/>
                <w:color w:val="000000"/>
                <w:kern w:val="0"/>
                <w:sz w:val="24"/>
                <w:szCs w:val="24"/>
                <w:lang w:val="en-US" w:eastAsia="zh-CN" w:bidi="ar"/>
              </w:rPr>
              <w:t>0.36m³/s</w:t>
            </w:r>
            <w:r>
              <w:rPr>
                <w:rFonts w:hint="eastAsia" w:ascii="宋体" w:hAnsi="宋体" w:eastAsia="宋体" w:cs="宋体"/>
                <w:color w:val="000000"/>
                <w:kern w:val="0"/>
                <w:sz w:val="24"/>
                <w:szCs w:val="24"/>
                <w:lang w:val="en-US" w:eastAsia="zh-CN" w:bidi="ar"/>
              </w:rPr>
              <w:t>，设计扬程</w:t>
            </w:r>
            <w:r>
              <w:rPr>
                <w:rFonts w:hint="default" w:ascii="Times New Roman" w:hAnsi="Times New Roman" w:eastAsia="宋体" w:cs="Times New Roman"/>
                <w:color w:val="000000"/>
                <w:kern w:val="0"/>
                <w:sz w:val="24"/>
                <w:szCs w:val="24"/>
                <w:lang w:val="en-US" w:eastAsia="zh-CN" w:bidi="ar"/>
              </w:rPr>
              <w:t>8.12m</w:t>
            </w:r>
            <w:r>
              <w:rPr>
                <w:rFonts w:hint="eastAsia" w:ascii="Times New Roman" w:hAnsi="Times New Roman" w:eastAsia="宋体" w:cs="Times New Roman"/>
                <w:color w:val="000000"/>
                <w:kern w:val="0"/>
                <w:sz w:val="24"/>
                <w:szCs w:val="24"/>
                <w:lang w:val="en-US" w:eastAsia="zh-CN" w:bidi="ar"/>
              </w:rPr>
              <w:t>。</w:t>
            </w:r>
          </w:p>
          <w:p w14:paraId="1286BE7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（1）厂房设计</w:t>
            </w:r>
          </w:p>
          <w:p w14:paraId="272C281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2"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3"/>
                <w:sz w:val="24"/>
                <w:szCs w:val="24"/>
              </w:rPr>
              <w:t>主厂房</w:t>
            </w:r>
            <w:r>
              <w:rPr>
                <w:rFonts w:hint="eastAsia" w:ascii="Times New Roman" w:hAnsi="Times New Roman" w:eastAsia="宋体" w:cs="Times New Roman"/>
                <w:spacing w:val="3"/>
                <w:sz w:val="24"/>
                <w:szCs w:val="24"/>
                <w:lang w:eastAsia="zh-CN"/>
              </w:rPr>
              <w:t>内</w:t>
            </w:r>
            <w:r>
              <w:rPr>
                <w:rFonts w:hint="default" w:ascii="Times New Roman" w:hAnsi="Times New Roman" w:eastAsia="宋体" w:cs="Times New Roman"/>
                <w:spacing w:val="3"/>
                <w:sz w:val="24"/>
                <w:szCs w:val="24"/>
              </w:rPr>
              <w:t>自左到右依次平行布置一台直供阀、两台水泵机组，间距为</w:t>
            </w:r>
            <w:r>
              <w:rPr>
                <w:rFonts w:hint="default" w:ascii="Times New Roman" w:hAnsi="Times New Roman" w:eastAsia="宋体" w:cs="Times New Roman"/>
                <w:spacing w:val="9"/>
                <w:sz w:val="24"/>
                <w:szCs w:val="24"/>
              </w:rPr>
              <w:t>3.4m/4m，</w:t>
            </w:r>
            <w:r>
              <w:rPr>
                <w:rFonts w:hint="default" w:ascii="Times New Roman" w:hAnsi="Times New Roman" w:eastAsia="宋体" w:cs="Times New Roman"/>
                <w:spacing w:val="8"/>
                <w:sz w:val="24"/>
                <w:szCs w:val="24"/>
              </w:rPr>
              <w:t>结合水厂厂区地坪高</w:t>
            </w:r>
            <w:r>
              <w:rPr>
                <w:rFonts w:hint="default" w:ascii="Times New Roman" w:hAnsi="Times New Roman" w:eastAsia="宋体" w:cs="Times New Roman"/>
                <w:spacing w:val="7"/>
                <w:sz w:val="24"/>
                <w:szCs w:val="24"/>
              </w:rPr>
              <w:t>程，主厂房顶高程为1449.66m，底板</w:t>
            </w:r>
            <w:r>
              <w:rPr>
                <w:rFonts w:hint="default" w:ascii="Times New Roman" w:hAnsi="Times New Roman" w:eastAsia="宋体" w:cs="Times New Roman"/>
                <w:spacing w:val="6"/>
                <w:sz w:val="24"/>
                <w:szCs w:val="24"/>
              </w:rPr>
              <w:t>高程为1445.56m，轨顶高程1455.16m，</w:t>
            </w:r>
            <w:r>
              <w:rPr>
                <w:rFonts w:hint="default" w:ascii="Times New Roman" w:hAnsi="Times New Roman" w:eastAsia="宋体" w:cs="Times New Roman"/>
                <w:spacing w:val="2"/>
                <w:sz w:val="24"/>
                <w:szCs w:val="24"/>
              </w:rPr>
              <w:t>厂房右侧布置集水井，集水井结构尺寸为4.0m×1m×1.5m（长×宽×</w:t>
            </w:r>
            <w:r>
              <w:rPr>
                <w:rFonts w:hint="default" w:ascii="Times New Roman" w:hAnsi="Times New Roman" w:eastAsia="宋体" w:cs="Times New Roman"/>
                <w:spacing w:val="1"/>
                <w:sz w:val="24"/>
                <w:szCs w:val="24"/>
              </w:rPr>
              <w:t>高</w:t>
            </w:r>
            <w:r>
              <w:rPr>
                <w:rFonts w:hint="default" w:ascii="Times New Roman" w:hAnsi="Times New Roman" w:eastAsia="宋体" w:cs="Times New Roman"/>
                <w:sz w:val="24"/>
                <w:szCs w:val="24"/>
              </w:rPr>
              <w:t>），</w:t>
            </w:r>
            <w:r>
              <w:rPr>
                <w:rFonts w:hint="default" w:ascii="Times New Roman" w:hAnsi="Times New Roman" w:eastAsia="宋体" w:cs="Times New Roman"/>
                <w:spacing w:val="1"/>
                <w:sz w:val="24"/>
                <w:szCs w:val="24"/>
              </w:rPr>
              <w:t>底</w:t>
            </w:r>
            <w:r>
              <w:rPr>
                <w:rFonts w:hint="default" w:ascii="Times New Roman" w:hAnsi="Times New Roman" w:eastAsia="宋体" w:cs="Times New Roman"/>
                <w:spacing w:val="6"/>
                <w:sz w:val="24"/>
                <w:szCs w:val="24"/>
              </w:rPr>
              <w:t>板及侧墙全部采用现浇C30砼结构，底板厚度0.7m，侧墙厚度0.6m。</w:t>
            </w:r>
          </w:p>
          <w:p w14:paraId="2FD2E60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jc w:val="both"/>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主、副厂房建筑层数均为一层，室内外高差为150mm。主厂房根据水机、水工专业要求，布置安装间和运行层。副厂房根据电气专业和工程管理要求，布置中控室、休息室。</w:t>
            </w:r>
          </w:p>
          <w:p w14:paraId="7700B817">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rPr>
              <w:t>泵站厂房平面设计和泵站厂房剖面设计图见下图。</w:t>
            </w:r>
          </w:p>
          <w:p w14:paraId="3863D2F7">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6"/>
                <w:sz w:val="24"/>
                <w:szCs w:val="24"/>
              </w:rPr>
            </w:pPr>
          </w:p>
          <w:p w14:paraId="29FF9DC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6"/>
                <w:sz w:val="24"/>
                <w:szCs w:val="24"/>
              </w:rPr>
            </w:pPr>
          </w:p>
          <w:p w14:paraId="6CE562C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6"/>
                <w:sz w:val="24"/>
                <w:szCs w:val="24"/>
              </w:rPr>
            </w:pPr>
          </w:p>
          <w:p w14:paraId="1F747C1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spacing w:val="6"/>
                <w:sz w:val="24"/>
                <w:szCs w:val="24"/>
              </w:rPr>
            </w:pPr>
          </w:p>
          <w:p w14:paraId="4D88A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rPr>
            </w:pPr>
            <w:r>
              <w:rPr>
                <w:rFonts w:hint="default"/>
                <w:sz w:val="21"/>
              </w:rPr>
              <mc:AlternateContent>
                <mc:Choice Requires="wpg">
                  <w:drawing>
                    <wp:anchor distT="0" distB="0" distL="114300" distR="114300" simplePos="0" relativeHeight="251677696" behindDoc="0" locked="0" layoutInCell="1" allowOverlap="1">
                      <wp:simplePos x="0" y="0"/>
                      <wp:positionH relativeFrom="column">
                        <wp:posOffset>309880</wp:posOffset>
                      </wp:positionH>
                      <wp:positionV relativeFrom="paragraph">
                        <wp:posOffset>-43815</wp:posOffset>
                      </wp:positionV>
                      <wp:extent cx="5466080" cy="2143125"/>
                      <wp:effectExtent l="0" t="0" r="0" b="0"/>
                      <wp:wrapNone/>
                      <wp:docPr id="65" name="组合 65"/>
                      <wp:cNvGraphicFramePr/>
                      <a:graphic xmlns:a="http://schemas.openxmlformats.org/drawingml/2006/main">
                        <a:graphicData uri="http://schemas.microsoft.com/office/word/2010/wordprocessingGroup">
                          <wpg:wgp>
                            <wpg:cNvGrpSpPr/>
                            <wpg:grpSpPr>
                              <a:xfrm>
                                <a:off x="0" y="0"/>
                                <a:ext cx="5466080" cy="2143125"/>
                                <a:chOff x="7667" y="287868"/>
                                <a:chExt cx="8608" cy="3375"/>
                              </a:xfrm>
                            </wpg:grpSpPr>
                            <wps:wsp>
                              <wps:cNvPr id="63" name="矩形 63"/>
                              <wps:cNvSpPr/>
                              <wps:spPr>
                                <a:xfrm>
                                  <a:off x="14315" y="290467"/>
                                  <a:ext cx="1562"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2262757">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中控室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13886" y="288767"/>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D00FF40">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休息室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11937" y="290214"/>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482DAF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安装间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67"/>
                              <wps:cNvSpPr/>
                              <wps:spPr>
                                <a:xfrm>
                                  <a:off x="8010" y="290329"/>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DF9D5F">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水泵机组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68"/>
                              <wps:cNvSpPr/>
                              <wps:spPr>
                                <a:xfrm>
                                  <a:off x="9752" y="290316"/>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2616798">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水泵机组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7667" y="289618"/>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BE99B1">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直供阀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13529" y="287868"/>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E5988F">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副厂房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8239" y="288027"/>
                                  <a:ext cx="2389" cy="776"/>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8AC6DF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主厂房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4pt;margin-top:-3.45pt;height:168.75pt;width:430.4pt;z-index:251677696;mso-width-relative:page;mso-height-relative:page;" coordorigin="7667,287868" coordsize="8608,3375" o:gfxdata="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BS4BP02gAAAAkBAAAPAAAAAAAAAAEAIAAAACIAAABkcnMvZG93bnJl&#10;di54bWxQSwECFAAUAAAACACHTuJA2guEEsMDAACvGQAADgAAAAAAAAABACAAAAApAQAAZHJzL2Uy&#10;b0RvYy54bWxQSwUGAAAAAAYABgBZAQAAXgcAAAAA&#10;">
                      <o:lock v:ext="edit" aspectratio="f"/>
                      <v:rect id="_x0000_s1026" o:spid="_x0000_s1026" o:spt="1" style="position:absolute;left:14315;top:290467;height:776;width:1562;v-text-anchor:middle;" filled="f" stroked="f" coordsize="21600,21600" o:gfxdata="UEsDBAoAAAAAAIdO4kAAAAAAAAAAAAAAAAAEAAAAZHJzL1BLAwQUAAAACACHTuJAqzOqbb0AAADb&#10;AAAADwAAAGRycy9kb3ducmV2LnhtbEWPwWrDMBBE74X8g9hAb42cFkx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6pt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2262757">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中控室</w:t>
                              </w:r>
                            </w:p>
                          </w:txbxContent>
                        </v:textbox>
                      </v:rect>
                      <v:rect id="_x0000_s1026" o:spid="_x0000_s1026" o:spt="1" style="position:absolute;left:13886;top:288767;height:776;width:2389;v-text-anchor:middle;" filled="f" stroked="f" coordsize="21600,21600" o:gfxdata="UEsDBAoAAAAAAIdO4kAAAAAAAAAAAAAAAAAEAAAAZHJzL1BLAwQUAAAACACHTuJAJNoyGb0AAADb&#10;AAAADwAAAGRycy9kb3ducmV2LnhtbEWPwWrDMBBE74X8g9hAb42cUkx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jIZ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D00FF40">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休息室</w:t>
                              </w:r>
                            </w:p>
                          </w:txbxContent>
                        </v:textbox>
                      </v:rect>
                      <v:rect id="_x0000_s1026" o:spid="_x0000_s1026" o:spt="1" style="position:absolute;left:11937;top:290214;height:776;width:2389;v-text-anchor:middle;" filled="f" stroked="f" coordsize="21600,21600" o:gfxdata="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QJ9b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3482DAF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安装间</w:t>
                              </w:r>
                            </w:p>
                          </w:txbxContent>
                        </v:textbox>
                      </v:rect>
                      <v:rect id="_x0000_s1026" o:spid="_x0000_s1026" o:spt="1" style="position:absolute;left:8010;top:290329;height:776;width:2389;v-text-anchor:middle;" filled="f" stroked="f" coordsize="21600,21600" o:gfxdata="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Kxu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50DF9D5F">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水泵机组</w:t>
                              </w:r>
                            </w:p>
                          </w:txbxContent>
                        </v:textbox>
                      </v:rect>
                      <v:rect id="_x0000_s1026" o:spid="_x0000_s1026" o:spt="1" style="position:absolute;left:9752;top:290316;height:776;width:2389;v-text-anchor:middle;" filled="f" stroked="f" coordsize="21600,21600" o:gfxdata="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XOBy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02616798">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水泵机组</w:t>
                              </w:r>
                            </w:p>
                          </w:txbxContent>
                        </v:textbox>
                      </v:rect>
                      <v:rect id="_x0000_s1026" o:spid="_x0000_s1026" o:spt="1" style="position:absolute;left:7667;top:289618;height:776;width:2389;v-text-anchor:middle;" filled="f" stroked="f" coordsize="21600,21600" o:gfxdata="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bnY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25BE99B1">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直供阀</w:t>
                              </w:r>
                            </w:p>
                          </w:txbxContent>
                        </v:textbox>
                      </v:rect>
                      <v:rect id="_x0000_s1026" o:spid="_x0000_s1026" o:spt="1" style="position:absolute;left:13529;top:287868;height:776;width:2389;v-text-anchor:middle;" filled="f" stroked="f" coordsize="21600,21600" o:gfxdata="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44ose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41E5988F">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副厂房</w:t>
                              </w:r>
                            </w:p>
                          </w:txbxContent>
                        </v:textbox>
                      </v:rect>
                      <v:rect id="_x0000_s1026" o:spid="_x0000_s1026" o:spt="1" style="position:absolute;left:8239;top:288027;height:776;width:2389;v-text-anchor:middle;" filled="f" stroked="f" coordsize="21600,21600" o:gfxdata="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B1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38AC6DF6">
                              <w:pPr>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主厂房</w:t>
                              </w:r>
                            </w:p>
                          </w:txbxContent>
                        </v:textbox>
                      </v:rect>
                    </v:group>
                  </w:pict>
                </mc:Fallback>
              </mc:AlternateContent>
            </w:r>
            <w:r>
              <w:rPr>
                <w:rFonts w:hint="default"/>
              </w:rPr>
              <w:drawing>
                <wp:inline distT="0" distB="0" distL="114300" distR="114300">
                  <wp:extent cx="5860415" cy="2386965"/>
                  <wp:effectExtent l="0" t="0" r="6985" b="1333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8"/>
                          <a:stretch>
                            <a:fillRect/>
                          </a:stretch>
                        </pic:blipFill>
                        <pic:spPr>
                          <a:xfrm>
                            <a:off x="0" y="0"/>
                            <a:ext cx="5860415" cy="2386965"/>
                          </a:xfrm>
                          <a:prstGeom prst="rect">
                            <a:avLst/>
                          </a:prstGeom>
                          <a:noFill/>
                          <a:ln>
                            <a:noFill/>
                          </a:ln>
                        </pic:spPr>
                      </pic:pic>
                    </a:graphicData>
                  </a:graphic>
                </wp:inline>
              </w:drawing>
            </w:r>
          </w:p>
          <w:p w14:paraId="6217E9D5">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3"/>
                <w:sz w:val="24"/>
                <w:szCs w:val="24"/>
              </w:rPr>
            </w:pPr>
            <w:r>
              <w:rPr>
                <w:rFonts w:hint="default" w:ascii="Times New Roman" w:hAnsi="Times New Roman" w:eastAsia="宋体" w:cs="Times New Roman"/>
                <w:b/>
                <w:bCs/>
                <w:spacing w:val="3"/>
                <w:sz w:val="24"/>
                <w:szCs w:val="24"/>
              </w:rPr>
              <w:t>图</w:t>
            </w:r>
            <w:r>
              <w:rPr>
                <w:rFonts w:hint="eastAsia" w:ascii="Times New Roman" w:hAnsi="Times New Roman" w:eastAsia="宋体" w:cs="Times New Roman"/>
                <w:b/>
                <w:bCs/>
                <w:spacing w:val="3"/>
                <w:sz w:val="24"/>
                <w:szCs w:val="24"/>
                <w:lang w:val="en-US" w:eastAsia="zh-CN"/>
              </w:rPr>
              <w:t>2-4</w:t>
            </w:r>
            <w:r>
              <w:rPr>
                <w:rFonts w:hint="default" w:ascii="Times New Roman" w:hAnsi="Times New Roman" w:eastAsia="宋体" w:cs="Times New Roman"/>
                <w:b/>
                <w:bCs/>
                <w:spacing w:val="3"/>
                <w:sz w:val="24"/>
                <w:szCs w:val="24"/>
              </w:rPr>
              <w:t>水厂泵站厂房平面设计图</w:t>
            </w:r>
          </w:p>
          <w:p w14:paraId="4602618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8" w:firstLineChars="200"/>
              <w:textAlignment w:val="auto"/>
              <w:outlineLvl w:val="3"/>
              <w:rPr>
                <w:rFonts w:hint="default"/>
                <w:sz w:val="24"/>
                <w:szCs w:val="24"/>
              </w:rPr>
            </w:pPr>
            <w:r>
              <w:rPr>
                <w:rFonts w:hint="eastAsia"/>
                <w:b/>
                <w:bCs/>
                <w:spacing w:val="4"/>
                <w:sz w:val="23"/>
                <w:szCs w:val="23"/>
                <w:lang w:val="en-US" w:eastAsia="zh-CN"/>
              </w:rPr>
              <w:t>3.3</w:t>
            </w:r>
            <w:r>
              <w:rPr>
                <w:rFonts w:hint="default"/>
                <w:b/>
                <w:bCs/>
                <w:spacing w:val="4"/>
                <w:sz w:val="24"/>
                <w:szCs w:val="24"/>
              </w:rPr>
              <w:t>供水管线工程</w:t>
            </w:r>
          </w:p>
          <w:p w14:paraId="74C0DFAC">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96" w:firstLineChars="200"/>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调蓄水库至水厂净水车间供水管沿调蓄水库、水厂厂区布设，长度0.29km，基于管道较短及在建净水厂清水池在短时间内具有调节能力，按单管布设。</w:t>
            </w:r>
          </w:p>
          <w:p w14:paraId="75631346">
            <w:pPr>
              <w:keepNext w:val="0"/>
              <w:keepLines w:val="0"/>
              <w:widowControl/>
              <w:suppressLineNumbers w:val="0"/>
              <w:tabs>
                <w:tab w:val="left" w:pos="398"/>
              </w:tabs>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、主要设备</w:t>
            </w:r>
          </w:p>
          <w:p w14:paraId="6ED3471B">
            <w:pPr>
              <w:pStyle w:val="47"/>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本项目施工期主要施工设备为推土机、夯实机、挖掘机等，本项目运营期设备主要为</w:t>
            </w:r>
            <w:r>
              <w:rPr>
                <w:rFonts w:hint="eastAsia" w:cs="Times New Roman"/>
                <w:color w:val="auto"/>
                <w:kern w:val="2"/>
                <w:sz w:val="24"/>
                <w:szCs w:val="24"/>
                <w:highlight w:val="none"/>
                <w:lang w:val="en-US" w:eastAsia="zh-CN" w:bidi="ar-SA"/>
              </w:rPr>
              <w:t>水厂泵站</w:t>
            </w:r>
            <w:r>
              <w:rPr>
                <w:rFonts w:hint="eastAsia" w:ascii="Times New Roman" w:hAnsi="Times New Roman" w:eastAsia="宋体" w:cs="Times New Roman"/>
                <w:color w:val="auto"/>
                <w:kern w:val="2"/>
                <w:sz w:val="24"/>
                <w:szCs w:val="24"/>
                <w:highlight w:val="none"/>
                <w:lang w:val="en-US" w:eastAsia="zh-CN" w:bidi="ar-SA"/>
              </w:rPr>
              <w:t>水</w:t>
            </w:r>
            <w:r>
              <w:rPr>
                <w:rFonts w:hint="default" w:ascii="Times New Roman" w:hAnsi="Times New Roman" w:eastAsia="宋体" w:cs="Times New Roman"/>
                <w:color w:val="auto"/>
                <w:kern w:val="2"/>
                <w:sz w:val="24"/>
                <w:szCs w:val="24"/>
                <w:highlight w:val="none"/>
                <w:lang w:val="en-US" w:eastAsia="zh-CN" w:bidi="ar-SA"/>
              </w:rPr>
              <w:t>泵</w:t>
            </w:r>
            <w:r>
              <w:rPr>
                <w:rFonts w:hint="eastAsia" w:cs="Times New Roman"/>
                <w:color w:val="auto"/>
                <w:kern w:val="2"/>
                <w:sz w:val="24"/>
                <w:szCs w:val="24"/>
                <w:highlight w:val="none"/>
                <w:lang w:val="en-US" w:eastAsia="zh-CN" w:bidi="ar-SA"/>
              </w:rPr>
              <w:t>机组等设备</w:t>
            </w:r>
            <w:r>
              <w:rPr>
                <w:rFonts w:hint="default" w:ascii="Times New Roman" w:hAnsi="Times New Roman" w:eastAsia="宋体" w:cs="Times New Roman"/>
                <w:color w:val="auto"/>
                <w:kern w:val="2"/>
                <w:sz w:val="24"/>
                <w:szCs w:val="24"/>
                <w:highlight w:val="none"/>
                <w:lang w:val="en-US" w:eastAsia="zh-CN" w:bidi="ar-SA"/>
              </w:rPr>
              <w:t>。</w:t>
            </w:r>
          </w:p>
          <w:p w14:paraId="04909F0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bookmarkStart w:id="2" w:name="_Toc319050292"/>
            <w:bookmarkStart w:id="3" w:name="_Toc274506011"/>
            <w:bookmarkStart w:id="4" w:name="_Toc421631693"/>
            <w:r>
              <w:rPr>
                <w:rFonts w:hint="default" w:ascii="Times New Roman" w:hAnsi="Times New Roman" w:eastAsia="宋体" w:cs="Times New Roman"/>
                <w:b/>
                <w:bCs/>
                <w:color w:val="auto"/>
                <w:sz w:val="24"/>
                <w:szCs w:val="24"/>
                <w:highlight w:val="none"/>
                <w:lang w:val="en-US" w:eastAsia="zh-CN"/>
              </w:rPr>
              <w:t>工程占地</w:t>
            </w:r>
          </w:p>
          <w:p w14:paraId="3B48D32C">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（1）占地</w:t>
            </w:r>
            <w:bookmarkEnd w:id="2"/>
            <w:bookmarkEnd w:id="3"/>
            <w:bookmarkEnd w:id="4"/>
            <w:r>
              <w:rPr>
                <w:rFonts w:hint="default" w:ascii="Times New Roman" w:hAnsi="Times New Roman" w:eastAsia="宋体" w:cs="Times New Roman"/>
                <w:color w:val="auto"/>
                <w:sz w:val="24"/>
                <w:szCs w:val="24"/>
                <w:highlight w:val="none"/>
                <w:lang w:val="en-US" w:eastAsia="zh-CN"/>
              </w:rPr>
              <w:t>类型</w:t>
            </w:r>
          </w:p>
          <w:p w14:paraId="2FBBDC82">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本项目工程占地分为永久占地和临时占地，占地类型为其他草地。工程永久占地主要是调蓄水库、水厂泵站等；临时占地包括临时</w:t>
            </w:r>
            <w:r>
              <w:rPr>
                <w:rFonts w:hint="default" w:ascii="Times New Roman" w:hAnsi="Times New Roman" w:eastAsia="宋体" w:cs="Times New Roman"/>
                <w:color w:val="auto"/>
                <w:sz w:val="24"/>
                <w:szCs w:val="24"/>
                <w:highlight w:val="none"/>
              </w:rPr>
              <w:t>施工</w:t>
            </w:r>
            <w:r>
              <w:rPr>
                <w:rFonts w:hint="default" w:ascii="Times New Roman" w:hAnsi="Times New Roman" w:eastAsia="宋体" w:cs="Times New Roman"/>
                <w:color w:val="auto"/>
                <w:sz w:val="24"/>
                <w:szCs w:val="24"/>
                <w:highlight w:val="none"/>
                <w:lang w:eastAsia="zh-CN"/>
              </w:rPr>
              <w:t>生产生活区</w:t>
            </w:r>
            <w:r>
              <w:rPr>
                <w:rFonts w:hint="default" w:ascii="Times New Roman" w:hAnsi="Times New Roman" w:eastAsia="宋体" w:cs="Times New Roman"/>
                <w:color w:val="auto"/>
                <w:sz w:val="24"/>
                <w:szCs w:val="24"/>
                <w:highlight w:val="none"/>
                <w:lang w:val="en-US" w:eastAsia="zh-CN"/>
              </w:rPr>
              <w:t>和临时堆土场。</w:t>
            </w:r>
          </w:p>
          <w:p w14:paraId="1114B83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bookmarkStart w:id="5" w:name="_Toc421631694"/>
            <w:bookmarkStart w:id="6" w:name="_Toc274506012"/>
            <w:bookmarkStart w:id="7" w:name="_Toc319050293"/>
            <w:r>
              <w:rPr>
                <w:rFonts w:hint="default" w:ascii="Times New Roman" w:hAnsi="Times New Roman" w:eastAsia="宋体" w:cs="Times New Roman"/>
                <w:color w:val="auto"/>
                <w:sz w:val="24"/>
                <w:szCs w:val="24"/>
                <w:highlight w:val="none"/>
                <w:lang w:val="en-US" w:eastAsia="zh-CN"/>
              </w:rPr>
              <w:t>（2）占地规模</w:t>
            </w:r>
            <w:bookmarkEnd w:id="5"/>
            <w:bookmarkEnd w:id="6"/>
            <w:bookmarkEnd w:id="7"/>
          </w:p>
          <w:p w14:paraId="37462902">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5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rPr>
              <w:t>根据主体设计资料及现场勘查，本工程总占地19.8</w:t>
            </w:r>
            <w:r>
              <w:rPr>
                <w:rFonts w:hint="eastAsia" w:ascii="Times New Roman" w:hAnsi="Times New Roman" w:eastAsia="宋体" w:cs="Times New Roman"/>
                <w:spacing w:val="18"/>
                <w:sz w:val="24"/>
                <w:szCs w:val="24"/>
                <w:lang w:val="en-US" w:eastAsia="zh-CN"/>
              </w:rPr>
              <w:t>3</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8"/>
                <w:sz w:val="24"/>
                <w:szCs w:val="24"/>
              </w:rPr>
              <w:t>，其中永久占地</w:t>
            </w:r>
            <w:r>
              <w:rPr>
                <w:rFonts w:hint="default" w:ascii="Times New Roman" w:hAnsi="Times New Roman" w:eastAsia="宋体" w:cs="Times New Roman"/>
                <w:spacing w:val="13"/>
                <w:sz w:val="24"/>
                <w:szCs w:val="24"/>
              </w:rPr>
              <w:t>1</w:t>
            </w:r>
            <w:r>
              <w:rPr>
                <w:rFonts w:hint="eastAsia" w:ascii="Times New Roman" w:hAnsi="Times New Roman" w:eastAsia="宋体" w:cs="Times New Roman"/>
                <w:spacing w:val="13"/>
                <w:sz w:val="24"/>
                <w:szCs w:val="24"/>
                <w:lang w:val="en-US" w:eastAsia="zh-CN"/>
              </w:rPr>
              <w:t>8.82</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3"/>
                <w:sz w:val="24"/>
                <w:szCs w:val="24"/>
              </w:rPr>
              <w:t>，主要包括水库占地、泵站工程占地；</w:t>
            </w:r>
            <w:r>
              <w:rPr>
                <w:rFonts w:hint="default" w:ascii="Times New Roman" w:hAnsi="Times New Roman" w:eastAsia="宋体" w:cs="Times New Roman"/>
                <w:spacing w:val="7"/>
                <w:sz w:val="24"/>
                <w:szCs w:val="24"/>
              </w:rPr>
              <w:t>临时占地</w:t>
            </w:r>
            <w:r>
              <w:rPr>
                <w:rFonts w:hint="eastAsia" w:ascii="Times New Roman" w:hAnsi="Times New Roman" w:eastAsia="宋体" w:cs="Times New Roman"/>
                <w:spacing w:val="7"/>
                <w:sz w:val="24"/>
                <w:szCs w:val="24"/>
                <w:lang w:val="en-US" w:eastAsia="zh-CN"/>
              </w:rPr>
              <w:t>1.01</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7"/>
                <w:sz w:val="24"/>
                <w:szCs w:val="24"/>
              </w:rPr>
              <w:t>，主要包括施工作业带、临时堆土</w:t>
            </w:r>
            <w:r>
              <w:rPr>
                <w:rFonts w:hint="default" w:ascii="Times New Roman" w:hAnsi="Times New Roman" w:eastAsia="宋体" w:cs="Times New Roman"/>
                <w:spacing w:val="7"/>
                <w:sz w:val="24"/>
                <w:szCs w:val="24"/>
                <w:lang w:eastAsia="zh-CN"/>
              </w:rPr>
              <w:t>场</w:t>
            </w:r>
            <w:r>
              <w:rPr>
                <w:rFonts w:hint="default" w:ascii="Times New Roman" w:hAnsi="Times New Roman" w:eastAsia="宋体" w:cs="Times New Roman"/>
                <w:spacing w:val="7"/>
                <w:sz w:val="24"/>
                <w:szCs w:val="24"/>
              </w:rPr>
              <w:t>及施工生产生</w:t>
            </w:r>
            <w:r>
              <w:rPr>
                <w:rFonts w:hint="default" w:ascii="Times New Roman" w:hAnsi="Times New Roman" w:eastAsia="宋体" w:cs="Times New Roman"/>
                <w:spacing w:val="6"/>
                <w:sz w:val="24"/>
                <w:szCs w:val="24"/>
              </w:rPr>
              <w:t>活区临</w:t>
            </w:r>
            <w:r>
              <w:rPr>
                <w:rFonts w:hint="default" w:ascii="Times New Roman" w:hAnsi="Times New Roman" w:eastAsia="宋体" w:cs="Times New Roman"/>
                <w:spacing w:val="-7"/>
                <w:sz w:val="24"/>
                <w:szCs w:val="24"/>
              </w:rPr>
              <w:t>时占地。</w:t>
            </w:r>
          </w:p>
          <w:p w14:paraId="1800F568">
            <w:pPr>
              <w:pStyle w:val="44"/>
              <w:keepNext w:val="0"/>
              <w:keepLines w:val="0"/>
              <w:pageBreakBefore w:val="0"/>
              <w:widowControl w:val="0"/>
              <w:numPr>
                <w:ilvl w:val="0"/>
                <w:numId w:val="0"/>
              </w:numPr>
              <w:suppressLineNumbers w:val="0"/>
              <w:tabs>
                <w:tab w:val="left" w:pos="204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本项目工程详细占地面积详见表2-2。</w:t>
            </w:r>
          </w:p>
          <w:p w14:paraId="5BE7D320">
            <w:pPr>
              <w:pStyle w:val="44"/>
              <w:keepNext w:val="0"/>
              <w:keepLines w:val="0"/>
              <w:numPr>
                <w:ilvl w:val="0"/>
                <w:numId w:val="0"/>
              </w:numPr>
              <w:suppressLineNumbers w:val="0"/>
              <w:tabs>
                <w:tab w:val="left" w:pos="2040"/>
              </w:tabs>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表2-2项目占地面积及类型一览表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2468"/>
              <w:gridCol w:w="2216"/>
              <w:gridCol w:w="2277"/>
            </w:tblGrid>
            <w:tr w14:paraId="0913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shd w:val="clear" w:color="auto" w:fill="auto"/>
                  <w:tcMar>
                    <w:top w:w="0" w:type="dxa"/>
                    <w:left w:w="28" w:type="dxa"/>
                    <w:bottom w:w="0" w:type="dxa"/>
                    <w:right w:w="28" w:type="dxa"/>
                  </w:tcMar>
                  <w:vAlign w:val="center"/>
                </w:tcPr>
                <w:p w14:paraId="3067A90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类型区及项目</w:t>
                  </w:r>
                </w:p>
              </w:tc>
              <w:tc>
                <w:tcPr>
                  <w:tcW w:w="1345" w:type="pct"/>
                  <w:tcBorders>
                    <w:tl2br w:val="nil"/>
                    <w:tr2bl w:val="nil"/>
                  </w:tcBorders>
                  <w:shd w:val="clear" w:color="auto" w:fill="auto"/>
                  <w:tcMar>
                    <w:top w:w="0" w:type="dxa"/>
                    <w:left w:w="28" w:type="dxa"/>
                    <w:bottom w:w="0" w:type="dxa"/>
                    <w:right w:w="28" w:type="dxa"/>
                  </w:tcMar>
                  <w:vAlign w:val="center"/>
                </w:tcPr>
                <w:p w14:paraId="7CC1079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永久占地（hm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c>
                <w:tcPr>
                  <w:tcW w:w="1208" w:type="pct"/>
                  <w:tcBorders>
                    <w:tl2br w:val="nil"/>
                    <w:tr2bl w:val="nil"/>
                  </w:tcBorders>
                  <w:shd w:val="clear" w:color="auto" w:fill="auto"/>
                  <w:vAlign w:val="center"/>
                </w:tcPr>
                <w:p w14:paraId="64A6BA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临时占地（hm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c>
                <w:tcPr>
                  <w:tcW w:w="1241" w:type="pct"/>
                  <w:tcBorders>
                    <w:tl2br w:val="nil"/>
                    <w:tr2bl w:val="nil"/>
                  </w:tcBorders>
                  <w:shd w:val="clear" w:color="auto" w:fill="auto"/>
                  <w:vAlign w:val="center"/>
                </w:tcPr>
                <w:p w14:paraId="3AB8836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2233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tcMar>
                    <w:top w:w="0" w:type="dxa"/>
                    <w:left w:w="28" w:type="dxa"/>
                    <w:bottom w:w="0" w:type="dxa"/>
                    <w:right w:w="28" w:type="dxa"/>
                  </w:tcMar>
                  <w:vAlign w:val="center"/>
                </w:tcPr>
                <w:p w14:paraId="489DDF35">
                  <w:pPr>
                    <w:keepNext w:val="0"/>
                    <w:keepLines w:val="0"/>
                    <w:pageBreakBefore w:val="0"/>
                    <w:suppressLineNumbers w:val="0"/>
                    <w:kinsoku/>
                    <w:wordWrap/>
                    <w:overflowPunct/>
                    <w:topLinePunct w:val="0"/>
                    <w:autoSpaceDE/>
                    <w:autoSpaceDN/>
                    <w:bidi w:val="0"/>
                    <w:adjustRightInd/>
                    <w:snapToGrid/>
                    <w:spacing w:before="168" w:beforeAutospacing="0" w:after="0" w:afterAutospacing="0" w:line="225" w:lineRule="auto"/>
                    <w:ind w:left="114"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7"/>
                      <w:sz w:val="21"/>
                      <w:szCs w:val="21"/>
                    </w:rPr>
                    <w:t>水库工程</w:t>
                  </w:r>
                </w:p>
              </w:tc>
              <w:tc>
                <w:tcPr>
                  <w:tcW w:w="1345" w:type="pct"/>
                  <w:tcBorders>
                    <w:tl2br w:val="nil"/>
                    <w:tr2bl w:val="nil"/>
                  </w:tcBorders>
                  <w:tcMar>
                    <w:top w:w="0" w:type="dxa"/>
                    <w:left w:w="28" w:type="dxa"/>
                    <w:bottom w:w="0" w:type="dxa"/>
                    <w:right w:w="28" w:type="dxa"/>
                  </w:tcMar>
                  <w:vAlign w:val="center"/>
                </w:tcPr>
                <w:p w14:paraId="362AFD54">
                  <w:pPr>
                    <w:pStyle w:val="36"/>
                    <w:keepNext w:val="0"/>
                    <w:keepLines w:val="0"/>
                    <w:pageBreakBefore w:val="0"/>
                    <w:widowControl/>
                    <w:suppressLineNumbers w:val="0"/>
                    <w:kinsoku/>
                    <w:wordWrap/>
                    <w:overflowPunct/>
                    <w:topLinePunct w:val="0"/>
                    <w:autoSpaceDE/>
                    <w:autoSpaceDN/>
                    <w:bidi w:val="0"/>
                    <w:adjustRightInd/>
                    <w:snapToGrid/>
                    <w:spacing w:before="203" w:beforeAutospacing="0" w:after="0" w:afterAutospacing="0" w:line="195" w:lineRule="auto"/>
                    <w:ind w:left="315"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1"/>
                      <w:sz w:val="21"/>
                      <w:szCs w:val="21"/>
                    </w:rPr>
                    <w:t>18.79</w:t>
                  </w:r>
                </w:p>
              </w:tc>
              <w:tc>
                <w:tcPr>
                  <w:tcW w:w="1208" w:type="pct"/>
                  <w:tcBorders>
                    <w:tl2br w:val="nil"/>
                    <w:tr2bl w:val="nil"/>
                  </w:tcBorders>
                  <w:tcMar>
                    <w:top w:w="0" w:type="dxa"/>
                    <w:left w:w="28" w:type="dxa"/>
                    <w:bottom w:w="0" w:type="dxa"/>
                    <w:right w:w="28" w:type="dxa"/>
                  </w:tcMar>
                  <w:vAlign w:val="center"/>
                </w:tcPr>
                <w:p w14:paraId="2E6F51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lang w:val="en-US" w:eastAsia="zh-CN"/>
                    </w:rPr>
                    <w:t>/</w:t>
                  </w:r>
                </w:p>
              </w:tc>
              <w:tc>
                <w:tcPr>
                  <w:tcW w:w="1241" w:type="pct"/>
                  <w:tcBorders>
                    <w:tl2br w:val="nil"/>
                    <w:tr2bl w:val="nil"/>
                  </w:tcBorders>
                  <w:tcMar>
                    <w:top w:w="0" w:type="dxa"/>
                    <w:left w:w="28" w:type="dxa"/>
                    <w:bottom w:w="0" w:type="dxa"/>
                    <w:right w:w="28" w:type="dxa"/>
                  </w:tcMar>
                  <w:vAlign w:val="center"/>
                </w:tcPr>
                <w:p w14:paraId="370E799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6820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tcMar>
                    <w:top w:w="0" w:type="dxa"/>
                    <w:left w:w="28" w:type="dxa"/>
                    <w:bottom w:w="0" w:type="dxa"/>
                    <w:right w:w="28" w:type="dxa"/>
                  </w:tcMar>
                  <w:vAlign w:val="center"/>
                </w:tcPr>
                <w:p w14:paraId="317C452C">
                  <w:pPr>
                    <w:keepNext w:val="0"/>
                    <w:keepLines w:val="0"/>
                    <w:pageBreakBefore w:val="0"/>
                    <w:suppressLineNumbers w:val="0"/>
                    <w:kinsoku/>
                    <w:wordWrap/>
                    <w:overflowPunct/>
                    <w:topLinePunct w:val="0"/>
                    <w:autoSpaceDE/>
                    <w:autoSpaceDN/>
                    <w:bidi w:val="0"/>
                    <w:adjustRightInd/>
                    <w:snapToGrid/>
                    <w:spacing w:before="169" w:beforeAutospacing="0" w:after="0" w:afterAutospacing="0" w:line="226" w:lineRule="auto"/>
                    <w:ind w:left="124"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5"/>
                      <w:sz w:val="21"/>
                      <w:szCs w:val="21"/>
                    </w:rPr>
                    <w:t>泵站工程</w:t>
                  </w:r>
                </w:p>
              </w:tc>
              <w:tc>
                <w:tcPr>
                  <w:tcW w:w="1345" w:type="pct"/>
                  <w:tcBorders>
                    <w:tl2br w:val="nil"/>
                    <w:tr2bl w:val="nil"/>
                  </w:tcBorders>
                  <w:tcMar>
                    <w:top w:w="0" w:type="dxa"/>
                    <w:left w:w="28" w:type="dxa"/>
                    <w:bottom w:w="0" w:type="dxa"/>
                    <w:right w:w="28" w:type="dxa"/>
                  </w:tcMar>
                  <w:vAlign w:val="center"/>
                </w:tcPr>
                <w:p w14:paraId="58798D16">
                  <w:pPr>
                    <w:pStyle w:val="36"/>
                    <w:keepNext w:val="0"/>
                    <w:keepLines w:val="0"/>
                    <w:pageBreakBefore w:val="0"/>
                    <w:widowControl/>
                    <w:suppressLineNumbers w:val="0"/>
                    <w:kinsoku/>
                    <w:wordWrap/>
                    <w:overflowPunct/>
                    <w:topLinePunct w:val="0"/>
                    <w:autoSpaceDE/>
                    <w:autoSpaceDN/>
                    <w:bidi w:val="0"/>
                    <w:adjustRightInd/>
                    <w:snapToGrid/>
                    <w:spacing w:before="204" w:beforeAutospacing="0" w:after="0" w:afterAutospacing="0" w:line="195" w:lineRule="auto"/>
                    <w:ind w:left="35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rPr>
                    <w:t>0.03</w:t>
                  </w:r>
                </w:p>
              </w:tc>
              <w:tc>
                <w:tcPr>
                  <w:tcW w:w="1208" w:type="pct"/>
                  <w:tcBorders>
                    <w:tl2br w:val="nil"/>
                    <w:tr2bl w:val="nil"/>
                  </w:tcBorders>
                  <w:tcMar>
                    <w:top w:w="0" w:type="dxa"/>
                    <w:left w:w="28" w:type="dxa"/>
                    <w:bottom w:w="0" w:type="dxa"/>
                    <w:right w:w="28" w:type="dxa"/>
                  </w:tcMar>
                  <w:vAlign w:val="center"/>
                </w:tcPr>
                <w:p w14:paraId="67AE3B7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lang w:val="en-US" w:eastAsia="zh-CN"/>
                    </w:rPr>
                    <w:t>/</w:t>
                  </w:r>
                </w:p>
              </w:tc>
              <w:tc>
                <w:tcPr>
                  <w:tcW w:w="1241" w:type="pct"/>
                  <w:tcBorders>
                    <w:tl2br w:val="nil"/>
                    <w:tr2bl w:val="nil"/>
                  </w:tcBorders>
                  <w:tcMar>
                    <w:top w:w="0" w:type="dxa"/>
                    <w:left w:w="28" w:type="dxa"/>
                    <w:bottom w:w="0" w:type="dxa"/>
                    <w:right w:w="28" w:type="dxa"/>
                  </w:tcMar>
                  <w:vAlign w:val="center"/>
                </w:tcPr>
                <w:p w14:paraId="1956C31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0342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tcMar>
                    <w:top w:w="0" w:type="dxa"/>
                    <w:left w:w="28" w:type="dxa"/>
                    <w:bottom w:w="0" w:type="dxa"/>
                    <w:right w:w="28" w:type="dxa"/>
                  </w:tcMar>
                  <w:vAlign w:val="center"/>
                </w:tcPr>
                <w:p w14:paraId="6EDD6004">
                  <w:pPr>
                    <w:keepNext w:val="0"/>
                    <w:keepLines w:val="0"/>
                    <w:pageBreakBefore w:val="0"/>
                    <w:suppressLineNumbers w:val="0"/>
                    <w:kinsoku/>
                    <w:wordWrap/>
                    <w:overflowPunct/>
                    <w:topLinePunct w:val="0"/>
                    <w:autoSpaceDE/>
                    <w:autoSpaceDN/>
                    <w:bidi w:val="0"/>
                    <w:adjustRightInd/>
                    <w:snapToGrid/>
                    <w:spacing w:before="169" w:beforeAutospacing="0" w:after="0" w:afterAutospacing="0" w:line="226" w:lineRule="auto"/>
                    <w:ind w:left="124" w:leftChars="0" w:right="0"/>
                    <w:jc w:val="center"/>
                    <w:textAlignment w:val="auto"/>
                    <w:rPr>
                      <w:rFonts w:hint="eastAsia" w:ascii="Times New Roman" w:hAnsi="Times New Roman" w:eastAsia="宋体" w:cs="Times New Roman"/>
                      <w:spacing w:val="5"/>
                      <w:sz w:val="21"/>
                      <w:szCs w:val="21"/>
                      <w:lang w:eastAsia="zh-CN"/>
                    </w:rPr>
                  </w:pPr>
                  <w:r>
                    <w:rPr>
                      <w:rFonts w:hint="eastAsia" w:cs="Times New Roman"/>
                      <w:spacing w:val="5"/>
                      <w:sz w:val="21"/>
                      <w:szCs w:val="21"/>
                      <w:lang w:eastAsia="zh-CN"/>
                    </w:rPr>
                    <w:t>管理道路</w:t>
                  </w:r>
                </w:p>
              </w:tc>
              <w:tc>
                <w:tcPr>
                  <w:tcW w:w="1345" w:type="pct"/>
                  <w:tcBorders>
                    <w:tl2br w:val="nil"/>
                    <w:tr2bl w:val="nil"/>
                  </w:tcBorders>
                  <w:tcMar>
                    <w:top w:w="0" w:type="dxa"/>
                    <w:left w:w="28" w:type="dxa"/>
                    <w:bottom w:w="0" w:type="dxa"/>
                    <w:right w:w="28" w:type="dxa"/>
                  </w:tcMar>
                  <w:vAlign w:val="center"/>
                </w:tcPr>
                <w:p w14:paraId="105C313C">
                  <w:pPr>
                    <w:pStyle w:val="36"/>
                    <w:keepNext w:val="0"/>
                    <w:keepLines w:val="0"/>
                    <w:pageBreakBefore w:val="0"/>
                    <w:widowControl/>
                    <w:suppressLineNumbers w:val="0"/>
                    <w:kinsoku/>
                    <w:wordWrap/>
                    <w:overflowPunct/>
                    <w:topLinePunct w:val="0"/>
                    <w:autoSpaceDE/>
                    <w:autoSpaceDN/>
                    <w:bidi w:val="0"/>
                    <w:adjustRightInd/>
                    <w:snapToGrid/>
                    <w:spacing w:before="204" w:beforeAutospacing="0" w:after="0" w:afterAutospacing="0" w:line="195" w:lineRule="auto"/>
                    <w:ind w:left="350" w:leftChars="0" w:right="0"/>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0.3</w:t>
                  </w:r>
                </w:p>
              </w:tc>
              <w:tc>
                <w:tcPr>
                  <w:tcW w:w="1208" w:type="pct"/>
                  <w:tcBorders>
                    <w:tl2br w:val="nil"/>
                    <w:tr2bl w:val="nil"/>
                  </w:tcBorders>
                  <w:tcMar>
                    <w:top w:w="0" w:type="dxa"/>
                    <w:left w:w="28" w:type="dxa"/>
                    <w:bottom w:w="0" w:type="dxa"/>
                    <w:right w:w="28" w:type="dxa"/>
                  </w:tcMar>
                  <w:vAlign w:val="center"/>
                </w:tcPr>
                <w:p w14:paraId="13652F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pacing w:val="2"/>
                      <w:sz w:val="21"/>
                      <w:szCs w:val="21"/>
                      <w:lang w:val="en-US" w:eastAsia="zh-CN"/>
                    </w:rPr>
                  </w:pPr>
                </w:p>
              </w:tc>
              <w:tc>
                <w:tcPr>
                  <w:tcW w:w="1241" w:type="pct"/>
                  <w:tcBorders>
                    <w:tl2br w:val="nil"/>
                    <w:tr2bl w:val="nil"/>
                  </w:tcBorders>
                  <w:tcMar>
                    <w:top w:w="0" w:type="dxa"/>
                    <w:left w:w="28" w:type="dxa"/>
                    <w:bottom w:w="0" w:type="dxa"/>
                    <w:right w:w="28" w:type="dxa"/>
                  </w:tcMar>
                  <w:vAlign w:val="center"/>
                </w:tcPr>
                <w:p w14:paraId="69187C9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00B2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tcMar>
                    <w:top w:w="0" w:type="dxa"/>
                    <w:left w:w="28" w:type="dxa"/>
                    <w:bottom w:w="0" w:type="dxa"/>
                    <w:right w:w="28" w:type="dxa"/>
                  </w:tcMar>
                  <w:vAlign w:val="center"/>
                </w:tcPr>
                <w:p w14:paraId="08771A07">
                  <w:pPr>
                    <w:keepNext w:val="0"/>
                    <w:keepLines w:val="0"/>
                    <w:pageBreakBefore w:val="0"/>
                    <w:suppressLineNumbers w:val="0"/>
                    <w:kinsoku/>
                    <w:wordWrap/>
                    <w:overflowPunct/>
                    <w:topLinePunct w:val="0"/>
                    <w:autoSpaceDE/>
                    <w:autoSpaceDN/>
                    <w:bidi w:val="0"/>
                    <w:adjustRightInd/>
                    <w:snapToGrid/>
                    <w:spacing w:before="168" w:beforeAutospacing="0" w:after="0" w:afterAutospacing="0" w:line="226" w:lineRule="auto"/>
                    <w:ind w:left="115"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7"/>
                      <w:sz w:val="21"/>
                      <w:szCs w:val="21"/>
                    </w:rPr>
                    <w:t>管线工程</w:t>
                  </w:r>
                </w:p>
              </w:tc>
              <w:tc>
                <w:tcPr>
                  <w:tcW w:w="1345" w:type="pct"/>
                  <w:tcBorders>
                    <w:tl2br w:val="nil"/>
                    <w:tr2bl w:val="nil"/>
                  </w:tcBorders>
                  <w:tcMar>
                    <w:top w:w="0" w:type="dxa"/>
                    <w:left w:w="28" w:type="dxa"/>
                    <w:bottom w:w="0" w:type="dxa"/>
                    <w:right w:w="28" w:type="dxa"/>
                  </w:tcMar>
                  <w:vAlign w:val="center"/>
                </w:tcPr>
                <w:p w14:paraId="77D022C4">
                  <w:pPr>
                    <w:pStyle w:val="36"/>
                    <w:keepNext w:val="0"/>
                    <w:keepLines w:val="0"/>
                    <w:pageBreakBefore w:val="0"/>
                    <w:widowControl/>
                    <w:suppressLineNumbers w:val="0"/>
                    <w:kinsoku/>
                    <w:wordWrap/>
                    <w:overflowPunct/>
                    <w:topLinePunct w:val="0"/>
                    <w:autoSpaceDE/>
                    <w:autoSpaceDN/>
                    <w:bidi w:val="0"/>
                    <w:adjustRightInd/>
                    <w:snapToGrid/>
                    <w:spacing w:before="206" w:beforeAutospacing="0" w:after="0" w:afterAutospacing="0" w:line="195" w:lineRule="auto"/>
                    <w:ind w:left="35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lang w:val="en-US" w:eastAsia="zh-CN"/>
                    </w:rPr>
                    <w:t>/</w:t>
                  </w:r>
                </w:p>
              </w:tc>
              <w:tc>
                <w:tcPr>
                  <w:tcW w:w="1208" w:type="pct"/>
                  <w:tcBorders>
                    <w:tl2br w:val="nil"/>
                    <w:tr2bl w:val="nil"/>
                  </w:tcBorders>
                  <w:tcMar>
                    <w:top w:w="0" w:type="dxa"/>
                    <w:left w:w="28" w:type="dxa"/>
                    <w:bottom w:w="0" w:type="dxa"/>
                    <w:right w:w="28" w:type="dxa"/>
                  </w:tcMar>
                  <w:vAlign w:val="center"/>
                </w:tcPr>
                <w:p w14:paraId="7BE664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w:t>
                  </w:r>
                </w:p>
              </w:tc>
              <w:tc>
                <w:tcPr>
                  <w:tcW w:w="1241" w:type="pct"/>
                  <w:tcBorders>
                    <w:tl2br w:val="nil"/>
                    <w:tr2bl w:val="nil"/>
                  </w:tcBorders>
                  <w:tcMar>
                    <w:top w:w="0" w:type="dxa"/>
                    <w:left w:w="28" w:type="dxa"/>
                    <w:bottom w:w="0" w:type="dxa"/>
                    <w:right w:w="28" w:type="dxa"/>
                  </w:tcMar>
                  <w:vAlign w:val="center"/>
                </w:tcPr>
                <w:p w14:paraId="1776D73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2F61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tcBorders>
                    <w:tl2br w:val="nil"/>
                    <w:tr2bl w:val="nil"/>
                  </w:tcBorders>
                  <w:tcMar>
                    <w:top w:w="0" w:type="dxa"/>
                    <w:left w:w="28" w:type="dxa"/>
                    <w:bottom w:w="0" w:type="dxa"/>
                    <w:right w:w="28" w:type="dxa"/>
                  </w:tcMar>
                  <w:vAlign w:val="center"/>
                </w:tcPr>
                <w:p w14:paraId="39203679">
                  <w:pPr>
                    <w:keepNext w:val="0"/>
                    <w:keepLines w:val="0"/>
                    <w:pageBreakBefore w:val="0"/>
                    <w:suppressLineNumbers w:val="0"/>
                    <w:kinsoku/>
                    <w:wordWrap/>
                    <w:overflowPunct/>
                    <w:topLinePunct w:val="0"/>
                    <w:autoSpaceDE/>
                    <w:autoSpaceDN/>
                    <w:bidi w:val="0"/>
                    <w:adjustRightInd/>
                    <w:snapToGrid/>
                    <w:spacing w:before="97" w:beforeAutospacing="0" w:after="0" w:afterAutospacing="0" w:line="224" w:lineRule="auto"/>
                    <w:ind w:left="344" w:leftChars="0" w:right="0"/>
                    <w:jc w:val="center"/>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spacing w:val="5"/>
                      <w:sz w:val="21"/>
                      <w:szCs w:val="21"/>
                    </w:rPr>
                    <w:t>临时堆</w:t>
                  </w:r>
                  <w:r>
                    <w:rPr>
                      <w:rFonts w:hint="default" w:ascii="Times New Roman" w:hAnsi="Times New Roman" w:eastAsia="宋体" w:cs="Times New Roman"/>
                      <w:spacing w:val="5"/>
                      <w:sz w:val="21"/>
                      <w:szCs w:val="21"/>
                      <w:lang w:eastAsia="zh-CN"/>
                    </w:rPr>
                    <w:t>土场</w:t>
                  </w:r>
                </w:p>
              </w:tc>
              <w:tc>
                <w:tcPr>
                  <w:tcW w:w="1345" w:type="pct"/>
                  <w:tcBorders>
                    <w:tl2br w:val="nil"/>
                    <w:tr2bl w:val="nil"/>
                  </w:tcBorders>
                  <w:tcMar>
                    <w:top w:w="0" w:type="dxa"/>
                    <w:left w:w="28" w:type="dxa"/>
                    <w:bottom w:w="0" w:type="dxa"/>
                    <w:right w:w="28" w:type="dxa"/>
                  </w:tcMar>
                  <w:vAlign w:val="center"/>
                </w:tcPr>
                <w:p w14:paraId="76A0BE2C">
                  <w:pPr>
                    <w:pStyle w:val="36"/>
                    <w:keepNext w:val="0"/>
                    <w:keepLines w:val="0"/>
                    <w:pageBreakBefore w:val="0"/>
                    <w:widowControl/>
                    <w:suppressLineNumbers w:val="0"/>
                    <w:kinsoku/>
                    <w:wordWrap/>
                    <w:overflowPunct/>
                    <w:topLinePunct w:val="0"/>
                    <w:autoSpaceDE/>
                    <w:autoSpaceDN/>
                    <w:bidi w:val="0"/>
                    <w:adjustRightInd/>
                    <w:snapToGrid/>
                    <w:spacing w:before="206" w:beforeAutospacing="0" w:after="0" w:afterAutospacing="0" w:line="195" w:lineRule="auto"/>
                    <w:ind w:left="350" w:leftChars="0" w:right="0"/>
                    <w:jc w:val="center"/>
                    <w:textAlignment w:val="auto"/>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2187" w:type="dxa"/>
                  <w:tcBorders>
                    <w:tl2br w:val="nil"/>
                    <w:tr2bl w:val="nil"/>
                  </w:tcBorders>
                  <w:tcMar>
                    <w:top w:w="0" w:type="dxa"/>
                    <w:left w:w="28" w:type="dxa"/>
                    <w:bottom w:w="0" w:type="dxa"/>
                    <w:right w:w="28" w:type="dxa"/>
                  </w:tcMar>
                  <w:vAlign w:val="center"/>
                </w:tcPr>
                <w:p w14:paraId="10A116FD">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rPr>
                    <w:t>0.40</w:t>
                  </w:r>
                </w:p>
              </w:tc>
              <w:tc>
                <w:tcPr>
                  <w:tcW w:w="1241" w:type="pct"/>
                  <w:tcBorders>
                    <w:tl2br w:val="nil"/>
                    <w:tr2bl w:val="nil"/>
                  </w:tcBorders>
                  <w:tcMar>
                    <w:top w:w="0" w:type="dxa"/>
                    <w:left w:w="28" w:type="dxa"/>
                    <w:bottom w:w="0" w:type="dxa"/>
                    <w:right w:w="28" w:type="dxa"/>
                  </w:tcMar>
                  <w:vAlign w:val="center"/>
                </w:tcPr>
                <w:p w14:paraId="5BCA43F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2520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tcBorders>
                    <w:tl2br w:val="nil"/>
                    <w:tr2bl w:val="nil"/>
                  </w:tcBorders>
                  <w:tcMar>
                    <w:top w:w="0" w:type="dxa"/>
                    <w:left w:w="28" w:type="dxa"/>
                    <w:bottom w:w="0" w:type="dxa"/>
                    <w:right w:w="28" w:type="dxa"/>
                  </w:tcMar>
                  <w:vAlign w:val="center"/>
                </w:tcPr>
                <w:p w14:paraId="304DC542">
                  <w:pPr>
                    <w:keepNext w:val="0"/>
                    <w:keepLines w:val="0"/>
                    <w:pageBreakBefore w:val="0"/>
                    <w:suppressLineNumbers w:val="0"/>
                    <w:kinsoku/>
                    <w:wordWrap/>
                    <w:overflowPunct/>
                    <w:topLinePunct w:val="0"/>
                    <w:autoSpaceDE/>
                    <w:autoSpaceDN/>
                    <w:bidi w:val="0"/>
                    <w:adjustRightInd/>
                    <w:snapToGrid/>
                    <w:spacing w:before="97" w:beforeAutospacing="0" w:after="0" w:afterAutospacing="0" w:line="227" w:lineRule="auto"/>
                    <w:ind w:left="121"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8"/>
                      <w:sz w:val="21"/>
                      <w:szCs w:val="21"/>
                    </w:rPr>
                    <w:t>施工生产生活区</w:t>
                  </w:r>
                </w:p>
              </w:tc>
              <w:tc>
                <w:tcPr>
                  <w:tcW w:w="1345" w:type="pct"/>
                  <w:tcBorders>
                    <w:tl2br w:val="nil"/>
                    <w:tr2bl w:val="nil"/>
                  </w:tcBorders>
                  <w:tcMar>
                    <w:top w:w="0" w:type="dxa"/>
                    <w:left w:w="28" w:type="dxa"/>
                    <w:bottom w:w="0" w:type="dxa"/>
                    <w:right w:w="28" w:type="dxa"/>
                  </w:tcMar>
                  <w:vAlign w:val="center"/>
                </w:tcPr>
                <w:p w14:paraId="3136B6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lang w:val="en-US" w:eastAsia="zh-CN"/>
                    </w:rPr>
                    <w:t>/</w:t>
                  </w:r>
                </w:p>
              </w:tc>
              <w:tc>
                <w:tcPr>
                  <w:tcW w:w="2187" w:type="dxa"/>
                  <w:tcBorders>
                    <w:tl2br w:val="nil"/>
                    <w:tr2bl w:val="nil"/>
                  </w:tcBorders>
                  <w:tcMar>
                    <w:top w:w="0" w:type="dxa"/>
                    <w:left w:w="28" w:type="dxa"/>
                    <w:bottom w:w="0" w:type="dxa"/>
                    <w:right w:w="28" w:type="dxa"/>
                  </w:tcMar>
                  <w:vAlign w:val="center"/>
                </w:tcPr>
                <w:p w14:paraId="7A3FD8A4">
                  <w:pPr>
                    <w:pStyle w:val="3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2"/>
                      <w:sz w:val="21"/>
                      <w:szCs w:val="21"/>
                    </w:rPr>
                    <w:t>0.48</w:t>
                  </w:r>
                </w:p>
              </w:tc>
              <w:tc>
                <w:tcPr>
                  <w:tcW w:w="1241" w:type="pct"/>
                  <w:tcBorders>
                    <w:tl2br w:val="nil"/>
                    <w:tr2bl w:val="nil"/>
                  </w:tcBorders>
                  <w:tcMar>
                    <w:top w:w="0" w:type="dxa"/>
                    <w:left w:w="28" w:type="dxa"/>
                    <w:bottom w:w="0" w:type="dxa"/>
                    <w:right w:w="28" w:type="dxa"/>
                  </w:tcMar>
                  <w:vAlign w:val="center"/>
                </w:tcPr>
                <w:p w14:paraId="2CDF1B3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r>
            <w:tr w14:paraId="466D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pct"/>
                  <w:tcBorders>
                    <w:tl2br w:val="nil"/>
                    <w:tr2bl w:val="nil"/>
                  </w:tcBorders>
                  <w:tcMar>
                    <w:top w:w="0" w:type="dxa"/>
                    <w:left w:w="28" w:type="dxa"/>
                    <w:bottom w:w="0" w:type="dxa"/>
                    <w:right w:w="28" w:type="dxa"/>
                  </w:tcMar>
                  <w:vAlign w:val="center"/>
                </w:tcPr>
                <w:p w14:paraId="78BEEC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1345" w:type="pct"/>
                  <w:tcBorders>
                    <w:tl2br w:val="nil"/>
                    <w:tr2bl w:val="nil"/>
                  </w:tcBorders>
                  <w:tcMar>
                    <w:top w:w="0" w:type="dxa"/>
                    <w:left w:w="28" w:type="dxa"/>
                    <w:bottom w:w="0" w:type="dxa"/>
                    <w:right w:w="28" w:type="dxa"/>
                  </w:tcMar>
                  <w:vAlign w:val="center"/>
                </w:tcPr>
                <w:p w14:paraId="49774A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18.82</w:t>
                  </w:r>
                </w:p>
              </w:tc>
              <w:tc>
                <w:tcPr>
                  <w:tcW w:w="1208" w:type="pct"/>
                  <w:tcBorders>
                    <w:tl2br w:val="nil"/>
                    <w:tr2bl w:val="nil"/>
                  </w:tcBorders>
                  <w:tcMar>
                    <w:top w:w="0" w:type="dxa"/>
                    <w:left w:w="28" w:type="dxa"/>
                    <w:bottom w:w="0" w:type="dxa"/>
                    <w:right w:w="28" w:type="dxa"/>
                  </w:tcMar>
                  <w:vAlign w:val="center"/>
                </w:tcPr>
                <w:p w14:paraId="3F97DA7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w:t>
                  </w:r>
                </w:p>
              </w:tc>
              <w:tc>
                <w:tcPr>
                  <w:tcW w:w="1241" w:type="pct"/>
                  <w:tcBorders>
                    <w:tl2br w:val="nil"/>
                    <w:tr2bl w:val="nil"/>
                  </w:tcBorders>
                  <w:tcMar>
                    <w:top w:w="0" w:type="dxa"/>
                    <w:left w:w="28" w:type="dxa"/>
                    <w:bottom w:w="0" w:type="dxa"/>
                    <w:right w:w="28" w:type="dxa"/>
                  </w:tcMar>
                  <w:vAlign w:val="center"/>
                </w:tcPr>
                <w:p w14:paraId="4C1E9D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614E4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5、土石方平衡</w:t>
            </w:r>
          </w:p>
          <w:p w14:paraId="546FBFFF">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53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4"/>
                <w:sz w:val="24"/>
                <w:szCs w:val="24"/>
              </w:rPr>
              <w:t>主体设计充分尊重地形，遵循尽量减少土方、就近调配利用的原则</w:t>
            </w:r>
            <w:r>
              <w:rPr>
                <w:rFonts w:hint="default" w:ascii="Times New Roman" w:hAnsi="Times New Roman" w:eastAsia="宋体" w:cs="Times New Roman"/>
                <w:spacing w:val="13"/>
                <w:sz w:val="24"/>
                <w:szCs w:val="24"/>
              </w:rPr>
              <w:t>，本项</w:t>
            </w:r>
            <w:r>
              <w:rPr>
                <w:rFonts w:hint="default" w:ascii="Times New Roman" w:hAnsi="Times New Roman" w:eastAsia="宋体" w:cs="Times New Roman"/>
                <w:spacing w:val="7"/>
                <w:sz w:val="24"/>
                <w:szCs w:val="24"/>
              </w:rPr>
              <w:t>目土石方挖填总量为68.</w:t>
            </w:r>
            <w:r>
              <w:rPr>
                <w:rFonts w:hint="eastAsia" w:cs="Times New Roman"/>
                <w:spacing w:val="7"/>
                <w:sz w:val="24"/>
                <w:szCs w:val="24"/>
                <w:lang w:val="en-US" w:eastAsia="zh-CN"/>
              </w:rPr>
              <w:t>7</w:t>
            </w:r>
            <w:r>
              <w:rPr>
                <w:rFonts w:hint="default" w:ascii="Times New Roman" w:hAnsi="Times New Roman" w:eastAsia="宋体" w:cs="Times New Roman"/>
                <w:spacing w:val="7"/>
                <w:sz w:val="24"/>
                <w:szCs w:val="24"/>
              </w:rPr>
              <w:t>8万m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rPr>
              <w:t>，其中挖方34.3</w:t>
            </w:r>
            <w:r>
              <w:rPr>
                <w:rFonts w:hint="eastAsia" w:cs="Times New Roman"/>
                <w:spacing w:val="7"/>
                <w:sz w:val="24"/>
                <w:szCs w:val="24"/>
                <w:lang w:val="en-US" w:eastAsia="zh-CN"/>
              </w:rPr>
              <w:t>9</w:t>
            </w:r>
            <w:r>
              <w:rPr>
                <w:rFonts w:hint="default" w:ascii="Times New Roman" w:hAnsi="Times New Roman" w:eastAsia="宋体" w:cs="Times New Roman"/>
                <w:spacing w:val="7"/>
                <w:sz w:val="24"/>
                <w:szCs w:val="24"/>
              </w:rPr>
              <w:t>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rPr>
              <w:t>，填方</w:t>
            </w:r>
            <w:r>
              <w:rPr>
                <w:rFonts w:hint="default" w:ascii="Times New Roman" w:hAnsi="Times New Roman" w:eastAsia="宋体" w:cs="Times New Roman"/>
                <w:spacing w:val="6"/>
                <w:sz w:val="24"/>
                <w:szCs w:val="24"/>
              </w:rPr>
              <w:t>34.3</w:t>
            </w:r>
            <w:r>
              <w:rPr>
                <w:rFonts w:hint="eastAsia" w:cs="Times New Roman"/>
                <w:spacing w:val="6"/>
                <w:sz w:val="24"/>
                <w:szCs w:val="24"/>
                <w:lang w:val="en-US" w:eastAsia="zh-CN"/>
              </w:rPr>
              <w:t>9</w:t>
            </w:r>
            <w:r>
              <w:rPr>
                <w:rFonts w:hint="default" w:ascii="Times New Roman" w:hAnsi="Times New Roman" w:eastAsia="宋体" w:cs="Times New Roman"/>
                <w:spacing w:val="6"/>
                <w:sz w:val="24"/>
                <w:szCs w:val="24"/>
              </w:rPr>
              <w:t>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6"/>
                <w:sz w:val="24"/>
                <w:szCs w:val="24"/>
              </w:rPr>
              <w:t>，无借方，无弃方。土石方平衡和流向框图详见表2-1，图2-1。</w:t>
            </w:r>
          </w:p>
          <w:p w14:paraId="1930E411">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4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（1）水库工程区</w:t>
            </w:r>
          </w:p>
          <w:p w14:paraId="767B7767">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52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水库工程区挖方总量为34.3</w:t>
            </w:r>
            <w:r>
              <w:rPr>
                <w:rFonts w:hint="eastAsia" w:cs="Times New Roman"/>
                <w:spacing w:val="11"/>
                <w:sz w:val="24"/>
                <w:szCs w:val="24"/>
                <w:lang w:val="en-US" w:eastAsia="zh-CN"/>
              </w:rPr>
              <w:t>4</w:t>
            </w:r>
            <w:r>
              <w:rPr>
                <w:rFonts w:hint="default" w:ascii="Times New Roman" w:hAnsi="Times New Roman" w:eastAsia="宋体" w:cs="Times New Roman"/>
                <w:spacing w:val="11"/>
                <w:sz w:val="24"/>
                <w:szCs w:val="24"/>
              </w:rPr>
              <w:t>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11"/>
                <w:sz w:val="24"/>
                <w:szCs w:val="24"/>
              </w:rPr>
              <w:t>，其中场地平整平均厚度0.20m，开挖</w:t>
            </w:r>
            <w:r>
              <w:rPr>
                <w:rFonts w:hint="default" w:ascii="Times New Roman" w:hAnsi="Times New Roman" w:eastAsia="宋体" w:cs="Times New Roman"/>
                <w:spacing w:val="3"/>
                <w:sz w:val="24"/>
                <w:szCs w:val="24"/>
              </w:rPr>
              <w:t>量0.38万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3"/>
                <w:sz w:val="24"/>
                <w:szCs w:val="24"/>
              </w:rPr>
              <w:t>，水库基础开挖水库高程为1450.483</w:t>
            </w:r>
            <w:r>
              <w:rPr>
                <w:rFonts w:hint="default" w:ascii="Times New Roman" w:hAnsi="Times New Roman" w:eastAsia="宋体" w:cs="Times New Roman"/>
                <w:spacing w:val="2"/>
                <w:sz w:val="24"/>
                <w:szCs w:val="24"/>
              </w:rPr>
              <w:t>m，库底高程为1446.70m，挖</w:t>
            </w:r>
            <w:r>
              <w:rPr>
                <w:rFonts w:hint="default" w:ascii="Times New Roman" w:hAnsi="Times New Roman" w:eastAsia="宋体" w:cs="Times New Roman"/>
                <w:spacing w:val="7"/>
                <w:sz w:val="24"/>
                <w:szCs w:val="24"/>
              </w:rPr>
              <w:t>深3.783m，开挖上宽口311.048m，下宽口274m，开挖土石方33.53万m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6"/>
                <w:sz w:val="24"/>
                <w:szCs w:val="24"/>
              </w:rPr>
              <w:t>；泵</w:t>
            </w:r>
            <w:r>
              <w:rPr>
                <w:rFonts w:hint="default" w:ascii="Times New Roman" w:hAnsi="Times New Roman" w:eastAsia="宋体" w:cs="Times New Roman"/>
                <w:spacing w:val="10"/>
                <w:sz w:val="24"/>
                <w:szCs w:val="24"/>
              </w:rPr>
              <w:t>站基础断面上口宽21.10m，下口宽13.9m，深4.8m，基础长8.9</w:t>
            </w:r>
            <w:r>
              <w:rPr>
                <w:rFonts w:hint="default" w:ascii="Times New Roman" w:hAnsi="Times New Roman" w:eastAsia="宋体" w:cs="Times New Roman"/>
                <w:spacing w:val="9"/>
                <w:sz w:val="24"/>
                <w:szCs w:val="24"/>
              </w:rPr>
              <w:t>m，共计开挖土方0.07万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9"/>
                <w:sz w:val="24"/>
                <w:szCs w:val="24"/>
              </w:rPr>
              <w:t>；管沟开挖呈梯形断面，上口宽约4.45m，底宽约2.20m，深</w:t>
            </w:r>
            <w:r>
              <w:rPr>
                <w:rFonts w:hint="default" w:ascii="Times New Roman" w:hAnsi="Times New Roman" w:eastAsia="宋体" w:cs="Times New Roman"/>
                <w:spacing w:val="2"/>
                <w:sz w:val="24"/>
                <w:szCs w:val="24"/>
              </w:rPr>
              <w:t>1.50m，平均边坡系数为1:0.75，共</w:t>
            </w:r>
            <w:r>
              <w:rPr>
                <w:rFonts w:hint="default" w:ascii="Times New Roman" w:hAnsi="Times New Roman" w:eastAsia="宋体" w:cs="Times New Roman"/>
                <w:spacing w:val="1"/>
                <w:sz w:val="24"/>
                <w:szCs w:val="24"/>
              </w:rPr>
              <w:t>计开挖0.18万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1"/>
                <w:sz w:val="24"/>
                <w:szCs w:val="24"/>
              </w:rPr>
              <w:t>；回填总量为34.3</w:t>
            </w:r>
            <w:r>
              <w:rPr>
                <w:rFonts w:hint="eastAsia" w:cs="Times New Roman"/>
                <w:spacing w:val="1"/>
                <w:sz w:val="24"/>
                <w:szCs w:val="24"/>
                <w:lang w:val="en-US" w:eastAsia="zh-CN"/>
              </w:rPr>
              <w:t>4</w:t>
            </w:r>
            <w:r>
              <w:rPr>
                <w:rFonts w:hint="default" w:ascii="Times New Roman" w:hAnsi="Times New Roman" w:eastAsia="宋体" w:cs="Times New Roman"/>
                <w:spacing w:val="1"/>
                <w:sz w:val="24"/>
                <w:szCs w:val="24"/>
              </w:rPr>
              <w:t>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6"/>
                <w:sz w:val="24"/>
                <w:szCs w:val="24"/>
              </w:rPr>
              <w:t>场地平整土石方0.56</w:t>
            </w:r>
            <w:r>
              <w:rPr>
                <w:rFonts w:hint="eastAsia" w:ascii="Times New Roman" w:hAnsi="Times New Roman" w:eastAsia="宋体" w:cs="Times New Roman"/>
                <w:spacing w:val="6"/>
                <w:sz w:val="24"/>
                <w:szCs w:val="24"/>
                <w:lang w:eastAsia="zh-CN"/>
              </w:rPr>
              <w:t>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6"/>
                <w:sz w:val="24"/>
                <w:szCs w:val="24"/>
              </w:rPr>
              <w:t>，水库基础回填33.53万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6"/>
                <w:sz w:val="24"/>
                <w:szCs w:val="24"/>
              </w:rPr>
              <w:t>，管线回填0.1</w:t>
            </w:r>
            <w:r>
              <w:rPr>
                <w:rFonts w:hint="default" w:ascii="Times New Roman" w:hAnsi="Times New Roman" w:eastAsia="宋体" w:cs="Times New Roman"/>
                <w:spacing w:val="5"/>
                <w:sz w:val="24"/>
                <w:szCs w:val="24"/>
              </w:rPr>
              <w:t>4万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2"/>
                <w:sz w:val="24"/>
                <w:szCs w:val="24"/>
              </w:rPr>
              <w:t>泵站基础回填0.07万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2"/>
                <w:sz w:val="24"/>
                <w:szCs w:val="24"/>
              </w:rPr>
              <w:t>；区间利用0.18万</w:t>
            </w:r>
            <w:r>
              <w:rPr>
                <w:rFonts w:hint="default" w:ascii="Times New Roman" w:hAnsi="Times New Roman" w:eastAsia="宋体" w:cs="Times New Roman"/>
                <w:spacing w:val="7"/>
                <w:sz w:val="24"/>
                <w:szCs w:val="24"/>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2"/>
                <w:sz w:val="24"/>
                <w:szCs w:val="24"/>
              </w:rPr>
              <w:t>；无借方；无弃方。</w:t>
            </w:r>
          </w:p>
          <w:p w14:paraId="4592922E">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1"/>
                <w:sz w:val="24"/>
                <w:szCs w:val="24"/>
              </w:rPr>
              <w:t>（</w:t>
            </w:r>
            <w:r>
              <w:rPr>
                <w:rFonts w:hint="eastAsia" w:ascii="Times New Roman" w:hAnsi="Times New Roman" w:eastAsia="宋体" w:cs="Times New Roman"/>
                <w:spacing w:val="-1"/>
                <w:sz w:val="24"/>
                <w:szCs w:val="24"/>
                <w:lang w:val="en-US" w:eastAsia="zh-CN"/>
              </w:rPr>
              <w:t>2</w:t>
            </w:r>
            <w:r>
              <w:rPr>
                <w:rFonts w:hint="default" w:ascii="Times New Roman" w:hAnsi="Times New Roman" w:eastAsia="宋体" w:cs="Times New Roman"/>
                <w:spacing w:val="-1"/>
                <w:sz w:val="24"/>
                <w:szCs w:val="24"/>
              </w:rPr>
              <w:t>）临时堆土</w:t>
            </w:r>
            <w:r>
              <w:rPr>
                <w:rFonts w:hint="eastAsia" w:ascii="Times New Roman" w:hAnsi="Times New Roman" w:eastAsia="宋体" w:cs="Times New Roman"/>
                <w:spacing w:val="-1"/>
                <w:sz w:val="24"/>
                <w:szCs w:val="24"/>
                <w:lang w:eastAsia="zh-CN"/>
              </w:rPr>
              <w:t>场</w:t>
            </w:r>
          </w:p>
          <w:p w14:paraId="5F0F4568">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临时堆土区挖方总量0.05万</w:t>
            </w:r>
            <w:r>
              <w:rPr>
                <w:rFonts w:hint="default" w:ascii="Times New Roman" w:hAnsi="Times New Roman" w:eastAsia="宋体" w:cs="Times New Roman"/>
                <w:spacing w:val="7"/>
                <w:sz w:val="24"/>
                <w:szCs w:val="24"/>
                <w:lang w:val="en-US" w:eastAsia="zh-CN"/>
              </w:rPr>
              <w:t>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lang w:val="en-US" w:eastAsia="zh-CN"/>
              </w:rPr>
              <w:t>，</w:t>
            </w:r>
            <w:r>
              <w:rPr>
                <w:rFonts w:hint="default" w:ascii="Times New Roman" w:hAnsi="Times New Roman" w:eastAsia="宋体" w:cs="Times New Roman"/>
                <w:spacing w:val="7"/>
                <w:sz w:val="24"/>
                <w:szCs w:val="24"/>
              </w:rPr>
              <w:t>均为场地</w:t>
            </w:r>
            <w:r>
              <w:rPr>
                <w:rFonts w:hint="default" w:ascii="Times New Roman" w:hAnsi="Times New Roman" w:eastAsia="宋体" w:cs="Times New Roman"/>
                <w:spacing w:val="6"/>
                <w:sz w:val="24"/>
                <w:szCs w:val="24"/>
              </w:rPr>
              <w:t>平整土方，全部进行回填；无借</w:t>
            </w:r>
            <w:r>
              <w:rPr>
                <w:rFonts w:hint="default" w:ascii="Times New Roman" w:hAnsi="Times New Roman" w:eastAsia="宋体" w:cs="Times New Roman"/>
                <w:spacing w:val="-1"/>
                <w:sz w:val="24"/>
                <w:szCs w:val="24"/>
              </w:rPr>
              <w:t>方，无弃方。</w:t>
            </w:r>
          </w:p>
          <w:p w14:paraId="7B17632D">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sz w:val="15"/>
                <w:szCs w:val="15"/>
              </w:rPr>
            </w:pPr>
            <w:r>
              <w:rPr>
                <w:rFonts w:hint="default"/>
                <w:b/>
                <w:bCs/>
                <w:spacing w:val="4"/>
                <w:sz w:val="23"/>
                <w:szCs w:val="23"/>
              </w:rPr>
              <w:t>表</w:t>
            </w:r>
            <w:r>
              <w:rPr>
                <w:rFonts w:hint="default" w:ascii="Times New Roman" w:hAnsi="Times New Roman" w:eastAsia="Times New Roman" w:cs="Times New Roman"/>
                <w:b/>
                <w:bCs/>
                <w:spacing w:val="4"/>
                <w:sz w:val="23"/>
                <w:szCs w:val="23"/>
              </w:rPr>
              <w:t>2-1</w:t>
            </w:r>
            <w:r>
              <w:rPr>
                <w:rFonts w:hint="default"/>
                <w:b/>
                <w:bCs/>
                <w:spacing w:val="4"/>
                <w:sz w:val="23"/>
                <w:szCs w:val="23"/>
              </w:rPr>
              <w:t>土石方平衡表单位：万</w:t>
            </w:r>
            <w:r>
              <w:rPr>
                <w:rFonts w:hint="default" w:ascii="Times New Roman" w:hAnsi="Times New Roman" w:eastAsia="Times New Roman" w:cs="Times New Roman"/>
                <w:b/>
                <w:bCs/>
                <w:spacing w:val="4"/>
                <w:sz w:val="23"/>
                <w:szCs w:val="23"/>
              </w:rPr>
              <w:t>m</w:t>
            </w:r>
            <w:r>
              <w:rPr>
                <w:rFonts w:hint="default" w:ascii="Times New Roman" w:hAnsi="Times New Roman" w:eastAsia="Times New Roman" w:cs="Times New Roman"/>
                <w:b/>
                <w:bCs/>
                <w:spacing w:val="4"/>
                <w:position w:val="7"/>
                <w:sz w:val="15"/>
                <w:szCs w:val="15"/>
              </w:rPr>
              <w:t>3</w:t>
            </w:r>
          </w:p>
          <w:tbl>
            <w:tblPr>
              <w:tblStyle w:val="69"/>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5"/>
              <w:gridCol w:w="637"/>
              <w:gridCol w:w="2233"/>
              <w:gridCol w:w="603"/>
              <w:gridCol w:w="603"/>
              <w:gridCol w:w="532"/>
              <w:gridCol w:w="545"/>
              <w:gridCol w:w="532"/>
              <w:gridCol w:w="545"/>
              <w:gridCol w:w="532"/>
              <w:gridCol w:w="545"/>
              <w:gridCol w:w="534"/>
              <w:gridCol w:w="548"/>
            </w:tblGrid>
            <w:tr w14:paraId="12D91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23" w:type="pct"/>
                  <w:vMerge w:val="restart"/>
                  <w:tcBorders>
                    <w:bottom w:val="nil"/>
                  </w:tcBorders>
                  <w:vAlign w:val="center"/>
                </w:tcPr>
                <w:p w14:paraId="040FE06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分区</w:t>
                  </w:r>
                </w:p>
              </w:tc>
              <w:tc>
                <w:tcPr>
                  <w:tcW w:w="348" w:type="pct"/>
                  <w:vMerge w:val="restart"/>
                  <w:tcBorders>
                    <w:bottom w:val="nil"/>
                  </w:tcBorders>
                  <w:vAlign w:val="center"/>
                </w:tcPr>
                <w:p w14:paraId="746EEEA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编号</w:t>
                  </w:r>
                </w:p>
              </w:tc>
              <w:tc>
                <w:tcPr>
                  <w:tcW w:w="1217" w:type="pct"/>
                  <w:vMerge w:val="restart"/>
                  <w:tcBorders>
                    <w:bottom w:val="nil"/>
                  </w:tcBorders>
                  <w:vAlign w:val="center"/>
                </w:tcPr>
                <w:p w14:paraId="49FFF0E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项目</w:t>
                  </w:r>
                </w:p>
              </w:tc>
              <w:tc>
                <w:tcPr>
                  <w:tcW w:w="329" w:type="pct"/>
                  <w:vMerge w:val="restart"/>
                  <w:tcBorders>
                    <w:bottom w:val="nil"/>
                  </w:tcBorders>
                  <w:vAlign w:val="center"/>
                </w:tcPr>
                <w:p w14:paraId="375D252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p w14:paraId="052E3EF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3"/>
                      <w:sz w:val="21"/>
                      <w:szCs w:val="21"/>
                    </w:rPr>
                    <w:t>开挖</w:t>
                  </w:r>
                </w:p>
              </w:tc>
              <w:tc>
                <w:tcPr>
                  <w:tcW w:w="329" w:type="pct"/>
                  <w:vMerge w:val="restart"/>
                  <w:tcBorders>
                    <w:bottom w:val="nil"/>
                  </w:tcBorders>
                  <w:vAlign w:val="center"/>
                </w:tcPr>
                <w:p w14:paraId="592F2C9E">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p w14:paraId="2F0CBA1F">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
                      <w:sz w:val="21"/>
                      <w:szCs w:val="21"/>
                    </w:rPr>
                    <w:t>回填</w:t>
                  </w:r>
                </w:p>
              </w:tc>
              <w:tc>
                <w:tcPr>
                  <w:tcW w:w="587" w:type="pct"/>
                  <w:gridSpan w:val="2"/>
                  <w:vAlign w:val="center"/>
                </w:tcPr>
                <w:p w14:paraId="67215B6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调入</w:t>
                  </w:r>
                </w:p>
              </w:tc>
              <w:tc>
                <w:tcPr>
                  <w:tcW w:w="587" w:type="pct"/>
                  <w:gridSpan w:val="2"/>
                  <w:vAlign w:val="center"/>
                </w:tcPr>
                <w:p w14:paraId="6B03A2E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调出</w:t>
                  </w:r>
                </w:p>
              </w:tc>
              <w:tc>
                <w:tcPr>
                  <w:tcW w:w="587" w:type="pct"/>
                  <w:gridSpan w:val="2"/>
                  <w:vAlign w:val="center"/>
                </w:tcPr>
                <w:p w14:paraId="566B69AE">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7"/>
                      <w:sz w:val="21"/>
                      <w:szCs w:val="21"/>
                    </w:rPr>
                    <w:t>借方</w:t>
                  </w:r>
                </w:p>
              </w:tc>
              <w:tc>
                <w:tcPr>
                  <w:tcW w:w="590" w:type="pct"/>
                  <w:gridSpan w:val="2"/>
                  <w:vAlign w:val="center"/>
                </w:tcPr>
                <w:p w14:paraId="0025331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弃方</w:t>
                  </w:r>
                </w:p>
              </w:tc>
            </w:tr>
            <w:tr w14:paraId="3B9D5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3" w:type="pct"/>
                  <w:vMerge w:val="continue"/>
                  <w:tcBorders>
                    <w:top w:val="nil"/>
                  </w:tcBorders>
                  <w:vAlign w:val="center"/>
                </w:tcPr>
                <w:p w14:paraId="5C20F26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348" w:type="pct"/>
                  <w:vMerge w:val="continue"/>
                  <w:tcBorders>
                    <w:top w:val="nil"/>
                  </w:tcBorders>
                  <w:vAlign w:val="center"/>
                </w:tcPr>
                <w:p w14:paraId="508E82F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1217" w:type="pct"/>
                  <w:vMerge w:val="continue"/>
                  <w:tcBorders>
                    <w:top w:val="nil"/>
                  </w:tcBorders>
                  <w:vAlign w:val="center"/>
                </w:tcPr>
                <w:p w14:paraId="06D37BFF">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329" w:type="pct"/>
                  <w:vMerge w:val="continue"/>
                  <w:tcBorders>
                    <w:top w:val="nil"/>
                  </w:tcBorders>
                  <w:vAlign w:val="center"/>
                </w:tcPr>
                <w:p w14:paraId="239BF7E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329" w:type="pct"/>
                  <w:vMerge w:val="continue"/>
                  <w:tcBorders>
                    <w:top w:val="nil"/>
                  </w:tcBorders>
                  <w:vAlign w:val="center"/>
                </w:tcPr>
                <w:p w14:paraId="42EB3BC2">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290" w:type="pct"/>
                  <w:vAlign w:val="center"/>
                </w:tcPr>
                <w:p w14:paraId="38ADAB03">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数量</w:t>
                  </w:r>
                </w:p>
              </w:tc>
              <w:tc>
                <w:tcPr>
                  <w:tcW w:w="296" w:type="pct"/>
                  <w:vAlign w:val="center"/>
                </w:tcPr>
                <w:p w14:paraId="7AB49D17">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来源</w:t>
                  </w:r>
                </w:p>
              </w:tc>
              <w:tc>
                <w:tcPr>
                  <w:tcW w:w="290" w:type="pct"/>
                  <w:vAlign w:val="center"/>
                </w:tcPr>
                <w:p w14:paraId="00286A8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数量</w:t>
                  </w:r>
                </w:p>
              </w:tc>
              <w:tc>
                <w:tcPr>
                  <w:tcW w:w="296" w:type="pct"/>
                  <w:vAlign w:val="center"/>
                </w:tcPr>
                <w:p w14:paraId="4CD5264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去向</w:t>
                  </w:r>
                </w:p>
              </w:tc>
              <w:tc>
                <w:tcPr>
                  <w:tcW w:w="290" w:type="pct"/>
                  <w:vAlign w:val="center"/>
                </w:tcPr>
                <w:p w14:paraId="7D82A73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数量</w:t>
                  </w:r>
                </w:p>
              </w:tc>
              <w:tc>
                <w:tcPr>
                  <w:tcW w:w="296" w:type="pct"/>
                  <w:vAlign w:val="center"/>
                </w:tcPr>
                <w:p w14:paraId="3335642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来源</w:t>
                  </w:r>
                </w:p>
              </w:tc>
              <w:tc>
                <w:tcPr>
                  <w:tcW w:w="291" w:type="pct"/>
                  <w:vAlign w:val="center"/>
                </w:tcPr>
                <w:p w14:paraId="2D7CFD6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数量</w:t>
                  </w:r>
                </w:p>
              </w:tc>
              <w:tc>
                <w:tcPr>
                  <w:tcW w:w="298" w:type="pct"/>
                  <w:vAlign w:val="center"/>
                </w:tcPr>
                <w:p w14:paraId="32031663">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去向</w:t>
                  </w:r>
                </w:p>
              </w:tc>
            </w:tr>
            <w:tr w14:paraId="4569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3" w:type="pct"/>
                  <w:vMerge w:val="restart"/>
                  <w:tcBorders>
                    <w:bottom w:val="nil"/>
                  </w:tcBorders>
                  <w:vAlign w:val="center"/>
                </w:tcPr>
                <w:p w14:paraId="27AB9CC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水库工程区</w:t>
                  </w:r>
                </w:p>
              </w:tc>
              <w:tc>
                <w:tcPr>
                  <w:tcW w:w="348" w:type="pct"/>
                  <w:vAlign w:val="center"/>
                </w:tcPr>
                <w:p w14:paraId="220C9C48">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17" w:type="pct"/>
                  <w:vAlign w:val="center"/>
                </w:tcPr>
                <w:p w14:paraId="6E604047">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场地平整</w:t>
                  </w:r>
                </w:p>
              </w:tc>
              <w:tc>
                <w:tcPr>
                  <w:tcW w:w="329" w:type="pct"/>
                  <w:vAlign w:val="center"/>
                </w:tcPr>
                <w:p w14:paraId="3462220F">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0.38</w:t>
                  </w:r>
                </w:p>
              </w:tc>
              <w:tc>
                <w:tcPr>
                  <w:tcW w:w="329" w:type="pct"/>
                  <w:vAlign w:val="center"/>
                </w:tcPr>
                <w:p w14:paraId="16124F4D">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0.56</w:t>
                  </w:r>
                </w:p>
              </w:tc>
              <w:tc>
                <w:tcPr>
                  <w:tcW w:w="290" w:type="pct"/>
                  <w:vAlign w:val="center"/>
                </w:tcPr>
                <w:p w14:paraId="64E4C737">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96" w:type="pct"/>
                  <w:vAlign w:val="center"/>
                </w:tcPr>
                <w:p w14:paraId="25C2EBF6">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25EE6FF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7887E1B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7F31557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407A64A1">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6E551E2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5703F9F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68B63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3" w:type="pct"/>
                  <w:vMerge w:val="continue"/>
                  <w:tcBorders>
                    <w:top w:val="nil"/>
                    <w:bottom w:val="nil"/>
                  </w:tcBorders>
                  <w:vAlign w:val="center"/>
                </w:tcPr>
                <w:p w14:paraId="778C597C">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348" w:type="pct"/>
                  <w:vAlign w:val="center"/>
                </w:tcPr>
                <w:p w14:paraId="60DEF3B2">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w:t>
                  </w:r>
                </w:p>
              </w:tc>
              <w:tc>
                <w:tcPr>
                  <w:tcW w:w="1217" w:type="pct"/>
                  <w:vAlign w:val="center"/>
                </w:tcPr>
                <w:p w14:paraId="16BD485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水库基础开挖及回填</w:t>
                  </w:r>
                </w:p>
              </w:tc>
              <w:tc>
                <w:tcPr>
                  <w:tcW w:w="329" w:type="pct"/>
                  <w:vAlign w:val="center"/>
                </w:tcPr>
                <w:p w14:paraId="34EEBC71">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33.53</w:t>
                  </w:r>
                </w:p>
              </w:tc>
              <w:tc>
                <w:tcPr>
                  <w:tcW w:w="329" w:type="pct"/>
                  <w:vAlign w:val="center"/>
                </w:tcPr>
                <w:p w14:paraId="05CEA2F1">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33.53</w:t>
                  </w:r>
                </w:p>
              </w:tc>
              <w:tc>
                <w:tcPr>
                  <w:tcW w:w="290" w:type="pct"/>
                  <w:vAlign w:val="center"/>
                </w:tcPr>
                <w:p w14:paraId="7F9D0EA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67BE4718">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14D97C73">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457F45A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0D198E98">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5826787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3228375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63094E1E">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55095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3" w:type="pct"/>
                  <w:vMerge w:val="continue"/>
                  <w:tcBorders>
                    <w:top w:val="nil"/>
                    <w:bottom w:val="nil"/>
                  </w:tcBorders>
                  <w:vAlign w:val="center"/>
                </w:tcPr>
                <w:p w14:paraId="02D43BCF">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348" w:type="pct"/>
                  <w:vAlign w:val="center"/>
                </w:tcPr>
                <w:p w14:paraId="3BA4DC8C">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17" w:type="pct"/>
                  <w:vAlign w:val="center"/>
                </w:tcPr>
                <w:p w14:paraId="682BDE2F">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管沟开挖及回填</w:t>
                  </w:r>
                </w:p>
              </w:tc>
              <w:tc>
                <w:tcPr>
                  <w:tcW w:w="329" w:type="pct"/>
                  <w:vAlign w:val="center"/>
                </w:tcPr>
                <w:p w14:paraId="195A73E1">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0.1</w:t>
                  </w:r>
                  <w:r>
                    <w:rPr>
                      <w:rFonts w:hint="eastAsia" w:ascii="Times New Roman" w:hAnsi="Times New Roman" w:cs="Times New Roman"/>
                      <w:spacing w:val="2"/>
                      <w:sz w:val="21"/>
                      <w:szCs w:val="21"/>
                      <w:lang w:val="en-US" w:eastAsia="zh-CN"/>
                    </w:rPr>
                    <w:t>8</w:t>
                  </w:r>
                </w:p>
              </w:tc>
              <w:tc>
                <w:tcPr>
                  <w:tcW w:w="329" w:type="pct"/>
                  <w:vAlign w:val="center"/>
                </w:tcPr>
                <w:p w14:paraId="507F621B">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0.1</w:t>
                  </w:r>
                  <w:r>
                    <w:rPr>
                      <w:rFonts w:hint="eastAsia" w:ascii="Times New Roman" w:hAnsi="Times New Roman" w:cs="Times New Roman"/>
                      <w:spacing w:val="2"/>
                      <w:sz w:val="21"/>
                      <w:szCs w:val="21"/>
                      <w:lang w:val="en-US" w:eastAsia="zh-CN"/>
                    </w:rPr>
                    <w:t>8</w:t>
                  </w:r>
                </w:p>
              </w:tc>
              <w:tc>
                <w:tcPr>
                  <w:tcW w:w="290" w:type="pct"/>
                  <w:vAlign w:val="center"/>
                </w:tcPr>
                <w:p w14:paraId="4AFEE6A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74847B9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05F32EDC">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09459D18">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5E6472E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7A6BF16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63A79767">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07075EAC">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1FC96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3" w:type="pct"/>
                  <w:vMerge w:val="continue"/>
                  <w:tcBorders>
                    <w:top w:val="nil"/>
                    <w:bottom w:val="nil"/>
                  </w:tcBorders>
                  <w:vAlign w:val="center"/>
                </w:tcPr>
                <w:p w14:paraId="1DF15B72">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348" w:type="pct"/>
                  <w:vAlign w:val="center"/>
                </w:tcPr>
                <w:p w14:paraId="2B838202">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4</w:t>
                  </w:r>
                </w:p>
              </w:tc>
              <w:tc>
                <w:tcPr>
                  <w:tcW w:w="1217" w:type="pct"/>
                  <w:vAlign w:val="center"/>
                </w:tcPr>
                <w:p w14:paraId="3258B13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泵站基础开挖及回填</w:t>
                  </w:r>
                </w:p>
              </w:tc>
              <w:tc>
                <w:tcPr>
                  <w:tcW w:w="329" w:type="pct"/>
                  <w:vAlign w:val="center"/>
                </w:tcPr>
                <w:p w14:paraId="51F8CDBD">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0.07</w:t>
                  </w:r>
                </w:p>
              </w:tc>
              <w:tc>
                <w:tcPr>
                  <w:tcW w:w="329" w:type="pct"/>
                  <w:vAlign w:val="center"/>
                </w:tcPr>
                <w:p w14:paraId="4EF8C5CC">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0.07</w:t>
                  </w:r>
                </w:p>
              </w:tc>
              <w:tc>
                <w:tcPr>
                  <w:tcW w:w="290" w:type="pct"/>
                  <w:vAlign w:val="center"/>
                </w:tcPr>
                <w:p w14:paraId="488AE48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18E94A7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7BA495A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0DC14721">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757939A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5DDB373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27CAAE1C">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15F139B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37AA2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3" w:type="pct"/>
                  <w:vMerge w:val="continue"/>
                  <w:tcBorders>
                    <w:top w:val="nil"/>
                    <w:bottom w:val="nil"/>
                  </w:tcBorders>
                  <w:vAlign w:val="center"/>
                </w:tcPr>
                <w:p w14:paraId="029A928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348" w:type="pct"/>
                  <w:vAlign w:val="center"/>
                </w:tcPr>
                <w:p w14:paraId="5B8AE164">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17" w:type="pct"/>
                  <w:vAlign w:val="center"/>
                </w:tcPr>
                <w:p w14:paraId="4664A8F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排水工程开挖及回填</w:t>
                  </w:r>
                </w:p>
              </w:tc>
              <w:tc>
                <w:tcPr>
                  <w:tcW w:w="329" w:type="pct"/>
                  <w:vAlign w:val="center"/>
                </w:tcPr>
                <w:p w14:paraId="79B171EC">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329" w:type="pct"/>
                  <w:vAlign w:val="center"/>
                </w:tcPr>
                <w:p w14:paraId="1B9AA12D">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7216ACA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19D70E9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16D65017">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96" w:type="pct"/>
                  <w:vAlign w:val="center"/>
                </w:tcPr>
                <w:p w14:paraId="15635953">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5D1DABA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5918480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13E24112">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0AC1092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2E11C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3" w:type="pct"/>
                  <w:vMerge w:val="continue"/>
                  <w:tcBorders>
                    <w:top w:val="nil"/>
                  </w:tcBorders>
                  <w:vAlign w:val="center"/>
                </w:tcPr>
                <w:p w14:paraId="69C5054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566" w:type="pct"/>
                  <w:gridSpan w:val="2"/>
                  <w:vAlign w:val="center"/>
                </w:tcPr>
                <w:p w14:paraId="634991E9">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小计</w:t>
                  </w:r>
                </w:p>
              </w:tc>
              <w:tc>
                <w:tcPr>
                  <w:tcW w:w="329" w:type="pct"/>
                  <w:vAlign w:val="center"/>
                </w:tcPr>
                <w:p w14:paraId="5C4B33DD">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3"/>
                      <w:sz w:val="21"/>
                      <w:szCs w:val="21"/>
                    </w:rPr>
                    <w:t>34.3</w:t>
                  </w:r>
                  <w:r>
                    <w:rPr>
                      <w:rFonts w:hint="eastAsia" w:ascii="Times New Roman" w:hAnsi="Times New Roman" w:cs="Times New Roman"/>
                      <w:spacing w:val="3"/>
                      <w:sz w:val="21"/>
                      <w:szCs w:val="21"/>
                      <w:lang w:val="en-US" w:eastAsia="zh-CN"/>
                    </w:rPr>
                    <w:t>4</w:t>
                  </w:r>
                </w:p>
              </w:tc>
              <w:tc>
                <w:tcPr>
                  <w:tcW w:w="329" w:type="pct"/>
                  <w:vAlign w:val="center"/>
                </w:tcPr>
                <w:p w14:paraId="300AAA58">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3"/>
                      <w:sz w:val="21"/>
                      <w:szCs w:val="21"/>
                    </w:rPr>
                    <w:t>34.3</w:t>
                  </w:r>
                  <w:r>
                    <w:rPr>
                      <w:rFonts w:hint="eastAsia" w:ascii="Times New Roman" w:hAnsi="Times New Roman" w:cs="Times New Roman"/>
                      <w:spacing w:val="3"/>
                      <w:sz w:val="21"/>
                      <w:szCs w:val="21"/>
                      <w:lang w:val="en-US" w:eastAsia="zh-CN"/>
                    </w:rPr>
                    <w:t>4</w:t>
                  </w:r>
                </w:p>
              </w:tc>
              <w:tc>
                <w:tcPr>
                  <w:tcW w:w="290" w:type="pct"/>
                  <w:vAlign w:val="center"/>
                </w:tcPr>
                <w:p w14:paraId="5C30E62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62546EB9">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33068CC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0D65285D">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4D7592CB">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0.00</w:t>
                  </w:r>
                </w:p>
              </w:tc>
              <w:tc>
                <w:tcPr>
                  <w:tcW w:w="296" w:type="pct"/>
                  <w:vAlign w:val="center"/>
                </w:tcPr>
                <w:p w14:paraId="1800ABDE">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41A1D2E3">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0.00</w:t>
                  </w:r>
                </w:p>
              </w:tc>
              <w:tc>
                <w:tcPr>
                  <w:tcW w:w="298" w:type="pct"/>
                  <w:vAlign w:val="center"/>
                </w:tcPr>
                <w:p w14:paraId="024EA29A">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1C99D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3" w:type="pct"/>
                  <w:vAlign w:val="center"/>
                </w:tcPr>
                <w:p w14:paraId="2BFFBB41">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临时堆土</w:t>
                  </w:r>
                  <w:r>
                    <w:rPr>
                      <w:rFonts w:hint="eastAsia" w:ascii="Times New Roman" w:hAnsi="Times New Roman" w:eastAsia="宋体" w:cs="Times New Roman"/>
                      <w:spacing w:val="6"/>
                      <w:sz w:val="21"/>
                      <w:szCs w:val="21"/>
                      <w:lang w:eastAsia="zh-CN"/>
                    </w:rPr>
                    <w:t>场</w:t>
                  </w:r>
                </w:p>
              </w:tc>
              <w:tc>
                <w:tcPr>
                  <w:tcW w:w="348" w:type="pct"/>
                  <w:vAlign w:val="center"/>
                </w:tcPr>
                <w:p w14:paraId="391F4BE5">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17" w:type="pct"/>
                  <w:vAlign w:val="center"/>
                </w:tcPr>
                <w:p w14:paraId="2FDD500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场地平整</w:t>
                  </w:r>
                </w:p>
              </w:tc>
              <w:tc>
                <w:tcPr>
                  <w:tcW w:w="329" w:type="pct"/>
                  <w:vAlign w:val="center"/>
                </w:tcPr>
                <w:p w14:paraId="5073CF5C">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0.0</w:t>
                  </w:r>
                  <w:r>
                    <w:rPr>
                      <w:rFonts w:hint="eastAsia" w:ascii="Times New Roman" w:hAnsi="Times New Roman" w:cs="Times New Roman"/>
                      <w:spacing w:val="2"/>
                      <w:sz w:val="21"/>
                      <w:szCs w:val="21"/>
                      <w:lang w:val="en-US" w:eastAsia="zh-CN"/>
                    </w:rPr>
                    <w:t>5</w:t>
                  </w:r>
                </w:p>
              </w:tc>
              <w:tc>
                <w:tcPr>
                  <w:tcW w:w="329" w:type="pct"/>
                  <w:vAlign w:val="center"/>
                </w:tcPr>
                <w:p w14:paraId="45F3B4C1">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0.0</w:t>
                  </w:r>
                  <w:r>
                    <w:rPr>
                      <w:rFonts w:hint="eastAsia" w:ascii="Times New Roman" w:hAnsi="Times New Roman" w:cs="Times New Roman"/>
                      <w:spacing w:val="2"/>
                      <w:sz w:val="21"/>
                      <w:szCs w:val="21"/>
                      <w:lang w:val="en-US" w:eastAsia="zh-CN"/>
                    </w:rPr>
                    <w:t>5</w:t>
                  </w:r>
                </w:p>
              </w:tc>
              <w:tc>
                <w:tcPr>
                  <w:tcW w:w="290" w:type="pct"/>
                  <w:vAlign w:val="center"/>
                </w:tcPr>
                <w:p w14:paraId="2FEB170C">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3818427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6F2D0082">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78C9688B">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0" w:type="pct"/>
                  <w:vAlign w:val="center"/>
                </w:tcPr>
                <w:p w14:paraId="5B4AAB2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409ABEF6">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1" w:type="pct"/>
                  <w:vAlign w:val="center"/>
                </w:tcPr>
                <w:p w14:paraId="5AF42BA4">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8" w:type="pct"/>
                  <w:vAlign w:val="center"/>
                </w:tcPr>
                <w:p w14:paraId="3CF94F0E">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r w14:paraId="15344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89" w:type="pct"/>
                  <w:gridSpan w:val="3"/>
                  <w:vAlign w:val="center"/>
                </w:tcPr>
                <w:p w14:paraId="04E6BE30">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总计</w:t>
                  </w:r>
                </w:p>
              </w:tc>
              <w:tc>
                <w:tcPr>
                  <w:tcW w:w="329" w:type="pct"/>
                  <w:vAlign w:val="center"/>
                </w:tcPr>
                <w:p w14:paraId="3AE156FE">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3"/>
                      <w:sz w:val="21"/>
                      <w:szCs w:val="21"/>
                    </w:rPr>
                    <w:t>34.3</w:t>
                  </w:r>
                  <w:r>
                    <w:rPr>
                      <w:rFonts w:hint="eastAsia" w:ascii="Times New Roman" w:hAnsi="Times New Roman" w:cs="Times New Roman"/>
                      <w:spacing w:val="3"/>
                      <w:sz w:val="21"/>
                      <w:szCs w:val="21"/>
                      <w:lang w:val="en-US" w:eastAsia="zh-CN"/>
                    </w:rPr>
                    <w:t>9</w:t>
                  </w:r>
                </w:p>
              </w:tc>
              <w:tc>
                <w:tcPr>
                  <w:tcW w:w="329" w:type="pct"/>
                  <w:vAlign w:val="center"/>
                </w:tcPr>
                <w:p w14:paraId="25036A73">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3"/>
                      <w:sz w:val="21"/>
                      <w:szCs w:val="21"/>
                    </w:rPr>
                    <w:t>34.3</w:t>
                  </w:r>
                  <w:r>
                    <w:rPr>
                      <w:rFonts w:hint="eastAsia" w:ascii="Times New Roman" w:hAnsi="Times New Roman" w:cs="Times New Roman"/>
                      <w:spacing w:val="3"/>
                      <w:sz w:val="21"/>
                      <w:szCs w:val="21"/>
                      <w:lang w:val="en-US" w:eastAsia="zh-CN"/>
                    </w:rPr>
                    <w:t>9</w:t>
                  </w:r>
                </w:p>
              </w:tc>
              <w:tc>
                <w:tcPr>
                  <w:tcW w:w="290" w:type="pct"/>
                  <w:vAlign w:val="center"/>
                </w:tcPr>
                <w:p w14:paraId="22FA12A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2FB08B77">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2685B1A3">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296" w:type="pct"/>
                  <w:vAlign w:val="center"/>
                </w:tcPr>
                <w:p w14:paraId="250AD142">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0.18</w:t>
                  </w:r>
                </w:p>
              </w:tc>
              <w:tc>
                <w:tcPr>
                  <w:tcW w:w="290" w:type="pct"/>
                  <w:vAlign w:val="center"/>
                </w:tcPr>
                <w:p w14:paraId="5FC363DA">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0.00</w:t>
                  </w:r>
                </w:p>
              </w:tc>
              <w:tc>
                <w:tcPr>
                  <w:tcW w:w="296" w:type="pct"/>
                  <w:vAlign w:val="center"/>
                </w:tcPr>
                <w:p w14:paraId="7532B0B3">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0.00</w:t>
                  </w:r>
                </w:p>
              </w:tc>
              <w:tc>
                <w:tcPr>
                  <w:tcW w:w="291" w:type="pct"/>
                  <w:vAlign w:val="center"/>
                </w:tcPr>
                <w:p w14:paraId="3899ADDB">
                  <w:pPr>
                    <w:pStyle w:val="36"/>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0.00</w:t>
                  </w:r>
                </w:p>
              </w:tc>
              <w:tc>
                <w:tcPr>
                  <w:tcW w:w="298" w:type="pct"/>
                  <w:vAlign w:val="center"/>
                </w:tcPr>
                <w:p w14:paraId="152AD455">
                  <w:pPr>
                    <w:keepNext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r>
          </w:tbl>
          <w:p w14:paraId="406EE829">
            <w:pPr>
              <w:pStyle w:val="10"/>
              <w:keepNext w:val="0"/>
              <w:keepLines w:val="0"/>
              <w:suppressLineNumbers w:val="0"/>
              <w:spacing w:before="0" w:beforeAutospacing="0" w:after="0" w:afterAutospacing="0" w:line="278" w:lineRule="exact"/>
              <w:ind w:left="545" w:right="0"/>
              <w:rPr>
                <w:rFonts w:hint="default"/>
                <w:sz w:val="20"/>
                <w:szCs w:val="20"/>
              </w:rPr>
            </w:pPr>
            <w:r>
              <w:rPr>
                <w:rFonts w:hint="default"/>
                <w:spacing w:val="5"/>
                <w:position w:val="1"/>
                <w:sz w:val="20"/>
                <w:szCs w:val="20"/>
              </w:rPr>
              <w:t>注：</w:t>
            </w:r>
            <w:r>
              <w:rPr>
                <w:rFonts w:hint="default" w:ascii="Times New Roman" w:hAnsi="Times New Roman" w:eastAsia="Times New Roman" w:cs="Times New Roman"/>
                <w:spacing w:val="5"/>
                <w:position w:val="1"/>
                <w:sz w:val="20"/>
                <w:szCs w:val="20"/>
              </w:rPr>
              <w:t>1</w:t>
            </w:r>
            <w:r>
              <w:rPr>
                <w:rFonts w:hint="default"/>
                <w:spacing w:val="5"/>
                <w:position w:val="1"/>
                <w:sz w:val="20"/>
                <w:szCs w:val="20"/>
              </w:rPr>
              <w:t>、开挖</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调入</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借方</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填方</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调出</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弃方</w:t>
            </w:r>
            <w:r>
              <w:rPr>
                <w:rFonts w:hint="default" w:ascii="Times New Roman" w:hAnsi="Times New Roman" w:eastAsia="Times New Roman" w:cs="Times New Roman"/>
                <w:spacing w:val="5"/>
                <w:position w:val="1"/>
                <w:sz w:val="20"/>
                <w:szCs w:val="20"/>
              </w:rPr>
              <w:t>=68.</w:t>
            </w:r>
            <w:r>
              <w:rPr>
                <w:rFonts w:hint="eastAsia" w:cs="Times New Roman"/>
                <w:spacing w:val="5"/>
                <w:position w:val="1"/>
                <w:sz w:val="20"/>
                <w:szCs w:val="20"/>
                <w:lang w:val="en-US" w:eastAsia="zh-CN"/>
              </w:rPr>
              <w:t>7</w:t>
            </w:r>
            <w:r>
              <w:rPr>
                <w:rFonts w:hint="default" w:ascii="Times New Roman" w:hAnsi="Times New Roman" w:eastAsia="Times New Roman" w:cs="Times New Roman"/>
                <w:spacing w:val="5"/>
                <w:position w:val="1"/>
                <w:sz w:val="20"/>
                <w:szCs w:val="20"/>
              </w:rPr>
              <w:t>8</w:t>
            </w:r>
            <w:r>
              <w:rPr>
                <w:rFonts w:hint="default"/>
                <w:spacing w:val="5"/>
                <w:position w:val="1"/>
                <w:sz w:val="20"/>
                <w:szCs w:val="20"/>
              </w:rPr>
              <w:t>万</w:t>
            </w:r>
            <w:r>
              <w:rPr>
                <w:rFonts w:hint="default" w:ascii="Times New Roman" w:hAnsi="Times New Roman" w:eastAsia="Times New Roman" w:cs="Times New Roman"/>
                <w:spacing w:val="5"/>
                <w:position w:val="1"/>
                <w:sz w:val="20"/>
                <w:szCs w:val="20"/>
              </w:rPr>
              <w:t>m</w:t>
            </w:r>
            <w:r>
              <w:rPr>
                <w:rFonts w:hint="default" w:ascii="Times New Roman" w:hAnsi="Times New Roman" w:eastAsia="Times New Roman" w:cs="Times New Roman"/>
                <w:spacing w:val="5"/>
                <w:position w:val="7"/>
                <w:sz w:val="13"/>
                <w:szCs w:val="13"/>
              </w:rPr>
              <w:t>3</w:t>
            </w:r>
            <w:r>
              <w:rPr>
                <w:rFonts w:hint="default"/>
                <w:spacing w:val="5"/>
                <w:position w:val="1"/>
                <w:sz w:val="20"/>
                <w:szCs w:val="20"/>
              </w:rPr>
              <w:t>；</w:t>
            </w:r>
            <w:r>
              <w:rPr>
                <w:rFonts w:hint="default" w:ascii="Times New Roman" w:hAnsi="Times New Roman" w:eastAsia="Times New Roman" w:cs="Times New Roman"/>
                <w:spacing w:val="5"/>
                <w:position w:val="1"/>
                <w:sz w:val="20"/>
                <w:szCs w:val="20"/>
              </w:rPr>
              <w:t>2.</w:t>
            </w:r>
            <w:r>
              <w:rPr>
                <w:rFonts w:hint="default"/>
                <w:spacing w:val="5"/>
                <w:position w:val="1"/>
                <w:sz w:val="20"/>
                <w:szCs w:val="20"/>
              </w:rPr>
              <w:t>总调入</w:t>
            </w:r>
            <w:r>
              <w:rPr>
                <w:rFonts w:hint="default" w:ascii="Times New Roman" w:hAnsi="Times New Roman" w:eastAsia="Times New Roman" w:cs="Times New Roman"/>
                <w:spacing w:val="5"/>
                <w:position w:val="1"/>
                <w:sz w:val="20"/>
                <w:szCs w:val="20"/>
              </w:rPr>
              <w:t>=</w:t>
            </w:r>
            <w:r>
              <w:rPr>
                <w:rFonts w:hint="default"/>
                <w:spacing w:val="5"/>
                <w:position w:val="1"/>
                <w:sz w:val="20"/>
                <w:szCs w:val="20"/>
              </w:rPr>
              <w:t>总调出</w:t>
            </w:r>
            <w:r>
              <w:rPr>
                <w:rFonts w:hint="default" w:ascii="Times New Roman" w:hAnsi="Times New Roman" w:eastAsia="Times New Roman" w:cs="Times New Roman"/>
                <w:spacing w:val="5"/>
                <w:position w:val="1"/>
                <w:sz w:val="20"/>
                <w:szCs w:val="20"/>
              </w:rPr>
              <w:t>=0.18</w:t>
            </w:r>
            <w:r>
              <w:rPr>
                <w:rFonts w:hint="default"/>
                <w:spacing w:val="5"/>
                <w:position w:val="1"/>
                <w:sz w:val="20"/>
                <w:szCs w:val="20"/>
              </w:rPr>
              <w:t>万</w:t>
            </w:r>
            <w:r>
              <w:rPr>
                <w:rFonts w:hint="default" w:ascii="Times New Roman" w:hAnsi="Times New Roman" w:eastAsia="Times New Roman" w:cs="Times New Roman"/>
                <w:spacing w:val="5"/>
                <w:position w:val="1"/>
                <w:sz w:val="20"/>
                <w:szCs w:val="20"/>
              </w:rPr>
              <w:t>m</w:t>
            </w:r>
            <w:r>
              <w:rPr>
                <w:rFonts w:hint="default" w:ascii="Times New Roman" w:hAnsi="Times New Roman" w:eastAsia="Times New Roman" w:cs="Times New Roman"/>
                <w:spacing w:val="5"/>
                <w:position w:val="7"/>
                <w:sz w:val="13"/>
                <w:szCs w:val="13"/>
              </w:rPr>
              <w:t>3</w:t>
            </w:r>
            <w:r>
              <w:rPr>
                <w:rFonts w:hint="default"/>
                <w:spacing w:val="5"/>
                <w:position w:val="1"/>
                <w:sz w:val="20"/>
                <w:szCs w:val="20"/>
              </w:rPr>
              <w:t>；</w:t>
            </w:r>
          </w:p>
          <w:p w14:paraId="151F37CA">
            <w:pPr>
              <w:pStyle w:val="10"/>
              <w:keepNext w:val="0"/>
              <w:keepLines w:val="0"/>
              <w:numPr>
                <w:ilvl w:val="0"/>
                <w:numId w:val="3"/>
              </w:numPr>
              <w:suppressLineNumbers w:val="0"/>
              <w:spacing w:before="166" w:beforeAutospacing="0" w:after="0" w:afterAutospacing="0" w:line="225" w:lineRule="auto"/>
              <w:ind w:left="961" w:right="0"/>
              <w:rPr>
                <w:rFonts w:hint="default"/>
                <w:spacing w:val="7"/>
                <w:sz w:val="20"/>
                <w:szCs w:val="20"/>
              </w:rPr>
            </w:pPr>
            <w:r>
              <w:rPr>
                <w:rFonts w:hint="default"/>
                <w:spacing w:val="7"/>
                <w:sz w:val="20"/>
                <w:szCs w:val="20"/>
              </w:rPr>
              <w:t>计列土方均为自然方。</w:t>
            </w:r>
          </w:p>
          <w:p w14:paraId="114A2590">
            <w:pPr>
              <w:pStyle w:val="10"/>
              <w:keepNext w:val="0"/>
              <w:keepLines w:val="0"/>
              <w:widowControl w:val="0"/>
              <w:numPr>
                <w:ilvl w:val="0"/>
                <w:numId w:val="0"/>
              </w:numPr>
              <w:suppressLineNumbers w:val="0"/>
              <w:spacing w:before="166" w:beforeAutospacing="0" w:after="0" w:afterAutospacing="0" w:line="225" w:lineRule="auto"/>
              <w:ind w:left="0" w:right="0" w:rightChars="0"/>
              <w:jc w:val="both"/>
              <w:rPr>
                <w:rFonts w:hint="default"/>
                <w:spacing w:val="7"/>
                <w:sz w:val="20"/>
                <w:szCs w:val="20"/>
              </w:rPr>
            </w:pPr>
          </w:p>
          <w:p w14:paraId="48486225">
            <w:pPr>
              <w:pStyle w:val="10"/>
              <w:keepNext w:val="0"/>
              <w:keepLines w:val="0"/>
              <w:widowControl w:val="0"/>
              <w:numPr>
                <w:ilvl w:val="0"/>
                <w:numId w:val="0"/>
              </w:numPr>
              <w:suppressLineNumbers w:val="0"/>
              <w:spacing w:before="166" w:beforeAutospacing="0" w:after="0" w:afterAutospacing="0" w:line="225" w:lineRule="auto"/>
              <w:ind w:left="0" w:right="0" w:rightChars="0"/>
              <w:jc w:val="both"/>
              <w:rPr>
                <w:rFonts w:hint="default"/>
                <w:spacing w:val="7"/>
                <w:sz w:val="20"/>
                <w:szCs w:val="20"/>
              </w:rPr>
            </w:pPr>
          </w:p>
          <w:p w14:paraId="496FB3CE">
            <w:pPr>
              <w:pStyle w:val="10"/>
              <w:keepNext w:val="0"/>
              <w:keepLines w:val="0"/>
              <w:widowControl w:val="0"/>
              <w:numPr>
                <w:ilvl w:val="0"/>
                <w:numId w:val="0"/>
              </w:numPr>
              <w:suppressLineNumbers w:val="0"/>
              <w:spacing w:before="166" w:beforeAutospacing="0" w:after="0" w:afterAutospacing="0" w:line="225" w:lineRule="auto"/>
              <w:ind w:left="0" w:right="0" w:rightChars="0"/>
              <w:jc w:val="both"/>
              <w:rPr>
                <w:rFonts w:hint="default"/>
                <w:spacing w:val="7"/>
                <w:sz w:val="20"/>
                <w:szCs w:val="20"/>
              </w:rPr>
            </w:pPr>
          </w:p>
          <w:p w14:paraId="5F6DDD3E">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g">
                  <w:drawing>
                    <wp:anchor distT="0" distB="0" distL="114300" distR="114300" simplePos="0" relativeHeight="251669504" behindDoc="0" locked="0" layoutInCell="1" allowOverlap="1">
                      <wp:simplePos x="0" y="0"/>
                      <wp:positionH relativeFrom="column">
                        <wp:posOffset>3240405</wp:posOffset>
                      </wp:positionH>
                      <wp:positionV relativeFrom="paragraph">
                        <wp:posOffset>45085</wp:posOffset>
                      </wp:positionV>
                      <wp:extent cx="2292985" cy="2114550"/>
                      <wp:effectExtent l="5080" t="4445" r="6985" b="14605"/>
                      <wp:wrapNone/>
                      <wp:docPr id="25" name="组合 25"/>
                      <wp:cNvGraphicFramePr/>
                      <a:graphic xmlns:a="http://schemas.openxmlformats.org/drawingml/2006/main">
                        <a:graphicData uri="http://schemas.microsoft.com/office/word/2010/wordprocessingGroup">
                          <wpg:wgp>
                            <wpg:cNvGrpSpPr/>
                            <wpg:grpSpPr>
                              <a:xfrm>
                                <a:off x="0" y="0"/>
                                <a:ext cx="2292985" cy="2114550"/>
                                <a:chOff x="7027" y="277234"/>
                                <a:chExt cx="3611" cy="3330"/>
                              </a:xfrm>
                            </wpg:grpSpPr>
                            <wps:wsp>
                              <wps:cNvPr id="26" name="矩形 16"/>
                              <wps:cNvSpPr/>
                              <wps:spPr>
                                <a:xfrm>
                                  <a:off x="7123" y="278201"/>
                                  <a:ext cx="1501" cy="432"/>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1577738">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0.56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7123" y="278730"/>
                                  <a:ext cx="1501" cy="636"/>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60E28F">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水库基础及坝体回填</w:t>
                                    </w:r>
                                    <w:r>
                                      <w:rPr>
                                        <w:rFonts w:hint="eastAsia"/>
                                        <w:color w:val="000000" w:themeColor="text1"/>
                                        <w:sz w:val="18"/>
                                        <w:szCs w:val="18"/>
                                        <w:lang w:val="en-US" w:eastAsia="zh-CN"/>
                                        <w14:textFill>
                                          <w14:solidFill>
                                            <w14:schemeClr w14:val="tx1"/>
                                          </w14:solidFill>
                                        </w14:textFill>
                                      </w:rPr>
                                      <w:t>33.53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18"/>
                              <wps:cNvSpPr/>
                              <wps:spPr>
                                <a:xfrm>
                                  <a:off x="7145" y="279462"/>
                                  <a:ext cx="1501" cy="541"/>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12F12E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管道基础回填</w:t>
                                    </w:r>
                                    <w:r>
                                      <w:rPr>
                                        <w:rFonts w:hint="eastAsia"/>
                                        <w:color w:val="000000" w:themeColor="text1"/>
                                        <w:sz w:val="18"/>
                                        <w:szCs w:val="18"/>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19"/>
                              <wps:cNvSpPr/>
                              <wps:spPr>
                                <a:xfrm>
                                  <a:off x="7134" y="280132"/>
                                  <a:ext cx="1501" cy="432"/>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E045D60">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泵站基础</w:t>
                                    </w:r>
                                    <w:r>
                                      <w:rPr>
                                        <w:rFonts w:hint="eastAsia"/>
                                        <w:color w:val="000000" w:themeColor="text1"/>
                                        <w:sz w:val="18"/>
                                        <w:szCs w:val="18"/>
                                        <w:lang w:val="en-US" w:eastAsia="zh-CN"/>
                                        <w14:textFill>
                                          <w14:solidFill>
                                            <w14:schemeClr w14:val="tx1"/>
                                          </w14:solidFill>
                                        </w14:textFill>
                                      </w:rPr>
                                      <w:t>0.07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六边形 22"/>
                              <wps:cNvSpPr/>
                              <wps:spPr>
                                <a:xfrm>
                                  <a:off x="7027" y="277257"/>
                                  <a:ext cx="1627" cy="604"/>
                                </a:xfrm>
                                <a:prstGeom prst="hexagon">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71C7B7">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填方</w:t>
                                    </w:r>
                                    <w:r>
                                      <w:rPr>
                                        <w:rFonts w:hint="eastAsia"/>
                                        <w:color w:val="000000" w:themeColor="text1"/>
                                        <w:sz w:val="18"/>
                                        <w:szCs w:val="18"/>
                                        <w:lang w:val="en-US" w:eastAsia="zh-CN"/>
                                        <w14:textFill>
                                          <w14:solidFill>
                                            <w14:schemeClr w14:val="tx1"/>
                                          </w14:solidFill>
                                        </w14:textFill>
                                      </w:rPr>
                                      <w:t>34.39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六边形 22"/>
                              <wps:cNvSpPr/>
                              <wps:spPr>
                                <a:xfrm>
                                  <a:off x="9011" y="277234"/>
                                  <a:ext cx="1627" cy="604"/>
                                </a:xfrm>
                                <a:prstGeom prst="hexagon">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0BF6DB2">
                                    <w:pPr>
                                      <w:keepNext w:val="0"/>
                                      <w:keepLines w:val="0"/>
                                      <w:pageBreakBefore w:val="0"/>
                                      <w:widowControl w:val="0"/>
                                      <w:kinsoku/>
                                      <w:wordWrap/>
                                      <w:overflowPunct/>
                                      <w:topLinePunct w:val="0"/>
                                      <w:bidi w:val="0"/>
                                      <w:adjustRightInd/>
                                      <w:snapToGrid/>
                                      <w:spacing w:line="0" w:lineRule="atLeast"/>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借方</w:t>
                                    </w:r>
                                    <w:r>
                                      <w:rPr>
                                        <w:rFonts w:hint="eastAsia"/>
                                        <w:color w:val="000000" w:themeColor="text1"/>
                                        <w:sz w:val="18"/>
                                        <w:szCs w:val="18"/>
                                        <w:lang w:val="en-US" w:eastAsia="zh-CN"/>
                                        <w14:textFill>
                                          <w14:solidFill>
                                            <w14:schemeClr w14:val="tx1"/>
                                          </w14:solidFill>
                                        </w14:textFill>
                                      </w:rPr>
                                      <w:t>0.00</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5.15pt;margin-top:3.55pt;height:166.5pt;width:180.55pt;z-index:251669504;mso-width-relative:page;mso-height-relative:page;" coordorigin="7027,277234" coordsize="3611,3330" o:gfxdata="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ypo0l2QAAAAkBAAAPAAAAAAAAAAEAIAAAACIAAABkcnMvZG93bnJldi54bWxQSwEC&#10;FAAUAAAACACHTuJAQHbQULsDAAABFQAADgAAAAAAAAABACAAAAAoAQAAZHJzL2Uyb0RvYy54bWxQ&#10;SwUGAAAAAAYABgBZAQAAVQcAAAAA&#10;">
                      <o:lock v:ext="edit" aspectratio="f"/>
                      <v:rect id="矩形 16" o:spid="_x0000_s1026" o:spt="1" style="position:absolute;left:7123;top:278201;height:432;width:1501;v-text-anchor:middle;" filled="f" stroked="t" coordsize="21600,21600" o:gfxdata="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Ttbi8AAAA&#10;2wAAAA8AAAAAAAAAAQAgAAAAIgAAAGRycy9kb3ducmV2LnhtbFBLAQIUABQAAAAIAIdO4kAzLwWe&#10;OwAAADkAAAAQAAAAAAAAAAEAIAAAAAsBAABkcnMvc2hhcGV4bWwueG1sUEsFBgAAAAAGAAYAWwEA&#10;ALUDAAAAAA==&#10;">
                        <v:fill on="f" focussize="0,0"/>
                        <v:stroke weight="0.25pt" color="#000000 [3213]" miterlimit="8" joinstyle="miter"/>
                        <v:imagedata o:title=""/>
                        <o:lock v:ext="edit" aspectratio="f"/>
                        <v:textbox>
                          <w:txbxContent>
                            <w:p w14:paraId="51577738">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0.56</w:t>
                              </w:r>
                            </w:p>
                          </w:txbxContent>
                        </v:textbox>
                      </v:rect>
                      <v:rect id="矩形 17" o:spid="_x0000_s1026" o:spt="1" style="position:absolute;left:7123;top:278730;height:636;width:1501;v-text-anchor:middle;" filled="f" stroked="t" coordsize="21600,21600" o:gfxdata="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xAjvQAA&#10;ANs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textbox>
                          <w:txbxContent>
                            <w:p w14:paraId="0B60E28F">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水库基础及坝体回填</w:t>
                              </w:r>
                              <w:r>
                                <w:rPr>
                                  <w:rFonts w:hint="eastAsia"/>
                                  <w:color w:val="000000" w:themeColor="text1"/>
                                  <w:sz w:val="18"/>
                                  <w:szCs w:val="18"/>
                                  <w:lang w:val="en-US" w:eastAsia="zh-CN"/>
                                  <w14:textFill>
                                    <w14:solidFill>
                                      <w14:schemeClr w14:val="tx1"/>
                                    </w14:solidFill>
                                  </w14:textFill>
                                </w:rPr>
                                <w:t>33.53</w:t>
                              </w:r>
                            </w:p>
                          </w:txbxContent>
                        </v:textbox>
                      </v:rect>
                      <v:rect id="矩形 18" o:spid="_x0000_s1026" o:spt="1" style="position:absolute;left:7145;top:279462;height:541;width:1501;v-text-anchor:middle;" filled="f" stroked="t" coordsize="21600,21600" o:gfxdata="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CHKvQAA&#10;ANs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textbox>
                          <w:txbxContent>
                            <w:p w14:paraId="712F12E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管道基础回填</w:t>
                              </w:r>
                              <w:r>
                                <w:rPr>
                                  <w:rFonts w:hint="eastAsia"/>
                                  <w:color w:val="000000" w:themeColor="text1"/>
                                  <w:sz w:val="18"/>
                                  <w:szCs w:val="18"/>
                                  <w:lang w:val="en-US" w:eastAsia="zh-CN"/>
                                  <w14:textFill>
                                    <w14:solidFill>
                                      <w14:schemeClr w14:val="tx1"/>
                                    </w14:solidFill>
                                  </w14:textFill>
                                </w:rPr>
                                <w:t>0.18</w:t>
                              </w:r>
                            </w:p>
                          </w:txbxContent>
                        </v:textbox>
                      </v:rect>
                      <v:rect id="矩形 19" o:spid="_x0000_s1026" o:spt="1" style="position:absolute;left:7134;top:280132;height:432;width:1501;v-text-anchor:middle;" filled="f" stroked="t" coordsize="21600,21600" o:gfxdata="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8eirsAAADb&#10;AAAADwAAAAAAAAABACAAAAAiAAAAZHJzL2Rvd25yZXYueG1sUEsBAhQAFAAAAAgAh07iQDMvBZ47&#10;AAAAOQAAABAAAAAAAAAAAQAgAAAACgEAAGRycy9zaGFwZXhtbC54bWxQSwUGAAAAAAYABgBbAQAA&#10;tAMAAAAA&#10;">
                        <v:fill on="f" focussize="0,0"/>
                        <v:stroke weight="0.25pt" color="#000000 [3213]" miterlimit="8" joinstyle="miter"/>
                        <v:imagedata o:title=""/>
                        <o:lock v:ext="edit" aspectratio="f"/>
                        <v:textbox>
                          <w:txbxContent>
                            <w:p w14:paraId="1E045D60">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泵站基础</w:t>
                              </w:r>
                              <w:r>
                                <w:rPr>
                                  <w:rFonts w:hint="eastAsia"/>
                                  <w:color w:val="000000" w:themeColor="text1"/>
                                  <w:sz w:val="18"/>
                                  <w:szCs w:val="18"/>
                                  <w:lang w:val="en-US" w:eastAsia="zh-CN"/>
                                  <w14:textFill>
                                    <w14:solidFill>
                                      <w14:schemeClr w14:val="tx1"/>
                                    </w14:solidFill>
                                  </w14:textFill>
                                </w:rPr>
                                <w:t>0.07</w:t>
                              </w:r>
                            </w:p>
                          </w:txbxContent>
                        </v:textbox>
                      </v:rect>
                      <v:shape id="六边形 22" o:spid="_x0000_s1026" o:spt="9" type="#_x0000_t9" style="position:absolute;left:7027;top:277257;height:604;width:1627;v-text-anchor:middle;" filled="f" stroked="t" coordsize="21600,21600" o:gfxdata="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eXmq/&#10;AAAA2wAAAA8AAAAAAAAAAQAgAAAAIgAAAGRycy9kb3ducmV2LnhtbFBLAQIUABQAAAAIAIdO4kAz&#10;LwWeOwAAADkAAAAQAAAAAAAAAAEAIAAAAA4BAABkcnMvc2hhcGV4bWwueG1sUEsFBgAAAAAGAAYA&#10;WwEAALgDAAAAAA==&#10;" adj="2004">
                        <v:fill on="f" focussize="0,0"/>
                        <v:stroke weight="0.25pt" color="#000000 [3213]" miterlimit="8" joinstyle="miter"/>
                        <v:imagedata o:title=""/>
                        <o:lock v:ext="edit" aspectratio="f"/>
                        <v:textbox>
                          <w:txbxContent>
                            <w:p w14:paraId="1671C7B7">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填方</w:t>
                              </w:r>
                              <w:r>
                                <w:rPr>
                                  <w:rFonts w:hint="eastAsia"/>
                                  <w:color w:val="000000" w:themeColor="text1"/>
                                  <w:sz w:val="18"/>
                                  <w:szCs w:val="18"/>
                                  <w:lang w:val="en-US" w:eastAsia="zh-CN"/>
                                  <w14:textFill>
                                    <w14:solidFill>
                                      <w14:schemeClr w14:val="tx1"/>
                                    </w14:solidFill>
                                  </w14:textFill>
                                </w:rPr>
                                <w:t>34.39</w:t>
                              </w:r>
                            </w:p>
                          </w:txbxContent>
                        </v:textbox>
                      </v:shape>
                      <v:shape id="六边形 22" o:spid="_x0000_s1026" o:spt="9" type="#_x0000_t9" style="position:absolute;left:9011;top:277234;height:604;width:1627;v-text-anchor:middle;" filled="f" stroked="t" coordsize="21600,21600" o:gfxdata="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NHlG/&#10;AAAA2wAAAA8AAAAAAAAAAQAgAAAAIgAAAGRycy9kb3ducmV2LnhtbFBLAQIUABQAAAAIAIdO4kAz&#10;LwWeOwAAADkAAAAQAAAAAAAAAAEAIAAAAA4BAABkcnMvc2hhcGV4bWwueG1sUEsFBgAAAAAGAAYA&#10;WwEAALgDAAAAAA==&#10;" adj="2004">
                        <v:fill on="f" focussize="0,0"/>
                        <v:stroke weight="0.25pt" color="#000000 [3213]" miterlimit="8" joinstyle="miter"/>
                        <v:imagedata o:title=""/>
                        <o:lock v:ext="edit" aspectratio="f"/>
                        <v:textbox>
                          <w:txbxContent>
                            <w:p w14:paraId="00BF6DB2">
                              <w:pPr>
                                <w:keepNext w:val="0"/>
                                <w:keepLines w:val="0"/>
                                <w:pageBreakBefore w:val="0"/>
                                <w:widowControl w:val="0"/>
                                <w:kinsoku/>
                                <w:wordWrap/>
                                <w:overflowPunct/>
                                <w:topLinePunct w:val="0"/>
                                <w:bidi w:val="0"/>
                                <w:adjustRightInd/>
                                <w:snapToGrid/>
                                <w:spacing w:line="0" w:lineRule="atLeast"/>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借方</w:t>
                              </w:r>
                              <w:r>
                                <w:rPr>
                                  <w:rFonts w:hint="eastAsia"/>
                                  <w:color w:val="000000" w:themeColor="text1"/>
                                  <w:sz w:val="18"/>
                                  <w:szCs w:val="18"/>
                                  <w:lang w:val="en-US" w:eastAsia="zh-CN"/>
                                  <w14:textFill>
                                    <w14:solidFill>
                                      <w14:schemeClr w14:val="tx1"/>
                                    </w14:solidFill>
                                  </w14:textFill>
                                </w:rPr>
                                <w:t>0.00</w:t>
                              </w:r>
                            </w:p>
                          </w:txbxContent>
                        </v:textbox>
                      </v:shape>
                    </v:group>
                  </w:pict>
                </mc:Fallback>
              </mc:AlternateContent>
            </w:r>
            <w:r>
              <w:rPr>
                <w:rFonts w:hint="default"/>
                <w:sz w:val="20"/>
              </w:rPr>
              <mc:AlternateContent>
                <mc:Choice Requires="wps">
                  <w:drawing>
                    <wp:anchor distT="0" distB="0" distL="114300" distR="114300" simplePos="0" relativeHeight="251667456" behindDoc="0" locked="0" layoutInCell="1" allowOverlap="1">
                      <wp:simplePos x="0" y="0"/>
                      <wp:positionH relativeFrom="column">
                        <wp:posOffset>1958975</wp:posOffset>
                      </wp:positionH>
                      <wp:positionV relativeFrom="paragraph">
                        <wp:posOffset>53340</wp:posOffset>
                      </wp:positionV>
                      <wp:extent cx="1033145" cy="383540"/>
                      <wp:effectExtent l="5080" t="4445" r="9525" b="12065"/>
                      <wp:wrapNone/>
                      <wp:docPr id="22" name="六边形 22"/>
                      <wp:cNvGraphicFramePr/>
                      <a:graphic xmlns:a="http://schemas.openxmlformats.org/drawingml/2006/main">
                        <a:graphicData uri="http://schemas.microsoft.com/office/word/2010/wordprocessingShape">
                          <wps:wsp>
                            <wps:cNvSpPr/>
                            <wps:spPr>
                              <a:xfrm>
                                <a:off x="3010535" y="6716395"/>
                                <a:ext cx="1033145" cy="383540"/>
                              </a:xfrm>
                              <a:prstGeom prst="hexagon">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6316BD9">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挖方</w:t>
                                  </w:r>
                                  <w:r>
                                    <w:rPr>
                                      <w:rFonts w:hint="eastAsia"/>
                                      <w:color w:val="000000" w:themeColor="text1"/>
                                      <w:sz w:val="18"/>
                                      <w:szCs w:val="18"/>
                                      <w:lang w:val="en-US" w:eastAsia="zh-CN"/>
                                      <w14:textFill>
                                        <w14:solidFill>
                                          <w14:schemeClr w14:val="tx1"/>
                                        </w14:solidFill>
                                      </w14:textFill>
                                    </w:rPr>
                                    <w:t>34.39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154.25pt;margin-top:4.2pt;height:30.2pt;width:81.35pt;z-index:251667456;v-text-anchor:middle;mso-width-relative:page;mso-height-relative:page;" filled="f" stroked="t" coordsize="21600,21600" o:gfxdata="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G1x82QAAAAgBAAAPAAAAAAAA&#10;AAEAIAAAACIAAABkcnMvZG93bnJldi54bWxQSwECFAAUAAAACACHTuJAjhD+MoMCAADpBAAADgAA&#10;AAAAAAABACAAAAAoAQAAZHJzL2Uyb0RvYy54bWxQSwUGAAAAAAYABgBZAQAAHQYAAAAA&#10;" adj="2004">
                      <v:fill on="f" focussize="0,0"/>
                      <v:stroke weight="0.25pt" color="#000000 [3213]" miterlimit="8" joinstyle="miter"/>
                      <v:imagedata o:title=""/>
                      <o:lock v:ext="edit" aspectratio="f"/>
                      <v:textbox>
                        <w:txbxContent>
                          <w:p w14:paraId="46316BD9">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挖方</w:t>
                            </w:r>
                            <w:r>
                              <w:rPr>
                                <w:rFonts w:hint="eastAsia"/>
                                <w:color w:val="000000" w:themeColor="text1"/>
                                <w:sz w:val="18"/>
                                <w:szCs w:val="18"/>
                                <w:lang w:val="en-US" w:eastAsia="zh-CN"/>
                                <w14:textFill>
                                  <w14:solidFill>
                                    <w14:schemeClr w14:val="tx1"/>
                                  </w14:solidFill>
                                </w14:textFill>
                              </w:rPr>
                              <w:t>34.39</w:t>
                            </w:r>
                          </w:p>
                        </w:txbxContent>
                      </v:textbox>
                    </v:shape>
                  </w:pict>
                </mc:Fallback>
              </mc:AlternateContent>
            </w:r>
            <w:r>
              <w:rPr>
                <w:rFonts w:hint="default"/>
                <w:sz w:val="20"/>
              </w:rPr>
              <mc:AlternateContent>
                <mc:Choice Requires="wps">
                  <w:drawing>
                    <wp:anchor distT="0" distB="0" distL="114300" distR="114300" simplePos="0" relativeHeight="251661312" behindDoc="0" locked="0" layoutInCell="1" allowOverlap="1">
                      <wp:simplePos x="0" y="0"/>
                      <wp:positionH relativeFrom="column">
                        <wp:posOffset>1013460</wp:posOffset>
                      </wp:positionH>
                      <wp:positionV relativeFrom="paragraph">
                        <wp:posOffset>53340</wp:posOffset>
                      </wp:positionV>
                      <wp:extent cx="889635" cy="383540"/>
                      <wp:effectExtent l="5080" t="4445" r="19685" b="12065"/>
                      <wp:wrapNone/>
                      <wp:docPr id="21" name="六边形 21"/>
                      <wp:cNvGraphicFramePr/>
                      <a:graphic xmlns:a="http://schemas.openxmlformats.org/drawingml/2006/main">
                        <a:graphicData uri="http://schemas.microsoft.com/office/word/2010/wordprocessingShape">
                          <wps:wsp>
                            <wps:cNvSpPr/>
                            <wps:spPr>
                              <a:xfrm>
                                <a:off x="3195320" y="6640830"/>
                                <a:ext cx="889635" cy="383540"/>
                              </a:xfrm>
                              <a:prstGeom prst="hexagon">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E82006">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弃方</w:t>
                                  </w:r>
                                  <w:r>
                                    <w:rPr>
                                      <w:rFonts w:hint="eastAsia"/>
                                      <w:color w:val="000000" w:themeColor="text1"/>
                                      <w:sz w:val="18"/>
                                      <w:szCs w:val="18"/>
                                      <w:lang w:val="en-US" w:eastAsia="zh-CN"/>
                                      <w14:textFill>
                                        <w14:solidFill>
                                          <w14:schemeClr w14:val="tx1"/>
                                        </w14:solidFill>
                                      </w14:textFill>
                                    </w:rPr>
                                    <w:t>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79.8pt;margin-top:4.2pt;height:30.2pt;width:70.05pt;z-index:251661312;v-text-anchor:middle;mso-width-relative:page;mso-height-relative:page;" filled="f" stroked="t" coordsize="21600,21600" o:gfxdata="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rReZNoAAAAIAQAADwAAAAAAAAAB&#10;ACAAAAAiAAAAZHJzL2Rvd25yZXYueG1sUEsBAhQAFAAAAAgAh07iQCnMkc6AAgAA6AQAAA4AAAAA&#10;AAAAAQAgAAAAKQEAAGRycy9lMm9Eb2MueG1sUEsFBgAAAAAGAAYAWQEAABsGAAAAAA==&#10;" adj="2328">
                      <v:fill on="f" focussize="0,0"/>
                      <v:stroke weight="0.25pt" color="#000000 [3213]" miterlimit="8" joinstyle="miter"/>
                      <v:imagedata o:title=""/>
                      <o:lock v:ext="edit" aspectratio="f"/>
                      <v:textbox>
                        <w:txbxContent>
                          <w:p w14:paraId="44E82006">
                            <w:pPr>
                              <w:keepNext w:val="0"/>
                              <w:keepLines w:val="0"/>
                              <w:pageBreakBefore w:val="0"/>
                              <w:widowControl w:val="0"/>
                              <w:kinsoku/>
                              <w:wordWrap/>
                              <w:overflowPunct/>
                              <w:topLinePunct w:val="0"/>
                              <w:bidi w:val="0"/>
                              <w:adjustRightInd/>
                              <w:snapToGrid/>
                              <w:spacing w:line="0" w:lineRule="atLeast"/>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弃方</w:t>
                            </w:r>
                            <w:r>
                              <w:rPr>
                                <w:rFonts w:hint="eastAsia"/>
                                <w:color w:val="000000" w:themeColor="text1"/>
                                <w:sz w:val="18"/>
                                <w:szCs w:val="18"/>
                                <w:lang w:val="en-US" w:eastAsia="zh-CN"/>
                                <w14:textFill>
                                  <w14:solidFill>
                                    <w14:schemeClr w14:val="tx1"/>
                                  </w14:solidFill>
                                </w14:textFill>
                              </w:rPr>
                              <w:t>0.00</w:t>
                            </w:r>
                          </w:p>
                        </w:txbxContent>
                      </v:textbox>
                    </v:shape>
                  </w:pict>
                </mc:Fallback>
              </mc:AlternateContent>
            </w:r>
          </w:p>
          <w:p w14:paraId="520967B7">
            <w:pPr>
              <w:pStyle w:val="10"/>
              <w:keepNext w:val="0"/>
              <w:keepLines w:val="0"/>
              <w:suppressLineNumbers w:val="0"/>
              <w:spacing w:before="166" w:beforeAutospacing="0" w:after="0" w:afterAutospacing="0" w:line="225" w:lineRule="auto"/>
              <w:ind w:left="961" w:right="0"/>
              <w:rPr>
                <w:rFonts w:hint="default"/>
                <w:spacing w:val="7"/>
                <w:sz w:val="20"/>
                <w:szCs w:val="20"/>
              </w:rPr>
            </w:pPr>
          </w:p>
          <w:p w14:paraId="39C252ED">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8480" behindDoc="0" locked="0" layoutInCell="1" allowOverlap="1">
                      <wp:simplePos x="0" y="0"/>
                      <wp:positionH relativeFrom="column">
                        <wp:posOffset>4220845</wp:posOffset>
                      </wp:positionH>
                      <wp:positionV relativeFrom="paragraph">
                        <wp:posOffset>59690</wp:posOffset>
                      </wp:positionV>
                      <wp:extent cx="555625" cy="274320"/>
                      <wp:effectExtent l="0" t="0" r="0" b="0"/>
                      <wp:wrapNone/>
                      <wp:docPr id="38" name="矩形 38"/>
                      <wp:cNvGraphicFramePr/>
                      <a:graphic xmlns:a="http://schemas.openxmlformats.org/drawingml/2006/main">
                        <a:graphicData uri="http://schemas.microsoft.com/office/word/2010/wordprocessingShape">
                          <wps:wsp>
                            <wps:cNvSpPr/>
                            <wps:spPr>
                              <a:xfrm>
                                <a:off x="5242560" y="6663055"/>
                                <a:ext cx="555625" cy="274320"/>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37FCDE9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35pt;margin-top:4.7pt;height:21.6pt;width:43.75pt;z-index:251668480;v-text-anchor:middle;mso-width-relative:page;mso-height-relative:page;" filled="f" stroked="f" coordsize="21600,21600" o:gfxdata="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jnqRNgAAAAIAQAADwAAAAAAAAABACAAAAAiAAAAZHJzL2Rvd25yZXYu&#10;eG1sUEsBAhQAFAAAAAgAh07iQGLvfoFtAgAAuQQAAA4AAAAAAAAAAQAgAAAAJwEAAGRycy9lMm9E&#10;b2MueG1sUEsFBgAAAAAGAAYAWQEAAAYGAAAAAA==&#10;">
                      <v:fill on="f" focussize="0,0"/>
                      <v:stroke on="f" weight="0.25pt" miterlimit="8" joinstyle="miter"/>
                      <v:imagedata o:title=""/>
                      <o:lock v:ext="edit" aspectratio="f"/>
                      <v:textbox>
                        <w:txbxContent>
                          <w:p w14:paraId="37FCDE9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w:t>
                            </w:r>
                          </w:p>
                        </w:txbxContent>
                      </v:textbox>
                    </v:rect>
                  </w:pict>
                </mc:Fallback>
              </mc:AlternateContent>
            </w:r>
            <w:r>
              <w:rPr>
                <w:rFonts w:hint="default"/>
                <w:sz w:val="20"/>
              </w:rPr>
              <mc:AlternateContent>
                <mc:Choice Requires="wpg">
                  <w:drawing>
                    <wp:anchor distT="0" distB="0" distL="114300" distR="114300" simplePos="0" relativeHeight="251671552" behindDoc="0" locked="0" layoutInCell="1" allowOverlap="1">
                      <wp:simplePos x="0" y="0"/>
                      <wp:positionH relativeFrom="column">
                        <wp:posOffset>2855595</wp:posOffset>
                      </wp:positionH>
                      <wp:positionV relativeFrom="paragraph">
                        <wp:posOffset>85725</wp:posOffset>
                      </wp:positionV>
                      <wp:extent cx="581025" cy="2275205"/>
                      <wp:effectExtent l="0" t="0" r="0" b="0"/>
                      <wp:wrapNone/>
                      <wp:docPr id="48" name="组合 48"/>
                      <wp:cNvGraphicFramePr/>
                      <a:graphic xmlns:a="http://schemas.openxmlformats.org/drawingml/2006/main">
                        <a:graphicData uri="http://schemas.microsoft.com/office/word/2010/wordprocessingGroup">
                          <wpg:wgp>
                            <wpg:cNvGrpSpPr/>
                            <wpg:grpSpPr>
                              <a:xfrm>
                                <a:off x="0" y="0"/>
                                <a:ext cx="581025" cy="2275205"/>
                                <a:chOff x="6436" y="278071"/>
                                <a:chExt cx="915" cy="3583"/>
                              </a:xfrm>
                            </wpg:grpSpPr>
                            <wps:wsp>
                              <wps:cNvPr id="41" name="矩形 41"/>
                              <wps:cNvSpPr/>
                              <wps:spPr>
                                <a:xfrm>
                                  <a:off x="6476" y="278071"/>
                                  <a:ext cx="875" cy="432"/>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540DD6CE">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a:off x="6444" y="278722"/>
                                  <a:ext cx="875" cy="432"/>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0C681DF3">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6436" y="279364"/>
                                  <a:ext cx="875" cy="432"/>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3148042D">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6476" y="280047"/>
                                  <a:ext cx="875" cy="432"/>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7EFBFB0E">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6445" y="281222"/>
                                  <a:ext cx="875" cy="432"/>
                                </a:xfrm>
                                <a:prstGeom prst="rect">
                                  <a:avLst/>
                                </a:prstGeom>
                                <a:no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213579CC">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4.85pt;margin-top:6.75pt;height:179.15pt;width:45.75pt;z-index:251671552;mso-width-relative:page;mso-height-relative:page;" coordorigin="6436,278071" coordsize="915,3583" o:gfxdata="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E7hKONoAAAAKAQAADwAAAAAAAAABACAAAAAiAAAAZHJzL2Rvd25yZXYu&#10;eG1sUEsBAhQAFAAAAAgAh07iQPpnXGRPAwAAJhEAAA4AAAAAAAAAAQAgAAAAKQEAAGRycy9lMm9E&#10;b2MueG1sUEsFBgAAAAAGAAYAWQEAAOoGAAAAAA==&#10;">
                      <o:lock v:ext="edit" aspectratio="f"/>
                      <v:rect id="_x0000_s1026" o:spid="_x0000_s1026" o:spt="1" style="position:absolute;left:6476;top:278071;height:432;width:875;v-text-anchor:middle;" filled="f" stroked="f" coordsize="21600,21600" o:gfxdata="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W9rPvQAA&#10;ANsAAAAPAAAAAAAAAAEAIAAAACIAAABkcnMvZG93bnJldi54bWxQSwECFAAUAAAACACHTuJAMy8F&#10;njsAAAA5AAAAEAAAAAAAAAABACAAAAAMAQAAZHJzL3NoYXBleG1sLnhtbFBLBQYAAAAABgAGAFsB&#10;AAC2AwAAAAA=&#10;">
                        <v:fill on="f" focussize="0,0"/>
                        <v:stroke on="f" weight="0.25pt" miterlimit="8" joinstyle="miter"/>
                        <v:imagedata o:title=""/>
                        <o:lock v:ext="edit" aspectratio="f"/>
                        <v:textbox>
                          <w:txbxContent>
                            <w:p w14:paraId="540DD6CE">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0.38</w:t>
                              </w:r>
                            </w:p>
                          </w:txbxContent>
                        </v:textbox>
                      </v:rect>
                      <v:rect id="_x0000_s1026" o:spid="_x0000_s1026" o:spt="1" style="position:absolute;left:6444;top:278722;height:432;width:875;v-text-anchor:middle;" filled="f" stroked="f" coordsize="21600,21600" o:gfxdata="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g3My8AAAA&#10;2wAAAA8AAAAAAAAAAQAgAAAAIgAAAGRycy9kb3ducmV2LnhtbFBLAQIUABQAAAAIAIdO4kAzLwWe&#10;OwAAADkAAAAQAAAAAAAAAAEAIAAAAAsBAABkcnMvc2hhcGV4bWwueG1sUEsFBgAAAAAGAAYAWwEA&#10;ALUDAAAAAA==&#10;">
                        <v:fill on="f" focussize="0,0"/>
                        <v:stroke on="f" weight="0.25pt" miterlimit="8" joinstyle="miter"/>
                        <v:imagedata o:title=""/>
                        <o:lock v:ext="edit" aspectratio="f"/>
                        <v:textbox>
                          <w:txbxContent>
                            <w:p w14:paraId="0C681DF3">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33.53</w:t>
                              </w:r>
                            </w:p>
                          </w:txbxContent>
                        </v:textbox>
                      </v:rect>
                      <v:rect id="_x0000_s1026" o:spid="_x0000_s1026" o:spt="1" style="position:absolute;left:6436;top:279364;height:432;width:875;v-text-anchor:middle;" filled="f" stroked="f" coordsize="21600,21600" o:gfxdata="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JCu7sAAADb&#10;AAAADwAAAAAAAAABACAAAAAiAAAAZHJzL2Rvd25yZXYueG1sUEsBAhQAFAAAAAgAh07iQDMvBZ47&#10;AAAAOQAAABAAAAAAAAAAAQAgAAAACgEAAGRycy9zaGFwZXhtbC54bWxQSwUGAAAAAAYABgBbAQAA&#10;tAMAAAAA&#10;">
                        <v:fill on="f" focussize="0,0"/>
                        <v:stroke on="f" weight="0.25pt" miterlimit="8" joinstyle="miter"/>
                        <v:imagedata o:title=""/>
                        <o:lock v:ext="edit" aspectratio="f"/>
                        <v:textbox>
                          <w:txbxContent>
                            <w:p w14:paraId="3148042D">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w:t>
                              </w:r>
                            </w:p>
                          </w:txbxContent>
                        </v:textbox>
                      </v:rect>
                      <v:rect id="_x0000_s1026" o:spid="_x0000_s1026" o:spt="1" style="position:absolute;left:6476;top:280047;height:432;width:875;v-text-anchor:middle;" filled="f" stroked="f" coordsize="21600,21600" o:gfxdata="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5yC8AAAA&#10;2wAAAA8AAAAAAAAAAQAgAAAAIgAAAGRycy9kb3ducmV2LnhtbFBLAQIUABQAAAAIAIdO4kAzLwWe&#10;OwAAADkAAAAQAAAAAAAAAAEAIAAAAAsBAABkcnMvc2hhcGV4bWwueG1sUEsFBgAAAAAGAAYAWwEA&#10;ALUDAAAAAA==&#10;">
                        <v:fill on="f" focussize="0,0"/>
                        <v:stroke on="f" weight="0.25pt" miterlimit="8" joinstyle="miter"/>
                        <v:imagedata o:title=""/>
                        <o:lock v:ext="edit" aspectratio="f"/>
                        <v:textbox>
                          <w:txbxContent>
                            <w:p w14:paraId="7EFBFB0E">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w:t>
                              </w:r>
                            </w:p>
                          </w:txbxContent>
                        </v:textbox>
                      </v:rect>
                      <v:rect id="_x0000_s1026" o:spid="_x0000_s1026" o:spt="1" style="position:absolute;left:6445;top:281222;height:432;width:875;v-text-anchor:middle;" filled="f" stroked="f" coordsize="21600,21600" o:gfxdata="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gkwSvQAA&#10;ANsAAAAPAAAAAAAAAAEAIAAAACIAAABkcnMvZG93bnJldi54bWxQSwECFAAUAAAACACHTuJAMy8F&#10;njsAAAA5AAAAEAAAAAAAAAABACAAAAAMAQAAZHJzL3NoYXBleG1sLnhtbFBLBQYAAAAABgAGAFsB&#10;AAC2AwAAAAA=&#10;">
                        <v:fill on="f" focussize="0,0"/>
                        <v:stroke on="f" weight="0.25pt" miterlimit="8" joinstyle="miter"/>
                        <v:imagedata o:title=""/>
                        <o:lock v:ext="edit" aspectratio="f"/>
                        <v:textbox>
                          <w:txbxContent>
                            <w:p w14:paraId="213579CC">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w:t>
                              </w:r>
                            </w:p>
                          </w:txbxContent>
                        </v:textbox>
                      </v:rect>
                    </v:group>
                  </w:pict>
                </mc:Fallback>
              </mc:AlternateContent>
            </w:r>
            <w:r>
              <w:rPr>
                <w:rFonts w:hint="default"/>
                <w:sz w:val="20"/>
              </w:rPr>
              <mc:AlternateContent>
                <mc:Choice Requires="wps">
                  <w:drawing>
                    <wp:anchor distT="0" distB="0" distL="114300" distR="114300" simplePos="0" relativeHeight="251662336" behindDoc="0" locked="0" layoutInCell="1" allowOverlap="1">
                      <wp:simplePos x="0" y="0"/>
                      <wp:positionH relativeFrom="column">
                        <wp:posOffset>2019935</wp:posOffset>
                      </wp:positionH>
                      <wp:positionV relativeFrom="paragraph">
                        <wp:posOffset>168275</wp:posOffset>
                      </wp:positionV>
                      <wp:extent cx="953135" cy="274320"/>
                      <wp:effectExtent l="4445" t="4445" r="13970" b="6985"/>
                      <wp:wrapNone/>
                      <wp:docPr id="16" name="矩形 16"/>
                      <wp:cNvGraphicFramePr/>
                      <a:graphic xmlns:a="http://schemas.openxmlformats.org/drawingml/2006/main">
                        <a:graphicData uri="http://schemas.microsoft.com/office/word/2010/wordprocessingShape">
                          <wps:wsp>
                            <wps:cNvSpPr/>
                            <wps:spPr>
                              <a:xfrm>
                                <a:off x="3071495" y="7315835"/>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D527C3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0.38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05pt;margin-top:13.25pt;height:21.6pt;width:75.05pt;z-index:251662336;v-text-anchor:middle;mso-width-relative:page;mso-height-relative:page;" filled="f" stroked="t" coordsize="21600,21600" o:gfxdata="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u4zedgAAAAJAQAADwAAAAAAAAABACAAAAAi&#10;AAAAZHJzL2Rvd25yZXYueG1sUEsBAhQAFAAAAAgAh07iQKo+LZh8AgAA4gQAAA4AAAAAAAAAAQAg&#10;AAAAJwEAAGRycy9lMm9Eb2MueG1sUEsFBgAAAAAGAAYAWQEAABUGAAAAAA==&#10;">
                      <v:fill on="f" focussize="0,0"/>
                      <v:stroke weight="0.25pt" color="#000000 [3213]" miterlimit="8" joinstyle="miter"/>
                      <v:imagedata o:title=""/>
                      <o:lock v:ext="edit" aspectratio="f"/>
                      <v:textbox>
                        <w:txbxContent>
                          <w:p w14:paraId="0D527C3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0.38</w:t>
                            </w:r>
                          </w:p>
                        </w:txbxContent>
                      </v:textbox>
                    </v:rect>
                  </w:pict>
                </mc:Fallback>
              </mc:AlternateContent>
            </w:r>
          </w:p>
          <w:p w14:paraId="28C5D3E5">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g">
                  <w:drawing>
                    <wp:anchor distT="0" distB="0" distL="114300" distR="114300" simplePos="0" relativeHeight="251670528" behindDoc="0" locked="0" layoutInCell="1" allowOverlap="1">
                      <wp:simplePos x="0" y="0"/>
                      <wp:positionH relativeFrom="column">
                        <wp:posOffset>2962910</wp:posOffset>
                      </wp:positionH>
                      <wp:positionV relativeFrom="paragraph">
                        <wp:posOffset>57150</wp:posOffset>
                      </wp:positionV>
                      <wp:extent cx="1753235" cy="2005330"/>
                      <wp:effectExtent l="0" t="31750" r="18415" b="39370"/>
                      <wp:wrapNone/>
                      <wp:docPr id="44" name="组合 44"/>
                      <wp:cNvGraphicFramePr/>
                      <a:graphic xmlns:a="http://schemas.openxmlformats.org/drawingml/2006/main">
                        <a:graphicData uri="http://schemas.microsoft.com/office/word/2010/wordprocessingGroup">
                          <wpg:wgp>
                            <wpg:cNvGrpSpPr/>
                            <wpg:grpSpPr>
                              <a:xfrm>
                                <a:off x="0" y="0"/>
                                <a:ext cx="1753235" cy="2005330"/>
                                <a:chOff x="6605" y="278407"/>
                                <a:chExt cx="2761" cy="3158"/>
                              </a:xfrm>
                            </wpg:grpSpPr>
                            <wps:wsp>
                              <wps:cNvPr id="35" name="直接连接符 35"/>
                              <wps:cNvCnPr/>
                              <wps:spPr>
                                <a:xfrm>
                                  <a:off x="6643" y="280984"/>
                                  <a:ext cx="2707" cy="1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6" name="直接连接符 36"/>
                              <wps:cNvCnPr/>
                              <wps:spPr>
                                <a:xfrm flipV="1">
                                  <a:off x="9361" y="278407"/>
                                  <a:ext cx="5" cy="2587"/>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9" name="直接箭头连接符 39"/>
                              <wps:cNvCnPr/>
                              <wps:spPr>
                                <a:xfrm flipV="1">
                                  <a:off x="6620" y="278447"/>
                                  <a:ext cx="507" cy="4"/>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wps:spPr>
                                <a:xfrm flipV="1">
                                  <a:off x="6605" y="279034"/>
                                  <a:ext cx="507" cy="4"/>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2" name="直接箭头连接符 42"/>
                              <wps:cNvCnPr/>
                              <wps:spPr>
                                <a:xfrm flipV="1">
                                  <a:off x="6660" y="279725"/>
                                  <a:ext cx="507" cy="4"/>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flipV="1">
                                  <a:off x="6629" y="280367"/>
                                  <a:ext cx="507" cy="4"/>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2" name="直接箭头连接符 52"/>
                              <wps:cNvCnPr/>
                              <wps:spPr>
                                <a:xfrm>
                                  <a:off x="6660" y="281561"/>
                                  <a:ext cx="476" cy="4"/>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3" name="直接箭头连接符 53"/>
                              <wps:cNvCnPr/>
                              <wps:spPr>
                                <a:xfrm flipH="1">
                                  <a:off x="8653" y="278411"/>
                                  <a:ext cx="713" cy="7"/>
                                </a:xfrm>
                                <a:prstGeom prst="straightConnector1">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33.3pt;margin-top:4.5pt;height:157.9pt;width:138.05pt;z-index:251670528;mso-width-relative:page;mso-height-relative:page;" coordorigin="6605,278407" coordsize="2761,3158" o:gfxdata="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IZGymPaAAAACQEAAA8AAAAA&#10;AAAAAQAgAAAAIgAAAGRycy9kb3ducmV2LnhtbFBLAQIUABQAAAAIAIdO4kCBEE0noQMAADYUAAAO&#10;AAAAAAAAAAEAIAAAACkBAABkcnMvZTJvRG9jLnhtbFBLBQYAAAAABgAGAFkBAAA8BwAAAAA=&#10;">
                      <o:lock v:ext="edit" aspectratio="f"/>
                      <v:line id="_x0000_s1026" o:spid="_x0000_s1026" o:spt="20" style="position:absolute;left:6643;top:280984;height:10;width:2707;" filled="f" stroked="t" coordsize="21600,21600" o:gfxdata="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Mmw+8AAAA&#10;2wAAAA8AAAAAAAAAAQAgAAAAIgAAAGRycy9kb3ducmV2LnhtbFBLAQIUABQAAAAIAIdO4kAzLwWe&#10;OwAAADkAAAAQAAAAAAAAAAEAIAAAAAsBAABkcnMvc2hhcGV4bWwueG1sUEsFBgAAAAAGAAYAWwEA&#10;ALUDAAAAAA==&#10;">
                        <v:fill on="f" focussize="0,0"/>
                        <v:stroke weight="0.25pt" color="#000000 [3213]" miterlimit="8" joinstyle="miter"/>
                        <v:imagedata o:title=""/>
                        <o:lock v:ext="edit" aspectratio="f"/>
                      </v:line>
                      <v:line id="_x0000_s1026" o:spid="_x0000_s1026" o:spt="20" style="position:absolute;left:9361;top:278407;flip:y;height:2587;width:5;" filled="f" stroked="t" coordsize="21600,21600" o:gfxdata="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ZNbu/&#10;AAAA2wAAAA8AAAAAAAAAAQAgAAAAIgAAAGRycy9kb3ducmV2LnhtbFBLAQIUABQAAAAIAIdO4kAz&#10;LwWeOwAAADkAAAAQAAAAAAAAAAEAIAAAAA4BAABkcnMvc2hhcGV4bWwueG1sUEsFBgAAAAAGAAYA&#10;WwEAALgDAAAAAA==&#10;">
                        <v:fill on="f" focussize="0,0"/>
                        <v:stroke weight="0.25pt" color="#000000 [3213]" miterlimit="8" joinstyle="miter"/>
                        <v:imagedata o:title=""/>
                        <o:lock v:ext="edit" aspectratio="f"/>
                      </v:line>
                      <v:shape id="_x0000_s1026" o:spid="_x0000_s1026" o:spt="32" type="#_x0000_t32" style="position:absolute;left:6620;top:278447;flip:y;height:4;width:507;" filled="f" stroked="t" coordsize="21600,21600" o:gfxdata="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x0qRugAAANsA&#10;AAAPAAAAAAAAAAEAIAAAACIAAABkcnMvZG93bnJldi54bWxQSwECFAAUAAAACACHTuJAMy8FnjsA&#10;AAA5AAAAEAAAAAAAAAABACAAAAAJAQAAZHJzL3NoYXBleG1sLnhtbFBLBQYAAAAABgAGAFsBAACz&#10;AwAAAAA=&#10;">
                        <v:fill on="f" focussize="0,0"/>
                        <v:stroke weight="0.25pt" color="#000000 [3213]" miterlimit="8" joinstyle="miter" endarrow="block"/>
                        <v:imagedata o:title=""/>
                        <o:lock v:ext="edit" aspectratio="f"/>
                      </v:shape>
                      <v:shape id="_x0000_s1026" o:spid="_x0000_s1026" o:spt="32" type="#_x0000_t32" style="position:absolute;left:6605;top:279034;flip:y;height:4;width:507;" filled="f" stroked="t" coordsize="21600,21600" o:gfxdata="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5BxtwAAANsAAAAP&#10;AAAAAAAAAAEAIAAAACIAAABkcnMvZG93bnJldi54bWxQSwECFAAUAAAACACHTuJAMy8FnjsAAAA5&#10;AAAAEAAAAAAAAAABACAAAAAGAQAAZHJzL3NoYXBleG1sLnhtbFBLBQYAAAAABgAGAFsBAACwAwAA&#10;AAA=&#10;">
                        <v:fill on="f" focussize="0,0"/>
                        <v:stroke weight="0.25pt" color="#000000 [3213]" miterlimit="8" joinstyle="miter" endarrow="block"/>
                        <v:imagedata o:title=""/>
                        <o:lock v:ext="edit" aspectratio="f"/>
                      </v:shape>
                      <v:shape id="_x0000_s1026" o:spid="_x0000_s1026" o:spt="32" type="#_x0000_t32" style="position:absolute;left:6660;top:279725;flip:y;height:4;width:507;" filled="f" stroked="t" coordsize="21600,21600" o:gfxdata="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audugAAANsA&#10;AAAPAAAAAAAAAAEAIAAAACIAAABkcnMvZG93bnJldi54bWxQSwECFAAUAAAACACHTuJAMy8FnjsA&#10;AAA5AAAAEAAAAAAAAAABACAAAAAJAQAAZHJzL3NoYXBleG1sLnhtbFBLBQYAAAAABgAGAFsBAACz&#10;AwAAAAA=&#10;">
                        <v:fill on="f" focussize="0,0"/>
                        <v:stroke weight="0.25pt" color="#000000 [3213]" miterlimit="8" joinstyle="miter" endarrow="block"/>
                        <v:imagedata o:title=""/>
                        <o:lock v:ext="edit" aspectratio="f"/>
                      </v:shape>
                      <v:shape id="_x0000_s1026" o:spid="_x0000_s1026" o:spt="32" type="#_x0000_t32" style="position:absolute;left:6629;top:280367;flip:y;height:4;width:507;" filled="f" stroked="t" coordsize="21600,21600" o:gfxdata="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Q4GugAAANsA&#10;AAAPAAAAAAAAAAEAIAAAACIAAABkcnMvZG93bnJldi54bWxQSwECFAAUAAAACACHTuJAMy8FnjsA&#10;AAA5AAAAEAAAAAAAAAABACAAAAAJAQAAZHJzL3NoYXBleG1sLnhtbFBLBQYAAAAABgAGAFsBAACz&#10;AwAAAAA=&#10;">
                        <v:fill on="f" focussize="0,0"/>
                        <v:stroke weight="0.25pt" color="#000000 [3213]" miterlimit="8" joinstyle="miter" endarrow="block"/>
                        <v:imagedata o:title=""/>
                        <o:lock v:ext="edit" aspectratio="f"/>
                      </v:shape>
                      <v:shape id="_x0000_s1026" o:spid="_x0000_s1026" o:spt="32" type="#_x0000_t32" style="position:absolute;left:6660;top:281561;height:4;width:476;" filled="f" stroked="t" coordsize="21600,21600" o:gfxdata="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jy74A&#10;AADbAAAADwAAAAAAAAABACAAAAAiAAAAZHJzL2Rvd25yZXYueG1sUEsBAhQAFAAAAAgAh07iQDMv&#10;BZ47AAAAOQAAABAAAAAAAAAAAQAgAAAADQEAAGRycy9zaGFwZXhtbC54bWxQSwUGAAAAAAYABgBb&#10;AQAAtwMAAAAA&#10;">
                        <v:fill on="f" focussize="0,0"/>
                        <v:stroke weight="0.25pt" color="#000000 [3213]" miterlimit="8" joinstyle="miter" endarrow="block"/>
                        <v:imagedata o:title=""/>
                        <o:lock v:ext="edit" aspectratio="f"/>
                      </v:shape>
                      <v:shape id="_x0000_s1026" o:spid="_x0000_s1026" o:spt="32" type="#_x0000_t32" style="position:absolute;left:8653;top:278411;flip:x;height:7;width:713;" filled="f" stroked="t" coordsize="21600,21600" o:gfxdata="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wmNu8AAAA&#10;2wAAAA8AAAAAAAAAAQAgAAAAIgAAAGRycy9kb3ducmV2LnhtbFBLAQIUABQAAAAIAIdO4kAzLwWe&#10;OwAAADkAAAAQAAAAAAAAAAEAIAAAAAsBAABkcnMvc2hhcGV4bWwueG1sUEsFBgAAAAAGAAYAWwEA&#10;ALUDAAAAAA==&#10;">
                        <v:fill on="f" focussize="0,0"/>
                        <v:stroke weight="0.25pt" color="#000000 [3213]" miterlimit="8" joinstyle="miter" endarrow="block"/>
                        <v:imagedata o:title=""/>
                        <o:lock v:ext="edit" aspectratio="f"/>
                      </v:shape>
                    </v:group>
                  </w:pict>
                </mc:Fallback>
              </mc:AlternateContent>
            </w:r>
          </w:p>
          <w:p w14:paraId="7467191F">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3360" behindDoc="0" locked="0" layoutInCell="1" allowOverlap="1">
                      <wp:simplePos x="0" y="0"/>
                      <wp:positionH relativeFrom="column">
                        <wp:posOffset>2019935</wp:posOffset>
                      </wp:positionH>
                      <wp:positionV relativeFrom="paragraph">
                        <wp:posOffset>80645</wp:posOffset>
                      </wp:positionV>
                      <wp:extent cx="953135" cy="274320"/>
                      <wp:effectExtent l="4445" t="4445" r="13970" b="6985"/>
                      <wp:wrapNone/>
                      <wp:docPr id="17" name="矩形 17"/>
                      <wp:cNvGraphicFramePr/>
                      <a:graphic xmlns:a="http://schemas.openxmlformats.org/drawingml/2006/main">
                        <a:graphicData uri="http://schemas.microsoft.com/office/word/2010/wordprocessingShape">
                          <wps:wsp>
                            <wps:cNvSpPr/>
                            <wps:spPr>
                              <a:xfrm>
                                <a:off x="3071495" y="7712710"/>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6CA9C0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水库基础</w:t>
                                  </w:r>
                                  <w:r>
                                    <w:rPr>
                                      <w:rFonts w:hint="eastAsia"/>
                                      <w:color w:val="000000" w:themeColor="text1"/>
                                      <w:sz w:val="18"/>
                                      <w:szCs w:val="18"/>
                                      <w:lang w:val="en-US" w:eastAsia="zh-CN"/>
                                      <w14:textFill>
                                        <w14:solidFill>
                                          <w14:schemeClr w14:val="tx1"/>
                                        </w14:solidFill>
                                      </w14:textFill>
                                    </w:rPr>
                                    <w:t>33.53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05pt;margin-top:6.35pt;height:21.6pt;width:75.05pt;z-index:251663360;v-text-anchor:middle;mso-width-relative:page;mso-height-relative:page;" filled="f" stroked="t" coordsize="21600,21600" o:gfxdata="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TZfYAAAACQEAAA8AAAAAAAAAAQAgAAAAIgAA&#10;AGRycy9kb3ducmV2LnhtbFBLAQIUABQAAAAIAIdO4kBaC/UUegIAAOIEAAAOAAAAAAAAAAEAIAAA&#10;ACcBAABkcnMvZTJvRG9jLnhtbFBLBQYAAAAABgAGAFkBAAATBgAAAAA=&#10;">
                      <v:fill on="f" focussize="0,0"/>
                      <v:stroke weight="0.25pt" color="#000000 [3213]" miterlimit="8" joinstyle="miter"/>
                      <v:imagedata o:title=""/>
                      <o:lock v:ext="edit" aspectratio="f"/>
                      <v:textbox>
                        <w:txbxContent>
                          <w:p w14:paraId="26CA9C0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水库基础</w:t>
                            </w:r>
                            <w:r>
                              <w:rPr>
                                <w:rFonts w:hint="eastAsia"/>
                                <w:color w:val="000000" w:themeColor="text1"/>
                                <w:sz w:val="18"/>
                                <w:szCs w:val="18"/>
                                <w:lang w:val="en-US" w:eastAsia="zh-CN"/>
                                <w14:textFill>
                                  <w14:solidFill>
                                    <w14:schemeClr w14:val="tx1"/>
                                  </w14:solidFill>
                                </w14:textFill>
                              </w:rPr>
                              <w:t>33.53</w:t>
                            </w:r>
                          </w:p>
                        </w:txbxContent>
                      </v:textbox>
                    </v:rect>
                  </w:pict>
                </mc:Fallback>
              </mc:AlternateContent>
            </w:r>
          </w:p>
          <w:p w14:paraId="354AC211">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116840</wp:posOffset>
                      </wp:positionV>
                      <wp:extent cx="1082675" cy="370205"/>
                      <wp:effectExtent l="5080" t="5080" r="17145" b="5715"/>
                      <wp:wrapNone/>
                      <wp:docPr id="15" name="椭圆 15"/>
                      <wp:cNvGraphicFramePr/>
                      <a:graphic xmlns:a="http://schemas.openxmlformats.org/drawingml/2006/main">
                        <a:graphicData uri="http://schemas.microsoft.com/office/word/2010/wordprocessingShape">
                          <wps:wsp>
                            <wps:cNvSpPr/>
                            <wps:spPr>
                              <a:xfrm>
                                <a:off x="0" y="0"/>
                                <a:ext cx="1082675" cy="370205"/>
                              </a:xfrm>
                              <a:prstGeom prst="ellipse">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1881AF3">
                                  <w:pPr>
                                    <w:jc w:val="both"/>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主体工程区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5pt;margin-top:9.2pt;height:29.15pt;width:85.25pt;z-index:251660288;v-text-anchor:middle;mso-width-relative:page;mso-height-relative:page;" filled="f" stroked="t" coordsize="21600,21600" o:gfxdata="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c2VeNQAAAAHAQAADwAAAAAAAAABACAAAAAiAAAAZHJzL2Rvd25yZXYueG1s&#10;UEsBAhQAFAAAAAgAh07iQNmii51uAgAA2gQAAA4AAAAAAAAAAQAgAAAAIwEAAGRycy9lMm9Eb2Mu&#10;eG1sUEsFBgAAAAAGAAYAWQEAAAMGAAAAAA==&#10;">
                      <v:fill on="f" focussize="0,0"/>
                      <v:stroke weight="0.25pt" color="#000000 [3213]" miterlimit="8" joinstyle="miter"/>
                      <v:imagedata o:title=""/>
                      <o:lock v:ext="edit" aspectratio="f"/>
                      <v:textbox>
                        <w:txbxContent>
                          <w:p w14:paraId="11881AF3">
                            <w:pPr>
                              <w:jc w:val="both"/>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主体工程区</w:t>
                            </w:r>
                          </w:p>
                        </w:txbxContent>
                      </v:textbox>
                    </v:shape>
                  </w:pict>
                </mc:Fallback>
              </mc:AlternateContent>
            </w:r>
          </w:p>
          <w:p w14:paraId="4E863B54">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4384" behindDoc="0" locked="0" layoutInCell="1" allowOverlap="1">
                      <wp:simplePos x="0" y="0"/>
                      <wp:positionH relativeFrom="column">
                        <wp:posOffset>2033905</wp:posOffset>
                      </wp:positionH>
                      <wp:positionV relativeFrom="paragraph">
                        <wp:posOffset>41275</wp:posOffset>
                      </wp:positionV>
                      <wp:extent cx="953135" cy="274320"/>
                      <wp:effectExtent l="4445" t="4445" r="13970" b="6985"/>
                      <wp:wrapNone/>
                      <wp:docPr id="18" name="矩形 18"/>
                      <wp:cNvGraphicFramePr/>
                      <a:graphic xmlns:a="http://schemas.openxmlformats.org/drawingml/2006/main">
                        <a:graphicData uri="http://schemas.microsoft.com/office/word/2010/wordprocessingShape">
                          <wps:wsp>
                            <wps:cNvSpPr/>
                            <wps:spPr>
                              <a:xfrm>
                                <a:off x="3085465" y="8157845"/>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144ACC">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管道基础</w:t>
                                  </w:r>
                                  <w:r>
                                    <w:rPr>
                                      <w:rFonts w:hint="eastAsia"/>
                                      <w:color w:val="000000" w:themeColor="text1"/>
                                      <w:sz w:val="18"/>
                                      <w:szCs w:val="18"/>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15pt;margin-top:3.25pt;height:21.6pt;width:75.05pt;z-index:251664384;v-text-anchor:middle;mso-width-relative:page;mso-height-relative:page;" filled="f" stroked="t" coordsize="21600,21600" o:gfxdata="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phwNF2AAAAAgBAAAPAAAAAAAAAAEAIAAAACIA&#10;AABkcnMvZG93bnJldi54bWxQSwECFAAUAAAACACHTuJA1UTzJ3sCAADiBAAADgAAAAAAAAABACAA&#10;AAAnAQAAZHJzL2Uyb0RvYy54bWxQSwUGAAAAAAYABgBZAQAAFAYAAAAA&#10;">
                      <v:fill on="f" focussize="0,0"/>
                      <v:stroke weight="0.25pt" color="#000000 [3213]" miterlimit="8" joinstyle="miter"/>
                      <v:imagedata o:title=""/>
                      <o:lock v:ext="edit" aspectratio="f"/>
                      <v:textbox>
                        <w:txbxContent>
                          <w:p w14:paraId="29144ACC">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管道基础</w:t>
                            </w:r>
                            <w:r>
                              <w:rPr>
                                <w:rFonts w:hint="eastAsia"/>
                                <w:color w:val="000000" w:themeColor="text1"/>
                                <w:sz w:val="18"/>
                                <w:szCs w:val="18"/>
                                <w:lang w:val="en-US" w:eastAsia="zh-CN"/>
                                <w14:textFill>
                                  <w14:solidFill>
                                    <w14:schemeClr w14:val="tx1"/>
                                  </w14:solidFill>
                                </w14:textFill>
                              </w:rPr>
                              <w:t>0.18</w:t>
                            </w:r>
                          </w:p>
                        </w:txbxContent>
                      </v:textbox>
                    </v:rect>
                  </w:pict>
                </mc:Fallback>
              </mc:AlternateContent>
            </w:r>
          </w:p>
          <w:p w14:paraId="4F2BBFE2">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5408" behindDoc="0" locked="0" layoutInCell="1" allowOverlap="1">
                      <wp:simplePos x="0" y="0"/>
                      <wp:positionH relativeFrom="column">
                        <wp:posOffset>2026920</wp:posOffset>
                      </wp:positionH>
                      <wp:positionV relativeFrom="paragraph">
                        <wp:posOffset>182880</wp:posOffset>
                      </wp:positionV>
                      <wp:extent cx="953135" cy="274320"/>
                      <wp:effectExtent l="4445" t="4445" r="13970" b="6985"/>
                      <wp:wrapNone/>
                      <wp:docPr id="19" name="矩形 19"/>
                      <wp:cNvGraphicFramePr/>
                      <a:graphic xmlns:a="http://schemas.openxmlformats.org/drawingml/2006/main">
                        <a:graphicData uri="http://schemas.microsoft.com/office/word/2010/wordprocessingShape">
                          <wps:wsp>
                            <wps:cNvSpPr/>
                            <wps:spPr>
                              <a:xfrm>
                                <a:off x="3078480" y="8542020"/>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2205B60">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泵站基础</w:t>
                                  </w:r>
                                  <w:r>
                                    <w:rPr>
                                      <w:rFonts w:hint="eastAsia"/>
                                      <w:color w:val="000000" w:themeColor="text1"/>
                                      <w:sz w:val="18"/>
                                      <w:szCs w:val="18"/>
                                      <w:lang w:val="en-US" w:eastAsia="zh-CN"/>
                                      <w14:textFill>
                                        <w14:solidFill>
                                          <w14:schemeClr w14:val="tx1"/>
                                        </w14:solidFill>
                                      </w14:textFill>
                                    </w:rPr>
                                    <w:t>0.07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6pt;margin-top:14.4pt;height:21.6pt;width:75.05pt;z-index:251665408;v-text-anchor:middle;mso-width-relative:page;mso-height-relative:page;" filled="f" stroked="t" coordsize="21600,21600" o:gfxdata="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&#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xWWmdgAAAAJAQAADwAAAAAAAAABACAAAAAiAAAA&#10;ZHJzL2Rvd25yZXYueG1sUEsBAhQAFAAAAAgAh07iQH/aDUZ5AgAA4gQAAA4AAAAAAAAAAQAgAAAA&#10;JwEAAGRycy9lMm9Eb2MueG1sUEsFBgAAAAAGAAYAWQEAABIGAAAAAA==&#10;">
                      <v:fill on="f" focussize="0,0"/>
                      <v:stroke weight="0.25pt" color="#000000 [3213]" miterlimit="8" joinstyle="miter"/>
                      <v:imagedata o:title=""/>
                      <o:lock v:ext="edit" aspectratio="f"/>
                      <v:textbox>
                        <w:txbxContent>
                          <w:p w14:paraId="42205B60">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泵站基础</w:t>
                            </w:r>
                            <w:r>
                              <w:rPr>
                                <w:rFonts w:hint="eastAsia"/>
                                <w:color w:val="000000" w:themeColor="text1"/>
                                <w:sz w:val="18"/>
                                <w:szCs w:val="18"/>
                                <w:lang w:val="en-US" w:eastAsia="zh-CN"/>
                                <w14:textFill>
                                  <w14:solidFill>
                                    <w14:schemeClr w14:val="tx1"/>
                                  </w14:solidFill>
                                </w14:textFill>
                              </w:rPr>
                              <w:t>0.07</w:t>
                            </w:r>
                          </w:p>
                        </w:txbxContent>
                      </v:textbox>
                    </v:rect>
                  </w:pict>
                </mc:Fallback>
              </mc:AlternateContent>
            </w:r>
          </w:p>
          <w:p w14:paraId="3624568B">
            <w:pPr>
              <w:pStyle w:val="10"/>
              <w:keepNext w:val="0"/>
              <w:keepLines w:val="0"/>
              <w:suppressLineNumbers w:val="0"/>
              <w:spacing w:before="166" w:beforeAutospacing="0" w:after="0" w:afterAutospacing="0" w:line="225" w:lineRule="auto"/>
              <w:ind w:left="961" w:right="0"/>
              <w:rPr>
                <w:rFonts w:hint="default"/>
                <w:spacing w:val="7"/>
                <w:sz w:val="20"/>
                <w:szCs w:val="20"/>
              </w:rPr>
            </w:pPr>
          </w:p>
          <w:p w14:paraId="61D2F302">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66432" behindDoc="0" locked="0" layoutInCell="1" allowOverlap="1">
                      <wp:simplePos x="0" y="0"/>
                      <wp:positionH relativeFrom="column">
                        <wp:posOffset>2033905</wp:posOffset>
                      </wp:positionH>
                      <wp:positionV relativeFrom="paragraph">
                        <wp:posOffset>102235</wp:posOffset>
                      </wp:positionV>
                      <wp:extent cx="953135" cy="274320"/>
                      <wp:effectExtent l="4445" t="4445" r="13970" b="6985"/>
                      <wp:wrapNone/>
                      <wp:docPr id="20" name="矩形 20"/>
                      <wp:cNvGraphicFramePr/>
                      <a:graphic xmlns:a="http://schemas.openxmlformats.org/drawingml/2006/main">
                        <a:graphicData uri="http://schemas.microsoft.com/office/word/2010/wordprocessingShape">
                          <wps:wsp>
                            <wps:cNvSpPr/>
                            <wps:spPr>
                              <a:xfrm>
                                <a:off x="3085465" y="8945880"/>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243B783">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排水基础</w:t>
                                  </w:r>
                                  <w:r>
                                    <w:rPr>
                                      <w:rFonts w:hint="eastAsia"/>
                                      <w:color w:val="000000" w:themeColor="text1"/>
                                      <w:sz w:val="18"/>
                                      <w:szCs w:val="18"/>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15pt;margin-top:8.05pt;height:21.6pt;width:75.05pt;z-index:251666432;v-text-anchor:middle;mso-width-relative:page;mso-height-relative:page;" filled="f" stroked="t" coordsize="21600,21600" o:gfxdata="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&#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2OCE2AAAAAkBAAAPAAAAAAAAAAEAIAAAACIAAABk&#10;cnMvZG93bnJldi54bWxQSwECFAAUAAAACACHTuJA9PDpIXgCAADiBAAADgAAAAAAAAABACAAAAAn&#10;AQAAZHJzL2Uyb0RvYy54bWxQSwUGAAAAAAYABgBZAQAAEQYAAAAA&#10;">
                      <v:fill on="f" focussize="0,0"/>
                      <v:stroke weight="0.25pt" color="#000000 [3213]" miterlimit="8" joinstyle="miter"/>
                      <v:imagedata o:title=""/>
                      <o:lock v:ext="edit" aspectratio="f"/>
                      <v:textbox>
                        <w:txbxContent>
                          <w:p w14:paraId="5243B783">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排水基础</w:t>
                            </w:r>
                            <w:r>
                              <w:rPr>
                                <w:rFonts w:hint="eastAsia"/>
                                <w:color w:val="000000" w:themeColor="text1"/>
                                <w:sz w:val="18"/>
                                <w:szCs w:val="18"/>
                                <w:lang w:val="en-US" w:eastAsia="zh-CN"/>
                                <w14:textFill>
                                  <w14:solidFill>
                                    <w14:schemeClr w14:val="tx1"/>
                                  </w14:solidFill>
                                </w14:textFill>
                              </w:rPr>
                              <w:t>0.18</w:t>
                            </w:r>
                          </w:p>
                        </w:txbxContent>
                      </v:textbox>
                    </v:rect>
                  </w:pict>
                </mc:Fallback>
              </mc:AlternateContent>
            </w:r>
          </w:p>
          <w:p w14:paraId="654CB4AD">
            <w:pPr>
              <w:pStyle w:val="10"/>
              <w:keepNext w:val="0"/>
              <w:keepLines w:val="0"/>
              <w:suppressLineNumbers w:val="0"/>
              <w:spacing w:before="166" w:beforeAutospacing="0" w:after="0" w:afterAutospacing="0" w:line="225" w:lineRule="auto"/>
              <w:ind w:left="961" w:right="0"/>
              <w:rPr>
                <w:rFonts w:hint="default"/>
                <w:spacing w:val="7"/>
                <w:sz w:val="20"/>
                <w:szCs w:val="20"/>
              </w:rPr>
            </w:pPr>
            <w:r>
              <w:rPr>
                <w:rFonts w:hint="default"/>
                <w:sz w:val="20"/>
              </w:rPr>
              <mc:AlternateContent>
                <mc:Choice Requires="wps">
                  <w:drawing>
                    <wp:anchor distT="0" distB="0" distL="114300" distR="114300" simplePos="0" relativeHeight="251673600" behindDoc="0" locked="0" layoutInCell="1" allowOverlap="1">
                      <wp:simplePos x="0" y="0"/>
                      <wp:positionH relativeFrom="column">
                        <wp:posOffset>3325495</wp:posOffset>
                      </wp:positionH>
                      <wp:positionV relativeFrom="paragraph">
                        <wp:posOffset>160020</wp:posOffset>
                      </wp:positionV>
                      <wp:extent cx="953135" cy="384810"/>
                      <wp:effectExtent l="4445" t="4445" r="13970" b="10795"/>
                      <wp:wrapNone/>
                      <wp:docPr id="50" name="矩形 50"/>
                      <wp:cNvGraphicFramePr/>
                      <a:graphic xmlns:a="http://schemas.openxmlformats.org/drawingml/2006/main">
                        <a:graphicData uri="http://schemas.microsoft.com/office/word/2010/wordprocessingShape">
                          <wps:wsp>
                            <wps:cNvSpPr/>
                            <wps:spPr>
                              <a:xfrm>
                                <a:off x="0" y="0"/>
                                <a:ext cx="953135" cy="38481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C21411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场地平整回填</w:t>
                                  </w:r>
                                  <w:r>
                                    <w:rPr>
                                      <w:rFonts w:hint="eastAsia"/>
                                      <w:color w:val="000000" w:themeColor="text1"/>
                                      <w:sz w:val="18"/>
                                      <w:szCs w:val="18"/>
                                      <w:lang w:val="en-US" w:eastAsia="zh-CN"/>
                                      <w14:textFill>
                                        <w14:solidFill>
                                          <w14:schemeClr w14:val="tx1"/>
                                        </w14:solidFill>
                                      </w14:textFill>
                                    </w:rPr>
                                    <w:t>0.05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85pt;margin-top:12.6pt;height:30.3pt;width:75.05pt;z-index:251673600;v-text-anchor:middle;mso-width-relative:page;mso-height-relative:page;" filled="f" stroked="t" coordsize="21600,21600" o:gfxdata="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lqScTYAAAACQEAAA8AAAAAAAAAAQAgAAAAIgAAAGRycy9kb3ducmV2&#10;LnhtbFBLAQIUABQAAAAIAIdO4kDQbJZUbgIAANYEAAAOAAAAAAAAAAEAIAAAACcBAABkcnMvZTJv&#10;RG9jLnhtbFBLBQYAAAAABgAGAFkBAAAHBgAAAAA=&#10;">
                      <v:fill on="f" focussize="0,0"/>
                      <v:stroke weight="0.25pt" color="#000000 [3213]" miterlimit="8" joinstyle="miter"/>
                      <v:imagedata o:title=""/>
                      <o:lock v:ext="edit" aspectratio="f"/>
                      <v:textbox>
                        <w:txbxContent>
                          <w:p w14:paraId="2C21411A">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场地平整回填</w:t>
                            </w:r>
                            <w:r>
                              <w:rPr>
                                <w:rFonts w:hint="eastAsia"/>
                                <w:color w:val="000000" w:themeColor="text1"/>
                                <w:sz w:val="18"/>
                                <w:szCs w:val="18"/>
                                <w:lang w:val="en-US" w:eastAsia="zh-CN"/>
                                <w14:textFill>
                                  <w14:solidFill>
                                    <w14:schemeClr w14:val="tx1"/>
                                  </w14:solidFill>
                                </w14:textFill>
                              </w:rPr>
                              <w:t>0.05</w:t>
                            </w:r>
                          </w:p>
                        </w:txbxContent>
                      </v:textbox>
                    </v:rect>
                  </w:pict>
                </mc:Fallback>
              </mc:AlternateContent>
            </w:r>
            <w:r>
              <w:rPr>
                <w:rFonts w:hint="default"/>
                <w:sz w:val="20"/>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177165</wp:posOffset>
                      </wp:positionV>
                      <wp:extent cx="1082675" cy="370205"/>
                      <wp:effectExtent l="5080" t="5080" r="17145" b="5715"/>
                      <wp:wrapNone/>
                      <wp:docPr id="13" name="椭圆 13"/>
                      <wp:cNvGraphicFramePr/>
                      <a:graphic xmlns:a="http://schemas.openxmlformats.org/drawingml/2006/main">
                        <a:graphicData uri="http://schemas.microsoft.com/office/word/2010/wordprocessingShape">
                          <wps:wsp>
                            <wps:cNvSpPr/>
                            <wps:spPr>
                              <a:xfrm>
                                <a:off x="1194435" y="7558405"/>
                                <a:ext cx="1082675" cy="370205"/>
                              </a:xfrm>
                              <a:prstGeom prst="ellipse">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A95E564">
                                  <w:pPr>
                                    <w:jc w:val="both"/>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临时堆土场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5pt;margin-top:13.95pt;height:29.15pt;width:85.25pt;z-index:251659264;v-text-anchor:middle;mso-width-relative:page;mso-height-relative:page;" filled="f" stroked="t" coordsize="21600,21600" o:gfxdata="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AdEHtUAAAAHAQAADwAAAAAAAAABACAAAAAiAAAA&#10;ZHJzL2Rvd25yZXYueG1sUEsBAhQAFAAAAAgAh07iQEGrUk18AgAA5gQAAA4AAAAAAAAAAQAgAAAA&#10;JAEAAGRycy9lMm9Eb2MueG1sUEsFBgAAAAAGAAYAWQEAABIGAAAAAA==&#10;">
                      <v:fill on="f" focussize="0,0"/>
                      <v:stroke weight="0.25pt" color="#000000 [3213]" miterlimit="8" joinstyle="miter"/>
                      <v:imagedata o:title=""/>
                      <o:lock v:ext="edit" aspectratio="f"/>
                      <v:textbox>
                        <w:txbxContent>
                          <w:p w14:paraId="4A95E564">
                            <w:pPr>
                              <w:jc w:val="both"/>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临时堆土场</w:t>
                            </w:r>
                          </w:p>
                        </w:txbxContent>
                      </v:textbox>
                    </v:shape>
                  </w:pict>
                </mc:Fallback>
              </mc:AlternateContent>
            </w:r>
            <w:r>
              <w:rPr>
                <w:rFonts w:hint="default"/>
                <w:sz w:val="20"/>
              </w:rPr>
              <mc:AlternateContent>
                <mc:Choice Requires="wps">
                  <w:drawing>
                    <wp:anchor distT="0" distB="0" distL="114300" distR="114300" simplePos="0" relativeHeight="251672576" behindDoc="0" locked="0" layoutInCell="1" allowOverlap="1">
                      <wp:simplePos x="0" y="0"/>
                      <wp:positionH relativeFrom="column">
                        <wp:posOffset>2045335</wp:posOffset>
                      </wp:positionH>
                      <wp:positionV relativeFrom="paragraph">
                        <wp:posOffset>234950</wp:posOffset>
                      </wp:positionV>
                      <wp:extent cx="953135" cy="274320"/>
                      <wp:effectExtent l="4445" t="4445" r="13970" b="6985"/>
                      <wp:wrapNone/>
                      <wp:docPr id="49" name="矩形 49"/>
                      <wp:cNvGraphicFramePr/>
                      <a:graphic xmlns:a="http://schemas.openxmlformats.org/drawingml/2006/main">
                        <a:graphicData uri="http://schemas.microsoft.com/office/word/2010/wordprocessingShape">
                          <wps:wsp>
                            <wps:cNvSpPr/>
                            <wps:spPr>
                              <a:xfrm>
                                <a:off x="0" y="0"/>
                                <a:ext cx="953135" cy="274320"/>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5E114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0.05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05pt;margin-top:18.5pt;height:21.6pt;width:75.05pt;z-index:251672576;v-text-anchor:middle;mso-width-relative:page;mso-height-relative:page;" filled="f" stroked="t" coordsize="21600,21600" o:gfxdata="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6EsKHXAAAACQEAAA8AAAAAAAAAAQAgAAAAIgAAAGRycy9kb3ducmV2&#10;LnhtbFBLAQIUABQAAAAIAIdO4kD7jKuqbwIAANYEAAAOAAAAAAAAAAEAIAAAACYBAABkcnMvZTJv&#10;RG9jLnhtbFBLBQYAAAAABgAGAFkBAAAHBgAAAAA=&#10;">
                      <v:fill on="f" focussize="0,0"/>
                      <v:stroke weight="0.25pt" color="#000000 [3213]" miterlimit="8" joinstyle="miter"/>
                      <v:imagedata o:title=""/>
                      <o:lock v:ext="edit" aspectratio="f"/>
                      <v:textbox>
                        <w:txbxContent>
                          <w:p w14:paraId="2B5E1141">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场地平整</w:t>
                            </w:r>
                            <w:r>
                              <w:rPr>
                                <w:rFonts w:hint="eastAsia"/>
                                <w:color w:val="000000" w:themeColor="text1"/>
                                <w:sz w:val="18"/>
                                <w:szCs w:val="18"/>
                                <w:lang w:val="en-US" w:eastAsia="zh-CN"/>
                                <w14:textFill>
                                  <w14:solidFill>
                                    <w14:schemeClr w14:val="tx1"/>
                                  </w14:solidFill>
                                </w14:textFill>
                              </w:rPr>
                              <w:t>0.05</w:t>
                            </w:r>
                          </w:p>
                        </w:txbxContent>
                      </v:textbox>
                    </v:rect>
                  </w:pict>
                </mc:Fallback>
              </mc:AlternateContent>
            </w:r>
          </w:p>
          <w:p w14:paraId="2B8D7DE9">
            <w:pPr>
              <w:pStyle w:val="10"/>
              <w:keepNext w:val="0"/>
              <w:keepLines w:val="0"/>
              <w:suppressLineNumbers w:val="0"/>
              <w:spacing w:before="166" w:beforeAutospacing="0" w:after="0" w:afterAutospacing="0" w:line="225" w:lineRule="auto"/>
              <w:ind w:left="961" w:right="0"/>
              <w:rPr>
                <w:rFonts w:hint="default"/>
                <w:spacing w:val="7"/>
                <w:sz w:val="20"/>
                <w:szCs w:val="20"/>
              </w:rPr>
            </w:pPr>
          </w:p>
          <w:p w14:paraId="2EE23703">
            <w:pPr>
              <w:pStyle w:val="10"/>
              <w:keepNext w:val="0"/>
              <w:keepLines w:val="0"/>
              <w:suppressLineNumbers w:val="0"/>
              <w:spacing w:before="166" w:beforeAutospacing="0" w:after="0" w:afterAutospacing="0" w:line="225" w:lineRule="auto"/>
              <w:ind w:left="961" w:right="0"/>
              <w:rPr>
                <w:rFonts w:hint="default"/>
                <w:spacing w:val="7"/>
                <w:sz w:val="20"/>
                <w:szCs w:val="20"/>
              </w:rPr>
            </w:pPr>
          </w:p>
          <w:p w14:paraId="3CFDC3C3">
            <w:pPr>
              <w:pStyle w:val="41"/>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sz w:val="24"/>
                <w:szCs w:val="24"/>
                <w:highlight w:val="none"/>
              </w:rPr>
              <w:t>图2-1土石方平衡图单位：</w:t>
            </w:r>
            <w:r>
              <w:rPr>
                <w:rFonts w:hint="default" w:ascii="Times New Roman" w:hAnsi="Times New Roman" w:eastAsia="宋体" w:cs="Times New Roman"/>
                <w:b/>
                <w:bCs/>
                <w:color w:val="auto"/>
                <w:sz w:val="24"/>
                <w:szCs w:val="24"/>
                <w:highlight w:val="none"/>
                <w:lang w:val="en-US" w:eastAsia="zh-CN"/>
              </w:rPr>
              <w:t>万</w:t>
            </w:r>
            <w:r>
              <w:rPr>
                <w:rFonts w:hint="default" w:ascii="Times New Roman" w:hAnsi="Times New Roman" w:eastAsia="宋体" w:cs="Times New Roman"/>
                <w:b/>
                <w:bCs/>
                <w:color w:val="auto"/>
                <w:sz w:val="24"/>
                <w:szCs w:val="24"/>
                <w:highlight w:val="none"/>
              </w:rPr>
              <w:t>m</w:t>
            </w:r>
            <w:r>
              <w:rPr>
                <w:rFonts w:hint="default" w:ascii="Times New Roman" w:hAnsi="Times New Roman" w:eastAsia="宋体" w:cs="Times New Roman"/>
                <w:b/>
                <w:bCs/>
                <w:color w:val="auto"/>
                <w:sz w:val="24"/>
                <w:szCs w:val="24"/>
                <w:highlight w:val="none"/>
                <w:vertAlign w:val="superscript"/>
              </w:rPr>
              <w:t>3</w:t>
            </w:r>
          </w:p>
        </w:tc>
      </w:tr>
      <w:tr w14:paraId="35304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6" w:hRule="atLeast"/>
          <w:jc w:val="center"/>
        </w:trPr>
        <w:tc>
          <w:tcPr>
            <w:tcW w:w="287" w:type="pct"/>
            <w:vAlign w:val="center"/>
          </w:tcPr>
          <w:p w14:paraId="6EEB7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kern w:val="0"/>
                <w:sz w:val="24"/>
                <w:szCs w:val="22"/>
                <w:highlight w:val="none"/>
              </w:rPr>
            </w:pPr>
            <w:r>
              <w:rPr>
                <w:rFonts w:hint="default" w:ascii="Times New Roman" w:hAnsi="Times New Roman" w:eastAsia="仿宋" w:cs="Times New Roman"/>
                <w:b/>
                <w:bCs/>
                <w:color w:val="auto"/>
                <w:kern w:val="0"/>
                <w:sz w:val="24"/>
                <w:szCs w:val="22"/>
                <w:highlight w:val="none"/>
              </w:rPr>
              <w:t>总平面及现场布置</w:t>
            </w:r>
          </w:p>
        </w:tc>
        <w:tc>
          <w:tcPr>
            <w:tcW w:w="4712" w:type="pct"/>
            <w:vAlign w:val="center"/>
          </w:tcPr>
          <w:p w14:paraId="71A31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1、总平面布置</w:t>
            </w:r>
          </w:p>
          <w:p w14:paraId="1E9D63D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5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1"/>
                <w:sz w:val="24"/>
                <w:szCs w:val="24"/>
              </w:rPr>
              <w:t>本项目主要新建库容156万</w:t>
            </w:r>
            <w:r>
              <w:rPr>
                <w:rFonts w:hint="default" w:ascii="Times New Roman" w:hAnsi="Times New Roman" w:eastAsia="宋体" w:cs="Times New Roman"/>
                <w:spacing w:val="21"/>
                <w:sz w:val="24"/>
                <w:szCs w:val="24"/>
                <w:lang w:val="en-US" w:eastAsia="zh-CN"/>
              </w:rPr>
              <w:t>m</w:t>
            </w:r>
            <w:r>
              <w:rPr>
                <w:rFonts w:hint="default" w:ascii="Times New Roman" w:hAnsi="Times New Roman" w:eastAsia="宋体" w:cs="Times New Roman"/>
                <w:spacing w:val="21"/>
                <w:sz w:val="24"/>
                <w:szCs w:val="24"/>
                <w:vertAlign w:val="superscript"/>
                <w:lang w:val="en-US" w:eastAsia="zh-CN"/>
              </w:rPr>
              <w:t>3</w:t>
            </w:r>
            <w:r>
              <w:rPr>
                <w:rFonts w:hint="default" w:ascii="Times New Roman" w:hAnsi="Times New Roman" w:eastAsia="宋体" w:cs="Times New Roman"/>
                <w:spacing w:val="21"/>
                <w:sz w:val="24"/>
                <w:szCs w:val="24"/>
              </w:rPr>
              <w:t>水库</w:t>
            </w:r>
            <w:r>
              <w:rPr>
                <w:rFonts w:hint="default" w:ascii="Times New Roman" w:hAnsi="Times New Roman" w:eastAsia="宋体" w:cs="Times New Roman"/>
                <w:spacing w:val="21"/>
                <w:sz w:val="24"/>
                <w:szCs w:val="24"/>
                <w:lang w:val="en-US" w:eastAsia="zh-CN"/>
              </w:rPr>
              <w:t>1</w:t>
            </w:r>
            <w:r>
              <w:rPr>
                <w:rFonts w:hint="default" w:ascii="Times New Roman" w:hAnsi="Times New Roman" w:eastAsia="宋体" w:cs="Times New Roman"/>
                <w:spacing w:val="21"/>
                <w:sz w:val="24"/>
                <w:szCs w:val="24"/>
              </w:rPr>
              <w:t>座，泵站</w:t>
            </w:r>
            <w:r>
              <w:rPr>
                <w:rFonts w:hint="default" w:ascii="Times New Roman" w:hAnsi="Times New Roman" w:eastAsia="宋体" w:cs="Times New Roman"/>
                <w:spacing w:val="21"/>
                <w:sz w:val="24"/>
                <w:szCs w:val="24"/>
                <w:lang w:val="en-US" w:eastAsia="zh-CN"/>
              </w:rPr>
              <w:t>1</w:t>
            </w:r>
            <w:r>
              <w:rPr>
                <w:rFonts w:hint="default" w:ascii="Times New Roman" w:hAnsi="Times New Roman" w:eastAsia="宋体" w:cs="Times New Roman"/>
                <w:spacing w:val="21"/>
                <w:sz w:val="24"/>
                <w:szCs w:val="24"/>
              </w:rPr>
              <w:t>座，铺设供水管</w:t>
            </w:r>
            <w:r>
              <w:rPr>
                <w:rFonts w:hint="default" w:ascii="Times New Roman" w:hAnsi="Times New Roman" w:eastAsia="宋体" w:cs="Times New Roman"/>
                <w:spacing w:val="8"/>
                <w:sz w:val="24"/>
                <w:szCs w:val="24"/>
              </w:rPr>
              <w:t>0.29</w:t>
            </w:r>
            <w:r>
              <w:rPr>
                <w:rFonts w:hint="default" w:ascii="Times New Roman" w:hAnsi="Times New Roman" w:eastAsia="宋体" w:cs="Times New Roman"/>
                <w:sz w:val="24"/>
                <w:szCs w:val="24"/>
              </w:rPr>
              <w:t>km</w:t>
            </w:r>
            <w:r>
              <w:rPr>
                <w:rFonts w:hint="default" w:ascii="Times New Roman" w:hAnsi="Times New Roman" w:eastAsia="宋体" w:cs="Times New Roman"/>
                <w:spacing w:val="8"/>
                <w:sz w:val="24"/>
                <w:szCs w:val="24"/>
              </w:rPr>
              <w:t>；新建调蓄水库位置因紧密结合输配水工程、园区可</w:t>
            </w:r>
            <w:r>
              <w:rPr>
                <w:rFonts w:hint="default" w:ascii="Times New Roman" w:hAnsi="Times New Roman" w:eastAsia="宋体" w:cs="Times New Roman"/>
                <w:spacing w:val="7"/>
                <w:sz w:val="24"/>
                <w:szCs w:val="24"/>
              </w:rPr>
              <w:t>利用地及地块划分，</w:t>
            </w:r>
            <w:r>
              <w:rPr>
                <w:rFonts w:hint="default" w:ascii="Times New Roman" w:hAnsi="Times New Roman" w:eastAsia="宋体" w:cs="Times New Roman"/>
                <w:spacing w:val="13"/>
                <w:sz w:val="24"/>
                <w:szCs w:val="24"/>
              </w:rPr>
              <w:t>对调蓄水库进行合理布置，库址位于在建水厂东</w:t>
            </w:r>
            <w:r>
              <w:rPr>
                <w:rFonts w:hint="default" w:ascii="Times New Roman" w:hAnsi="Times New Roman" w:eastAsia="宋体" w:cs="Times New Roman"/>
                <w:spacing w:val="12"/>
                <w:sz w:val="24"/>
                <w:szCs w:val="24"/>
              </w:rPr>
              <w:t>北方向，紧邻水厂并与水厂呈</w:t>
            </w:r>
            <w:r>
              <w:rPr>
                <w:rFonts w:hint="default" w:ascii="Times New Roman" w:hAnsi="Times New Roman" w:eastAsia="宋体" w:cs="Times New Roman"/>
                <w:spacing w:val="8"/>
                <w:sz w:val="24"/>
                <w:szCs w:val="24"/>
              </w:rPr>
              <w:t>平行布置。水厂泵站位于地块西南角，通过连接在建水厂供水管及水库</w:t>
            </w:r>
            <w:r>
              <w:rPr>
                <w:rFonts w:hint="default" w:ascii="Times New Roman" w:hAnsi="Times New Roman" w:eastAsia="宋体" w:cs="Times New Roman"/>
                <w:spacing w:val="7"/>
                <w:sz w:val="24"/>
                <w:szCs w:val="24"/>
              </w:rPr>
              <w:t>放空管，</w:t>
            </w:r>
            <w:r>
              <w:rPr>
                <w:rFonts w:hint="default" w:ascii="Times New Roman" w:hAnsi="Times New Roman" w:eastAsia="宋体" w:cs="Times New Roman"/>
                <w:spacing w:val="-1"/>
                <w:sz w:val="24"/>
                <w:szCs w:val="24"/>
              </w:rPr>
              <w:t>实现水库调蓄。</w:t>
            </w:r>
          </w:p>
          <w:p w14:paraId="382004BF">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本项目总平面布置见附图7。</w:t>
            </w:r>
          </w:p>
          <w:p w14:paraId="30C85D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2、施工场地布置</w:t>
            </w:r>
          </w:p>
          <w:p w14:paraId="5C7C5CDE">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98" w:firstLineChars="200"/>
              <w:textAlignment w:val="auto"/>
              <w:outlineLvl w:val="3"/>
              <w:rPr>
                <w:rFonts w:hint="eastAsia" w:ascii="Times New Roman" w:hAnsi="Times New Roman" w:eastAsia="宋体" w:cs="Times New Roman"/>
                <w:sz w:val="24"/>
                <w:szCs w:val="24"/>
                <w:lang w:eastAsia="zh-CN"/>
              </w:rPr>
            </w:pPr>
            <w:r>
              <w:rPr>
                <w:rFonts w:hint="default"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lang w:val="en-US" w:eastAsia="zh-CN"/>
              </w:rPr>
              <w:t>1</w:t>
            </w:r>
            <w:r>
              <w:rPr>
                <w:rFonts w:hint="default"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rPr>
              <w:t>施工</w:t>
            </w:r>
            <w:r>
              <w:rPr>
                <w:rFonts w:hint="eastAsia" w:cs="Times New Roman"/>
                <w:b/>
                <w:bCs/>
                <w:spacing w:val="4"/>
                <w:sz w:val="24"/>
                <w:szCs w:val="24"/>
                <w:lang w:eastAsia="zh-CN"/>
              </w:rPr>
              <w:t>生产生活区</w:t>
            </w:r>
          </w:p>
          <w:p w14:paraId="6F21E901">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8"/>
                <w:sz w:val="24"/>
                <w:szCs w:val="24"/>
                <w:lang w:val="en-US" w:eastAsia="zh-CN"/>
              </w:rPr>
              <w:t>施工</w:t>
            </w:r>
            <w:r>
              <w:rPr>
                <w:rFonts w:hint="eastAsia" w:ascii="Times New Roman" w:hAnsi="Times New Roman" w:eastAsia="宋体" w:cs="Times New Roman"/>
                <w:spacing w:val="8"/>
                <w:sz w:val="24"/>
                <w:szCs w:val="24"/>
                <w:lang w:val="en-US" w:eastAsia="zh-CN"/>
              </w:rPr>
              <w:t>生产生活区</w:t>
            </w:r>
            <w:r>
              <w:rPr>
                <w:rFonts w:hint="default" w:ascii="Times New Roman" w:hAnsi="Times New Roman" w:eastAsia="宋体" w:cs="Times New Roman"/>
                <w:spacing w:val="8"/>
                <w:sz w:val="24"/>
                <w:szCs w:val="24"/>
                <w:lang w:val="en-US" w:eastAsia="zh-CN"/>
              </w:rPr>
              <w:t>包括仓库及工棚、临时混凝土拌合站、办公生活房屋，位于调蓄水池</w:t>
            </w:r>
            <w:r>
              <w:rPr>
                <w:rFonts w:hint="eastAsia" w:ascii="Times New Roman" w:hAnsi="Times New Roman" w:eastAsia="宋体" w:cs="Times New Roman"/>
                <w:spacing w:val="8"/>
                <w:sz w:val="24"/>
                <w:szCs w:val="24"/>
                <w:lang w:val="en-US" w:eastAsia="zh-CN"/>
              </w:rPr>
              <w:t>东南</w:t>
            </w:r>
            <w:r>
              <w:rPr>
                <w:rFonts w:hint="default" w:ascii="Times New Roman" w:hAnsi="Times New Roman" w:eastAsia="宋体" w:cs="Times New Roman"/>
                <w:spacing w:val="8"/>
                <w:sz w:val="24"/>
                <w:szCs w:val="24"/>
                <w:lang w:val="en-US" w:eastAsia="zh-CN"/>
              </w:rPr>
              <w:t>侧。仓库及工棚、临时混凝土拌合站占地面积</w:t>
            </w:r>
            <w:r>
              <w:rPr>
                <w:rFonts w:hint="eastAsia" w:ascii="Times New Roman" w:hAnsi="Times New Roman" w:eastAsia="宋体" w:cs="Times New Roman"/>
                <w:spacing w:val="8"/>
                <w:sz w:val="24"/>
                <w:szCs w:val="24"/>
                <w:lang w:val="en-US" w:eastAsia="zh-CN"/>
              </w:rPr>
              <w:t>33</w:t>
            </w:r>
            <w:r>
              <w:rPr>
                <w:rFonts w:hint="default" w:ascii="Times New Roman" w:hAnsi="Times New Roman" w:eastAsia="宋体" w:cs="Times New Roman"/>
                <w:spacing w:val="8"/>
                <w:sz w:val="24"/>
                <w:szCs w:val="24"/>
                <w:lang w:val="en-US" w:eastAsia="zh-CN"/>
              </w:rPr>
              <w:t>00m</w:t>
            </w:r>
            <w:r>
              <w:rPr>
                <w:rFonts w:hint="default" w:ascii="Times New Roman" w:hAnsi="Times New Roman" w:eastAsia="宋体" w:cs="Times New Roman"/>
                <w:spacing w:val="8"/>
                <w:sz w:val="24"/>
                <w:szCs w:val="24"/>
                <w:vertAlign w:val="superscript"/>
                <w:lang w:val="en-US" w:eastAsia="zh-CN"/>
              </w:rPr>
              <w:t>2</w:t>
            </w:r>
            <w:r>
              <w:rPr>
                <w:rFonts w:hint="default" w:ascii="Times New Roman" w:hAnsi="Times New Roman" w:eastAsia="宋体" w:cs="Times New Roman"/>
                <w:spacing w:val="8"/>
                <w:sz w:val="24"/>
                <w:szCs w:val="24"/>
                <w:lang w:val="en-US" w:eastAsia="zh-CN"/>
              </w:rPr>
              <w:t>，办公生活房屋占地面积1</w:t>
            </w:r>
            <w:r>
              <w:rPr>
                <w:rFonts w:hint="eastAsia"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val="en-US" w:eastAsia="zh-CN"/>
              </w:rPr>
              <w:t>00m</w:t>
            </w:r>
            <w:r>
              <w:rPr>
                <w:rFonts w:hint="default" w:ascii="Times New Roman" w:hAnsi="Times New Roman" w:eastAsia="宋体" w:cs="Times New Roman"/>
                <w:spacing w:val="8"/>
                <w:sz w:val="24"/>
                <w:szCs w:val="24"/>
                <w:vertAlign w:val="superscript"/>
                <w:lang w:val="en-US" w:eastAsia="zh-CN"/>
              </w:rPr>
              <w:t>2</w:t>
            </w:r>
            <w:r>
              <w:rPr>
                <w:rFonts w:hint="default" w:ascii="Times New Roman" w:hAnsi="Times New Roman" w:eastAsia="宋体" w:cs="Times New Roman"/>
                <w:spacing w:val="8"/>
                <w:sz w:val="24"/>
                <w:szCs w:val="24"/>
                <w:lang w:val="en-US" w:eastAsia="zh-CN"/>
              </w:rPr>
              <w:t>，施工场地总占地面积</w:t>
            </w:r>
            <w:r>
              <w:rPr>
                <w:rFonts w:hint="eastAsia"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val="en-US" w:eastAsia="zh-CN"/>
              </w:rPr>
              <w:t>800m</w:t>
            </w:r>
            <w:r>
              <w:rPr>
                <w:rFonts w:hint="default" w:ascii="Times New Roman" w:hAnsi="Times New Roman" w:eastAsia="宋体" w:cs="Times New Roman"/>
                <w:spacing w:val="8"/>
                <w:sz w:val="24"/>
                <w:szCs w:val="24"/>
                <w:vertAlign w:val="superscript"/>
                <w:lang w:val="en-US" w:eastAsia="zh-CN"/>
              </w:rPr>
              <w:t>2</w:t>
            </w:r>
            <w:r>
              <w:rPr>
                <w:rFonts w:hint="default" w:ascii="Times New Roman" w:hAnsi="Times New Roman" w:eastAsia="宋体" w:cs="Times New Roman"/>
                <w:spacing w:val="8"/>
                <w:sz w:val="24"/>
                <w:szCs w:val="24"/>
                <w:lang w:val="en-US" w:eastAsia="zh-CN"/>
              </w:rPr>
              <w:t>。临时施工</w:t>
            </w:r>
            <w:r>
              <w:rPr>
                <w:rFonts w:hint="eastAsia" w:ascii="Times New Roman" w:hAnsi="Times New Roman" w:eastAsia="宋体" w:cs="Times New Roman"/>
                <w:spacing w:val="8"/>
                <w:sz w:val="24"/>
                <w:szCs w:val="24"/>
                <w:lang w:val="en-US" w:eastAsia="zh-CN"/>
              </w:rPr>
              <w:t>生产生活区</w:t>
            </w:r>
            <w:r>
              <w:rPr>
                <w:rFonts w:hint="default" w:ascii="Times New Roman" w:hAnsi="Times New Roman" w:eastAsia="宋体" w:cs="Times New Roman"/>
                <w:spacing w:val="8"/>
                <w:sz w:val="24"/>
                <w:szCs w:val="24"/>
                <w:lang w:val="en-US" w:eastAsia="zh-CN"/>
              </w:rPr>
              <w:t>平面布置见图2-2。</w:t>
            </w:r>
          </w:p>
          <w:p w14:paraId="1F26DD47">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259D6898">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5E5D892E">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0162BD53">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607D2486">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72F30269">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2D590B04">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outlineLvl w:val="3"/>
              <w:rPr>
                <w:rFonts w:hint="default" w:ascii="Times New Roman" w:hAnsi="Times New Roman" w:eastAsia="宋体" w:cs="Times New Roman"/>
                <w:spacing w:val="8"/>
                <w:sz w:val="24"/>
                <w:szCs w:val="24"/>
                <w:lang w:val="en-US" w:eastAsia="zh-CN"/>
              </w:rPr>
            </w:pPr>
          </w:p>
          <w:p w14:paraId="70C01F1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eastAsia="仿宋" w:cs="Times New Roman"/>
                <w:b w:val="0"/>
                <w:color w:val="auto"/>
                <w:sz w:val="24"/>
                <w:highlight w:val="none"/>
              </w:rPr>
            </w:pPr>
            <w:r>
              <w:rPr>
                <w:rFonts w:hint="default" w:ascii="Times New Roman" w:hAnsi="Times New Roman" w:eastAsia="仿宋" w:cs="Times New Roman"/>
                <w:b w:val="0"/>
                <w:color w:val="auto"/>
                <w:sz w:val="24"/>
                <w:highlight w:val="none"/>
              </w:rPr>
              <w:object>
                <v:shape id="_x0000_i1025" o:spt="75" type="#_x0000_t75" style="height:278.45pt;width:455.45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1317C04C">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eastAsia="宋体" w:cs="Times New Roman"/>
                <w:b w:val="0"/>
                <w:color w:val="auto"/>
                <w:sz w:val="24"/>
                <w:highlight w:val="none"/>
                <w:lang w:val="en-US" w:eastAsia="zh-CN"/>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 xml:space="preserve">  临时</w:t>
            </w:r>
            <w:r>
              <w:rPr>
                <w:rFonts w:hint="eastAsia" w:ascii="Times New Roman" w:hAnsi="Times New Roman" w:eastAsia="宋体" w:cs="Times New Roman"/>
                <w:b/>
                <w:bCs/>
                <w:color w:val="auto"/>
                <w:sz w:val="24"/>
                <w:szCs w:val="24"/>
                <w:highlight w:val="none"/>
                <w:lang w:eastAsia="zh-CN"/>
              </w:rPr>
              <w:t>生产生活区</w:t>
            </w:r>
            <w:r>
              <w:rPr>
                <w:rFonts w:hint="default" w:ascii="Times New Roman" w:hAnsi="Times New Roman" w:eastAsia="宋体" w:cs="Times New Roman"/>
                <w:b/>
                <w:bCs/>
                <w:color w:val="auto"/>
                <w:sz w:val="24"/>
                <w:szCs w:val="24"/>
                <w:highlight w:val="none"/>
              </w:rPr>
              <w:t>平面布置图</w:t>
            </w:r>
          </w:p>
          <w:p w14:paraId="27D07C25">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94" w:firstLineChars="200"/>
              <w:textAlignment w:val="auto"/>
              <w:outlineLvl w:val="3"/>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lang w:eastAsia="zh-CN"/>
              </w:rPr>
              <w:t>（</w:t>
            </w:r>
            <w:r>
              <w:rPr>
                <w:rFonts w:hint="default" w:ascii="Times New Roman" w:hAnsi="Times New Roman" w:eastAsia="宋体" w:cs="Times New Roman"/>
                <w:b/>
                <w:bCs/>
                <w:spacing w:val="3"/>
                <w:sz w:val="24"/>
                <w:szCs w:val="24"/>
                <w:lang w:val="en-US" w:eastAsia="zh-CN"/>
              </w:rPr>
              <w:t>2</w:t>
            </w:r>
            <w:r>
              <w:rPr>
                <w:rFonts w:hint="default" w:ascii="Times New Roman" w:hAnsi="Times New Roman" w:eastAsia="宋体" w:cs="Times New Roman"/>
                <w:b/>
                <w:bCs/>
                <w:spacing w:val="3"/>
                <w:sz w:val="24"/>
                <w:szCs w:val="24"/>
                <w:lang w:eastAsia="zh-CN"/>
              </w:rPr>
              <w:t>）</w:t>
            </w:r>
            <w:r>
              <w:rPr>
                <w:rFonts w:hint="default" w:ascii="Times New Roman" w:hAnsi="Times New Roman" w:eastAsia="宋体" w:cs="Times New Roman"/>
                <w:b/>
                <w:bCs/>
                <w:spacing w:val="3"/>
                <w:sz w:val="24"/>
                <w:szCs w:val="24"/>
              </w:rPr>
              <w:t>施工道路</w:t>
            </w:r>
          </w:p>
          <w:p w14:paraId="467D0BD7">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lang w:val="en-US" w:eastAsia="zh-CN"/>
              </w:rPr>
              <w:t>1</w:t>
            </w:r>
            <w:r>
              <w:rPr>
                <w:rFonts w:hint="default" w:ascii="Times New Roman" w:hAnsi="Times New Roman" w:eastAsia="宋体" w:cs="Times New Roman"/>
                <w:spacing w:val="-9"/>
                <w:sz w:val="24"/>
                <w:szCs w:val="24"/>
              </w:rPr>
              <w:t>）对外交通</w:t>
            </w:r>
          </w:p>
          <w:p w14:paraId="628EC9FF">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工程区附近已有S301省道、S237省道、</w:t>
            </w:r>
            <w:r>
              <w:rPr>
                <w:rFonts w:hint="default" w:ascii="Times New Roman" w:hAnsi="Times New Roman" w:eastAsia="宋体" w:cs="Times New Roman"/>
                <w:spacing w:val="6"/>
                <w:sz w:val="24"/>
                <w:szCs w:val="24"/>
              </w:rPr>
              <w:t>连霍高速、甘平公路及Y360乡村</w:t>
            </w:r>
            <w:r>
              <w:rPr>
                <w:rFonts w:hint="default" w:ascii="Times New Roman" w:hAnsi="Times New Roman" w:eastAsia="宋体" w:cs="Times New Roman"/>
                <w:spacing w:val="14"/>
                <w:sz w:val="24"/>
                <w:szCs w:val="24"/>
              </w:rPr>
              <w:t>道路与项目区连接，交通极为便利。以上道路路况良好，沿途桥梁荷载</w:t>
            </w:r>
            <w:r>
              <w:rPr>
                <w:rFonts w:hint="default" w:ascii="Times New Roman" w:hAnsi="Times New Roman" w:eastAsia="宋体" w:cs="Times New Roman"/>
                <w:spacing w:val="13"/>
                <w:sz w:val="24"/>
                <w:szCs w:val="24"/>
              </w:rPr>
              <w:t>能满足</w:t>
            </w:r>
            <w:r>
              <w:rPr>
                <w:rFonts w:hint="default" w:ascii="Times New Roman" w:hAnsi="Times New Roman" w:eastAsia="宋体" w:cs="Times New Roman"/>
                <w:spacing w:val="14"/>
                <w:sz w:val="24"/>
                <w:szCs w:val="24"/>
              </w:rPr>
              <w:t>工程运输要求，施工期所需的钢材、水泥及生产生活物资等均可采用公</w:t>
            </w:r>
            <w:r>
              <w:rPr>
                <w:rFonts w:hint="default" w:ascii="Times New Roman" w:hAnsi="Times New Roman" w:eastAsia="宋体" w:cs="Times New Roman"/>
                <w:spacing w:val="13"/>
                <w:sz w:val="24"/>
                <w:szCs w:val="24"/>
              </w:rPr>
              <w:t>路运输</w:t>
            </w:r>
            <w:r>
              <w:rPr>
                <w:rFonts w:hint="default" w:ascii="Times New Roman" w:hAnsi="Times New Roman" w:eastAsia="宋体" w:cs="Times New Roman"/>
                <w:spacing w:val="6"/>
                <w:sz w:val="24"/>
                <w:szCs w:val="24"/>
              </w:rPr>
              <w:t>直抵各工程区，工程对外交通条件便利。</w:t>
            </w:r>
          </w:p>
          <w:p w14:paraId="37C384E4">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2）场内交通</w:t>
            </w:r>
          </w:p>
          <w:p w14:paraId="3473398B">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本工程水工建筑物呈线性布置，场内道路主要以沟通对外交通、施工营地、</w:t>
            </w:r>
            <w:r>
              <w:rPr>
                <w:rFonts w:hint="default" w:ascii="Times New Roman" w:hAnsi="Times New Roman" w:eastAsia="宋体" w:cs="Times New Roman"/>
                <w:spacing w:val="14"/>
                <w:sz w:val="24"/>
                <w:szCs w:val="24"/>
              </w:rPr>
              <w:t>施工场地等交通为主，工程区内城乡公路四通八达，工程区内地形平坦，</w:t>
            </w:r>
            <w:r>
              <w:rPr>
                <w:rFonts w:hint="default" w:ascii="Times New Roman" w:hAnsi="Times New Roman" w:eastAsia="宋体" w:cs="Times New Roman"/>
                <w:spacing w:val="13"/>
                <w:sz w:val="24"/>
                <w:szCs w:val="24"/>
              </w:rPr>
              <w:t>具备</w:t>
            </w:r>
            <w:r>
              <w:rPr>
                <w:rFonts w:hint="default" w:ascii="Times New Roman" w:hAnsi="Times New Roman" w:eastAsia="宋体" w:cs="Times New Roman"/>
                <w:spacing w:val="8"/>
                <w:sz w:val="24"/>
                <w:szCs w:val="24"/>
              </w:rPr>
              <w:t>良好的场内运输条件，可满足施工要求，施工时无需再修筑临</w:t>
            </w:r>
            <w:r>
              <w:rPr>
                <w:rFonts w:hint="default" w:ascii="Times New Roman" w:hAnsi="Times New Roman" w:eastAsia="宋体" w:cs="Times New Roman"/>
                <w:spacing w:val="7"/>
                <w:sz w:val="24"/>
                <w:szCs w:val="24"/>
              </w:rPr>
              <w:t>时道路。</w:t>
            </w:r>
          </w:p>
          <w:p w14:paraId="28BC773C">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98" w:firstLineChars="200"/>
              <w:textAlignment w:val="auto"/>
              <w:outlineLvl w:val="3"/>
              <w:rPr>
                <w:rFonts w:hint="default" w:ascii="Times New Roman" w:hAnsi="Times New Roman" w:eastAsia="宋体" w:cs="Times New Roman"/>
                <w:sz w:val="24"/>
                <w:szCs w:val="24"/>
                <w:lang w:eastAsia="zh-CN"/>
              </w:rPr>
            </w:pPr>
            <w:r>
              <w:rPr>
                <w:rFonts w:hint="eastAsia" w:ascii="Times New Roman" w:hAnsi="Times New Roman" w:eastAsia="宋体" w:cs="Times New Roman"/>
                <w:b/>
                <w:bCs/>
                <w:spacing w:val="4"/>
                <w:sz w:val="24"/>
                <w:szCs w:val="24"/>
                <w:lang w:val="en-US" w:eastAsia="zh-CN"/>
              </w:rPr>
              <w:t>（3）</w:t>
            </w:r>
            <w:r>
              <w:rPr>
                <w:rFonts w:hint="default" w:ascii="Times New Roman" w:hAnsi="Times New Roman" w:eastAsia="宋体" w:cs="Times New Roman"/>
                <w:b/>
                <w:bCs/>
                <w:spacing w:val="4"/>
                <w:sz w:val="24"/>
                <w:szCs w:val="24"/>
              </w:rPr>
              <w:t>临时堆土</w:t>
            </w:r>
            <w:r>
              <w:rPr>
                <w:rFonts w:hint="default" w:ascii="Times New Roman" w:hAnsi="Times New Roman" w:eastAsia="宋体" w:cs="Times New Roman"/>
                <w:b/>
                <w:bCs/>
                <w:spacing w:val="4"/>
                <w:sz w:val="24"/>
                <w:szCs w:val="24"/>
                <w:lang w:eastAsia="zh-CN"/>
              </w:rPr>
              <w:t>场</w:t>
            </w:r>
          </w:p>
          <w:p w14:paraId="2015BA5F">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2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主体规划施工期间布设临时堆土</w:t>
            </w:r>
            <w:r>
              <w:rPr>
                <w:rFonts w:hint="default" w:ascii="Times New Roman" w:hAnsi="Times New Roman" w:eastAsia="宋体" w:cs="Times New Roman"/>
                <w:b w:val="0"/>
                <w:bCs w:val="0"/>
                <w:spacing w:val="4"/>
                <w:sz w:val="24"/>
                <w:szCs w:val="24"/>
                <w:lang w:eastAsia="zh-CN"/>
              </w:rPr>
              <w:t>场</w:t>
            </w:r>
            <w:r>
              <w:rPr>
                <w:rFonts w:hint="default" w:ascii="Times New Roman" w:hAnsi="Times New Roman" w:eastAsia="宋体" w:cs="Times New Roman"/>
                <w:b w:val="0"/>
                <w:bCs w:val="0"/>
                <w:spacing w:val="10"/>
                <w:sz w:val="24"/>
                <w:szCs w:val="24"/>
              </w:rPr>
              <w:t>1</w:t>
            </w:r>
            <w:r>
              <w:rPr>
                <w:rFonts w:hint="default" w:ascii="Times New Roman" w:hAnsi="Times New Roman" w:eastAsia="宋体" w:cs="Times New Roman"/>
                <w:spacing w:val="10"/>
                <w:sz w:val="24"/>
                <w:szCs w:val="24"/>
              </w:rPr>
              <w:t>处，主要作为水库基础开挖土方和</w:t>
            </w:r>
            <w:r>
              <w:rPr>
                <w:rFonts w:hint="default" w:ascii="Times New Roman" w:hAnsi="Times New Roman" w:eastAsia="宋体" w:cs="Times New Roman"/>
                <w:spacing w:val="9"/>
                <w:sz w:val="24"/>
                <w:szCs w:val="24"/>
              </w:rPr>
              <w:t>坝体</w:t>
            </w:r>
            <w:r>
              <w:rPr>
                <w:rFonts w:hint="default" w:ascii="Times New Roman" w:hAnsi="Times New Roman" w:eastAsia="宋体" w:cs="Times New Roman"/>
                <w:spacing w:val="6"/>
                <w:sz w:val="24"/>
                <w:szCs w:val="24"/>
              </w:rPr>
              <w:t>填筑土方临时转运场，位于水库东北侧，呈南北向矩形布置，长80m，宽50m，</w:t>
            </w:r>
            <w:r>
              <w:rPr>
                <w:rFonts w:hint="default" w:ascii="Times New Roman" w:hAnsi="Times New Roman" w:eastAsia="宋体" w:cs="Times New Roman"/>
                <w:spacing w:val="13"/>
                <w:sz w:val="24"/>
                <w:szCs w:val="24"/>
              </w:rPr>
              <w:t>最大堆土高5.0m，堆土边坡比1:1.5m，根据相关要求，将基础开挖部分临时堆</w:t>
            </w:r>
            <w:r>
              <w:rPr>
                <w:rFonts w:hint="default" w:ascii="Times New Roman" w:hAnsi="Times New Roman" w:eastAsia="宋体" w:cs="Times New Roman"/>
                <w:spacing w:val="8"/>
                <w:sz w:val="24"/>
                <w:szCs w:val="24"/>
              </w:rPr>
              <w:t>土运至该区域进行集中堆存，随坝体填筑时序进行</w:t>
            </w:r>
            <w:r>
              <w:rPr>
                <w:rFonts w:hint="default" w:ascii="Times New Roman" w:hAnsi="Times New Roman" w:eastAsia="宋体" w:cs="Times New Roman"/>
                <w:spacing w:val="7"/>
                <w:sz w:val="24"/>
                <w:szCs w:val="24"/>
              </w:rPr>
              <w:t>依次挖运回填。</w:t>
            </w:r>
          </w:p>
          <w:p w14:paraId="719762F3">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98" w:firstLineChars="200"/>
              <w:textAlignment w:val="auto"/>
              <w:outlineLvl w:val="3"/>
              <w:rPr>
                <w:rFonts w:hint="default" w:ascii="Times New Roman" w:hAnsi="Times New Roman" w:eastAsia="宋体" w:cs="Times New Roman"/>
                <w:sz w:val="24"/>
                <w:szCs w:val="24"/>
              </w:rPr>
            </w:pPr>
            <w:r>
              <w:rPr>
                <w:rFonts w:hint="eastAsia" w:ascii="Times New Roman" w:hAnsi="Times New Roman" w:eastAsia="宋体" w:cs="Times New Roman"/>
                <w:b/>
                <w:bCs/>
                <w:spacing w:val="4"/>
                <w:sz w:val="24"/>
                <w:szCs w:val="24"/>
                <w:lang w:eastAsia="zh-CN"/>
              </w:rPr>
              <w:t>（</w:t>
            </w:r>
            <w:r>
              <w:rPr>
                <w:rFonts w:hint="eastAsia" w:ascii="Times New Roman" w:hAnsi="Times New Roman" w:eastAsia="宋体" w:cs="Times New Roman"/>
                <w:b/>
                <w:bCs/>
                <w:spacing w:val="4"/>
                <w:sz w:val="24"/>
                <w:szCs w:val="24"/>
                <w:lang w:val="en-US" w:eastAsia="zh-CN"/>
              </w:rPr>
              <w:t>4</w:t>
            </w:r>
            <w:r>
              <w:rPr>
                <w:rFonts w:hint="eastAsia"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rPr>
              <w:t>取土场和弃土场</w:t>
            </w:r>
          </w:p>
          <w:p w14:paraId="6B87F3C2">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1）借方情况分析</w:t>
            </w:r>
          </w:p>
          <w:p w14:paraId="1428818D">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3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4"/>
                <w:sz w:val="24"/>
                <w:szCs w:val="24"/>
              </w:rPr>
              <w:t>主体设计结合现状地形地貌，移挖作填，通过合理设计水库挖深及</w:t>
            </w:r>
            <w:r>
              <w:rPr>
                <w:rFonts w:hint="default" w:ascii="Times New Roman" w:hAnsi="Times New Roman" w:eastAsia="宋体" w:cs="Times New Roman"/>
                <w:spacing w:val="13"/>
                <w:sz w:val="24"/>
                <w:szCs w:val="24"/>
              </w:rPr>
              <w:t>坝体填</w:t>
            </w:r>
            <w:r>
              <w:rPr>
                <w:rFonts w:hint="default" w:ascii="Times New Roman" w:hAnsi="Times New Roman" w:eastAsia="宋体" w:cs="Times New Roman"/>
                <w:spacing w:val="7"/>
                <w:sz w:val="24"/>
                <w:szCs w:val="24"/>
              </w:rPr>
              <w:t>高，实际土石方挖填平衡，无借方。因此，本项目不单独设置取土场。</w:t>
            </w:r>
          </w:p>
          <w:p w14:paraId="4B3D22FB">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2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2）弃方情况分析：根据主体设计资料及项目组成分析，本工程土石方综合</w:t>
            </w:r>
            <w:r>
              <w:rPr>
                <w:rFonts w:hint="default" w:ascii="Times New Roman" w:hAnsi="Times New Roman" w:eastAsia="宋体" w:cs="Times New Roman"/>
                <w:spacing w:val="8"/>
                <w:sz w:val="24"/>
                <w:szCs w:val="24"/>
              </w:rPr>
              <w:t>利用后，无多余弃方产生。因此，本项目不单独设置永久弃渣场</w:t>
            </w:r>
            <w:r>
              <w:rPr>
                <w:rFonts w:hint="default" w:ascii="Times New Roman" w:hAnsi="Times New Roman" w:eastAsia="宋体" w:cs="Times New Roman"/>
                <w:spacing w:val="7"/>
                <w:sz w:val="24"/>
                <w:szCs w:val="24"/>
              </w:rPr>
              <w:t>地。</w:t>
            </w:r>
          </w:p>
          <w:p w14:paraId="5652BA78">
            <w:pPr>
              <w:keepNext w:val="0"/>
              <w:keepLines w:val="0"/>
              <w:suppressLineNumbers w:val="0"/>
              <w:spacing w:before="0" w:beforeAutospacing="0" w:after="0" w:afterAutospacing="0"/>
              <w:ind w:left="0" w:right="0"/>
              <w:jc w:val="center"/>
              <w:rPr>
                <w:rFonts w:hint="eastAsia" w:ascii="Times New Roman" w:hAnsi="Times New Roman" w:eastAsia="仿宋" w:cs="Times New Roman"/>
                <w:b/>
                <w:bCs/>
                <w:color w:val="auto"/>
                <w:sz w:val="24"/>
                <w:szCs w:val="24"/>
                <w:highlight w:val="none"/>
                <w:lang w:eastAsia="zh-CN"/>
              </w:rPr>
            </w:pPr>
            <w:r>
              <w:rPr>
                <w:rFonts w:hint="default"/>
                <w:sz w:val="24"/>
              </w:rPr>
              <mc:AlternateContent>
                <mc:Choice Requires="wps">
                  <w:drawing>
                    <wp:anchor distT="0" distB="0" distL="114300" distR="114300" simplePos="0" relativeHeight="251679744" behindDoc="0" locked="0" layoutInCell="1" allowOverlap="1">
                      <wp:simplePos x="0" y="0"/>
                      <wp:positionH relativeFrom="column">
                        <wp:posOffset>3524250</wp:posOffset>
                      </wp:positionH>
                      <wp:positionV relativeFrom="paragraph">
                        <wp:posOffset>1243965</wp:posOffset>
                      </wp:positionV>
                      <wp:extent cx="342900" cy="289560"/>
                      <wp:effectExtent l="36830" t="52070" r="39370" b="58420"/>
                      <wp:wrapNone/>
                      <wp:docPr id="12" name="圆角矩形 12"/>
                      <wp:cNvGraphicFramePr/>
                      <a:graphic xmlns:a="http://schemas.openxmlformats.org/drawingml/2006/main">
                        <a:graphicData uri="http://schemas.microsoft.com/office/word/2010/wordprocessingShape">
                          <wps:wsp>
                            <wps:cNvSpPr/>
                            <wps:spPr>
                              <a:xfrm rot="19980000">
                                <a:off x="0" y="0"/>
                                <a:ext cx="342900" cy="28956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7.5pt;margin-top:97.95pt;height:22.8pt;width:27pt;rotation:-1769472f;z-index:251679744;v-text-anchor:middle;mso-width-relative:page;mso-height-relative:page;" filled="f" stroked="t" coordsize="21600,21600" arcsize="0.166666666666667" o:gfxdata="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uwjWt2QAAAAsBAAAPAAAAAAAAAAEA&#10;IAAAACIAAABkcnMvZG93bnJldi54bWxQSwECFAAUAAAACACHTuJAmMHhDIACAADmBAAADgAAAAAA&#10;AAABACAAAAAoAQAAZHJzL2Uyb0RvYy54bWxQSwUGAAAAAAYABgBZAQAAGgYAAAAA&#10;">
                      <v:fill on="f" focussize="0,0"/>
                      <v:stroke weight="1pt" color="#000000 [3213]" miterlimit="8" joinstyle="miter"/>
                      <v:imagedata o:title=""/>
                      <o:lock v:ext="edit" aspectratio="f"/>
                    </v:roundrect>
                  </w:pict>
                </mc:Fallback>
              </mc:AlternateContent>
            </w:r>
            <w:r>
              <w:rPr>
                <w:rFonts w:hint="default"/>
                <w:sz w:val="24"/>
              </w:rPr>
              <mc:AlternateContent>
                <mc:Choice Requires="wps">
                  <w:drawing>
                    <wp:anchor distT="0" distB="0" distL="114300" distR="114300" simplePos="0" relativeHeight="251676672" behindDoc="0" locked="0" layoutInCell="1" allowOverlap="1">
                      <wp:simplePos x="0" y="0"/>
                      <wp:positionH relativeFrom="column">
                        <wp:posOffset>3318510</wp:posOffset>
                      </wp:positionH>
                      <wp:positionV relativeFrom="paragraph">
                        <wp:posOffset>1227455</wp:posOffset>
                      </wp:positionV>
                      <wp:extent cx="974725" cy="335915"/>
                      <wp:effectExtent l="0" t="0" r="0" b="0"/>
                      <wp:wrapNone/>
                      <wp:docPr id="62" name="矩形 62"/>
                      <wp:cNvGraphicFramePr/>
                      <a:graphic xmlns:a="http://schemas.openxmlformats.org/drawingml/2006/main">
                        <a:graphicData uri="http://schemas.microsoft.com/office/word/2010/wordprocessingShape">
                          <wps:wsp>
                            <wps:cNvSpPr/>
                            <wps:spPr>
                              <a:xfrm>
                                <a:off x="0" y="0"/>
                                <a:ext cx="974725" cy="3359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2C2BB5A">
                                  <w:pPr>
                                    <w:jc w:val="center"/>
                                    <w:rPr>
                                      <w:rFonts w:hint="eastAsia" w:eastAsia="宋体"/>
                                      <w:color w:val="FFFF00"/>
                                      <w:highlight w:val="none"/>
                                      <w:lang w:eastAsia="zh-CN"/>
                                    </w:rPr>
                                  </w:pPr>
                                  <w:r>
                                    <w:rPr>
                                      <w:rFonts w:hint="eastAsia"/>
                                      <w:color w:val="FFFF00"/>
                                      <w:highlight w:val="none"/>
                                      <w:lang w:eastAsia="zh-CN"/>
                                    </w:rPr>
                                    <w:t>生产生活区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3pt;margin-top:96.65pt;height:26.45pt;width:76.75pt;z-index:251676672;v-text-anchor:middle;mso-width-relative:page;mso-height-relative:page;" filled="f" stroked="f" coordsize="21600,21600" o:gfxdata="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cM1OE2QAAAAsBAAAPAAAAAAAAAAEAIAAAACIAAABkcnMvZG93bnJldi54bWxQSwECFAAU&#10;AAAACACHTuJAnOqKgGICAACuBAAADgAAAAAAAAABACAAAAAoAQAAZHJzL2Uyb0RvYy54bWxQSwUG&#10;AAAAAAYABgBZAQAA/AUAAAAA&#10;">
                      <v:fill on="f" focussize="0,0"/>
                      <v:stroke on="f" weight="1pt" miterlimit="8" joinstyle="miter"/>
                      <v:imagedata o:title=""/>
                      <o:lock v:ext="edit" aspectratio="f"/>
                      <v:textbox>
                        <w:txbxContent>
                          <w:p w14:paraId="52C2BB5A">
                            <w:pPr>
                              <w:jc w:val="center"/>
                              <w:rPr>
                                <w:rFonts w:hint="eastAsia" w:eastAsia="宋体"/>
                                <w:color w:val="FFFF00"/>
                                <w:highlight w:val="none"/>
                                <w:lang w:eastAsia="zh-CN"/>
                              </w:rPr>
                            </w:pPr>
                            <w:r>
                              <w:rPr>
                                <w:rFonts w:hint="eastAsia"/>
                                <w:color w:val="FFFF00"/>
                                <w:highlight w:val="none"/>
                                <w:lang w:eastAsia="zh-CN"/>
                              </w:rPr>
                              <w:t>生产生活区</w:t>
                            </w:r>
                          </w:p>
                        </w:txbxContent>
                      </v:textbox>
                    </v:rect>
                  </w:pict>
                </mc:Fallback>
              </mc:AlternateContent>
            </w:r>
            <w:r>
              <w:rPr>
                <w:rFonts w:hint="default"/>
                <w:sz w:val="24"/>
              </w:rPr>
              <mc:AlternateContent>
                <mc:Choice Requires="wps">
                  <w:drawing>
                    <wp:anchor distT="0" distB="0" distL="114300" distR="114300" simplePos="0" relativeHeight="251675648" behindDoc="0" locked="0" layoutInCell="1" allowOverlap="1">
                      <wp:simplePos x="0" y="0"/>
                      <wp:positionH relativeFrom="column">
                        <wp:posOffset>3152775</wp:posOffset>
                      </wp:positionH>
                      <wp:positionV relativeFrom="paragraph">
                        <wp:posOffset>725805</wp:posOffset>
                      </wp:positionV>
                      <wp:extent cx="974725" cy="335915"/>
                      <wp:effectExtent l="0" t="0" r="0" b="0"/>
                      <wp:wrapNone/>
                      <wp:docPr id="61" name="矩形 61"/>
                      <wp:cNvGraphicFramePr/>
                      <a:graphic xmlns:a="http://schemas.openxmlformats.org/drawingml/2006/main">
                        <a:graphicData uri="http://schemas.microsoft.com/office/word/2010/wordprocessingShape">
                          <wps:wsp>
                            <wps:cNvSpPr/>
                            <wps:spPr>
                              <a:xfrm>
                                <a:off x="5225415" y="2179320"/>
                                <a:ext cx="974725" cy="3359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E4DD701">
                                  <w:pPr>
                                    <w:jc w:val="center"/>
                                    <w:rPr>
                                      <w:rFonts w:hint="eastAsia" w:eastAsia="宋体"/>
                                      <w:color w:val="FFFF00"/>
                                      <w:highlight w:val="none"/>
                                      <w:lang w:eastAsia="zh-CN"/>
                                    </w:rPr>
                                  </w:pPr>
                                  <w:r>
                                    <w:rPr>
                                      <w:rFonts w:hint="eastAsia"/>
                                      <w:color w:val="FFFF00"/>
                                      <w:highlight w:val="none"/>
                                      <w:lang w:eastAsia="zh-CN"/>
                                    </w:rPr>
                                    <w:t>临时堆土场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25pt;margin-top:57.15pt;height:26.45pt;width:76.75pt;z-index:251675648;v-text-anchor:middle;mso-width-relative:page;mso-height-relative:page;" filled="f" stroked="f" coordsize="21600,21600" o:gfxdata="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hil2tkAAAALAQAADwAAAAAAAAABACAAAAAiAAAAZHJzL2Rvd25yZXYu&#10;eG1sUEsBAhQAFAAAAAgAh07iQIos+/xsAgAAugQAAA4AAAAAAAAAAQAgAAAAKAEAAGRycy9lMm9E&#10;b2MueG1sUEsFBgAAAAAGAAYAWQEAAAYGAAAAAA==&#10;">
                      <v:fill on="f" focussize="0,0"/>
                      <v:stroke on="f" weight="1pt" miterlimit="8" joinstyle="miter"/>
                      <v:imagedata o:title=""/>
                      <o:lock v:ext="edit" aspectratio="f"/>
                      <v:textbox>
                        <w:txbxContent>
                          <w:p w14:paraId="5E4DD701">
                            <w:pPr>
                              <w:jc w:val="center"/>
                              <w:rPr>
                                <w:rFonts w:hint="eastAsia" w:eastAsia="宋体"/>
                                <w:color w:val="FFFF00"/>
                                <w:highlight w:val="none"/>
                                <w:lang w:eastAsia="zh-CN"/>
                              </w:rPr>
                            </w:pPr>
                            <w:r>
                              <w:rPr>
                                <w:rFonts w:hint="eastAsia"/>
                                <w:color w:val="FFFF00"/>
                                <w:highlight w:val="none"/>
                                <w:lang w:eastAsia="zh-CN"/>
                              </w:rPr>
                              <w:t>临时堆土场</w:t>
                            </w:r>
                          </w:p>
                        </w:txbxContent>
                      </v:textbox>
                    </v:rect>
                  </w:pict>
                </mc:Fallback>
              </mc:AlternateContent>
            </w:r>
            <w:r>
              <w:rPr>
                <w:rFonts w:hint="default"/>
                <w:sz w:val="24"/>
              </w:rPr>
              <mc:AlternateContent>
                <mc:Choice Requires="wps">
                  <w:drawing>
                    <wp:anchor distT="0" distB="0" distL="114300" distR="114300" simplePos="0" relativeHeight="251674624" behindDoc="0" locked="0" layoutInCell="1" allowOverlap="1">
                      <wp:simplePos x="0" y="0"/>
                      <wp:positionH relativeFrom="column">
                        <wp:posOffset>3264535</wp:posOffset>
                      </wp:positionH>
                      <wp:positionV relativeFrom="paragraph">
                        <wp:posOffset>822325</wp:posOffset>
                      </wp:positionV>
                      <wp:extent cx="212725" cy="255270"/>
                      <wp:effectExtent l="40640" t="28575" r="51435" b="40005"/>
                      <wp:wrapNone/>
                      <wp:docPr id="60" name="圆角矩形 60"/>
                      <wp:cNvGraphicFramePr/>
                      <a:graphic xmlns:a="http://schemas.openxmlformats.org/drawingml/2006/main">
                        <a:graphicData uri="http://schemas.microsoft.com/office/word/2010/wordprocessingShape">
                          <wps:wsp>
                            <wps:cNvSpPr/>
                            <wps:spPr>
                              <a:xfrm rot="19980000">
                                <a:off x="4395470" y="2238375"/>
                                <a:ext cx="212725" cy="25527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7.05pt;margin-top:64.75pt;height:20.1pt;width:16.75pt;rotation:-1769472f;z-index:251674624;v-text-anchor:middle;mso-width-relative:page;mso-height-relative:page;" filled="f" stroked="t" coordsize="21600,21600" arcsize="0.166666666666667" o:gfxdata="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yEXzXaAAAA&#10;CwEAAA8AAAAAAAAAAQAgAAAAIgAAAGRycy9kb3ducmV2LnhtbFBLAQIUABQAAAAIAIdO4kCByeok&#10;jQIAAPIEAAAOAAAAAAAAAAEAIAAAACkBAABkcnMvZTJvRG9jLnhtbFBLBQYAAAAABgAGAFkBAAAo&#10;BgAAAAA=&#10;">
                      <v:fill on="f" focussize="0,0"/>
                      <v:stroke weight="1pt" color="#000000 [3213]" miterlimit="8" joinstyle="miter"/>
                      <v:imagedata o:title=""/>
                      <o:lock v:ext="edit" aspectratio="f"/>
                    </v:roundrect>
                  </w:pict>
                </mc:Fallback>
              </mc:AlternateContent>
            </w:r>
            <w:r>
              <w:rPr>
                <w:rFonts w:hint="eastAsia" w:ascii="Times New Roman" w:hAnsi="Times New Roman" w:eastAsia="仿宋" w:cs="Times New Roman"/>
                <w:b/>
                <w:bCs/>
                <w:color w:val="auto"/>
                <w:sz w:val="24"/>
                <w:szCs w:val="24"/>
                <w:highlight w:val="none"/>
                <w:lang w:eastAsia="zh-CN"/>
              </w:rPr>
              <w:drawing>
                <wp:inline distT="0" distB="0" distL="114300" distR="114300">
                  <wp:extent cx="5746115" cy="3356610"/>
                  <wp:effectExtent l="0" t="0" r="6985" b="15240"/>
                  <wp:docPr id="57" name="图片 57"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8"/>
                          <pic:cNvPicPr>
                            <a:picLocks noChangeAspect="1"/>
                          </pic:cNvPicPr>
                        </pic:nvPicPr>
                        <pic:blipFill>
                          <a:blip r:embed="rId21"/>
                          <a:stretch>
                            <a:fillRect/>
                          </a:stretch>
                        </pic:blipFill>
                        <pic:spPr>
                          <a:xfrm>
                            <a:off x="0" y="0"/>
                            <a:ext cx="5746115" cy="3356610"/>
                          </a:xfrm>
                          <a:prstGeom prst="rect">
                            <a:avLst/>
                          </a:prstGeom>
                        </pic:spPr>
                      </pic:pic>
                    </a:graphicData>
                  </a:graphic>
                </wp:inline>
              </w:drawing>
            </w:r>
          </w:p>
          <w:p w14:paraId="247F9AC1">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kern w:val="0"/>
                <w:highlight w:val="none"/>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临时施工</w:t>
            </w:r>
            <w:r>
              <w:rPr>
                <w:rFonts w:hint="default" w:ascii="Times New Roman" w:hAnsi="Times New Roman" w:eastAsia="宋体" w:cs="Times New Roman"/>
                <w:b/>
                <w:bCs/>
                <w:color w:val="auto"/>
                <w:sz w:val="24"/>
                <w:szCs w:val="24"/>
                <w:highlight w:val="none"/>
                <w:lang w:val="en-US" w:eastAsia="zh-CN"/>
              </w:rPr>
              <w:t>场地</w:t>
            </w:r>
            <w:r>
              <w:rPr>
                <w:rFonts w:hint="eastAsia" w:ascii="Times New Roman" w:hAnsi="Times New Roman" w:eastAsia="宋体" w:cs="Times New Roman"/>
                <w:b/>
                <w:bCs/>
                <w:color w:val="auto"/>
                <w:sz w:val="24"/>
                <w:szCs w:val="24"/>
                <w:highlight w:val="none"/>
                <w:lang w:eastAsia="zh-CN"/>
              </w:rPr>
              <w:t>布置</w:t>
            </w:r>
            <w:r>
              <w:rPr>
                <w:rFonts w:hint="default" w:ascii="Times New Roman" w:hAnsi="Times New Roman" w:eastAsia="宋体" w:cs="Times New Roman"/>
                <w:b/>
                <w:bCs/>
                <w:color w:val="auto"/>
                <w:sz w:val="24"/>
                <w:szCs w:val="24"/>
                <w:highlight w:val="none"/>
              </w:rPr>
              <w:t>图</w:t>
            </w:r>
          </w:p>
        </w:tc>
      </w:tr>
      <w:tr w14:paraId="2FD97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87" w:type="pct"/>
            <w:vAlign w:val="center"/>
          </w:tcPr>
          <w:p w14:paraId="0EE2FE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kern w:val="0"/>
                <w:sz w:val="24"/>
                <w:szCs w:val="22"/>
                <w:highlight w:val="none"/>
              </w:rPr>
            </w:pPr>
            <w:r>
              <w:rPr>
                <w:rFonts w:hint="default" w:ascii="Times New Roman" w:hAnsi="Times New Roman" w:eastAsia="仿宋" w:cs="Times New Roman"/>
                <w:b/>
                <w:bCs/>
                <w:color w:val="auto"/>
                <w:kern w:val="0"/>
                <w:sz w:val="24"/>
                <w:szCs w:val="22"/>
                <w:highlight w:val="none"/>
              </w:rPr>
              <w:t>施工方案</w:t>
            </w:r>
          </w:p>
        </w:tc>
        <w:tc>
          <w:tcPr>
            <w:tcW w:w="4712" w:type="pct"/>
            <w:vAlign w:val="center"/>
          </w:tcPr>
          <w:p w14:paraId="26B8223A">
            <w:pPr>
              <w:pStyle w:val="68"/>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firstLine="0" w:firstLineChars="0"/>
              <w:jc w:val="both"/>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1、施工方案</w:t>
            </w:r>
          </w:p>
          <w:p w14:paraId="13109836">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建筑物的施工顺序为：施工准备―基础开挖―库底碾压―坝体填筑―土工膜铺设―砂砾石盖重―砼浇筑―管件安装。</w:t>
            </w:r>
          </w:p>
          <w:p w14:paraId="7D9C0490">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建构筑物基础开挖采用反铲挖、装，开挖后预留回填量并堆放至基坑附近。基础开挖采用自上而下分层分段的方式，并作一定坡势，以利泄水。基础开挖并验槽完成后，进行基础混凝土浇筑、封盖及土方回填施工。基坑回填时分层填筑、分层压实，下层应选用水稳定性较好的砂砾填筑，人工摊铺，蛙式打夯机夯实。基础施工完毕后，再进行地上结构施工及水电安装施工。</w:t>
            </w:r>
          </w:p>
          <w:p w14:paraId="350846C7">
            <w:pPr>
              <w:pStyle w:val="68"/>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firstLine="0" w:firstLineChars="0"/>
              <w:jc w:val="both"/>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2、施工交通</w:t>
            </w:r>
          </w:p>
          <w:p w14:paraId="33C14340">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0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工程区附近已有S301省道、S237省道、</w:t>
            </w:r>
            <w:r>
              <w:rPr>
                <w:rFonts w:hint="default" w:ascii="Times New Roman" w:hAnsi="Times New Roman" w:eastAsia="宋体" w:cs="Times New Roman"/>
                <w:spacing w:val="6"/>
                <w:sz w:val="24"/>
                <w:szCs w:val="24"/>
              </w:rPr>
              <w:t>连霍高速、甘平公路及Y360乡村</w:t>
            </w:r>
            <w:r>
              <w:rPr>
                <w:rFonts w:hint="default" w:ascii="Times New Roman" w:hAnsi="Times New Roman" w:eastAsia="宋体" w:cs="Times New Roman"/>
                <w:spacing w:val="14"/>
                <w:sz w:val="24"/>
                <w:szCs w:val="24"/>
              </w:rPr>
              <w:t>道路与项目区连接，交通极为便利。</w:t>
            </w:r>
          </w:p>
          <w:p w14:paraId="11B3A54D">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工程所需主要外购材料均可由公路运输至施工现场。</w:t>
            </w:r>
          </w:p>
          <w:p w14:paraId="65569376">
            <w:pPr>
              <w:pStyle w:val="68"/>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firstLine="0" w:firstLineChars="0"/>
              <w:jc w:val="both"/>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3、施工工厂设施</w:t>
            </w:r>
          </w:p>
          <w:p w14:paraId="0A9ED3D7">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砂石料加工系统</w:t>
            </w:r>
          </w:p>
          <w:p w14:paraId="735869C6">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本项目区域交通便利，所需的砂石料等采取就近原则，从项目区附近采购，混凝土由施工场区混凝土拌合站提供。</w:t>
            </w:r>
          </w:p>
          <w:p w14:paraId="1E2B00AE">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（2）修配及综合加工系统</w:t>
            </w:r>
          </w:p>
          <w:p w14:paraId="787AB895">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工程所需的机械设备维修保养任务主要由附近机械、汽车修理厂承担。</w:t>
            </w:r>
          </w:p>
          <w:p w14:paraId="57927F44">
            <w:pPr>
              <w:pStyle w:val="68"/>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4、施工总布置</w:t>
            </w:r>
          </w:p>
          <w:p w14:paraId="76D8CF3F">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（1）布置原则</w:t>
            </w:r>
          </w:p>
          <w:p w14:paraId="48520404">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本工程地形较平坦、开阔，交通方便，但施工战线长，施工总布置应本着有利生产、方便生活、易于管理、节约用地、安全可靠和因地制宜的原则，施工设施的布置采用集中与分散相结合方式。</w:t>
            </w:r>
          </w:p>
          <w:p w14:paraId="656A30B6">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（2）施工场区规划</w:t>
            </w:r>
          </w:p>
          <w:p w14:paraId="4BB37499">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施工场地包括仓库及工棚、临时混凝土拌合站、办公生活房屋。位于新建</w:t>
            </w:r>
            <w:r>
              <w:rPr>
                <w:rFonts w:hint="eastAsia" w:cs="Times New Roman"/>
                <w:color w:val="auto"/>
                <w:sz w:val="24"/>
                <w:szCs w:val="24"/>
                <w:highlight w:val="none"/>
                <w:lang w:val="en-US" w:eastAsia="zh-CN"/>
              </w:rPr>
              <w:t>兔儿坝滩</w:t>
            </w:r>
            <w:r>
              <w:rPr>
                <w:rFonts w:hint="default" w:ascii="Times New Roman" w:hAnsi="Times New Roman" w:eastAsia="宋体" w:cs="Times New Roman"/>
                <w:color w:val="auto"/>
                <w:sz w:val="24"/>
                <w:szCs w:val="24"/>
                <w:highlight w:val="none"/>
                <w:lang w:val="en-US" w:eastAsia="zh-CN"/>
              </w:rPr>
              <w:t>调蓄水池</w:t>
            </w:r>
            <w:r>
              <w:rPr>
                <w:rFonts w:hint="eastAsia" w:cs="Times New Roman"/>
                <w:color w:val="auto"/>
                <w:sz w:val="24"/>
                <w:szCs w:val="24"/>
                <w:highlight w:val="none"/>
                <w:lang w:val="en-US" w:eastAsia="zh-CN"/>
              </w:rPr>
              <w:t>东南</w:t>
            </w:r>
            <w:r>
              <w:rPr>
                <w:rFonts w:hint="default" w:ascii="Times New Roman" w:hAnsi="Times New Roman" w:eastAsia="宋体" w:cs="Times New Roman"/>
                <w:color w:val="auto"/>
                <w:sz w:val="24"/>
                <w:szCs w:val="24"/>
                <w:highlight w:val="none"/>
                <w:lang w:val="en-US" w:eastAsia="zh-CN"/>
              </w:rPr>
              <w:t>侧，仓库、工棚及临时拌合站占地面积</w:t>
            </w:r>
            <w:r>
              <w:rPr>
                <w:rFonts w:hint="eastAsia"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lang w:val="en-US" w:eastAsia="zh-CN"/>
              </w:rPr>
              <w:t>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en-US" w:eastAsia="zh-CN"/>
              </w:rPr>
              <w:t>，办公生活房屋占地面积1</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val="en-US" w:eastAsia="zh-CN"/>
              </w:rPr>
              <w:t>。</w:t>
            </w:r>
          </w:p>
          <w:p w14:paraId="498AEC91">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（3）施工场内交通</w:t>
            </w:r>
          </w:p>
          <w:p w14:paraId="19617C4F">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1）对外交通：</w:t>
            </w:r>
          </w:p>
          <w:p w14:paraId="13206F56">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0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pacing w:val="7"/>
                <w:sz w:val="24"/>
                <w:szCs w:val="24"/>
              </w:rPr>
              <w:t>工程区附近已有S301省道、S237省道、</w:t>
            </w:r>
            <w:r>
              <w:rPr>
                <w:rFonts w:hint="default" w:ascii="Times New Roman" w:hAnsi="Times New Roman" w:eastAsia="宋体" w:cs="Times New Roman"/>
                <w:spacing w:val="6"/>
                <w:sz w:val="24"/>
                <w:szCs w:val="24"/>
              </w:rPr>
              <w:t>连霍高速、甘平公路及Y360乡村</w:t>
            </w:r>
            <w:r>
              <w:rPr>
                <w:rFonts w:hint="default" w:ascii="Times New Roman" w:hAnsi="Times New Roman" w:eastAsia="宋体" w:cs="Times New Roman"/>
                <w:spacing w:val="14"/>
                <w:sz w:val="24"/>
                <w:szCs w:val="24"/>
              </w:rPr>
              <w:t>道路与项目区连接，交通极为便利。</w:t>
            </w:r>
            <w:r>
              <w:rPr>
                <w:rFonts w:hint="default" w:ascii="Times New Roman" w:hAnsi="Times New Roman" w:eastAsia="宋体" w:cs="Times New Roman"/>
                <w:color w:val="auto"/>
                <w:sz w:val="24"/>
                <w:szCs w:val="24"/>
                <w:highlight w:val="none"/>
                <w:lang w:val="en-US" w:eastAsia="zh-CN"/>
              </w:rPr>
              <w:t>工程所需主要外购材料均可由公路运输至施工现场。</w:t>
            </w:r>
          </w:p>
          <w:p w14:paraId="45D9DC7D">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2）场内交通：</w:t>
            </w:r>
          </w:p>
          <w:p w14:paraId="5282106A">
            <w:pPr>
              <w:pStyle w:val="10"/>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36"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pacing w:val="14"/>
                <w:sz w:val="24"/>
                <w:szCs w:val="24"/>
              </w:rPr>
              <w:t>工程区内地形平坦，</w:t>
            </w:r>
            <w:r>
              <w:rPr>
                <w:rFonts w:hint="default" w:ascii="Times New Roman" w:hAnsi="Times New Roman" w:eastAsia="宋体" w:cs="Times New Roman"/>
                <w:spacing w:val="13"/>
                <w:sz w:val="24"/>
                <w:szCs w:val="24"/>
              </w:rPr>
              <w:t>具备</w:t>
            </w:r>
            <w:r>
              <w:rPr>
                <w:rFonts w:hint="default" w:ascii="Times New Roman" w:hAnsi="Times New Roman" w:eastAsia="宋体" w:cs="Times New Roman"/>
                <w:spacing w:val="8"/>
                <w:sz w:val="24"/>
                <w:szCs w:val="24"/>
              </w:rPr>
              <w:t>良好的场内运输条件，可满足施工要求，施工时无需再修筑临</w:t>
            </w:r>
            <w:r>
              <w:rPr>
                <w:rFonts w:hint="default" w:ascii="Times New Roman" w:hAnsi="Times New Roman" w:eastAsia="宋体" w:cs="Times New Roman"/>
                <w:spacing w:val="7"/>
                <w:sz w:val="24"/>
                <w:szCs w:val="24"/>
              </w:rPr>
              <w:t>时道路。</w:t>
            </w:r>
          </w:p>
          <w:p w14:paraId="5710EBA5">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（4）土方平衡</w:t>
            </w:r>
          </w:p>
          <w:p w14:paraId="2B589B10">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根据项目设计资料，项目土石方总开挖量为</w:t>
            </w:r>
            <w:r>
              <w:rPr>
                <w:rFonts w:hint="eastAsia" w:ascii="Times New Roman" w:hAnsi="Times New Roman" w:eastAsia="宋体" w:cs="Times New Roman"/>
                <w:color w:val="auto"/>
                <w:sz w:val="24"/>
                <w:szCs w:val="24"/>
                <w:highlight w:val="none"/>
                <w:lang w:val="en-US" w:eastAsia="zh-CN"/>
              </w:rPr>
              <w:t>34.3</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，总回填量</w:t>
            </w:r>
            <w:r>
              <w:rPr>
                <w:rFonts w:hint="eastAsia" w:ascii="Times New Roman" w:hAnsi="Times New Roman" w:eastAsia="宋体" w:cs="Times New Roman"/>
                <w:color w:val="auto"/>
                <w:sz w:val="24"/>
                <w:szCs w:val="24"/>
                <w:highlight w:val="none"/>
                <w:lang w:val="en-US" w:eastAsia="zh-CN"/>
              </w:rPr>
              <w:t>34.3</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Cs w:val="22"/>
                <w:highlight w:val="none"/>
                <w:lang w:val="en-US" w:eastAsia="zh-CN"/>
              </w:rPr>
              <w:t>库区开挖的土石方填筑到坝体，无弃方产生</w:t>
            </w:r>
            <w:r>
              <w:rPr>
                <w:rFonts w:hint="default" w:ascii="Times New Roman" w:hAnsi="Times New Roman" w:eastAsia="宋体" w:cs="Times New Roman"/>
                <w:color w:val="auto"/>
                <w:sz w:val="24"/>
                <w:szCs w:val="24"/>
                <w:highlight w:val="none"/>
                <w:lang w:val="en-US" w:eastAsia="zh-CN"/>
              </w:rPr>
              <w:t>，不设弃土场。</w:t>
            </w:r>
          </w:p>
          <w:p w14:paraId="5B8B8302">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（5）施工占地</w:t>
            </w:r>
          </w:p>
          <w:p w14:paraId="04E1948F">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本工程临时占地包括施工场地、</w:t>
            </w:r>
            <w:r>
              <w:rPr>
                <w:rFonts w:hint="eastAsia" w:ascii="Times New Roman" w:hAnsi="Times New Roman" w:eastAsia="宋体" w:cs="Times New Roman"/>
                <w:color w:val="auto"/>
                <w:sz w:val="24"/>
                <w:szCs w:val="24"/>
                <w:highlight w:val="none"/>
                <w:lang w:val="en-US" w:eastAsia="zh-CN"/>
              </w:rPr>
              <w:t>临时堆土场</w:t>
            </w:r>
            <w:r>
              <w:rPr>
                <w:rFonts w:hint="default" w:ascii="Times New Roman" w:hAnsi="Times New Roman" w:eastAsia="宋体" w:cs="Times New Roman"/>
                <w:color w:val="auto"/>
                <w:sz w:val="24"/>
                <w:szCs w:val="24"/>
                <w:highlight w:val="none"/>
                <w:lang w:val="en-US" w:eastAsia="zh-CN"/>
              </w:rPr>
              <w:t>，占地类型为其他草地。</w:t>
            </w:r>
          </w:p>
          <w:p w14:paraId="65901B0F">
            <w:pPr>
              <w:pStyle w:val="68"/>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b/>
                <w:color w:val="auto"/>
                <w:szCs w:val="24"/>
                <w:highlight w:val="none"/>
                <w:lang w:val="en-US" w:eastAsia="zh-CN"/>
              </w:rPr>
            </w:pPr>
            <w:r>
              <w:rPr>
                <w:rFonts w:hint="default" w:ascii="Times New Roman" w:hAnsi="Times New Roman" w:eastAsia="宋体" w:cs="Times New Roman"/>
                <w:b/>
                <w:color w:val="auto"/>
                <w:szCs w:val="24"/>
                <w:highlight w:val="none"/>
                <w:lang w:val="en-US" w:eastAsia="zh-CN"/>
              </w:rPr>
              <w:t>5、施工工期</w:t>
            </w:r>
          </w:p>
          <w:p w14:paraId="5F1B549A">
            <w:pPr>
              <w:pStyle w:val="4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sz w:val="24"/>
                <w:szCs w:val="24"/>
                <w:highlight w:val="none"/>
                <w:lang w:val="en-US" w:eastAsia="zh-CN"/>
              </w:rPr>
              <w:t>本工程总工期为</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个月。预计202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月开工建设，202</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月建设完成。</w:t>
            </w:r>
          </w:p>
        </w:tc>
      </w:tr>
      <w:tr w14:paraId="594DA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87" w:type="pct"/>
            <w:vAlign w:val="center"/>
          </w:tcPr>
          <w:p w14:paraId="05C07E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kern w:val="0"/>
                <w:sz w:val="24"/>
                <w:szCs w:val="22"/>
                <w:highlight w:val="none"/>
              </w:rPr>
            </w:pPr>
            <w:r>
              <w:rPr>
                <w:rFonts w:hint="default" w:ascii="Times New Roman" w:hAnsi="Times New Roman" w:eastAsia="仿宋" w:cs="Times New Roman"/>
                <w:b/>
                <w:bCs/>
                <w:color w:val="auto"/>
                <w:kern w:val="0"/>
                <w:sz w:val="24"/>
                <w:szCs w:val="22"/>
                <w:highlight w:val="none"/>
              </w:rPr>
              <w:t>其他</w:t>
            </w:r>
          </w:p>
        </w:tc>
        <w:tc>
          <w:tcPr>
            <w:tcW w:w="4712" w:type="pct"/>
            <w:vAlign w:val="center"/>
          </w:tcPr>
          <w:p w14:paraId="01644C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2"/>
                <w:sz w:val="24"/>
                <w:szCs w:val="24"/>
                <w:highlight w:val="none"/>
                <w:lang w:val="en-US" w:eastAsia="zh-CN" w:bidi="ar-SA"/>
              </w:rPr>
              <w:t>无</w:t>
            </w:r>
          </w:p>
        </w:tc>
      </w:tr>
    </w:tbl>
    <w:p w14:paraId="7F47457B">
      <w:pPr>
        <w:pStyle w:val="23"/>
        <w:spacing w:before="0" w:beforeAutospacing="0" w:after="0" w:afterAutospacing="0"/>
        <w:jc w:val="center"/>
        <w:outlineLvl w:val="0"/>
        <w:rPr>
          <w:rFonts w:hint="default" w:ascii="Times New Roman" w:hAnsi="Times New Roman" w:eastAsia="仿宋" w:cs="Times New Roman"/>
          <w:b/>
          <w:bCs/>
          <w:snapToGrid w:val="0"/>
          <w:color w:val="auto"/>
          <w:sz w:val="30"/>
          <w:szCs w:val="30"/>
          <w:highlight w:val="none"/>
        </w:rPr>
      </w:pPr>
      <w:bookmarkStart w:id="8" w:name="_Toc9639"/>
      <w:r>
        <w:rPr>
          <w:rFonts w:hint="default" w:ascii="Times New Roman" w:hAnsi="Times New Roman" w:eastAsia="仿宋" w:cs="Times New Roman"/>
          <w:b/>
          <w:bCs/>
          <w:color w:val="auto"/>
          <w:highlight w:val="none"/>
        </w:rPr>
        <w:br w:type="page"/>
      </w:r>
      <w:bookmarkStart w:id="9" w:name="_Toc30960"/>
      <w:r>
        <w:rPr>
          <w:rFonts w:hint="default" w:ascii="Times New Roman" w:hAnsi="Times New Roman" w:eastAsia="仿宋" w:cs="Times New Roman"/>
          <w:b/>
          <w:bCs/>
          <w:snapToGrid w:val="0"/>
          <w:color w:val="auto"/>
          <w:sz w:val="30"/>
          <w:szCs w:val="30"/>
          <w:highlight w:val="none"/>
        </w:rPr>
        <w:t>三、生态环境现状、保护目标及评价标准</w:t>
      </w:r>
      <w:bookmarkEnd w:id="9"/>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8922"/>
      </w:tblGrid>
      <w:tr w14:paraId="44B41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475" w:type="pct"/>
            <w:vAlign w:val="center"/>
          </w:tcPr>
          <w:p w14:paraId="1EC8C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生态环境现状</w:t>
            </w:r>
          </w:p>
        </w:tc>
        <w:tc>
          <w:tcPr>
            <w:tcW w:w="4524" w:type="pct"/>
            <w:vAlign w:val="center"/>
          </w:tcPr>
          <w:p w14:paraId="7268F526">
            <w:pPr>
              <w:keepNext w:val="0"/>
              <w:keepLines w:val="0"/>
              <w:suppressLineNumbers w:val="0"/>
              <w:spacing w:before="0" w:beforeAutospacing="0" w:after="0" w:afterAutospacing="0" w:line="360" w:lineRule="auto"/>
              <w:ind w:left="0" w:right="0"/>
              <w:rPr>
                <w:rFonts w:hint="eastAsia" w:cs="Times New Roman"/>
                <w:b/>
                <w:bCs/>
                <w:color w:val="0000FF"/>
                <w:sz w:val="24"/>
                <w:szCs w:val="22"/>
                <w:highlight w:val="none"/>
                <w:lang w:val="en-US" w:eastAsia="zh-CN"/>
              </w:rPr>
            </w:pPr>
            <w:r>
              <w:rPr>
                <w:rFonts w:hint="eastAsia" w:cs="Times New Roman"/>
                <w:b/>
                <w:bCs/>
                <w:color w:val="0000FF"/>
                <w:sz w:val="24"/>
                <w:szCs w:val="22"/>
                <w:highlight w:val="none"/>
                <w:lang w:val="en-US" w:eastAsia="zh-CN"/>
              </w:rPr>
              <w:t>1、主体功能区划</w:t>
            </w:r>
          </w:p>
          <w:p w14:paraId="70FD4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FF"/>
                <w:sz w:val="24"/>
                <w:szCs w:val="22"/>
                <w:highlight w:val="none"/>
                <w:lang w:val="en-US" w:eastAsia="zh-CN"/>
              </w:rPr>
            </w:pPr>
            <w:r>
              <w:rPr>
                <w:rFonts w:ascii="宋体" w:hAnsi="宋体" w:eastAsia="宋体" w:cs="宋体"/>
                <w:b w:val="0"/>
                <w:bCs w:val="0"/>
                <w:color w:val="0000FF"/>
                <w:sz w:val="24"/>
                <w:szCs w:val="24"/>
              </w:rPr>
              <w:t>本项目所在甘州区属于甘肃省</w:t>
            </w:r>
            <w:r>
              <w:rPr>
                <w:rStyle w:val="30"/>
                <w:rFonts w:ascii="宋体" w:hAnsi="宋体" w:eastAsia="宋体" w:cs="宋体"/>
                <w:b w:val="0"/>
                <w:bCs w:val="0"/>
                <w:color w:val="0000FF"/>
                <w:sz w:val="24"/>
                <w:szCs w:val="24"/>
                <w:bdr w:val="none" w:color="auto" w:sz="0" w:space="0"/>
              </w:rPr>
              <w:t>城市化地区（重点开发区域）</w:t>
            </w:r>
            <w:r>
              <w:rPr>
                <w:rFonts w:ascii="宋体" w:hAnsi="宋体" w:eastAsia="宋体" w:cs="宋体"/>
                <w:b w:val="0"/>
                <w:bCs w:val="0"/>
                <w:color w:val="0000FF"/>
                <w:sz w:val="24"/>
                <w:szCs w:val="24"/>
              </w:rPr>
              <w:t>，功能定位为河西走廊重要节点城市、绿洲生态屏障、新型工业化与产业集聚承载区、黑河水资源优化配置核心区。项目为园区工业供水调蓄水库工程，位于规划工业园区内，服务产业集聚、保障供水安全、压减地下水超采，不占用生态保护与农业生产空间，</w:t>
            </w:r>
            <w:r>
              <w:rPr>
                <w:rStyle w:val="30"/>
                <w:rFonts w:ascii="宋体" w:hAnsi="宋体" w:eastAsia="宋体" w:cs="宋体"/>
                <w:b w:val="0"/>
                <w:bCs w:val="0"/>
                <w:color w:val="0000FF"/>
                <w:sz w:val="24"/>
                <w:szCs w:val="24"/>
                <w:bdr w:val="none" w:color="auto" w:sz="0" w:space="0"/>
              </w:rPr>
              <w:t>完全符合甘肃省、张掖市及甘州区主体功能区划要求</w:t>
            </w:r>
            <w:r>
              <w:rPr>
                <w:rFonts w:ascii="宋体" w:hAnsi="宋体" w:eastAsia="宋体" w:cs="宋体"/>
                <w:b w:val="0"/>
                <w:bCs w:val="0"/>
                <w:color w:val="0000FF"/>
                <w:sz w:val="24"/>
                <w:szCs w:val="24"/>
              </w:rPr>
              <w:t>。</w:t>
            </w:r>
          </w:p>
          <w:p w14:paraId="07AA57A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、环境功能区划</w:t>
            </w:r>
          </w:p>
          <w:p w14:paraId="4798B92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.1生态环境功能区划</w:t>
            </w:r>
          </w:p>
          <w:p w14:paraId="3AD388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lang w:val="en-US" w:eastAsia="zh-CN"/>
              </w:rPr>
              <w:t>甘肃生态功能区划</w:t>
            </w:r>
          </w:p>
          <w:p w14:paraId="77ED636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依据《甘肃省生态功能区划图》，本项目所在区域属于“河西走廊干旱荒漠、绿洲农业生态亚区42张掖绿洲城市、节水农业生态功能区”。本项目与</w:t>
            </w:r>
            <w:r>
              <w:rPr>
                <w:rFonts w:hint="eastAsia" w:cs="Times New Roman"/>
                <w:color w:val="auto"/>
                <w:sz w:val="24"/>
                <w:szCs w:val="22"/>
                <w:highlight w:val="none"/>
                <w:lang w:val="en-US" w:eastAsia="zh-CN"/>
              </w:rPr>
              <w:t>甘肃省</w:t>
            </w:r>
            <w:r>
              <w:rPr>
                <w:rFonts w:hint="default" w:ascii="Times New Roman" w:hAnsi="Times New Roman" w:eastAsia="宋体" w:cs="Times New Roman"/>
                <w:color w:val="auto"/>
                <w:sz w:val="24"/>
                <w:szCs w:val="22"/>
                <w:highlight w:val="none"/>
                <w:lang w:val="en-US" w:eastAsia="zh-CN"/>
              </w:rPr>
              <w:t>生态功能区的位置关系见</w:t>
            </w:r>
            <w:r>
              <w:rPr>
                <w:rFonts w:hint="eastAsia" w:ascii="Times New Roman" w:hAnsi="Times New Roman" w:eastAsia="宋体" w:cs="Times New Roman"/>
                <w:color w:val="auto"/>
                <w:sz w:val="24"/>
                <w:szCs w:val="22"/>
                <w:highlight w:val="none"/>
                <w:lang w:val="en-US" w:eastAsia="zh-CN"/>
              </w:rPr>
              <w:t>附</w:t>
            </w:r>
            <w:r>
              <w:rPr>
                <w:rFonts w:hint="default" w:ascii="Times New Roman" w:hAnsi="Times New Roman" w:eastAsia="宋体" w:cs="Times New Roman"/>
                <w:color w:val="auto"/>
                <w:sz w:val="24"/>
                <w:szCs w:val="22"/>
                <w:highlight w:val="none"/>
                <w:lang w:val="en-US" w:eastAsia="zh-CN"/>
              </w:rPr>
              <w:t>图</w:t>
            </w:r>
            <w:r>
              <w:rPr>
                <w:rFonts w:hint="eastAsia" w:ascii="Times New Roman" w:hAnsi="Times New Roman" w:eastAsia="宋体" w:cs="Times New Roman"/>
                <w:color w:val="auto"/>
                <w:sz w:val="24"/>
                <w:szCs w:val="22"/>
                <w:highlight w:val="none"/>
                <w:lang w:val="en-US" w:eastAsia="zh-CN"/>
              </w:rPr>
              <w:t>8。</w:t>
            </w:r>
          </w:p>
          <w:p w14:paraId="219D7B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val="en-US" w:eastAsia="zh-CN"/>
              </w:rPr>
              <w:t>张掖市生态功能区划</w:t>
            </w:r>
          </w:p>
          <w:p w14:paraId="02B2C1D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根据《张掖市生态功能区划》，项目所在地属于</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2 \* ROMAN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sz w:val="24"/>
                <w:szCs w:val="24"/>
              </w:rPr>
              <w:t>II</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2"/>
                <w:highlight w:val="none"/>
                <w:lang w:val="en-US" w:eastAsia="zh-CN"/>
              </w:rPr>
              <w:t>中部川区绿洲湿地复合生态功能区一</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2 \* ROMAN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sz w:val="24"/>
                <w:szCs w:val="24"/>
              </w:rPr>
              <w:t>II</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2"/>
                <w:highlight w:val="none"/>
                <w:lang w:val="en-US" w:eastAsia="zh-CN"/>
              </w:rPr>
              <w:t>-2中部绿洲灌溉农业发展亚区</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471E64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本项目与张掖市生态功能区的位置关系详见</w:t>
            </w:r>
            <w:r>
              <w:rPr>
                <w:rFonts w:hint="eastAsia" w:ascii="Times New Roman" w:hAnsi="Times New Roman" w:eastAsia="宋体" w:cs="Times New Roman"/>
                <w:color w:val="auto"/>
                <w:sz w:val="24"/>
                <w:szCs w:val="22"/>
                <w:highlight w:val="none"/>
                <w:lang w:val="en-US" w:eastAsia="zh-CN"/>
              </w:rPr>
              <w:t>附</w:t>
            </w:r>
            <w:r>
              <w:rPr>
                <w:rFonts w:hint="default" w:ascii="Times New Roman" w:hAnsi="Times New Roman" w:eastAsia="宋体" w:cs="Times New Roman"/>
                <w:color w:val="auto"/>
                <w:sz w:val="24"/>
                <w:szCs w:val="22"/>
                <w:highlight w:val="none"/>
                <w:lang w:val="en-US" w:eastAsia="zh-CN"/>
              </w:rPr>
              <w:t>图</w:t>
            </w:r>
            <w:r>
              <w:rPr>
                <w:rFonts w:hint="eastAsia" w:cs="Times New Roman"/>
                <w:color w:val="auto"/>
                <w:sz w:val="24"/>
                <w:szCs w:val="22"/>
                <w:highlight w:val="none"/>
                <w:lang w:val="en-US" w:eastAsia="zh-CN"/>
              </w:rPr>
              <w:t>9</w:t>
            </w:r>
            <w:r>
              <w:rPr>
                <w:rFonts w:hint="default" w:ascii="Times New Roman" w:hAnsi="Times New Roman" w:eastAsia="宋体" w:cs="Times New Roman"/>
                <w:color w:val="auto"/>
                <w:sz w:val="24"/>
                <w:szCs w:val="22"/>
                <w:highlight w:val="none"/>
                <w:lang w:val="en-US" w:eastAsia="zh-CN"/>
              </w:rPr>
              <w:t>。</w:t>
            </w:r>
          </w:p>
          <w:p w14:paraId="3DBEBBB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2"/>
                <w:highlight w:val="none"/>
                <w:lang w:val="en-US" w:eastAsia="zh-CN"/>
              </w:rPr>
            </w:pP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.2环境空气功能区划</w:t>
            </w:r>
          </w:p>
          <w:p w14:paraId="1FCE7D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zh-CN" w:eastAsia="zh-CN"/>
              </w:rPr>
            </w:pPr>
            <w:r>
              <w:rPr>
                <w:rFonts w:hint="default" w:ascii="Times New Roman" w:hAnsi="Times New Roman" w:eastAsia="宋体" w:cs="Times New Roman"/>
                <w:color w:val="0000FF"/>
                <w:sz w:val="24"/>
                <w:szCs w:val="22"/>
                <w:highlight w:val="none"/>
                <w:lang w:val="en-US" w:eastAsia="zh-CN"/>
              </w:rPr>
              <w:t>根据《环境空气质量标准》（GB3095-20</w:t>
            </w:r>
            <w:r>
              <w:rPr>
                <w:rFonts w:hint="eastAsia" w:cs="Times New Roman"/>
                <w:color w:val="0000FF"/>
                <w:sz w:val="24"/>
                <w:szCs w:val="22"/>
                <w:highlight w:val="none"/>
                <w:lang w:val="en-US" w:eastAsia="zh-CN"/>
              </w:rPr>
              <w:t>26</w:t>
            </w:r>
            <w:r>
              <w:rPr>
                <w:rFonts w:hint="default" w:ascii="Times New Roman" w:hAnsi="Times New Roman" w:eastAsia="宋体" w:cs="Times New Roman"/>
                <w:color w:val="0000FF"/>
                <w:sz w:val="24"/>
                <w:szCs w:val="22"/>
                <w:highlight w:val="none"/>
                <w:lang w:val="en-US" w:eastAsia="zh-CN"/>
              </w:rPr>
              <w:t>）中环境功能区分类及项目所在地环境特征，</w:t>
            </w:r>
            <w:r>
              <w:rPr>
                <w:rFonts w:hint="default" w:ascii="Times New Roman" w:hAnsi="Times New Roman" w:eastAsia="宋体" w:cs="Times New Roman"/>
                <w:color w:val="0000FF"/>
                <w:sz w:val="24"/>
                <w:szCs w:val="22"/>
                <w:highlight w:val="none"/>
                <w:lang w:val="zh-CN" w:eastAsia="zh-CN"/>
              </w:rPr>
              <w:t>项目所在地为环境空气质量</w:t>
            </w:r>
            <w:r>
              <w:rPr>
                <w:rFonts w:hint="eastAsia" w:cs="Times New Roman"/>
                <w:color w:val="0000FF"/>
                <w:sz w:val="24"/>
                <w:szCs w:val="22"/>
                <w:highlight w:val="none"/>
                <w:lang w:val="en-US" w:eastAsia="zh-CN"/>
              </w:rPr>
              <w:t>二</w:t>
            </w:r>
            <w:r>
              <w:rPr>
                <w:rFonts w:hint="default" w:ascii="Times New Roman" w:hAnsi="Times New Roman" w:eastAsia="宋体" w:cs="Times New Roman"/>
                <w:color w:val="0000FF"/>
                <w:sz w:val="24"/>
                <w:szCs w:val="22"/>
                <w:highlight w:val="none"/>
                <w:lang w:val="zh-CN" w:eastAsia="zh-CN"/>
              </w:rPr>
              <w:t>类功能区，执行环境空气质量</w:t>
            </w:r>
            <w:r>
              <w:rPr>
                <w:rFonts w:hint="eastAsia" w:cs="Times New Roman"/>
                <w:color w:val="0000FF"/>
                <w:sz w:val="24"/>
                <w:szCs w:val="22"/>
                <w:highlight w:val="none"/>
                <w:lang w:val="zh-CN" w:eastAsia="zh-CN"/>
              </w:rPr>
              <w:t>过渡阶段中</w:t>
            </w:r>
            <w:r>
              <w:rPr>
                <w:rFonts w:hint="default" w:ascii="Times New Roman" w:hAnsi="Times New Roman" w:eastAsia="宋体" w:cs="Times New Roman"/>
                <w:color w:val="0000FF"/>
                <w:sz w:val="24"/>
                <w:szCs w:val="22"/>
                <w:highlight w:val="none"/>
                <w:lang w:val="zh-CN" w:eastAsia="zh-CN"/>
              </w:rPr>
              <w:t>二级标准。</w:t>
            </w:r>
          </w:p>
          <w:p w14:paraId="3C46C5C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2.3地表水</w:t>
            </w:r>
            <w:r>
              <w:rPr>
                <w:rFonts w:hint="default" w:ascii="Times New Roman" w:hAnsi="Times New Roman" w:eastAsia="宋体" w:cs="Times New Roman"/>
                <w:b/>
                <w:bCs/>
                <w:color w:val="auto"/>
                <w:sz w:val="24"/>
                <w:szCs w:val="22"/>
                <w:highlight w:val="none"/>
                <w:lang w:val="en-US" w:eastAsia="zh-CN"/>
              </w:rPr>
              <w:t>环境功能区划</w:t>
            </w:r>
          </w:p>
          <w:p w14:paraId="52BAA8B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根据《甘肃省地表水功能区划(2012-2030年)》(甘政函(2013)4号)，甘肃省内陆河流域黑河水系二级水功能区划图，本项目</w:t>
            </w:r>
            <w:r>
              <w:rPr>
                <w:rFonts w:hint="eastAsia" w:cs="Times New Roman"/>
                <w:color w:val="auto"/>
                <w:sz w:val="24"/>
                <w:szCs w:val="22"/>
                <w:highlight w:val="none"/>
                <w:lang w:val="en-US" w:eastAsia="zh-CN"/>
              </w:rPr>
              <w:t>区域</w:t>
            </w:r>
            <w:r>
              <w:rPr>
                <w:rFonts w:hint="eastAsia" w:ascii="Times New Roman" w:hAnsi="Times New Roman" w:eastAsia="宋体" w:cs="Times New Roman"/>
                <w:color w:val="auto"/>
                <w:sz w:val="24"/>
                <w:szCs w:val="22"/>
                <w:highlight w:val="none"/>
                <w:lang w:val="en-US" w:eastAsia="zh-CN"/>
              </w:rPr>
              <w:t>地表水水功能区划</w:t>
            </w:r>
            <w:r>
              <w:rPr>
                <w:rFonts w:hint="eastAsia" w:cs="Times New Roman"/>
                <w:color w:val="auto"/>
                <w:sz w:val="24"/>
                <w:szCs w:val="22"/>
                <w:highlight w:val="none"/>
                <w:lang w:val="en-US" w:eastAsia="zh-CN"/>
              </w:rPr>
              <w:t>为</w:t>
            </w:r>
            <w:r>
              <w:rPr>
                <w:rFonts w:hint="eastAsia" w:ascii="Times New Roman" w:hAnsi="Times New Roman" w:eastAsia="宋体" w:cs="Times New Roman"/>
                <w:color w:val="auto"/>
                <w:sz w:val="24"/>
                <w:szCs w:val="22"/>
                <w:highlight w:val="none"/>
                <w:lang w:val="en-US" w:eastAsia="zh-CN"/>
              </w:rPr>
              <w:t>黑河甘州工业、农业用水区(范围</w:t>
            </w:r>
            <w:r>
              <w:rPr>
                <w:rFonts w:hint="eastAsia"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黑河大桥~高崖水文站)水质目标为IV类。本项目所属河段水质目标为IV类。</w:t>
            </w:r>
          </w:p>
          <w:p w14:paraId="747F142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本项目所在区域地表水系图见</w:t>
            </w:r>
            <w:r>
              <w:rPr>
                <w:rFonts w:hint="eastAsia" w:cs="Times New Roman"/>
                <w:color w:val="auto"/>
                <w:sz w:val="24"/>
                <w:szCs w:val="22"/>
                <w:highlight w:val="none"/>
                <w:lang w:val="en-US" w:eastAsia="zh-CN"/>
              </w:rPr>
              <w:t>附图10</w:t>
            </w:r>
            <w:r>
              <w:rPr>
                <w:rFonts w:hint="eastAsia" w:ascii="Times New Roman" w:hAnsi="Times New Roman" w:eastAsia="宋体" w:cs="Times New Roman"/>
                <w:color w:val="auto"/>
                <w:sz w:val="24"/>
                <w:szCs w:val="22"/>
                <w:highlight w:val="none"/>
                <w:lang w:val="en-US" w:eastAsia="zh-CN"/>
              </w:rPr>
              <w:t>。</w:t>
            </w:r>
          </w:p>
          <w:p w14:paraId="59A6220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w:t>
            </w:r>
            <w:r>
              <w:rPr>
                <w:rFonts w:hint="eastAsia" w:cs="Times New Roman"/>
                <w:b/>
                <w:bCs/>
                <w:color w:val="auto"/>
                <w:sz w:val="24"/>
                <w:szCs w:val="22"/>
                <w:highlight w:val="none"/>
                <w:lang w:val="en-US" w:eastAsia="zh-CN"/>
              </w:rPr>
              <w:t>4</w:t>
            </w:r>
            <w:r>
              <w:rPr>
                <w:rFonts w:hint="default" w:ascii="Times New Roman" w:hAnsi="Times New Roman" w:eastAsia="宋体" w:cs="Times New Roman"/>
                <w:b/>
                <w:bCs/>
                <w:color w:val="auto"/>
                <w:sz w:val="24"/>
                <w:szCs w:val="22"/>
                <w:highlight w:val="none"/>
                <w:lang w:val="en-US" w:eastAsia="zh-CN"/>
              </w:rPr>
              <w:t>声环境功能区划</w:t>
            </w:r>
          </w:p>
          <w:p w14:paraId="43EF0A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zh-CN" w:eastAsia="zh-CN"/>
              </w:rPr>
              <w:t>本项目位于张掖经济技术开发区循环经济示范园</w:t>
            </w:r>
            <w:r>
              <w:rPr>
                <w:rFonts w:hint="default"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根据</w:t>
            </w:r>
            <w:r>
              <w:rPr>
                <w:rFonts w:hint="default" w:ascii="Times New Roman" w:hAnsi="Times New Roman" w:eastAsia="宋体" w:cs="Times New Roman"/>
                <w:b w:val="0"/>
                <w:color w:val="auto"/>
                <w:kern w:val="2"/>
                <w:sz w:val="24"/>
                <w:szCs w:val="22"/>
                <w:highlight w:val="none"/>
                <w:lang w:val="en-US" w:eastAsia="zh-CN" w:bidi="ar-SA"/>
              </w:rPr>
              <w:t>《张掖经济技术开发区循环经济示范园发展规划（2025-2035）环境影响报告书》</w:t>
            </w:r>
            <w:r>
              <w:rPr>
                <w:rFonts w:hint="eastAsia" w:cs="Times New Roman"/>
                <w:b w:val="0"/>
                <w:color w:val="auto"/>
                <w:kern w:val="2"/>
                <w:sz w:val="24"/>
                <w:szCs w:val="22"/>
                <w:highlight w:val="none"/>
                <w:lang w:val="en-US" w:eastAsia="zh-CN" w:bidi="ar-SA"/>
              </w:rPr>
              <w:t>，</w:t>
            </w:r>
            <w:r>
              <w:rPr>
                <w:rFonts w:hint="default" w:ascii="Times New Roman" w:hAnsi="Times New Roman" w:eastAsia="宋体" w:cs="Times New Roman"/>
                <w:color w:val="auto"/>
                <w:sz w:val="24"/>
                <w:szCs w:val="22"/>
                <w:highlight w:val="none"/>
                <w:lang w:val="en-US" w:eastAsia="zh-CN"/>
              </w:rPr>
              <w:t>项目区域声环境功能区执行</w:t>
            </w:r>
            <w:r>
              <w:rPr>
                <w:rFonts w:hint="eastAsia"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lang w:val="en-US" w:eastAsia="zh-CN"/>
              </w:rPr>
              <w:t>类区。</w:t>
            </w:r>
          </w:p>
          <w:p w14:paraId="6728BF18">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2、生态环境质量现状</w:t>
            </w:r>
          </w:p>
          <w:p w14:paraId="4B50D8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（1）地形地貌</w:t>
            </w:r>
          </w:p>
          <w:p w14:paraId="300B2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工程区位于河西走廊中段张掖盆地东北缘，系祁连山与龙首山之间狭长凹陷山间盆地。盆地南北边缘颗粒粗大，地下水埋深大，盆地中心颗粒变细，地下水位变</w:t>
            </w:r>
          </w:p>
          <w:p w14:paraId="55176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浅，形成大片湿地。按地貌特征分为黑河冲洪积平原、龙首山前洪积扇两个地貌单</w:t>
            </w:r>
          </w:p>
          <w:p w14:paraId="68893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元，其中黑河冲洪积平原南部颗粒较粗，东北部颗粒较细，地下水埋深浅，洪积扇</w:t>
            </w:r>
          </w:p>
          <w:p w14:paraId="45906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为龙首山区洪流沿平易河河谷流出山口时，流速度减小，搬运能力急剧减弱，洪流</w:t>
            </w:r>
          </w:p>
          <w:p w14:paraId="3E1C6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搬运的碎屑物质在山口逐渐堆积形成。工程区地面高程1430.2m～1476.8m，属黑河</w:t>
            </w:r>
          </w:p>
          <w:p w14:paraId="6968C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冲洪积倾斜平原中下段，水库地貌单元属山前洪积扇前缘，整体地形平坦开阔，地</w:t>
            </w:r>
          </w:p>
          <w:p w14:paraId="4DF2E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势东南高西北低，自龙首山向黑河倾斜。</w:t>
            </w:r>
          </w:p>
          <w:p w14:paraId="1F5DBF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（2）水文概况</w:t>
            </w:r>
          </w:p>
          <w:p w14:paraId="7A112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山丹河是黑河水系较大的支流，发源于祁连山冷龙岭中段北坡，南部从黑河东岔和永昌县西大河分水，东临西大河，西为洪水河，向北流至山丹县白石崖出山口进入山丹县境内。山丹河流至山丹县城折向西流，在山羊堡西段流入甘州区境内，在甘州区有牛角山口子、平易河、小口子、东山寺口子四条小支流汇入，流经张掖农场、碱滩镇、上秦镇、三闸镇后，在靖安乡地段汇入黑河。流域内地势由东北向西南缓慢倾斜，海拔高程1420～1480m，地形坡降25—4‰，地势比较平坦，基本呈现为山前洪积平原地形地貌特征。</w:t>
            </w:r>
          </w:p>
          <w:p w14:paraId="5C2EF6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（3）气候气象</w:t>
            </w:r>
          </w:p>
          <w:p w14:paraId="0F97B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张掖气象站多年气象资料统计：多年平均气温为8.0℃，历年极端最高气温39.8℃（2001年7月14日），极端最低气温-28.2℃（1991年12月27日）；多年平均蒸发量2002.5mm，多年平均降水量129.3mm；多年平均风速2.0m/s，最大风速19.0m/s；多年平均日照时数3085.1h；平均相对湿度51%，最大积雪深度8cm，最大冻土深度为150cm。</w:t>
            </w:r>
          </w:p>
          <w:p w14:paraId="5805F5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（4）土壤植被</w:t>
            </w:r>
          </w:p>
          <w:p w14:paraId="23BC4F3F">
            <w:pPr>
              <w:pStyle w:val="1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经实地调查，项目区土壤主要以灰棕漠土为主，土地利用现状为空地，杂草零星分布，土壤有机质含量低，自然肥力不高，土壤质地疏松，抗蚀抗冲性弱，不具备表土剥离条件。</w:t>
            </w:r>
          </w:p>
          <w:p w14:paraId="4A2563BA">
            <w:pPr>
              <w:pStyle w:val="10"/>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项目区内植被属于荒漠草原植被，场地内杂草零星分布，地表分布有苏油草、骆驼蓬、驴驴蒿等，现场植被覆</w:t>
            </w:r>
            <w:r>
              <w:rPr>
                <w:rFonts w:hint="eastAsia" w:cs="Times New Roman"/>
                <w:color w:val="000000"/>
                <w:kern w:val="0"/>
                <w:sz w:val="24"/>
                <w:szCs w:val="24"/>
                <w:lang w:val="en-US" w:eastAsia="zh-CN" w:bidi="ar"/>
              </w:rPr>
              <w:t>较低</w:t>
            </w:r>
            <w:r>
              <w:rPr>
                <w:rFonts w:hint="default" w:ascii="Times New Roman" w:hAnsi="Times New Roman" w:eastAsia="宋体" w:cs="Times New Roman"/>
                <w:color w:val="000000"/>
                <w:kern w:val="0"/>
                <w:sz w:val="24"/>
                <w:szCs w:val="24"/>
                <w:lang w:val="en-US" w:eastAsia="zh-CN" w:bidi="ar"/>
              </w:rPr>
              <w:t>。</w:t>
            </w:r>
          </w:p>
          <w:p w14:paraId="4BF11EF3">
            <w:pPr>
              <w:pStyle w:val="16"/>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、环境质量现状</w:t>
            </w:r>
          </w:p>
          <w:p w14:paraId="1E6964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.1生态环境质量现状</w:t>
            </w:r>
          </w:p>
          <w:p w14:paraId="5E491AF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（1）调查范围、方法和内容</w:t>
            </w:r>
          </w:p>
          <w:p w14:paraId="2DCD3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根据《环境影响评价技术导则生态</w:t>
            </w:r>
            <w:r>
              <w:rPr>
                <w:rFonts w:hint="default" w:ascii="Times New Roman" w:hAnsi="Times New Roman" w:eastAsia="宋体" w:cs="Times New Roman"/>
                <w:color w:val="auto"/>
                <w:sz w:val="24"/>
                <w:highlight w:val="none"/>
                <w:lang w:val="en-US" w:eastAsia="zh-CN"/>
              </w:rPr>
              <w:t>影响</w:t>
            </w:r>
            <w:r>
              <w:rPr>
                <w:rFonts w:hint="default" w:ascii="Times New Roman" w:hAnsi="Times New Roman" w:eastAsia="宋体" w:cs="Times New Roman"/>
                <w:color w:val="auto"/>
                <w:sz w:val="24"/>
                <w:highlight w:val="none"/>
              </w:rPr>
              <w:t>》（HJ19-2</w:t>
            </w:r>
            <w:r>
              <w:rPr>
                <w:rFonts w:hint="default" w:ascii="Times New Roman" w:hAnsi="Times New Roman" w:eastAsia="宋体" w:cs="Times New Roman"/>
                <w:color w:val="auto"/>
                <w:sz w:val="24"/>
                <w:highlight w:val="none"/>
                <w:lang w:val="en-US" w:eastAsia="zh-CN"/>
              </w:rPr>
              <w:t>022</w:t>
            </w:r>
            <w:r>
              <w:rPr>
                <w:rFonts w:hint="default" w:ascii="Times New Roman" w:hAnsi="Times New Roman" w:eastAsia="宋体" w:cs="Times New Roman"/>
                <w:color w:val="auto"/>
                <w:sz w:val="24"/>
                <w:highlight w:val="none"/>
              </w:rPr>
              <w:t>）中的生态环境现状调查范围的划分依据，针对项目区域的生态</w:t>
            </w:r>
            <w:r>
              <w:rPr>
                <w:rFonts w:hint="default" w:ascii="Times New Roman" w:hAnsi="Times New Roman" w:eastAsia="宋体" w:cs="Times New Roman"/>
                <w:color w:val="auto"/>
                <w:sz w:val="24"/>
                <w:highlight w:val="none"/>
                <w:lang w:val="en-US" w:eastAsia="zh-CN"/>
              </w:rPr>
              <w:t>影响</w:t>
            </w:r>
            <w:r>
              <w:rPr>
                <w:rFonts w:hint="default" w:ascii="Times New Roman" w:hAnsi="Times New Roman" w:eastAsia="宋体" w:cs="Times New Roman"/>
                <w:color w:val="auto"/>
                <w:sz w:val="24"/>
                <w:highlight w:val="none"/>
              </w:rPr>
              <w:t>范围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本次生态调查范围确定为项目占地两侧</w:t>
            </w:r>
            <w:r>
              <w:rPr>
                <w:rFonts w:hint="eastAsia" w:cs="Times New Roman"/>
                <w:color w:val="auto"/>
                <w:sz w:val="24"/>
                <w:highlight w:val="none"/>
                <w:lang w:val="en-US" w:eastAsia="zh-CN"/>
              </w:rPr>
              <w:t>50</w:t>
            </w:r>
            <w:r>
              <w:rPr>
                <w:rFonts w:hint="default" w:ascii="Times New Roman" w:hAnsi="Times New Roman" w:eastAsia="宋体" w:cs="Times New Roman"/>
                <w:color w:val="auto"/>
                <w:sz w:val="24"/>
                <w:highlight w:val="none"/>
                <w:lang w:val="en-US" w:eastAsia="zh-CN"/>
              </w:rPr>
              <w:t>0m的范围</w:t>
            </w:r>
            <w:r>
              <w:rPr>
                <w:rFonts w:hint="default" w:ascii="Times New Roman" w:hAnsi="Times New Roman" w:eastAsia="宋体" w:cs="Times New Roman"/>
                <w:color w:val="auto"/>
                <w:sz w:val="24"/>
                <w:highlight w:val="none"/>
              </w:rPr>
              <w:t>，确定</w:t>
            </w:r>
            <w:r>
              <w:rPr>
                <w:rFonts w:hint="default" w:ascii="Times New Roman" w:hAnsi="Times New Roman" w:eastAsia="宋体" w:cs="Times New Roman"/>
                <w:color w:val="auto"/>
                <w:sz w:val="24"/>
                <w:highlight w:val="none"/>
                <w:lang w:val="en-US" w:eastAsia="zh-CN"/>
              </w:rPr>
              <w:t>生态</w:t>
            </w:r>
            <w:r>
              <w:rPr>
                <w:rFonts w:hint="default" w:ascii="Times New Roman" w:hAnsi="Times New Roman" w:eastAsia="宋体" w:cs="Times New Roman"/>
                <w:color w:val="auto"/>
                <w:sz w:val="24"/>
                <w:highlight w:val="none"/>
              </w:rPr>
              <w:t>调查范围</w:t>
            </w:r>
            <w:r>
              <w:rPr>
                <w:rFonts w:hint="default" w:ascii="Times New Roman" w:hAnsi="Times New Roman" w:eastAsia="宋体" w:cs="Times New Roman"/>
                <w:color w:val="auto"/>
                <w:sz w:val="24"/>
                <w:highlight w:val="none"/>
                <w:lang w:val="en-US" w:eastAsia="zh-CN"/>
              </w:rPr>
              <w:t>面积为</w:t>
            </w:r>
            <w:r>
              <w:rPr>
                <w:rFonts w:hint="eastAsia" w:cs="Times New Roman"/>
                <w:color w:val="auto"/>
                <w:sz w:val="24"/>
                <w:highlight w:val="none"/>
                <w:lang w:val="en-US" w:eastAsia="zh-CN"/>
              </w:rPr>
              <w:t>1.8679</w:t>
            </w:r>
            <w:r>
              <w:rPr>
                <w:rFonts w:hint="default" w:ascii="Times New Roman" w:hAnsi="Times New Roman" w:eastAsia="宋体" w:cs="Times New Roman"/>
                <w:color w:val="auto"/>
                <w:sz w:val="24"/>
                <w:szCs w:val="24"/>
                <w:highlight w:val="none"/>
                <w:lang w:val="en-US" w:eastAsia="zh-CN"/>
              </w:rPr>
              <w:t>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highlight w:val="none"/>
              </w:rPr>
              <w:t>。</w:t>
            </w:r>
          </w:p>
          <w:p w14:paraId="0F1DD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调查内容</w:t>
            </w:r>
          </w:p>
          <w:p w14:paraId="4EFC4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包括工程建设区域土地利用类型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植被覆盖度、植被类型</w:t>
            </w:r>
            <w:r>
              <w:rPr>
                <w:rFonts w:hint="default" w:ascii="Times New Roman" w:hAnsi="Times New Roman" w:eastAsia="宋体" w:cs="Times New Roman"/>
                <w:color w:val="auto"/>
                <w:sz w:val="24"/>
                <w:highlight w:val="none"/>
              </w:rPr>
              <w:t>和评价区主要生态问题调查。</w:t>
            </w:r>
          </w:p>
          <w:p w14:paraId="07929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调查方法</w:t>
            </w:r>
          </w:p>
          <w:p w14:paraId="42CF8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本次环境影响评价生态现状调查方法采用资料收集法、现场勘查</w:t>
            </w:r>
            <w:r>
              <w:rPr>
                <w:rFonts w:hint="default" w:ascii="Times New Roman" w:hAnsi="Times New Roman" w:eastAsia="宋体" w:cs="Times New Roman"/>
                <w:color w:val="auto"/>
                <w:sz w:val="24"/>
                <w:highlight w:val="none"/>
                <w:lang w:val="en-US" w:eastAsia="zh-CN"/>
              </w:rPr>
              <w:t>以</w:t>
            </w:r>
            <w:r>
              <w:rPr>
                <w:rFonts w:hint="default" w:ascii="Times New Roman" w:hAnsi="Times New Roman" w:eastAsia="宋体" w:cs="Times New Roman"/>
                <w:color w:val="auto"/>
                <w:sz w:val="24"/>
                <w:highlight w:val="none"/>
              </w:rPr>
              <w:t>及遥感调查等多种方法结合的方式进行。</w:t>
            </w:r>
          </w:p>
          <w:p w14:paraId="0E67B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①资料收集法</w:t>
            </w:r>
          </w:p>
          <w:p w14:paraId="1B802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次评价植被调查收集的资料主要有科学出版社2000年出版的《中国植被类型图谱》、2005年甘肃科学技术出版社出版的《甘肃省植物志》、1996年甘肃科学技术出版社出版的《甘肃珍稀濒危保护物种》中的分类系统进行。</w:t>
            </w:r>
          </w:p>
          <w:p w14:paraId="0B5E3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②专家和公众咨询法</w:t>
            </w:r>
          </w:p>
          <w:p w14:paraId="4FC77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陆生植物调查</w:t>
            </w:r>
            <w:r>
              <w:rPr>
                <w:rFonts w:hint="default" w:ascii="Times New Roman" w:hAnsi="Times New Roman" w:eastAsia="宋体" w:cs="Times New Roman"/>
                <w:color w:val="auto"/>
                <w:sz w:val="24"/>
                <w:highlight w:val="none"/>
                <w:lang w:val="en-US" w:eastAsia="zh-CN"/>
              </w:rPr>
              <w:t>由</w:t>
            </w:r>
            <w:r>
              <w:rPr>
                <w:rFonts w:hint="default" w:ascii="Times New Roman" w:hAnsi="Times New Roman" w:eastAsia="宋体" w:cs="Times New Roman"/>
                <w:color w:val="auto"/>
                <w:sz w:val="24"/>
                <w:highlight w:val="none"/>
              </w:rPr>
              <w:t>环评单位协同植被分类专家对评价区域植被进行调查。植物调查包括植物物种组成等。对于不确定的植物采集样本查阅《中国植被类型图谱》和《甘肃省植物志》进行确认。</w:t>
            </w:r>
          </w:p>
          <w:p w14:paraId="52056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③遥感调查法</w:t>
            </w:r>
          </w:p>
          <w:p w14:paraId="7C4CC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以202</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rPr>
              <w:t>月的哨兵2号（Sentinel-2）卫星影像数据作为基本信息源，</w:t>
            </w:r>
            <w:r>
              <w:rPr>
                <w:rFonts w:hint="eastAsia" w:ascii="Times New Roman" w:hAnsi="Times New Roman" w:eastAsia="宋体" w:cs="Times New Roman"/>
                <w:color w:val="auto"/>
                <w:sz w:val="24"/>
                <w:highlight w:val="none"/>
                <w:lang w:val="en-US" w:eastAsia="zh-CN"/>
              </w:rPr>
              <w:t>提取第2、3、4、8波段，</w:t>
            </w:r>
            <w:r>
              <w:rPr>
                <w:rFonts w:hint="eastAsia" w:ascii="Times New Roman" w:hAnsi="Times New Roman" w:eastAsia="宋体" w:cs="Times New Roman"/>
                <w:color w:val="auto"/>
                <w:sz w:val="24"/>
                <w:highlight w:val="none"/>
              </w:rPr>
              <w:t>分辨率</w:t>
            </w:r>
            <w:r>
              <w:rPr>
                <w:rFonts w:hint="eastAsia" w:ascii="Times New Roman" w:hAnsi="Times New Roman" w:eastAsia="宋体" w:cs="Times New Roman"/>
                <w:color w:val="auto"/>
                <w:sz w:val="24"/>
                <w:highlight w:val="none"/>
                <w:lang w:val="en-US" w:eastAsia="zh-CN"/>
              </w:rPr>
              <w:t>为10</w:t>
            </w:r>
            <w:r>
              <w:rPr>
                <w:rFonts w:hint="eastAsia" w:ascii="Times New Roman" w:hAnsi="Times New Roman" w:eastAsia="宋体" w:cs="Times New Roman"/>
                <w:color w:val="auto"/>
                <w:sz w:val="24"/>
                <w:highlight w:val="none"/>
              </w:rPr>
              <w:t>米，经</w:t>
            </w:r>
            <w:r>
              <w:rPr>
                <w:rFonts w:hint="eastAsia" w:ascii="Times New Roman" w:hAnsi="Times New Roman" w:eastAsia="宋体" w:cs="Times New Roman"/>
                <w:color w:val="auto"/>
                <w:sz w:val="24"/>
                <w:highlight w:val="none"/>
                <w:lang w:val="en-US" w:eastAsia="zh-CN"/>
              </w:rPr>
              <w:t>波段组合</w:t>
            </w:r>
            <w:r>
              <w:rPr>
                <w:rFonts w:hint="eastAsia" w:ascii="Times New Roman" w:hAnsi="Times New Roman" w:eastAsia="宋体" w:cs="Times New Roman"/>
                <w:color w:val="auto"/>
                <w:sz w:val="24"/>
                <w:highlight w:val="none"/>
              </w:rPr>
              <w:t>处理后的图像地表信息丰富，有利于生态环境因子遥感解译标志的建立，保证了各生态环境要素解译成果的准确性。</w:t>
            </w:r>
          </w:p>
          <w:p w14:paraId="58C85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在</w:t>
            </w:r>
            <w:r>
              <w:rPr>
                <w:rFonts w:hint="eastAsia" w:ascii="Times New Roman" w:hAnsi="Times New Roman" w:eastAsia="宋体" w:cs="Times New Roman"/>
                <w:color w:val="auto"/>
                <w:sz w:val="24"/>
                <w:highlight w:val="none"/>
                <w:lang w:val="en-US" w:eastAsia="zh-CN"/>
              </w:rPr>
              <w:t>ENVI</w:t>
            </w:r>
            <w:r>
              <w:rPr>
                <w:rFonts w:hint="eastAsia" w:ascii="Times New Roman" w:hAnsi="Times New Roman" w:eastAsia="宋体" w:cs="Times New Roman"/>
                <w:color w:val="auto"/>
                <w:sz w:val="24"/>
                <w:highlight w:val="none"/>
              </w:rPr>
              <w:t>等遥感图像处理软件的支持下，对哨兵2号（Sentinel-2）卫星影像数据进行了</w:t>
            </w:r>
            <w:r>
              <w:rPr>
                <w:rFonts w:hint="eastAsia" w:ascii="Times New Roman" w:hAnsi="Times New Roman" w:eastAsia="宋体" w:cs="Times New Roman"/>
                <w:color w:val="auto"/>
                <w:sz w:val="24"/>
                <w:highlight w:val="none"/>
                <w:lang w:val="en-US" w:eastAsia="zh-CN"/>
              </w:rPr>
              <w:t>图像镶嵌、大气校正</w:t>
            </w:r>
            <w:r>
              <w:rPr>
                <w:rFonts w:hint="eastAsia" w:ascii="Times New Roman" w:hAnsi="Times New Roman" w:eastAsia="宋体" w:cs="Times New Roman"/>
                <w:color w:val="auto"/>
                <w:sz w:val="24"/>
                <w:highlight w:val="none"/>
              </w:rPr>
              <w:t>等预处理。根据土地利用现状、植被类型生态环境要素的地物光谱特征的差异性，选择</w:t>
            </w:r>
            <w:r>
              <w:rPr>
                <w:rFonts w:hint="eastAsia" w:ascii="Times New Roman" w:hAnsi="Times New Roman" w:eastAsia="宋体" w:cs="Times New Roman"/>
                <w:color w:val="auto"/>
                <w:sz w:val="24"/>
                <w:highlight w:val="none"/>
                <w:lang w:val="en-US" w:eastAsia="zh-CN"/>
              </w:rPr>
              <w:t>4、3、8</w:t>
            </w:r>
            <w:r>
              <w:rPr>
                <w:rFonts w:hint="eastAsia" w:ascii="Times New Roman" w:hAnsi="Times New Roman" w:eastAsia="宋体" w:cs="Times New Roman"/>
                <w:color w:val="auto"/>
                <w:sz w:val="24"/>
                <w:highlight w:val="none"/>
              </w:rPr>
              <w:t>波段合成方案，合成图像色彩丰富、层次分明，地类边界明显，有利于生态要素的判读解译。</w:t>
            </w:r>
          </w:p>
          <w:p w14:paraId="0B62D6D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color w:val="auto"/>
                <w:sz w:val="24"/>
                <w:highlight w:val="none"/>
              </w:rPr>
              <w:t>生态环境调查方法详见表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rPr>
              <w:t>，土地利用类型划分依据见表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5F1FE014">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p>
          <w:p w14:paraId="21B5DE69">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3-</w:t>
            </w:r>
            <w:r>
              <w:rPr>
                <w:rFonts w:hint="eastAsia"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环境现状调查内容、范围与方法</w:t>
            </w:r>
          </w:p>
          <w:tbl>
            <w:tblPr>
              <w:tblStyle w:val="26"/>
              <w:tblW w:w="499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373"/>
              <w:gridCol w:w="3578"/>
              <w:gridCol w:w="3745"/>
            </w:tblGrid>
            <w:tr w14:paraId="5919EAF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846" w:type="pct"/>
                  <w:gridSpan w:val="2"/>
                  <w:noWrap w:val="0"/>
                  <w:vAlign w:val="center"/>
                </w:tcPr>
                <w:p w14:paraId="528F1B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调查内容</w:t>
                  </w:r>
                </w:p>
              </w:tc>
              <w:tc>
                <w:tcPr>
                  <w:tcW w:w="2153" w:type="pct"/>
                  <w:noWrap w:val="0"/>
                  <w:vAlign w:val="center"/>
                </w:tcPr>
                <w:p w14:paraId="01C020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调查方法</w:t>
                  </w:r>
                </w:p>
              </w:tc>
            </w:tr>
            <w:tr w14:paraId="2FDFFC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noWrap w:val="0"/>
                  <w:vAlign w:val="center"/>
                </w:tcPr>
                <w:p w14:paraId="3D9290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2056" w:type="pct"/>
                  <w:noWrap w:val="0"/>
                  <w:vAlign w:val="center"/>
                </w:tcPr>
                <w:p w14:paraId="422A54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调查指标</w:t>
                  </w:r>
                </w:p>
              </w:tc>
              <w:tc>
                <w:tcPr>
                  <w:tcW w:w="2153" w:type="pct"/>
                  <w:noWrap w:val="0"/>
                  <w:vAlign w:val="center"/>
                </w:tcPr>
                <w:p w14:paraId="1771E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专家咨询和资料检索法</w:t>
                  </w:r>
                </w:p>
              </w:tc>
            </w:tr>
            <w:tr w14:paraId="565015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restart"/>
                  <w:noWrap w:val="0"/>
                  <w:vAlign w:val="center"/>
                </w:tcPr>
                <w:p w14:paraId="57805F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陆生植物调查</w:t>
                  </w:r>
                </w:p>
              </w:tc>
              <w:tc>
                <w:tcPr>
                  <w:tcW w:w="2056" w:type="pct"/>
                  <w:noWrap w:val="0"/>
                  <w:vAlign w:val="center"/>
                </w:tcPr>
                <w:p w14:paraId="44B78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植物地理区系</w:t>
                  </w:r>
                </w:p>
              </w:tc>
              <w:tc>
                <w:tcPr>
                  <w:tcW w:w="2153" w:type="pct"/>
                  <w:noWrap w:val="0"/>
                  <w:vAlign w:val="center"/>
                </w:tcPr>
                <w:p w14:paraId="62A833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资料检索法</w:t>
                  </w:r>
                </w:p>
              </w:tc>
            </w:tr>
            <w:tr w14:paraId="750519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08BD64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667956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植被类型</w:t>
                  </w:r>
                </w:p>
              </w:tc>
              <w:tc>
                <w:tcPr>
                  <w:tcW w:w="2153" w:type="pct"/>
                  <w:noWrap w:val="0"/>
                  <w:vAlign w:val="center"/>
                </w:tcPr>
                <w:p w14:paraId="5BD0A8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遥感调查</w:t>
                  </w:r>
                </w:p>
              </w:tc>
            </w:tr>
            <w:tr w14:paraId="61A96AD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59819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2ACDB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优势种/建群种</w:t>
                  </w:r>
                </w:p>
              </w:tc>
              <w:tc>
                <w:tcPr>
                  <w:tcW w:w="2153" w:type="pct"/>
                  <w:noWrap w:val="0"/>
                  <w:vAlign w:val="center"/>
                </w:tcPr>
                <w:p w14:paraId="20FA61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专家咨询和资料检索法</w:t>
                  </w:r>
                </w:p>
              </w:tc>
            </w:tr>
            <w:tr w14:paraId="31E5B9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restart"/>
                  <w:noWrap w:val="0"/>
                  <w:vAlign w:val="center"/>
                </w:tcPr>
                <w:p w14:paraId="527BE3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陆生动物调查</w:t>
                  </w:r>
                </w:p>
              </w:tc>
              <w:tc>
                <w:tcPr>
                  <w:tcW w:w="2056" w:type="pct"/>
                  <w:noWrap w:val="0"/>
                  <w:vAlign w:val="center"/>
                </w:tcPr>
                <w:p w14:paraId="570598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动物地理区系</w:t>
                  </w:r>
                </w:p>
              </w:tc>
              <w:tc>
                <w:tcPr>
                  <w:tcW w:w="2153" w:type="pct"/>
                  <w:noWrap w:val="0"/>
                  <w:vAlign w:val="center"/>
                </w:tcPr>
                <w:p w14:paraId="6650B3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资料收集</w:t>
                  </w:r>
                </w:p>
              </w:tc>
            </w:tr>
            <w:tr w14:paraId="79A5FE5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153510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57A3BD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大型兽类和鸟类种类组成</w:t>
                  </w:r>
                </w:p>
              </w:tc>
              <w:tc>
                <w:tcPr>
                  <w:tcW w:w="2153" w:type="pct"/>
                  <w:noWrap w:val="0"/>
                  <w:vAlign w:val="center"/>
                </w:tcPr>
                <w:p w14:paraId="49F4BB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资料收集</w:t>
                  </w:r>
                </w:p>
              </w:tc>
            </w:tr>
            <w:tr w14:paraId="483565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13E3AB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33DBBF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啮齿类等小型兽类、两栖爬行类种类组成</w:t>
                  </w:r>
                </w:p>
              </w:tc>
              <w:tc>
                <w:tcPr>
                  <w:tcW w:w="2153" w:type="pct"/>
                  <w:noWrap w:val="0"/>
                  <w:vAlign w:val="center"/>
                </w:tcPr>
                <w:p w14:paraId="2642B5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资料收集</w:t>
                  </w:r>
                </w:p>
              </w:tc>
            </w:tr>
            <w:tr w14:paraId="6B7EEA6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3AC3A7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3A771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分布位置</w:t>
                  </w:r>
                </w:p>
              </w:tc>
              <w:tc>
                <w:tcPr>
                  <w:tcW w:w="2153" w:type="pct"/>
                  <w:noWrap w:val="0"/>
                  <w:vAlign w:val="center"/>
                </w:tcPr>
                <w:p w14:paraId="09437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资料收集</w:t>
                  </w:r>
                </w:p>
              </w:tc>
            </w:tr>
            <w:tr w14:paraId="1888F99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1DE4AB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5A5BAB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种群数量</w:t>
                  </w:r>
                </w:p>
              </w:tc>
              <w:tc>
                <w:tcPr>
                  <w:tcW w:w="2153" w:type="pct"/>
                  <w:noWrap w:val="0"/>
                  <w:vAlign w:val="center"/>
                </w:tcPr>
                <w:p w14:paraId="6ECC02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实地踏勘/资料收集</w:t>
                  </w:r>
                </w:p>
              </w:tc>
            </w:tr>
            <w:tr w14:paraId="2E6056F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restart"/>
                  <w:noWrap w:val="0"/>
                  <w:vAlign w:val="center"/>
                </w:tcPr>
                <w:p w14:paraId="55DEE6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土地利用现状调查</w:t>
                  </w:r>
                </w:p>
              </w:tc>
              <w:tc>
                <w:tcPr>
                  <w:tcW w:w="2056" w:type="pct"/>
                  <w:noWrap w:val="0"/>
                  <w:vAlign w:val="center"/>
                </w:tcPr>
                <w:p w14:paraId="1BBB03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土地利用类型</w:t>
                  </w:r>
                </w:p>
              </w:tc>
              <w:tc>
                <w:tcPr>
                  <w:tcW w:w="2153" w:type="pct"/>
                  <w:noWrap w:val="0"/>
                  <w:vAlign w:val="center"/>
                </w:tcPr>
                <w:p w14:paraId="2A37DB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实地踏勘/资料收集/遥感调查</w:t>
                  </w:r>
                </w:p>
              </w:tc>
            </w:tr>
            <w:tr w14:paraId="6F9BCF2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89" w:type="pct"/>
                  <w:vMerge w:val="continue"/>
                  <w:noWrap w:val="0"/>
                  <w:vAlign w:val="center"/>
                </w:tcPr>
                <w:p w14:paraId="71B2B8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056" w:type="pct"/>
                  <w:noWrap w:val="0"/>
                  <w:vAlign w:val="center"/>
                </w:tcPr>
                <w:p w14:paraId="7DB2E2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面积</w:t>
                  </w:r>
                </w:p>
              </w:tc>
              <w:tc>
                <w:tcPr>
                  <w:tcW w:w="2153" w:type="pct"/>
                  <w:noWrap w:val="0"/>
                  <w:vAlign w:val="center"/>
                </w:tcPr>
                <w:p w14:paraId="6D6602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遥感调查</w:t>
                  </w:r>
                </w:p>
              </w:tc>
            </w:tr>
          </w:tbl>
          <w:p w14:paraId="61177DE3">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3-</w:t>
            </w: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土地利用类型划分表</w:t>
            </w:r>
          </w:p>
          <w:tbl>
            <w:tblPr>
              <w:tblStyle w:val="26"/>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918"/>
              <w:gridCol w:w="1191"/>
              <w:gridCol w:w="1064"/>
              <w:gridCol w:w="1240"/>
              <w:gridCol w:w="4278"/>
            </w:tblGrid>
            <w:tr w14:paraId="06357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blHeader/>
                <w:jc w:val="center"/>
              </w:trPr>
              <w:tc>
                <w:tcPr>
                  <w:tcW w:w="1213" w:type="pct"/>
                  <w:gridSpan w:val="2"/>
                  <w:tcBorders>
                    <w:bottom w:val="single" w:color="auto" w:sz="2" w:space="0"/>
                  </w:tcBorders>
                  <w:shd w:val="clear" w:color="auto" w:fill="auto"/>
                  <w:noWrap w:val="0"/>
                  <w:vAlign w:val="center"/>
                </w:tcPr>
                <w:p w14:paraId="150E406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一级类</w:t>
                  </w:r>
                </w:p>
              </w:tc>
              <w:tc>
                <w:tcPr>
                  <w:tcW w:w="1325" w:type="pct"/>
                  <w:gridSpan w:val="2"/>
                  <w:tcBorders>
                    <w:bottom w:val="single" w:color="auto" w:sz="2" w:space="0"/>
                  </w:tcBorders>
                  <w:shd w:val="clear" w:color="auto" w:fill="auto"/>
                  <w:noWrap w:val="0"/>
                  <w:tcMar>
                    <w:top w:w="0" w:type="dxa"/>
                    <w:left w:w="108" w:type="dxa"/>
                    <w:bottom w:w="0" w:type="dxa"/>
                    <w:right w:w="108" w:type="dxa"/>
                  </w:tcMar>
                  <w:vAlign w:val="center"/>
                </w:tcPr>
                <w:p w14:paraId="689F41B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二级类</w:t>
                  </w:r>
                </w:p>
              </w:tc>
              <w:tc>
                <w:tcPr>
                  <w:tcW w:w="2460" w:type="pct"/>
                  <w:vMerge w:val="restart"/>
                  <w:shd w:val="clear" w:color="auto" w:fill="auto"/>
                  <w:noWrap w:val="0"/>
                  <w:tcMar>
                    <w:top w:w="0" w:type="dxa"/>
                    <w:left w:w="108" w:type="dxa"/>
                    <w:bottom w:w="0" w:type="dxa"/>
                    <w:right w:w="108" w:type="dxa"/>
                  </w:tcMar>
                  <w:vAlign w:val="center"/>
                </w:tcPr>
                <w:p w14:paraId="5DFE4B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划分标准</w:t>
                  </w:r>
                </w:p>
              </w:tc>
            </w:tr>
            <w:tr w14:paraId="024D96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blHeader/>
                <w:jc w:val="center"/>
              </w:trPr>
              <w:tc>
                <w:tcPr>
                  <w:tcW w:w="528" w:type="pct"/>
                  <w:shd w:val="clear" w:color="auto" w:fill="auto"/>
                  <w:noWrap w:val="0"/>
                  <w:vAlign w:val="center"/>
                </w:tcPr>
                <w:p w14:paraId="4D5AEFA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类别编码</w:t>
                  </w:r>
                </w:p>
              </w:tc>
              <w:tc>
                <w:tcPr>
                  <w:tcW w:w="684" w:type="pct"/>
                  <w:shd w:val="clear" w:color="auto" w:fill="auto"/>
                  <w:noWrap w:val="0"/>
                  <w:vAlign w:val="center"/>
                </w:tcPr>
                <w:p w14:paraId="3DA776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类别名称</w:t>
                  </w:r>
                </w:p>
              </w:tc>
              <w:tc>
                <w:tcPr>
                  <w:tcW w:w="612" w:type="pct"/>
                  <w:shd w:val="clear" w:color="auto" w:fill="auto"/>
                  <w:noWrap w:val="0"/>
                  <w:tcMar>
                    <w:top w:w="0" w:type="dxa"/>
                    <w:left w:w="108" w:type="dxa"/>
                    <w:bottom w:w="0" w:type="dxa"/>
                    <w:right w:w="108" w:type="dxa"/>
                  </w:tcMar>
                  <w:vAlign w:val="center"/>
                </w:tcPr>
                <w:p w14:paraId="7537CA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类别编码</w:t>
                  </w:r>
                </w:p>
              </w:tc>
              <w:tc>
                <w:tcPr>
                  <w:tcW w:w="713" w:type="pct"/>
                  <w:shd w:val="clear" w:color="auto" w:fill="auto"/>
                  <w:noWrap w:val="0"/>
                  <w:tcMar>
                    <w:top w:w="0" w:type="dxa"/>
                    <w:left w:w="108" w:type="dxa"/>
                    <w:bottom w:w="0" w:type="dxa"/>
                    <w:right w:w="108" w:type="dxa"/>
                  </w:tcMar>
                  <w:vAlign w:val="center"/>
                </w:tcPr>
                <w:p w14:paraId="7154ED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类别名称</w:t>
                  </w:r>
                </w:p>
              </w:tc>
              <w:tc>
                <w:tcPr>
                  <w:tcW w:w="2460" w:type="pct"/>
                  <w:vMerge w:val="continue"/>
                  <w:shd w:val="clear" w:color="auto" w:fill="BEBEBE"/>
                  <w:noWrap w:val="0"/>
                  <w:tcMar>
                    <w:top w:w="0" w:type="dxa"/>
                    <w:left w:w="108" w:type="dxa"/>
                    <w:bottom w:w="0" w:type="dxa"/>
                    <w:right w:w="108" w:type="dxa"/>
                  </w:tcMar>
                  <w:vAlign w:val="center"/>
                </w:tcPr>
                <w:p w14:paraId="4880A6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2BE074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670C9D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684" w:type="pct"/>
                  <w:noWrap w:val="0"/>
                  <w:vAlign w:val="center"/>
                </w:tcPr>
                <w:p w14:paraId="7F6B48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耕地</w:t>
                  </w:r>
                </w:p>
              </w:tc>
              <w:tc>
                <w:tcPr>
                  <w:tcW w:w="612" w:type="pct"/>
                  <w:noWrap w:val="0"/>
                  <w:vAlign w:val="center"/>
                </w:tcPr>
                <w:p w14:paraId="7C043B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0103</w:t>
                  </w:r>
                </w:p>
              </w:tc>
              <w:tc>
                <w:tcPr>
                  <w:tcW w:w="713" w:type="pct"/>
                  <w:noWrap w:val="0"/>
                  <w:tcMar>
                    <w:top w:w="0" w:type="dxa"/>
                    <w:left w:w="108" w:type="dxa"/>
                    <w:bottom w:w="0" w:type="dxa"/>
                    <w:right w:w="108" w:type="dxa"/>
                  </w:tcMar>
                  <w:vAlign w:val="center"/>
                </w:tcPr>
                <w:p w14:paraId="5E792A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旱地</w:t>
                  </w:r>
                </w:p>
              </w:tc>
              <w:tc>
                <w:tcPr>
                  <w:tcW w:w="2460" w:type="pct"/>
                  <w:noWrap w:val="0"/>
                  <w:tcMar>
                    <w:top w:w="0" w:type="dxa"/>
                    <w:left w:w="108" w:type="dxa"/>
                    <w:bottom w:w="0" w:type="dxa"/>
                    <w:right w:w="108" w:type="dxa"/>
                  </w:tcMar>
                  <w:vAlign w:val="center"/>
                </w:tcPr>
                <w:p w14:paraId="3B703F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指无灌溉设施，主要靠天然降水种植旱生农作物的耕地，包括没有灌溉设施，仅靠引洪淤灌的耕地</w:t>
                  </w:r>
                </w:p>
              </w:tc>
            </w:tr>
            <w:tr w14:paraId="06F56E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vMerge w:val="restart"/>
                  <w:noWrap w:val="0"/>
                  <w:vAlign w:val="center"/>
                </w:tcPr>
                <w:p w14:paraId="7A7DB7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84" w:type="pct"/>
                  <w:vMerge w:val="restart"/>
                  <w:noWrap w:val="0"/>
                  <w:vAlign w:val="center"/>
                </w:tcPr>
                <w:p w14:paraId="11FA62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林地</w:t>
                  </w:r>
                </w:p>
              </w:tc>
              <w:tc>
                <w:tcPr>
                  <w:tcW w:w="612" w:type="pct"/>
                  <w:noWrap w:val="0"/>
                  <w:vAlign w:val="center"/>
                </w:tcPr>
                <w:p w14:paraId="7B089D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0301</w:t>
                  </w:r>
                </w:p>
              </w:tc>
              <w:tc>
                <w:tcPr>
                  <w:tcW w:w="713" w:type="pct"/>
                  <w:noWrap w:val="0"/>
                  <w:tcMar>
                    <w:top w:w="0" w:type="dxa"/>
                    <w:left w:w="108" w:type="dxa"/>
                    <w:bottom w:w="0" w:type="dxa"/>
                    <w:right w:w="108" w:type="dxa"/>
                  </w:tcMar>
                  <w:vAlign w:val="center"/>
                </w:tcPr>
                <w:p w14:paraId="6D1E2C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乔木林地</w:t>
                  </w:r>
                </w:p>
              </w:tc>
              <w:tc>
                <w:tcPr>
                  <w:tcW w:w="2460" w:type="pct"/>
                  <w:noWrap w:val="0"/>
                  <w:tcMar>
                    <w:top w:w="0" w:type="dxa"/>
                    <w:left w:w="108" w:type="dxa"/>
                    <w:bottom w:w="0" w:type="dxa"/>
                    <w:right w:w="108" w:type="dxa"/>
                  </w:tcMar>
                  <w:vAlign w:val="center"/>
                </w:tcPr>
                <w:p w14:paraId="0928A6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指乔木郁闭度≥0.2的林地，不包括森林沼泽。</w:t>
                  </w:r>
                </w:p>
              </w:tc>
            </w:tr>
            <w:tr w14:paraId="250A54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vMerge w:val="continue"/>
                  <w:noWrap w:val="0"/>
                  <w:vAlign w:val="center"/>
                </w:tcPr>
                <w:p w14:paraId="08AF56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84" w:type="pct"/>
                  <w:vMerge w:val="continue"/>
                  <w:noWrap w:val="0"/>
                  <w:vAlign w:val="center"/>
                </w:tcPr>
                <w:p w14:paraId="415FFC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12" w:type="pct"/>
                  <w:noWrap w:val="0"/>
                  <w:vAlign w:val="center"/>
                </w:tcPr>
                <w:p w14:paraId="20DFB6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0305</w:t>
                  </w:r>
                </w:p>
              </w:tc>
              <w:tc>
                <w:tcPr>
                  <w:tcW w:w="713" w:type="pct"/>
                  <w:noWrap w:val="0"/>
                  <w:tcMar>
                    <w:top w:w="0" w:type="dxa"/>
                    <w:left w:w="108" w:type="dxa"/>
                    <w:bottom w:w="0" w:type="dxa"/>
                    <w:right w:w="108" w:type="dxa"/>
                  </w:tcMar>
                  <w:vAlign w:val="center"/>
                </w:tcPr>
                <w:p w14:paraId="6D472E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灌木林地</w:t>
                  </w:r>
                </w:p>
              </w:tc>
              <w:tc>
                <w:tcPr>
                  <w:tcW w:w="2460" w:type="pct"/>
                  <w:noWrap w:val="0"/>
                  <w:tcMar>
                    <w:top w:w="0" w:type="dxa"/>
                    <w:left w:w="108" w:type="dxa"/>
                    <w:bottom w:w="0" w:type="dxa"/>
                    <w:right w:w="108" w:type="dxa"/>
                  </w:tcMar>
                  <w:vAlign w:val="center"/>
                </w:tcPr>
                <w:p w14:paraId="0060CE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指灌木覆盖度≥40%的林地，不包括灌丛沼泽。</w:t>
                  </w:r>
                </w:p>
              </w:tc>
            </w:tr>
            <w:tr w14:paraId="4AF5AC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21AF15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684" w:type="pct"/>
                  <w:noWrap w:val="0"/>
                  <w:vAlign w:val="center"/>
                </w:tcPr>
                <w:p w14:paraId="0777C7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草地</w:t>
                  </w:r>
                </w:p>
              </w:tc>
              <w:tc>
                <w:tcPr>
                  <w:tcW w:w="612" w:type="pct"/>
                  <w:noWrap w:val="0"/>
                  <w:vAlign w:val="center"/>
                </w:tcPr>
                <w:p w14:paraId="4B772A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0404</w:t>
                  </w:r>
                </w:p>
              </w:tc>
              <w:tc>
                <w:tcPr>
                  <w:tcW w:w="713" w:type="pct"/>
                  <w:noWrap w:val="0"/>
                  <w:tcMar>
                    <w:top w:w="0" w:type="dxa"/>
                    <w:left w:w="108" w:type="dxa"/>
                    <w:bottom w:w="0" w:type="dxa"/>
                    <w:right w:w="108" w:type="dxa"/>
                  </w:tcMar>
                  <w:vAlign w:val="center"/>
                </w:tcPr>
                <w:p w14:paraId="153AF8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其他草地</w:t>
                  </w:r>
                </w:p>
              </w:tc>
              <w:tc>
                <w:tcPr>
                  <w:tcW w:w="2460" w:type="pct"/>
                  <w:noWrap w:val="0"/>
                  <w:tcMar>
                    <w:top w:w="0" w:type="dxa"/>
                    <w:left w:w="108" w:type="dxa"/>
                    <w:bottom w:w="0" w:type="dxa"/>
                    <w:right w:w="108" w:type="dxa"/>
                  </w:tcMar>
                  <w:vAlign w:val="center"/>
                </w:tcPr>
                <w:p w14:paraId="02CA17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指树木郁闭度＜0.1，表层为土质，不用于放牧的草地</w:t>
                  </w:r>
                </w:p>
              </w:tc>
            </w:tr>
            <w:tr w14:paraId="35B0B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098815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w:t>
                  </w:r>
                </w:p>
              </w:tc>
              <w:tc>
                <w:tcPr>
                  <w:tcW w:w="684" w:type="pct"/>
                  <w:noWrap w:val="0"/>
                  <w:vAlign w:val="center"/>
                </w:tcPr>
                <w:p w14:paraId="33B2FE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工矿仓储用地</w:t>
                  </w:r>
                </w:p>
              </w:tc>
              <w:tc>
                <w:tcPr>
                  <w:tcW w:w="612" w:type="pct"/>
                  <w:noWrap w:val="0"/>
                  <w:vAlign w:val="center"/>
                </w:tcPr>
                <w:p w14:paraId="6F82B5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0601</w:t>
                  </w:r>
                </w:p>
              </w:tc>
              <w:tc>
                <w:tcPr>
                  <w:tcW w:w="713" w:type="pct"/>
                  <w:noWrap w:val="0"/>
                  <w:tcMar>
                    <w:top w:w="0" w:type="dxa"/>
                    <w:left w:w="108" w:type="dxa"/>
                    <w:bottom w:w="0" w:type="dxa"/>
                    <w:right w:w="108" w:type="dxa"/>
                  </w:tcMar>
                  <w:vAlign w:val="center"/>
                </w:tcPr>
                <w:p w14:paraId="76E91D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工业用地</w:t>
                  </w:r>
                </w:p>
              </w:tc>
              <w:tc>
                <w:tcPr>
                  <w:tcW w:w="2460" w:type="pct"/>
                  <w:noWrap w:val="0"/>
                  <w:tcMar>
                    <w:top w:w="0" w:type="dxa"/>
                    <w:left w:w="108" w:type="dxa"/>
                    <w:bottom w:w="0" w:type="dxa"/>
                    <w:right w:w="108" w:type="dxa"/>
                  </w:tcMar>
                  <w:vAlign w:val="center"/>
                </w:tcPr>
                <w:p w14:paraId="522A63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指工业生产、产品加工制造、机械和设备修理及直接为工业生产等服务的附属设施用地</w:t>
                  </w:r>
                </w:p>
              </w:tc>
            </w:tr>
            <w:tr w14:paraId="4FCEF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49315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w:t>
                  </w:r>
                </w:p>
              </w:tc>
              <w:tc>
                <w:tcPr>
                  <w:tcW w:w="684" w:type="pct"/>
                  <w:noWrap w:val="0"/>
                  <w:vAlign w:val="center"/>
                </w:tcPr>
                <w:p w14:paraId="55AD24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住宅用地</w:t>
                  </w:r>
                </w:p>
              </w:tc>
              <w:tc>
                <w:tcPr>
                  <w:tcW w:w="612" w:type="pct"/>
                  <w:noWrap w:val="0"/>
                  <w:vAlign w:val="center"/>
                </w:tcPr>
                <w:p w14:paraId="48AA80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0702</w:t>
                  </w:r>
                </w:p>
              </w:tc>
              <w:tc>
                <w:tcPr>
                  <w:tcW w:w="713" w:type="pct"/>
                  <w:noWrap w:val="0"/>
                  <w:tcMar>
                    <w:top w:w="0" w:type="dxa"/>
                    <w:left w:w="108" w:type="dxa"/>
                    <w:bottom w:w="0" w:type="dxa"/>
                    <w:right w:w="108" w:type="dxa"/>
                  </w:tcMar>
                  <w:vAlign w:val="center"/>
                </w:tcPr>
                <w:p w14:paraId="0EC1BB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农村宅基地</w:t>
                  </w:r>
                </w:p>
              </w:tc>
              <w:tc>
                <w:tcPr>
                  <w:tcW w:w="2460" w:type="pct"/>
                  <w:noWrap w:val="0"/>
                  <w:tcMar>
                    <w:top w:w="0" w:type="dxa"/>
                    <w:left w:w="108" w:type="dxa"/>
                    <w:bottom w:w="0" w:type="dxa"/>
                    <w:right w:w="108" w:type="dxa"/>
                  </w:tcMar>
                  <w:vAlign w:val="center"/>
                </w:tcPr>
                <w:p w14:paraId="19B0B3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指农村用于生活居住的宅基地。</w:t>
                  </w:r>
                </w:p>
              </w:tc>
            </w:tr>
            <w:tr w14:paraId="2F5F30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32C1E3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84" w:type="pct"/>
                  <w:noWrap w:val="0"/>
                  <w:vAlign w:val="center"/>
                </w:tcPr>
                <w:p w14:paraId="3B784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交通运输用地</w:t>
                  </w:r>
                </w:p>
              </w:tc>
              <w:tc>
                <w:tcPr>
                  <w:tcW w:w="612" w:type="pct"/>
                  <w:noWrap w:val="0"/>
                  <w:vAlign w:val="center"/>
                </w:tcPr>
                <w:p w14:paraId="685AA7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1003</w:t>
                  </w:r>
                </w:p>
              </w:tc>
              <w:tc>
                <w:tcPr>
                  <w:tcW w:w="713" w:type="pct"/>
                  <w:noWrap w:val="0"/>
                  <w:tcMar>
                    <w:top w:w="0" w:type="dxa"/>
                    <w:left w:w="108" w:type="dxa"/>
                    <w:bottom w:w="0" w:type="dxa"/>
                    <w:right w:w="108" w:type="dxa"/>
                  </w:tcMar>
                  <w:vAlign w:val="center"/>
                </w:tcPr>
                <w:p w14:paraId="6E7B02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公路用地</w:t>
                  </w:r>
                </w:p>
              </w:tc>
              <w:tc>
                <w:tcPr>
                  <w:tcW w:w="2460" w:type="pct"/>
                  <w:noWrap w:val="0"/>
                  <w:tcMar>
                    <w:top w:w="0" w:type="dxa"/>
                    <w:left w:w="108" w:type="dxa"/>
                    <w:bottom w:w="0" w:type="dxa"/>
                    <w:right w:w="108" w:type="dxa"/>
                  </w:tcMar>
                  <w:vAlign w:val="center"/>
                </w:tcPr>
                <w:p w14:paraId="1B91A7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指用于国道、省道、县道和乡道的用地。包括设计内的路堤、路堑、道沟、桥梁、汽车停靠站、林木及直接为其服务的附属用地。</w:t>
                  </w:r>
                </w:p>
              </w:tc>
            </w:tr>
            <w:tr w14:paraId="60FF47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noWrap w:val="0"/>
                  <w:vAlign w:val="center"/>
                </w:tcPr>
                <w:p w14:paraId="1AEDC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684" w:type="pct"/>
                  <w:noWrap w:val="0"/>
                  <w:vAlign w:val="center"/>
                </w:tcPr>
                <w:p w14:paraId="5FDE4F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水域及水利设施用地</w:t>
                  </w:r>
                </w:p>
              </w:tc>
              <w:tc>
                <w:tcPr>
                  <w:tcW w:w="612" w:type="pct"/>
                  <w:noWrap w:val="0"/>
                  <w:vAlign w:val="center"/>
                </w:tcPr>
                <w:p w14:paraId="7F8C2B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1101</w:t>
                  </w:r>
                </w:p>
              </w:tc>
              <w:tc>
                <w:tcPr>
                  <w:tcW w:w="713" w:type="pct"/>
                  <w:noWrap w:val="0"/>
                  <w:tcMar>
                    <w:top w:w="0" w:type="dxa"/>
                    <w:left w:w="108" w:type="dxa"/>
                    <w:bottom w:w="0" w:type="dxa"/>
                    <w:right w:w="108" w:type="dxa"/>
                  </w:tcMar>
                  <w:vAlign w:val="center"/>
                </w:tcPr>
                <w:p w14:paraId="6F83F3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湖泊水面</w:t>
                  </w:r>
                </w:p>
              </w:tc>
              <w:tc>
                <w:tcPr>
                  <w:tcW w:w="2460" w:type="pct"/>
                  <w:noWrap w:val="0"/>
                  <w:tcMar>
                    <w:top w:w="0" w:type="dxa"/>
                    <w:left w:w="108" w:type="dxa"/>
                    <w:bottom w:w="0" w:type="dxa"/>
                    <w:right w:w="108" w:type="dxa"/>
                  </w:tcMar>
                  <w:vAlign w:val="center"/>
                </w:tcPr>
                <w:p w14:paraId="4D5287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指天然形成或人工开挖河流常水位岸线之间的水面。不包括滞洪区和已垦滩涂中的耕地、园地、林地、城镇、村庄、道路等用地</w:t>
                  </w:r>
                </w:p>
              </w:tc>
            </w:tr>
            <w:tr w14:paraId="039C8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vMerge w:val="restart"/>
                  <w:noWrap w:val="0"/>
                  <w:vAlign w:val="center"/>
                </w:tcPr>
                <w:p w14:paraId="0718B3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684" w:type="pct"/>
                  <w:vMerge w:val="restart"/>
                  <w:noWrap w:val="0"/>
                  <w:vAlign w:val="center"/>
                </w:tcPr>
                <w:p w14:paraId="66FDC2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其他土地</w:t>
                  </w:r>
                </w:p>
              </w:tc>
              <w:tc>
                <w:tcPr>
                  <w:tcW w:w="612" w:type="pct"/>
                  <w:noWrap w:val="0"/>
                  <w:vAlign w:val="center"/>
                </w:tcPr>
                <w:p w14:paraId="00A667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1207</w:t>
                  </w:r>
                </w:p>
              </w:tc>
              <w:tc>
                <w:tcPr>
                  <w:tcW w:w="713" w:type="pct"/>
                  <w:noWrap w:val="0"/>
                  <w:tcMar>
                    <w:top w:w="0" w:type="dxa"/>
                    <w:left w:w="108" w:type="dxa"/>
                    <w:bottom w:w="0" w:type="dxa"/>
                    <w:right w:w="108" w:type="dxa"/>
                  </w:tcMar>
                  <w:vAlign w:val="center"/>
                </w:tcPr>
                <w:p w14:paraId="67AD15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裸岩石砾地</w:t>
                  </w:r>
                </w:p>
              </w:tc>
              <w:tc>
                <w:tcPr>
                  <w:tcW w:w="2460" w:type="pct"/>
                  <w:noWrap w:val="0"/>
                  <w:tcMar>
                    <w:top w:w="0" w:type="dxa"/>
                    <w:left w:w="108" w:type="dxa"/>
                    <w:bottom w:w="0" w:type="dxa"/>
                    <w:right w:w="108" w:type="dxa"/>
                  </w:tcMar>
                  <w:vAlign w:val="center"/>
                </w:tcPr>
                <w:p w14:paraId="5E327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指表层为岩石或石砾，其覆盖面积≥70%的土地</w:t>
                  </w:r>
                </w:p>
              </w:tc>
            </w:tr>
            <w:tr w14:paraId="6965E7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jc w:val="center"/>
              </w:trPr>
              <w:tc>
                <w:tcPr>
                  <w:tcW w:w="528" w:type="pct"/>
                  <w:vMerge w:val="continue"/>
                  <w:noWrap w:val="0"/>
                  <w:vAlign w:val="center"/>
                </w:tcPr>
                <w:p w14:paraId="172460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84" w:type="pct"/>
                  <w:vMerge w:val="continue"/>
                  <w:noWrap w:val="0"/>
                  <w:vAlign w:val="center"/>
                </w:tcPr>
                <w:p w14:paraId="149EBB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12" w:type="pct"/>
                  <w:noWrap w:val="0"/>
                  <w:vAlign w:val="center"/>
                </w:tcPr>
                <w:p w14:paraId="68CD40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1206</w:t>
                  </w:r>
                </w:p>
              </w:tc>
              <w:tc>
                <w:tcPr>
                  <w:tcW w:w="713" w:type="pct"/>
                  <w:noWrap w:val="0"/>
                  <w:tcMar>
                    <w:top w:w="0" w:type="dxa"/>
                    <w:left w:w="108" w:type="dxa"/>
                    <w:bottom w:w="0" w:type="dxa"/>
                    <w:right w:w="108" w:type="dxa"/>
                  </w:tcMar>
                  <w:vAlign w:val="center"/>
                </w:tcPr>
                <w:p w14:paraId="5D892D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裸土地</w:t>
                  </w:r>
                </w:p>
              </w:tc>
              <w:tc>
                <w:tcPr>
                  <w:tcW w:w="2460" w:type="pct"/>
                  <w:noWrap w:val="0"/>
                  <w:tcMar>
                    <w:top w:w="0" w:type="dxa"/>
                    <w:left w:w="108" w:type="dxa"/>
                    <w:bottom w:w="0" w:type="dxa"/>
                    <w:right w:w="108" w:type="dxa"/>
                  </w:tcMar>
                  <w:vAlign w:val="center"/>
                </w:tcPr>
                <w:p w14:paraId="0B5F94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指表层为土质，基本无植被覆盖的土地</w:t>
                  </w:r>
                </w:p>
              </w:tc>
            </w:tr>
          </w:tbl>
          <w:p w14:paraId="35F4CB2F">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（4）项目调查区域</w:t>
            </w:r>
            <w:r>
              <w:rPr>
                <w:rFonts w:hint="default" w:ascii="Times New Roman" w:hAnsi="Times New Roman" w:eastAsia="宋体" w:cs="Times New Roman"/>
                <w:color w:val="auto"/>
                <w:sz w:val="24"/>
                <w:highlight w:val="none"/>
                <w:lang w:eastAsia="zh-CN"/>
              </w:rPr>
              <w:t>土地利用现状调查与评价</w:t>
            </w:r>
          </w:p>
          <w:p w14:paraId="71D3B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由遥感解译分析及面积统计及分析结果可知，</w:t>
            </w:r>
            <w:r>
              <w:rPr>
                <w:rFonts w:hint="default" w:ascii="Times New Roman" w:hAnsi="Times New Roman" w:eastAsia="宋体" w:cs="Times New Roman"/>
                <w:color w:val="auto"/>
                <w:sz w:val="24"/>
                <w:highlight w:val="none"/>
                <w:lang w:val="en-US" w:eastAsia="zh-CN"/>
              </w:rPr>
              <w:t>生态调查范围</w:t>
            </w:r>
            <w:r>
              <w:rPr>
                <w:rFonts w:hint="default" w:ascii="Times New Roman" w:hAnsi="Times New Roman" w:eastAsia="宋体" w:cs="Times New Roman"/>
                <w:color w:val="auto"/>
                <w:sz w:val="24"/>
                <w:highlight w:val="none"/>
              </w:rPr>
              <w:t>各类土地利用类型总面积为</w:t>
            </w:r>
            <w:r>
              <w:rPr>
                <w:rFonts w:hint="eastAsia" w:cs="Times New Roman"/>
                <w:color w:val="auto"/>
                <w:sz w:val="24"/>
                <w:highlight w:val="none"/>
                <w:lang w:val="en-US" w:eastAsia="zh-CN"/>
              </w:rPr>
              <w:t>1.8679</w:t>
            </w:r>
            <w:r>
              <w:rPr>
                <w:rFonts w:hint="default" w:ascii="Times New Roman" w:hAnsi="Times New Roman" w:eastAsia="宋体" w:cs="Times New Roman"/>
                <w:color w:val="auto"/>
                <w:sz w:val="24"/>
                <w:highlight w:val="none"/>
              </w:rPr>
              <w:t>km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。按照《土地利用现状分类标准（GBT21010-2017）》中的</w:t>
            </w:r>
            <w:r>
              <w:rPr>
                <w:rFonts w:hint="default"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rPr>
              <w:t>级地类进行</w:t>
            </w:r>
            <w:r>
              <w:rPr>
                <w:rFonts w:hint="default" w:ascii="Times New Roman" w:hAnsi="Times New Roman" w:eastAsia="宋体" w:cs="Times New Roman"/>
                <w:color w:val="auto"/>
                <w:sz w:val="24"/>
                <w:highlight w:val="none"/>
                <w:lang w:val="en-US" w:eastAsia="zh-CN"/>
              </w:rPr>
              <w:t>地类划分，将生态调查范围内的土地利用类型划分为耕地、林地、草地、工矿仓储用地、住宅用地、交通运输用地、水域及水利设施用地、其他土地共计8个一级地类型。项目区土地利用类型及面积见表3-</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。土地利用现状见附图</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14:paraId="7C766241">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p>
          <w:p w14:paraId="54654EE5">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p>
          <w:p w14:paraId="6814CCB0">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3-</w:t>
            </w:r>
            <w:r>
              <w:rPr>
                <w:rFonts w:hint="eastAsia" w:ascii="Times New Roman" w:hAnsi="Times New Roman" w:eastAsia="宋体"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调查</w:t>
            </w:r>
            <w:r>
              <w:rPr>
                <w:rFonts w:hint="default" w:ascii="Times New Roman" w:hAnsi="Times New Roman" w:eastAsia="宋体" w:cs="Times New Roman"/>
                <w:b/>
                <w:bCs w:val="0"/>
                <w:color w:val="auto"/>
                <w:sz w:val="24"/>
                <w:szCs w:val="24"/>
                <w:highlight w:val="none"/>
              </w:rPr>
              <w:t>范围内土地利用类型及面积统计表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526"/>
              <w:gridCol w:w="636"/>
              <w:gridCol w:w="1476"/>
              <w:gridCol w:w="1566"/>
              <w:gridCol w:w="1854"/>
            </w:tblGrid>
            <w:tr w14:paraId="2A2C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2" w:type="pct"/>
                  <w:gridSpan w:val="2"/>
                  <w:tcBorders>
                    <w:tl2br w:val="nil"/>
                    <w:tr2bl w:val="nil"/>
                  </w:tcBorders>
                  <w:noWrap/>
                  <w:vAlign w:val="center"/>
                </w:tcPr>
                <w:p w14:paraId="09DE98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一级地类</w:t>
                  </w:r>
                </w:p>
              </w:tc>
              <w:tc>
                <w:tcPr>
                  <w:tcW w:w="1384" w:type="pct"/>
                  <w:gridSpan w:val="2"/>
                  <w:tcBorders>
                    <w:tl2br w:val="nil"/>
                    <w:tr2bl w:val="nil"/>
                  </w:tcBorders>
                  <w:noWrap/>
                  <w:vAlign w:val="center"/>
                </w:tcPr>
                <w:p w14:paraId="05B2D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二级地类</w:t>
                  </w:r>
                </w:p>
              </w:tc>
              <w:tc>
                <w:tcPr>
                  <w:tcW w:w="1181" w:type="pct"/>
                  <w:vMerge w:val="restart"/>
                  <w:tcBorders>
                    <w:tl2br w:val="nil"/>
                    <w:tr2bl w:val="nil"/>
                  </w:tcBorders>
                  <w:noWrap/>
                  <w:vAlign w:val="center"/>
                </w:tcPr>
                <w:p w14:paraId="76ACC4EA">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hAnsi="宋体"/>
                      <w:kern w:val="0"/>
                      <w:szCs w:val="21"/>
                    </w:rPr>
                    <w:t>面积（</w:t>
                  </w:r>
                  <w:r>
                    <w:rPr>
                      <w:rFonts w:hint="eastAsia"/>
                      <w:kern w:val="0"/>
                      <w:szCs w:val="21"/>
                      <w:lang w:val="en-US" w:eastAsia="zh-CN"/>
                    </w:rPr>
                    <w:t>h</w:t>
                  </w:r>
                  <w:r>
                    <w:rPr>
                      <w:rFonts w:hint="default"/>
                      <w:kern w:val="0"/>
                      <w:szCs w:val="21"/>
                    </w:rPr>
                    <w:t>m</w:t>
                  </w:r>
                  <w:r>
                    <w:rPr>
                      <w:rFonts w:hint="default"/>
                      <w:kern w:val="0"/>
                      <w:szCs w:val="21"/>
                      <w:vertAlign w:val="superscript"/>
                    </w:rPr>
                    <w:t>2</w:t>
                  </w:r>
                  <w:r>
                    <w:rPr>
                      <w:rFonts w:hint="default" w:hAnsi="宋体"/>
                      <w:kern w:val="0"/>
                      <w:szCs w:val="21"/>
                    </w:rPr>
                    <w:t>）</w:t>
                  </w:r>
                </w:p>
              </w:tc>
              <w:tc>
                <w:tcPr>
                  <w:tcW w:w="1181" w:type="pct"/>
                  <w:vMerge w:val="restart"/>
                  <w:tcBorders>
                    <w:tl2br w:val="nil"/>
                    <w:tr2bl w:val="nil"/>
                  </w:tcBorders>
                  <w:noWrap/>
                  <w:vAlign w:val="center"/>
                </w:tcPr>
                <w:p w14:paraId="15DD9726">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hAnsi="宋体"/>
                      <w:kern w:val="0"/>
                      <w:szCs w:val="21"/>
                      <w:lang w:val="en-US" w:eastAsia="zh-CN"/>
                    </w:rPr>
                    <w:t>占比（%）</w:t>
                  </w:r>
                </w:p>
              </w:tc>
            </w:tr>
            <w:tr w14:paraId="667B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tcBorders>
                    <w:tl2br w:val="nil"/>
                    <w:tr2bl w:val="nil"/>
                  </w:tcBorders>
                  <w:noWrap/>
                  <w:vAlign w:val="center"/>
                </w:tcPr>
                <w:p w14:paraId="246D4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编码</w:t>
                  </w:r>
                </w:p>
              </w:tc>
              <w:tc>
                <w:tcPr>
                  <w:tcW w:w="879" w:type="pct"/>
                  <w:tcBorders>
                    <w:tl2br w:val="nil"/>
                    <w:tr2bl w:val="nil"/>
                  </w:tcBorders>
                  <w:noWrap/>
                  <w:vAlign w:val="center"/>
                </w:tcPr>
                <w:p w14:paraId="1339A9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名称</w:t>
                  </w:r>
                </w:p>
              </w:tc>
              <w:tc>
                <w:tcPr>
                  <w:tcW w:w="448" w:type="pct"/>
                  <w:tcBorders>
                    <w:tl2br w:val="nil"/>
                    <w:tr2bl w:val="nil"/>
                  </w:tcBorders>
                  <w:noWrap/>
                  <w:vAlign w:val="center"/>
                </w:tcPr>
                <w:p w14:paraId="0C70E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编码</w:t>
                  </w:r>
                </w:p>
              </w:tc>
              <w:tc>
                <w:tcPr>
                  <w:tcW w:w="936" w:type="pct"/>
                  <w:tcBorders>
                    <w:tl2br w:val="nil"/>
                    <w:tr2bl w:val="nil"/>
                  </w:tcBorders>
                  <w:noWrap/>
                  <w:vAlign w:val="center"/>
                </w:tcPr>
                <w:p w14:paraId="36622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名称</w:t>
                  </w:r>
                </w:p>
              </w:tc>
              <w:tc>
                <w:tcPr>
                  <w:tcW w:w="1181" w:type="pct"/>
                  <w:vMerge w:val="continue"/>
                  <w:tcBorders>
                    <w:tl2br w:val="nil"/>
                    <w:tr2bl w:val="nil"/>
                  </w:tcBorders>
                  <w:noWrap/>
                  <w:vAlign w:val="center"/>
                </w:tcPr>
                <w:p w14:paraId="6FC3B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1" w:type="pct"/>
                  <w:vMerge w:val="continue"/>
                  <w:tcBorders>
                    <w:tl2br w:val="nil"/>
                    <w:tr2bl w:val="nil"/>
                  </w:tcBorders>
                  <w:noWrap/>
                  <w:vAlign w:val="center"/>
                </w:tcPr>
                <w:p w14:paraId="7D748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115B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tcBorders>
                    <w:tl2br w:val="nil"/>
                    <w:tr2bl w:val="nil"/>
                  </w:tcBorders>
                  <w:noWrap/>
                  <w:vAlign w:val="center"/>
                </w:tcPr>
                <w:p w14:paraId="7D4DE3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9" w:type="pct"/>
                  <w:tcBorders>
                    <w:tl2br w:val="nil"/>
                    <w:tr2bl w:val="nil"/>
                  </w:tcBorders>
                  <w:noWrap/>
                  <w:vAlign w:val="center"/>
                </w:tcPr>
                <w:p w14:paraId="3DC70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耕地</w:t>
                  </w:r>
                </w:p>
              </w:tc>
              <w:tc>
                <w:tcPr>
                  <w:tcW w:w="448" w:type="pct"/>
                  <w:tcBorders>
                    <w:tl2br w:val="nil"/>
                    <w:tr2bl w:val="nil"/>
                  </w:tcBorders>
                  <w:noWrap/>
                  <w:vAlign w:val="center"/>
                </w:tcPr>
                <w:p w14:paraId="63136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102</w:t>
                  </w:r>
                </w:p>
              </w:tc>
              <w:tc>
                <w:tcPr>
                  <w:tcW w:w="936" w:type="pct"/>
                  <w:tcBorders>
                    <w:tl2br w:val="nil"/>
                    <w:tr2bl w:val="nil"/>
                  </w:tcBorders>
                  <w:noWrap/>
                  <w:vAlign w:val="center"/>
                </w:tcPr>
                <w:p w14:paraId="614C0E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水浇地</w:t>
                  </w:r>
                </w:p>
              </w:tc>
              <w:tc>
                <w:tcPr>
                  <w:tcW w:w="1181" w:type="pct"/>
                  <w:tcBorders>
                    <w:tl2br w:val="nil"/>
                    <w:tr2bl w:val="nil"/>
                  </w:tcBorders>
                  <w:noWrap/>
                  <w:vAlign w:val="center"/>
                </w:tcPr>
                <w:p w14:paraId="5B0151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50.74</w:t>
                  </w:r>
                </w:p>
              </w:tc>
              <w:tc>
                <w:tcPr>
                  <w:tcW w:w="1181" w:type="pct"/>
                  <w:tcBorders>
                    <w:tl2br w:val="nil"/>
                    <w:tr2bl w:val="nil"/>
                  </w:tcBorders>
                  <w:noWrap/>
                  <w:vAlign w:val="center"/>
                </w:tcPr>
                <w:p w14:paraId="5E2C0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27.17</w:t>
                  </w:r>
                </w:p>
              </w:tc>
            </w:tr>
            <w:tr w14:paraId="11CC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tcBorders>
                    <w:tl2br w:val="nil"/>
                    <w:tr2bl w:val="nil"/>
                  </w:tcBorders>
                  <w:noWrap/>
                  <w:vAlign w:val="center"/>
                </w:tcPr>
                <w:p w14:paraId="03C93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79" w:type="pct"/>
                  <w:tcBorders>
                    <w:tl2br w:val="nil"/>
                    <w:tr2bl w:val="nil"/>
                  </w:tcBorders>
                  <w:noWrap/>
                  <w:vAlign w:val="center"/>
                </w:tcPr>
                <w:p w14:paraId="03E43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草地</w:t>
                  </w:r>
                </w:p>
              </w:tc>
              <w:tc>
                <w:tcPr>
                  <w:tcW w:w="448" w:type="pct"/>
                  <w:tcBorders>
                    <w:tl2br w:val="nil"/>
                    <w:tr2bl w:val="nil"/>
                  </w:tcBorders>
                  <w:noWrap/>
                  <w:vAlign w:val="center"/>
                </w:tcPr>
                <w:p w14:paraId="1693D7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404</w:t>
                  </w:r>
                </w:p>
              </w:tc>
              <w:tc>
                <w:tcPr>
                  <w:tcW w:w="936" w:type="pct"/>
                  <w:tcBorders>
                    <w:tl2br w:val="nil"/>
                    <w:tr2bl w:val="nil"/>
                  </w:tcBorders>
                  <w:noWrap/>
                  <w:vAlign w:val="center"/>
                </w:tcPr>
                <w:p w14:paraId="2925F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其他草地</w:t>
                  </w:r>
                </w:p>
              </w:tc>
              <w:tc>
                <w:tcPr>
                  <w:tcW w:w="1181" w:type="pct"/>
                  <w:tcBorders>
                    <w:tl2br w:val="nil"/>
                    <w:tr2bl w:val="nil"/>
                  </w:tcBorders>
                  <w:noWrap/>
                  <w:vAlign w:val="center"/>
                </w:tcPr>
                <w:p w14:paraId="4C65D3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66.62</w:t>
                  </w:r>
                </w:p>
              </w:tc>
              <w:tc>
                <w:tcPr>
                  <w:tcW w:w="1181" w:type="pct"/>
                  <w:tcBorders>
                    <w:tl2br w:val="nil"/>
                    <w:tr2bl w:val="nil"/>
                  </w:tcBorders>
                  <w:noWrap/>
                  <w:vAlign w:val="center"/>
                </w:tcPr>
                <w:p w14:paraId="51A816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35.67</w:t>
                  </w:r>
                </w:p>
              </w:tc>
            </w:tr>
            <w:tr w14:paraId="17DF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tcBorders>
                    <w:tl2br w:val="nil"/>
                    <w:tr2bl w:val="nil"/>
                  </w:tcBorders>
                  <w:noWrap/>
                  <w:vAlign w:val="center"/>
                </w:tcPr>
                <w:p w14:paraId="4C685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79" w:type="pct"/>
                  <w:tcBorders>
                    <w:tl2br w:val="nil"/>
                    <w:tr2bl w:val="nil"/>
                  </w:tcBorders>
                  <w:noWrap/>
                  <w:vAlign w:val="center"/>
                </w:tcPr>
                <w:p w14:paraId="4BD32C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工矿仓储用地</w:t>
                  </w:r>
                </w:p>
              </w:tc>
              <w:tc>
                <w:tcPr>
                  <w:tcW w:w="448" w:type="pct"/>
                  <w:tcBorders>
                    <w:tl2br w:val="nil"/>
                    <w:tr2bl w:val="nil"/>
                  </w:tcBorders>
                  <w:noWrap/>
                  <w:vAlign w:val="center"/>
                </w:tcPr>
                <w:p w14:paraId="5D1C7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601</w:t>
                  </w:r>
                </w:p>
              </w:tc>
              <w:tc>
                <w:tcPr>
                  <w:tcW w:w="936" w:type="pct"/>
                  <w:tcBorders>
                    <w:tl2br w:val="nil"/>
                    <w:tr2bl w:val="nil"/>
                  </w:tcBorders>
                  <w:noWrap/>
                  <w:vAlign w:val="center"/>
                </w:tcPr>
                <w:p w14:paraId="18D56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c>
                <w:tcPr>
                  <w:tcW w:w="1181" w:type="pct"/>
                  <w:tcBorders>
                    <w:tl2br w:val="nil"/>
                    <w:tr2bl w:val="nil"/>
                  </w:tcBorders>
                  <w:noWrap/>
                  <w:vAlign w:val="center"/>
                </w:tcPr>
                <w:p w14:paraId="1E447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24.99</w:t>
                  </w:r>
                </w:p>
              </w:tc>
              <w:tc>
                <w:tcPr>
                  <w:tcW w:w="1181" w:type="pct"/>
                  <w:tcBorders>
                    <w:tl2br w:val="nil"/>
                    <w:tr2bl w:val="nil"/>
                  </w:tcBorders>
                  <w:noWrap/>
                  <w:vAlign w:val="center"/>
                </w:tcPr>
                <w:p w14:paraId="67761D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13.38</w:t>
                  </w:r>
                </w:p>
              </w:tc>
            </w:tr>
            <w:tr w14:paraId="7D1B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vMerge w:val="restart"/>
                  <w:tcBorders>
                    <w:tl2br w:val="nil"/>
                    <w:tr2bl w:val="nil"/>
                  </w:tcBorders>
                  <w:noWrap/>
                  <w:vAlign w:val="center"/>
                </w:tcPr>
                <w:p w14:paraId="0F273B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79" w:type="pct"/>
                  <w:vMerge w:val="restart"/>
                  <w:tcBorders>
                    <w:tl2br w:val="nil"/>
                    <w:tr2bl w:val="nil"/>
                  </w:tcBorders>
                  <w:noWrap/>
                  <w:vAlign w:val="center"/>
                </w:tcPr>
                <w:p w14:paraId="17D7F7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公共管理与公共服务用地</w:t>
                  </w:r>
                </w:p>
              </w:tc>
              <w:tc>
                <w:tcPr>
                  <w:tcW w:w="448" w:type="pct"/>
                  <w:tcBorders>
                    <w:tl2br w:val="nil"/>
                    <w:tr2bl w:val="nil"/>
                  </w:tcBorders>
                  <w:noWrap/>
                  <w:vAlign w:val="center"/>
                </w:tcPr>
                <w:p w14:paraId="4F6863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809</w:t>
                  </w:r>
                </w:p>
              </w:tc>
              <w:tc>
                <w:tcPr>
                  <w:tcW w:w="936" w:type="pct"/>
                  <w:tcBorders>
                    <w:tl2br w:val="nil"/>
                    <w:tr2bl w:val="nil"/>
                  </w:tcBorders>
                  <w:noWrap/>
                  <w:vAlign w:val="center"/>
                </w:tcPr>
                <w:p w14:paraId="07629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公用设施用地</w:t>
                  </w:r>
                </w:p>
              </w:tc>
              <w:tc>
                <w:tcPr>
                  <w:tcW w:w="1181" w:type="pct"/>
                  <w:tcBorders>
                    <w:tl2br w:val="nil"/>
                    <w:tr2bl w:val="nil"/>
                  </w:tcBorders>
                  <w:noWrap/>
                  <w:vAlign w:val="center"/>
                </w:tcPr>
                <w:p w14:paraId="2CA15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0.98</w:t>
                  </w:r>
                </w:p>
              </w:tc>
              <w:tc>
                <w:tcPr>
                  <w:tcW w:w="1181" w:type="pct"/>
                  <w:tcBorders>
                    <w:tl2br w:val="nil"/>
                    <w:tr2bl w:val="nil"/>
                  </w:tcBorders>
                  <w:noWrap/>
                  <w:vAlign w:val="center"/>
                </w:tcPr>
                <w:p w14:paraId="13668A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0.52</w:t>
                  </w:r>
                </w:p>
              </w:tc>
            </w:tr>
            <w:tr w14:paraId="4587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vMerge w:val="continue"/>
                  <w:tcBorders>
                    <w:tl2br w:val="nil"/>
                    <w:tr2bl w:val="nil"/>
                  </w:tcBorders>
                  <w:noWrap/>
                  <w:vAlign w:val="center"/>
                </w:tcPr>
                <w:p w14:paraId="7D7AC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c>
                <w:tcPr>
                  <w:tcW w:w="879" w:type="pct"/>
                  <w:vMerge w:val="continue"/>
                  <w:tcBorders>
                    <w:tl2br w:val="nil"/>
                    <w:tr2bl w:val="nil"/>
                  </w:tcBorders>
                  <w:noWrap/>
                  <w:vAlign w:val="center"/>
                </w:tcPr>
                <w:p w14:paraId="06DA4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c>
                <w:tcPr>
                  <w:tcW w:w="448" w:type="pct"/>
                  <w:tcBorders>
                    <w:tl2br w:val="nil"/>
                    <w:tr2bl w:val="nil"/>
                  </w:tcBorders>
                  <w:noWrap/>
                  <w:vAlign w:val="center"/>
                </w:tcPr>
                <w:p w14:paraId="7C2C6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810</w:t>
                  </w:r>
                </w:p>
              </w:tc>
              <w:tc>
                <w:tcPr>
                  <w:tcW w:w="936" w:type="pct"/>
                  <w:tcBorders>
                    <w:tl2br w:val="nil"/>
                    <w:tr2bl w:val="nil"/>
                  </w:tcBorders>
                  <w:noWrap/>
                  <w:vAlign w:val="center"/>
                </w:tcPr>
                <w:p w14:paraId="7C8B1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公园与绿地</w:t>
                  </w:r>
                </w:p>
              </w:tc>
              <w:tc>
                <w:tcPr>
                  <w:tcW w:w="1181" w:type="pct"/>
                  <w:tcBorders>
                    <w:tl2br w:val="nil"/>
                    <w:tr2bl w:val="nil"/>
                  </w:tcBorders>
                  <w:noWrap/>
                  <w:vAlign w:val="center"/>
                </w:tcPr>
                <w:p w14:paraId="2FBE57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24.23</w:t>
                  </w:r>
                </w:p>
              </w:tc>
              <w:tc>
                <w:tcPr>
                  <w:tcW w:w="1181" w:type="pct"/>
                  <w:tcBorders>
                    <w:tl2br w:val="nil"/>
                    <w:tr2bl w:val="nil"/>
                  </w:tcBorders>
                  <w:noWrap/>
                  <w:vAlign w:val="center"/>
                </w:tcPr>
                <w:p w14:paraId="5D632D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12.97</w:t>
                  </w:r>
                </w:p>
              </w:tc>
            </w:tr>
            <w:tr w14:paraId="5910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vMerge w:val="restart"/>
                  <w:tcBorders>
                    <w:tl2br w:val="nil"/>
                    <w:tr2bl w:val="nil"/>
                  </w:tcBorders>
                  <w:noWrap/>
                  <w:vAlign w:val="center"/>
                </w:tcPr>
                <w:p w14:paraId="320F4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79" w:type="pct"/>
                  <w:vMerge w:val="restart"/>
                  <w:tcBorders>
                    <w:tl2br w:val="nil"/>
                    <w:tr2bl w:val="nil"/>
                  </w:tcBorders>
                  <w:noWrap/>
                  <w:vAlign w:val="center"/>
                </w:tcPr>
                <w:p w14:paraId="3BD259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交通运输用地</w:t>
                  </w:r>
                </w:p>
              </w:tc>
              <w:tc>
                <w:tcPr>
                  <w:tcW w:w="448" w:type="pct"/>
                  <w:tcBorders>
                    <w:tl2br w:val="nil"/>
                    <w:tr2bl w:val="nil"/>
                  </w:tcBorders>
                  <w:noWrap/>
                  <w:vAlign w:val="center"/>
                </w:tcPr>
                <w:p w14:paraId="56412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1001</w:t>
                  </w:r>
                </w:p>
              </w:tc>
              <w:tc>
                <w:tcPr>
                  <w:tcW w:w="936" w:type="pct"/>
                  <w:tcBorders>
                    <w:tl2br w:val="nil"/>
                    <w:tr2bl w:val="nil"/>
                  </w:tcBorders>
                  <w:noWrap/>
                  <w:vAlign w:val="center"/>
                </w:tcPr>
                <w:p w14:paraId="393F48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铁路用地</w:t>
                  </w:r>
                </w:p>
              </w:tc>
              <w:tc>
                <w:tcPr>
                  <w:tcW w:w="1181" w:type="pct"/>
                  <w:tcBorders>
                    <w:tl2br w:val="nil"/>
                    <w:tr2bl w:val="nil"/>
                  </w:tcBorders>
                  <w:noWrap/>
                  <w:vAlign w:val="center"/>
                </w:tcPr>
                <w:p w14:paraId="551D5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6.14</w:t>
                  </w:r>
                </w:p>
              </w:tc>
              <w:tc>
                <w:tcPr>
                  <w:tcW w:w="1181" w:type="pct"/>
                  <w:tcBorders>
                    <w:tl2br w:val="nil"/>
                    <w:tr2bl w:val="nil"/>
                  </w:tcBorders>
                  <w:noWrap/>
                  <w:vAlign w:val="center"/>
                </w:tcPr>
                <w:p w14:paraId="3E96A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3.28</w:t>
                  </w:r>
                </w:p>
              </w:tc>
            </w:tr>
            <w:tr w14:paraId="4FF9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vMerge w:val="continue"/>
                  <w:tcBorders>
                    <w:tl2br w:val="nil"/>
                    <w:tr2bl w:val="nil"/>
                  </w:tcBorders>
                  <w:noWrap/>
                  <w:vAlign w:val="center"/>
                </w:tcPr>
                <w:p w14:paraId="7AD67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c>
                <w:tcPr>
                  <w:tcW w:w="879" w:type="pct"/>
                  <w:vMerge w:val="continue"/>
                  <w:tcBorders>
                    <w:tl2br w:val="nil"/>
                    <w:tr2bl w:val="nil"/>
                  </w:tcBorders>
                  <w:noWrap/>
                  <w:vAlign w:val="center"/>
                </w:tcPr>
                <w:p w14:paraId="0CE5D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p>
              </w:tc>
              <w:tc>
                <w:tcPr>
                  <w:tcW w:w="448" w:type="pct"/>
                  <w:tcBorders>
                    <w:tl2br w:val="nil"/>
                    <w:tr2bl w:val="nil"/>
                  </w:tcBorders>
                  <w:noWrap/>
                  <w:vAlign w:val="center"/>
                </w:tcPr>
                <w:p w14:paraId="57491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1003</w:t>
                  </w:r>
                </w:p>
              </w:tc>
              <w:tc>
                <w:tcPr>
                  <w:tcW w:w="936" w:type="pct"/>
                  <w:tcBorders>
                    <w:tl2br w:val="nil"/>
                    <w:tr2bl w:val="nil"/>
                  </w:tcBorders>
                  <w:noWrap/>
                  <w:vAlign w:val="center"/>
                </w:tcPr>
                <w:p w14:paraId="2ED070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公路用地</w:t>
                  </w:r>
                </w:p>
              </w:tc>
              <w:tc>
                <w:tcPr>
                  <w:tcW w:w="1181" w:type="pct"/>
                  <w:tcBorders>
                    <w:tl2br w:val="nil"/>
                    <w:tr2bl w:val="nil"/>
                  </w:tcBorders>
                  <w:noWrap/>
                  <w:vAlign w:val="center"/>
                </w:tcPr>
                <w:p w14:paraId="45732B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11.52</w:t>
                  </w:r>
                </w:p>
              </w:tc>
              <w:tc>
                <w:tcPr>
                  <w:tcW w:w="1181" w:type="pct"/>
                  <w:tcBorders>
                    <w:tl2br w:val="nil"/>
                    <w:tr2bl w:val="nil"/>
                  </w:tcBorders>
                  <w:noWrap/>
                  <w:vAlign w:val="center"/>
                </w:tcPr>
                <w:p w14:paraId="56F00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6.17</w:t>
                  </w:r>
                </w:p>
              </w:tc>
            </w:tr>
            <w:tr w14:paraId="46BC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3" w:type="pct"/>
                  <w:tcBorders>
                    <w:tl2br w:val="nil"/>
                    <w:tr2bl w:val="nil"/>
                  </w:tcBorders>
                  <w:noWrap/>
                  <w:vAlign w:val="center"/>
                </w:tcPr>
                <w:p w14:paraId="088E8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79" w:type="pct"/>
                  <w:tcBorders>
                    <w:tl2br w:val="nil"/>
                    <w:tr2bl w:val="nil"/>
                  </w:tcBorders>
                  <w:noWrap/>
                  <w:vAlign w:val="center"/>
                </w:tcPr>
                <w:p w14:paraId="30D6DB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其他土地</w:t>
                  </w:r>
                </w:p>
              </w:tc>
              <w:tc>
                <w:tcPr>
                  <w:tcW w:w="448" w:type="pct"/>
                  <w:tcBorders>
                    <w:tl2br w:val="nil"/>
                    <w:tr2bl w:val="nil"/>
                  </w:tcBorders>
                  <w:noWrap/>
                  <w:vAlign w:val="center"/>
                </w:tcPr>
                <w:p w14:paraId="0CAAF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1201</w:t>
                  </w:r>
                </w:p>
              </w:tc>
              <w:tc>
                <w:tcPr>
                  <w:tcW w:w="936" w:type="pct"/>
                  <w:tcBorders>
                    <w:tl2br w:val="nil"/>
                    <w:tr2bl w:val="nil"/>
                  </w:tcBorders>
                  <w:noWrap/>
                  <w:vAlign w:val="center"/>
                </w:tcPr>
                <w:p w14:paraId="24F4D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空闲地</w:t>
                  </w:r>
                </w:p>
              </w:tc>
              <w:tc>
                <w:tcPr>
                  <w:tcW w:w="1181" w:type="pct"/>
                  <w:tcBorders>
                    <w:tl2br w:val="nil"/>
                    <w:tr2bl w:val="nil"/>
                  </w:tcBorders>
                  <w:noWrap/>
                  <w:vAlign w:val="center"/>
                </w:tcPr>
                <w:p w14:paraId="0ADED7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181" w:type="pct"/>
                  <w:tcBorders>
                    <w:tl2br w:val="nil"/>
                    <w:tr2bl w:val="nil"/>
                  </w:tcBorders>
                  <w:noWrap/>
                  <w:vAlign w:val="center"/>
                </w:tcPr>
                <w:p w14:paraId="3A411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0.84</w:t>
                  </w:r>
                </w:p>
              </w:tc>
            </w:tr>
            <w:tr w14:paraId="0367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37" w:type="pct"/>
                  <w:gridSpan w:val="4"/>
                  <w:tcBorders>
                    <w:tl2br w:val="nil"/>
                    <w:tr2bl w:val="nil"/>
                  </w:tcBorders>
                  <w:noWrap/>
                  <w:vAlign w:val="center"/>
                </w:tcPr>
                <w:p w14:paraId="23CAD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合计</w:t>
                  </w:r>
                </w:p>
              </w:tc>
              <w:tc>
                <w:tcPr>
                  <w:tcW w:w="1181" w:type="pct"/>
                  <w:tcBorders>
                    <w:tl2br w:val="nil"/>
                    <w:tr2bl w:val="nil"/>
                  </w:tcBorders>
                  <w:noWrap/>
                  <w:vAlign w:val="center"/>
                </w:tcPr>
                <w:p w14:paraId="4B6C6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186.79</w:t>
                  </w:r>
                </w:p>
              </w:tc>
              <w:tc>
                <w:tcPr>
                  <w:tcW w:w="1181" w:type="pct"/>
                  <w:tcBorders>
                    <w:tl2br w:val="nil"/>
                    <w:tr2bl w:val="nil"/>
                  </w:tcBorders>
                  <w:noWrap/>
                  <w:vAlign w:val="center"/>
                </w:tcPr>
                <w:p w14:paraId="4B406F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14:paraId="4AA8D99E">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sz w:val="24"/>
                <w:highlight w:val="none"/>
                <w:lang w:val="en-US" w:eastAsia="zh-CN"/>
              </w:rPr>
              <w:t>由表3-3可知，评价区内</w:t>
            </w:r>
            <w:r>
              <w:rPr>
                <w:rFonts w:hint="default" w:ascii="Times New Roman" w:hAnsi="Times New Roman" w:eastAsia="宋体" w:cs="Times New Roman"/>
                <w:sz w:val="24"/>
                <w:szCs w:val="24"/>
              </w:rPr>
              <w:t>土地利用以耕地和草地为主，其中其他草地66.62hm²、占比35.67%，水浇地50.74hm²、占比27.17%，二者合计超62%；工矿仓储、公共服务、交通用地为重要的建设用地类型，工业用地（24.99hm²</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13.38%）、公园与绿地（24.23hm²，12.97%）占比居前，铁路、公路用地分别为3.28%、6.17%，公用设施用地（0.52%）和空闲地（0.84%）占比极小。</w:t>
            </w:r>
          </w:p>
          <w:p w14:paraId="3004B444">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en-US" w:eastAsia="zh-CN"/>
              </w:rPr>
              <w:t>（5）项目调查区植被覆盖度现状评价</w:t>
            </w:r>
          </w:p>
          <w:p w14:paraId="4BAAC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采用基于NDVI的像元二分模型法反演植被覆盖度。根据象元二分模型原理，可以将每个象元的NDVI值表示为植被覆盖部分和无植被覆盖部分组成的形式，用公式可表示为：</w:t>
            </w:r>
          </w:p>
          <w:p w14:paraId="762EC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NDVI=NDVI</w:t>
            </w:r>
            <w:r>
              <w:rPr>
                <w:rFonts w:hint="default" w:ascii="Times New Roman" w:hAnsi="Times New Roman" w:eastAsia="宋体" w:cs="Times New Roman"/>
                <w:color w:val="auto"/>
                <w:sz w:val="24"/>
                <w:highlight w:val="none"/>
                <w:vertAlign w:val="subscript"/>
                <w:lang w:val="en-US" w:eastAsia="zh-CN"/>
              </w:rPr>
              <w:t>veg</w:t>
            </w:r>
            <w:r>
              <w:rPr>
                <w:rFonts w:hint="default" w:ascii="Times New Roman" w:hAnsi="Times New Roman" w:eastAsia="宋体" w:cs="Times New Roman"/>
                <w:color w:val="auto"/>
                <w:sz w:val="24"/>
                <w:highlight w:val="none"/>
                <w:lang w:val="en-US" w:eastAsia="zh-CN"/>
              </w:rPr>
              <w:t>×f</w:t>
            </w:r>
            <w:r>
              <w:rPr>
                <w:rFonts w:hint="default" w:ascii="Times New Roman" w:hAnsi="Times New Roman" w:eastAsia="宋体" w:cs="Times New Roman"/>
                <w:color w:val="auto"/>
                <w:sz w:val="24"/>
                <w:highlight w:val="none"/>
                <w:vertAlign w:val="subscript"/>
                <w:lang w:val="en-US" w:eastAsia="zh-CN"/>
              </w:rPr>
              <w:t>c</w:t>
            </w:r>
            <w:r>
              <w:rPr>
                <w:rFonts w:hint="default" w:ascii="Times New Roman" w:hAnsi="Times New Roman" w:eastAsia="宋体" w:cs="Times New Roman"/>
                <w:color w:val="auto"/>
                <w:sz w:val="24"/>
                <w:highlight w:val="none"/>
                <w:lang w:val="en-US" w:eastAsia="zh-CN"/>
              </w:rPr>
              <w:t>+NDVI</w:t>
            </w:r>
            <w:r>
              <w:rPr>
                <w:rFonts w:hint="default" w:ascii="Times New Roman" w:hAnsi="Times New Roman" w:eastAsia="宋体" w:cs="Times New Roman"/>
                <w:color w:val="auto"/>
                <w:sz w:val="24"/>
                <w:highlight w:val="none"/>
                <w:vertAlign w:val="subscript"/>
                <w:lang w:val="en-US" w:eastAsia="zh-CN"/>
              </w:rPr>
              <w:t>soil</w:t>
            </w:r>
            <w:r>
              <w:rPr>
                <w:rFonts w:hint="default" w:ascii="Times New Roman" w:hAnsi="Times New Roman" w:eastAsia="宋体" w:cs="Times New Roman"/>
                <w:color w:val="auto"/>
                <w:sz w:val="24"/>
                <w:highlight w:val="none"/>
                <w:lang w:val="en-US" w:eastAsia="zh-CN"/>
              </w:rPr>
              <w:t>×（1-fc）（a）</w:t>
            </w:r>
          </w:p>
          <w:p w14:paraId="3EE2D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式中：NDVI</w:t>
            </w:r>
            <w:r>
              <w:rPr>
                <w:rFonts w:hint="default" w:ascii="Times New Roman" w:hAnsi="Times New Roman" w:eastAsia="宋体" w:cs="Times New Roman"/>
                <w:color w:val="auto"/>
                <w:sz w:val="24"/>
                <w:highlight w:val="none"/>
                <w:vertAlign w:val="subscript"/>
                <w:lang w:val="en-US" w:eastAsia="zh-CN"/>
              </w:rPr>
              <w:t>veg</w:t>
            </w:r>
            <w:r>
              <w:rPr>
                <w:rFonts w:hint="default" w:ascii="Times New Roman" w:hAnsi="Times New Roman" w:eastAsia="宋体" w:cs="Times New Roman"/>
                <w:color w:val="auto"/>
                <w:sz w:val="24"/>
                <w:highlight w:val="none"/>
                <w:lang w:val="en-US" w:eastAsia="zh-CN"/>
              </w:rPr>
              <w:t>代表完全由植被覆盖的象元的NDVI值；</w:t>
            </w:r>
          </w:p>
          <w:p w14:paraId="61872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w:t>
            </w:r>
            <w:r>
              <w:rPr>
                <w:rFonts w:hint="default" w:ascii="Times New Roman" w:hAnsi="Times New Roman" w:eastAsia="宋体" w:cs="Times New Roman"/>
                <w:color w:val="auto"/>
                <w:sz w:val="24"/>
                <w:highlight w:val="none"/>
                <w:vertAlign w:val="subscript"/>
                <w:lang w:val="en-US" w:eastAsia="zh-CN"/>
              </w:rPr>
              <w:t>soil</w:t>
            </w:r>
            <w:r>
              <w:rPr>
                <w:rFonts w:hint="default" w:ascii="Times New Roman" w:hAnsi="Times New Roman" w:eastAsia="宋体" w:cs="Times New Roman"/>
                <w:color w:val="auto"/>
                <w:sz w:val="24"/>
                <w:highlight w:val="none"/>
                <w:lang w:val="en-US" w:eastAsia="zh-CN"/>
              </w:rPr>
              <w:t>代表完全无植被覆盖的象元NDVI值；f</w:t>
            </w:r>
            <w:r>
              <w:rPr>
                <w:rFonts w:hint="default" w:ascii="Times New Roman" w:hAnsi="Times New Roman" w:eastAsia="宋体" w:cs="Times New Roman"/>
                <w:color w:val="auto"/>
                <w:sz w:val="24"/>
                <w:highlight w:val="none"/>
                <w:vertAlign w:val="subscript"/>
                <w:lang w:val="en-US" w:eastAsia="zh-CN"/>
              </w:rPr>
              <w:t>c</w:t>
            </w:r>
            <w:r>
              <w:rPr>
                <w:rFonts w:hint="default" w:ascii="Times New Roman" w:hAnsi="Times New Roman" w:eastAsia="宋体" w:cs="Times New Roman"/>
                <w:color w:val="auto"/>
                <w:sz w:val="24"/>
                <w:highlight w:val="none"/>
                <w:lang w:val="en-US" w:eastAsia="zh-CN"/>
              </w:rPr>
              <w:t>代表植被覆盖度。</w:t>
            </w:r>
          </w:p>
          <w:p w14:paraId="260055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公式（a）经变换即可得到植被覆盖度的计算公式：</w:t>
            </w:r>
          </w:p>
          <w:p w14:paraId="4AA81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fc=（NDVI-NDVI</w:t>
            </w:r>
            <w:r>
              <w:rPr>
                <w:rFonts w:hint="default" w:ascii="Times New Roman" w:hAnsi="Times New Roman" w:eastAsia="宋体" w:cs="Times New Roman"/>
                <w:color w:val="auto"/>
                <w:sz w:val="24"/>
                <w:highlight w:val="none"/>
                <w:vertAlign w:val="subscript"/>
                <w:lang w:val="en-US" w:eastAsia="zh-CN"/>
              </w:rPr>
              <w:t>soil</w:t>
            </w:r>
            <w:r>
              <w:rPr>
                <w:rFonts w:hint="default" w:ascii="Times New Roman" w:hAnsi="Times New Roman" w:eastAsia="宋体" w:cs="Times New Roman"/>
                <w:color w:val="auto"/>
                <w:sz w:val="24"/>
                <w:highlight w:val="none"/>
                <w:lang w:val="en-US" w:eastAsia="zh-CN"/>
              </w:rPr>
              <w:t>）/（NDVIveg-NDVI</w:t>
            </w:r>
            <w:r>
              <w:rPr>
                <w:rFonts w:hint="default" w:ascii="Times New Roman" w:hAnsi="Times New Roman" w:eastAsia="宋体" w:cs="Times New Roman"/>
                <w:color w:val="auto"/>
                <w:sz w:val="24"/>
                <w:highlight w:val="none"/>
                <w:vertAlign w:val="subscript"/>
                <w:lang w:val="en-US" w:eastAsia="zh-CN"/>
              </w:rPr>
              <w:t>soil</w:t>
            </w:r>
            <w:r>
              <w:rPr>
                <w:rFonts w:hint="default" w:ascii="Times New Roman" w:hAnsi="Times New Roman" w:eastAsia="宋体" w:cs="Times New Roman"/>
                <w:color w:val="auto"/>
                <w:sz w:val="24"/>
                <w:highlight w:val="none"/>
                <w:lang w:val="en-US" w:eastAsia="zh-CN"/>
              </w:rPr>
              <w:t>）（b）</w:t>
            </w:r>
          </w:p>
          <w:p w14:paraId="4078D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根据公式（b），利用ERDASIMAGINE中的Modeler模块建模编写程序来计算覆盖度，得到了评价区的植被覆盖度图。植被覆盖度分级及面积统计见表3-</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。植被覆盖度见附图</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w:t>
            </w:r>
          </w:p>
          <w:p w14:paraId="0D54805E">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调查区域植被覆盖度面积统计表</w:t>
            </w:r>
          </w:p>
          <w:tbl>
            <w:tblPr>
              <w:tblStyle w:val="26"/>
              <w:tblW w:w="0" w:type="auto"/>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80"/>
              <w:gridCol w:w="2134"/>
              <w:gridCol w:w="1803"/>
              <w:gridCol w:w="2405"/>
            </w:tblGrid>
            <w:tr w14:paraId="354665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3" w:hRule="atLeast"/>
              </w:trPr>
              <w:tc>
                <w:tcPr>
                  <w:tcW w:w="2180" w:type="dxa"/>
                  <w:noWrap w:val="0"/>
                  <w:vAlign w:val="center"/>
                </w:tcPr>
                <w:p w14:paraId="383FA377">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植被覆盖度</w:t>
                  </w:r>
                </w:p>
              </w:tc>
              <w:tc>
                <w:tcPr>
                  <w:tcW w:w="2134" w:type="dxa"/>
                  <w:noWrap w:val="0"/>
                  <w:vAlign w:val="center"/>
                </w:tcPr>
                <w:p w14:paraId="7B43686A">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覆盖范围（</w:t>
                  </w:r>
                  <w:r>
                    <w:rPr>
                      <w:rFonts w:hint="default"/>
                      <w:kern w:val="0"/>
                      <w:szCs w:val="21"/>
                    </w:rPr>
                    <w:t>%</w:t>
                  </w:r>
                  <w:r>
                    <w:rPr>
                      <w:rFonts w:hint="default" w:hAnsi="宋体"/>
                      <w:kern w:val="0"/>
                      <w:szCs w:val="21"/>
                    </w:rPr>
                    <w:t>）</w:t>
                  </w:r>
                </w:p>
              </w:tc>
              <w:tc>
                <w:tcPr>
                  <w:tcW w:w="1803" w:type="dxa"/>
                  <w:noWrap w:val="0"/>
                  <w:vAlign w:val="center"/>
                </w:tcPr>
                <w:p w14:paraId="69E5430A">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面积（</w:t>
                  </w:r>
                  <w:r>
                    <w:rPr>
                      <w:rFonts w:hint="eastAsia"/>
                      <w:kern w:val="0"/>
                      <w:szCs w:val="21"/>
                      <w:lang w:val="en-US" w:eastAsia="zh-CN"/>
                    </w:rPr>
                    <w:t>h</w:t>
                  </w:r>
                  <w:r>
                    <w:rPr>
                      <w:rFonts w:hint="default"/>
                      <w:kern w:val="0"/>
                      <w:szCs w:val="21"/>
                    </w:rPr>
                    <w:t>m</w:t>
                  </w:r>
                  <w:r>
                    <w:rPr>
                      <w:rFonts w:hint="default"/>
                      <w:kern w:val="0"/>
                      <w:szCs w:val="21"/>
                      <w:vertAlign w:val="superscript"/>
                    </w:rPr>
                    <w:t>2</w:t>
                  </w:r>
                  <w:r>
                    <w:rPr>
                      <w:rFonts w:hint="default" w:hAnsi="宋体"/>
                      <w:kern w:val="0"/>
                      <w:szCs w:val="21"/>
                    </w:rPr>
                    <w:t>）</w:t>
                  </w:r>
                </w:p>
              </w:tc>
              <w:tc>
                <w:tcPr>
                  <w:tcW w:w="2405" w:type="dxa"/>
                  <w:noWrap w:val="0"/>
                  <w:vAlign w:val="center"/>
                </w:tcPr>
                <w:p w14:paraId="15C5180F">
                  <w:pPr>
                    <w:keepNext w:val="0"/>
                    <w:keepLines w:val="0"/>
                    <w:widowControl/>
                    <w:suppressLineNumbers w:val="0"/>
                    <w:spacing w:before="0" w:beforeAutospacing="0" w:after="0" w:afterAutospacing="0" w:line="0" w:lineRule="atLeast"/>
                    <w:ind w:left="0" w:right="0"/>
                    <w:jc w:val="center"/>
                    <w:rPr>
                      <w:rFonts w:hint="eastAsia" w:eastAsia="宋体"/>
                      <w:kern w:val="0"/>
                      <w:szCs w:val="21"/>
                      <w:lang w:eastAsia="zh-CN"/>
                    </w:rPr>
                  </w:pPr>
                  <w:r>
                    <w:rPr>
                      <w:rFonts w:hint="eastAsia" w:hAnsi="宋体"/>
                      <w:kern w:val="0"/>
                      <w:szCs w:val="21"/>
                      <w:lang w:val="en-US" w:eastAsia="zh-CN"/>
                    </w:rPr>
                    <w:t>占地（%）</w:t>
                  </w:r>
                </w:p>
              </w:tc>
            </w:tr>
            <w:tr w14:paraId="052FC0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2180" w:type="dxa"/>
                  <w:noWrap w:val="0"/>
                  <w:vAlign w:val="center"/>
                </w:tcPr>
                <w:p w14:paraId="28E7C91A">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低植被覆盖区</w:t>
                  </w:r>
                </w:p>
              </w:tc>
              <w:tc>
                <w:tcPr>
                  <w:tcW w:w="2134" w:type="dxa"/>
                  <w:noWrap w:val="0"/>
                  <w:vAlign w:val="center"/>
                </w:tcPr>
                <w:p w14:paraId="185D824F">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kern w:val="0"/>
                      <w:szCs w:val="21"/>
                    </w:rPr>
                    <w:t>fv</w:t>
                  </w:r>
                  <w:r>
                    <w:rPr>
                      <w:rFonts w:hint="default" w:hAnsi="宋体"/>
                      <w:kern w:val="0"/>
                      <w:szCs w:val="21"/>
                    </w:rPr>
                    <w:t>＜</w:t>
                  </w:r>
                  <w:r>
                    <w:rPr>
                      <w:rFonts w:hint="eastAsia"/>
                      <w:kern w:val="0"/>
                      <w:szCs w:val="21"/>
                      <w:lang w:val="en-US" w:eastAsia="zh-CN"/>
                    </w:rPr>
                    <w:t>15</w:t>
                  </w:r>
                </w:p>
              </w:tc>
              <w:tc>
                <w:tcPr>
                  <w:tcW w:w="1803" w:type="dxa"/>
                  <w:noWrap w:val="0"/>
                  <w:vAlign w:val="center"/>
                </w:tcPr>
                <w:p w14:paraId="13CC01D5">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123.44</w:t>
                  </w:r>
                </w:p>
              </w:tc>
              <w:tc>
                <w:tcPr>
                  <w:tcW w:w="2405" w:type="dxa"/>
                  <w:noWrap w:val="0"/>
                  <w:vAlign w:val="center"/>
                </w:tcPr>
                <w:p w14:paraId="42ADF724">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66.08</w:t>
                  </w:r>
                </w:p>
              </w:tc>
            </w:tr>
            <w:tr w14:paraId="64760C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2180" w:type="dxa"/>
                  <w:noWrap w:val="0"/>
                  <w:vAlign w:val="center"/>
                </w:tcPr>
                <w:p w14:paraId="7FAFB78F">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eastAsia" w:hAnsi="宋体"/>
                      <w:kern w:val="0"/>
                      <w:szCs w:val="21"/>
                      <w:lang w:val="en-US" w:eastAsia="zh-CN"/>
                    </w:rPr>
                    <w:t>中低植被覆盖区</w:t>
                  </w:r>
                </w:p>
              </w:tc>
              <w:tc>
                <w:tcPr>
                  <w:tcW w:w="2134" w:type="dxa"/>
                  <w:noWrap w:val="0"/>
                  <w:vAlign w:val="center"/>
                </w:tcPr>
                <w:p w14:paraId="4B268D89">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eastAsia"/>
                      <w:kern w:val="0"/>
                      <w:szCs w:val="21"/>
                      <w:lang w:val="en-US" w:eastAsia="zh-CN"/>
                    </w:rPr>
                    <w:t>15</w:t>
                  </w:r>
                  <w:r>
                    <w:rPr>
                      <w:rFonts w:hint="default"/>
                      <w:kern w:val="0"/>
                      <w:szCs w:val="21"/>
                    </w:rPr>
                    <w:t>≤fv</w:t>
                  </w:r>
                  <w:r>
                    <w:rPr>
                      <w:rFonts w:hint="default" w:hAnsi="宋体"/>
                      <w:kern w:val="0"/>
                      <w:szCs w:val="21"/>
                    </w:rPr>
                    <w:t>＜</w:t>
                  </w:r>
                  <w:r>
                    <w:rPr>
                      <w:rFonts w:hint="eastAsia"/>
                      <w:kern w:val="0"/>
                      <w:szCs w:val="21"/>
                      <w:lang w:val="en-US" w:eastAsia="zh-CN"/>
                    </w:rPr>
                    <w:t>30</w:t>
                  </w:r>
                </w:p>
              </w:tc>
              <w:tc>
                <w:tcPr>
                  <w:tcW w:w="1803" w:type="dxa"/>
                  <w:noWrap w:val="0"/>
                  <w:vAlign w:val="center"/>
                </w:tcPr>
                <w:p w14:paraId="3FBF895C">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48.81</w:t>
                  </w:r>
                </w:p>
              </w:tc>
              <w:tc>
                <w:tcPr>
                  <w:tcW w:w="2405" w:type="dxa"/>
                  <w:noWrap w:val="0"/>
                  <w:vAlign w:val="center"/>
                </w:tcPr>
                <w:p w14:paraId="00249A0D">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26.13</w:t>
                  </w:r>
                </w:p>
              </w:tc>
            </w:tr>
            <w:tr w14:paraId="5812F2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2180" w:type="dxa"/>
                  <w:noWrap w:val="0"/>
                  <w:vAlign w:val="center"/>
                </w:tcPr>
                <w:p w14:paraId="0FFF42E5">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中等植被覆盖区</w:t>
                  </w:r>
                </w:p>
              </w:tc>
              <w:tc>
                <w:tcPr>
                  <w:tcW w:w="2134" w:type="dxa"/>
                  <w:noWrap w:val="0"/>
                  <w:vAlign w:val="center"/>
                </w:tcPr>
                <w:p w14:paraId="1702C80B">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kern w:val="0"/>
                      <w:szCs w:val="21"/>
                    </w:rPr>
                    <w:t>30≤fv</w:t>
                  </w:r>
                  <w:r>
                    <w:rPr>
                      <w:rFonts w:hint="default" w:hAnsi="宋体"/>
                      <w:kern w:val="0"/>
                      <w:szCs w:val="21"/>
                    </w:rPr>
                    <w:t>＜</w:t>
                  </w:r>
                  <w:r>
                    <w:rPr>
                      <w:rFonts w:hint="default"/>
                      <w:kern w:val="0"/>
                      <w:szCs w:val="21"/>
                    </w:rPr>
                    <w:t>45</w:t>
                  </w:r>
                </w:p>
              </w:tc>
              <w:tc>
                <w:tcPr>
                  <w:tcW w:w="1803" w:type="dxa"/>
                  <w:noWrap w:val="0"/>
                  <w:vAlign w:val="center"/>
                </w:tcPr>
                <w:p w14:paraId="5D05706A">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6.12</w:t>
                  </w:r>
                </w:p>
              </w:tc>
              <w:tc>
                <w:tcPr>
                  <w:tcW w:w="2405" w:type="dxa"/>
                  <w:noWrap w:val="0"/>
                  <w:vAlign w:val="center"/>
                </w:tcPr>
                <w:p w14:paraId="5C1DD13D">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3.28</w:t>
                  </w:r>
                </w:p>
              </w:tc>
            </w:tr>
            <w:tr w14:paraId="6BE4E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2180" w:type="dxa"/>
                  <w:noWrap w:val="0"/>
                  <w:vAlign w:val="center"/>
                </w:tcPr>
                <w:p w14:paraId="34007E0B">
                  <w:pPr>
                    <w:keepNext w:val="0"/>
                    <w:keepLines w:val="0"/>
                    <w:widowControl/>
                    <w:suppressLineNumbers w:val="0"/>
                    <w:spacing w:before="0" w:beforeAutospacing="0" w:after="0" w:afterAutospacing="0" w:line="0" w:lineRule="atLeast"/>
                    <w:ind w:left="0" w:right="0"/>
                    <w:jc w:val="center"/>
                    <w:rPr>
                      <w:rFonts w:hint="eastAsia" w:hAnsi="宋体" w:eastAsia="宋体"/>
                      <w:kern w:val="0"/>
                      <w:szCs w:val="21"/>
                      <w:lang w:val="en-US" w:eastAsia="zh-CN"/>
                    </w:rPr>
                  </w:pPr>
                  <w:r>
                    <w:rPr>
                      <w:rFonts w:hint="eastAsia" w:hAnsi="宋体"/>
                      <w:kern w:val="0"/>
                      <w:szCs w:val="21"/>
                    </w:rPr>
                    <w:t>中高</w:t>
                  </w:r>
                  <w:r>
                    <w:rPr>
                      <w:rFonts w:hint="default" w:hAnsi="宋体"/>
                      <w:kern w:val="0"/>
                      <w:szCs w:val="21"/>
                    </w:rPr>
                    <w:t>植被覆盖区</w:t>
                  </w:r>
                </w:p>
              </w:tc>
              <w:tc>
                <w:tcPr>
                  <w:tcW w:w="2134" w:type="dxa"/>
                  <w:noWrap w:val="0"/>
                  <w:vAlign w:val="center"/>
                </w:tcPr>
                <w:p w14:paraId="60C10151">
                  <w:pPr>
                    <w:keepNext w:val="0"/>
                    <w:keepLines w:val="0"/>
                    <w:widowControl/>
                    <w:suppressLineNumbers w:val="0"/>
                    <w:spacing w:before="0" w:beforeAutospacing="0" w:after="0" w:afterAutospacing="0" w:line="0" w:lineRule="atLeast"/>
                    <w:ind w:left="0" w:right="0"/>
                    <w:jc w:val="center"/>
                    <w:rPr>
                      <w:rFonts w:hint="eastAsia" w:eastAsia="宋体"/>
                      <w:kern w:val="0"/>
                      <w:szCs w:val="21"/>
                      <w:lang w:val="en-US" w:eastAsia="zh-CN"/>
                    </w:rPr>
                  </w:pPr>
                  <w:r>
                    <w:rPr>
                      <w:rFonts w:hint="default"/>
                      <w:kern w:val="0"/>
                      <w:szCs w:val="21"/>
                    </w:rPr>
                    <w:t>45≤fv</w:t>
                  </w:r>
                  <w:r>
                    <w:rPr>
                      <w:rFonts w:hint="default" w:hAnsi="宋体"/>
                      <w:kern w:val="0"/>
                      <w:szCs w:val="21"/>
                    </w:rPr>
                    <w:t>＜</w:t>
                  </w:r>
                  <w:r>
                    <w:rPr>
                      <w:rFonts w:hint="default"/>
                      <w:kern w:val="0"/>
                      <w:szCs w:val="21"/>
                    </w:rPr>
                    <w:t>60</w:t>
                  </w:r>
                </w:p>
              </w:tc>
              <w:tc>
                <w:tcPr>
                  <w:tcW w:w="1803" w:type="dxa"/>
                  <w:noWrap w:val="0"/>
                  <w:vAlign w:val="center"/>
                </w:tcPr>
                <w:p w14:paraId="7DADC238">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2.58</w:t>
                  </w:r>
                </w:p>
              </w:tc>
              <w:tc>
                <w:tcPr>
                  <w:tcW w:w="2405" w:type="dxa"/>
                  <w:noWrap w:val="0"/>
                  <w:vAlign w:val="center"/>
                </w:tcPr>
                <w:p w14:paraId="0649E108">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1.38</w:t>
                  </w:r>
                </w:p>
              </w:tc>
            </w:tr>
            <w:tr w14:paraId="34E90F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2180" w:type="dxa"/>
                  <w:noWrap w:val="0"/>
                  <w:vAlign w:val="center"/>
                </w:tcPr>
                <w:p w14:paraId="5165FF98">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高植被覆盖区</w:t>
                  </w:r>
                </w:p>
              </w:tc>
              <w:tc>
                <w:tcPr>
                  <w:tcW w:w="2134" w:type="dxa"/>
                  <w:noWrap w:val="0"/>
                  <w:vAlign w:val="center"/>
                </w:tcPr>
                <w:p w14:paraId="49766C98">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kern w:val="0"/>
                      <w:szCs w:val="21"/>
                    </w:rPr>
                    <w:t>fv≥60</w:t>
                  </w:r>
                </w:p>
              </w:tc>
              <w:tc>
                <w:tcPr>
                  <w:tcW w:w="1803" w:type="dxa"/>
                  <w:noWrap w:val="0"/>
                  <w:vAlign w:val="center"/>
                </w:tcPr>
                <w:p w14:paraId="00C37CFD">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5.84</w:t>
                  </w:r>
                </w:p>
              </w:tc>
              <w:tc>
                <w:tcPr>
                  <w:tcW w:w="2405" w:type="dxa"/>
                  <w:noWrap w:val="0"/>
                  <w:vAlign w:val="center"/>
                </w:tcPr>
                <w:p w14:paraId="74CC1C96">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3.13</w:t>
                  </w:r>
                </w:p>
              </w:tc>
            </w:tr>
            <w:tr w14:paraId="44C4CC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4314" w:type="dxa"/>
                  <w:gridSpan w:val="2"/>
                  <w:noWrap w:val="0"/>
                  <w:vAlign w:val="center"/>
                </w:tcPr>
                <w:p w14:paraId="00FDB739">
                  <w:pPr>
                    <w:keepNext w:val="0"/>
                    <w:keepLines w:val="0"/>
                    <w:widowControl/>
                    <w:suppressLineNumbers w:val="0"/>
                    <w:spacing w:before="0" w:beforeAutospacing="0" w:after="0" w:afterAutospacing="0" w:line="0" w:lineRule="atLeast"/>
                    <w:ind w:left="0" w:right="0"/>
                    <w:jc w:val="center"/>
                    <w:rPr>
                      <w:rFonts w:hint="default"/>
                      <w:kern w:val="0"/>
                      <w:szCs w:val="21"/>
                    </w:rPr>
                  </w:pPr>
                  <w:r>
                    <w:rPr>
                      <w:rFonts w:hint="default" w:hAnsi="宋体"/>
                      <w:kern w:val="0"/>
                      <w:szCs w:val="21"/>
                    </w:rPr>
                    <w:t>合计</w:t>
                  </w:r>
                </w:p>
              </w:tc>
              <w:tc>
                <w:tcPr>
                  <w:tcW w:w="1803" w:type="dxa"/>
                  <w:noWrap w:val="0"/>
                  <w:vAlign w:val="center"/>
                </w:tcPr>
                <w:p w14:paraId="20162D9A">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186.79</w:t>
                  </w:r>
                </w:p>
              </w:tc>
              <w:tc>
                <w:tcPr>
                  <w:tcW w:w="2405" w:type="dxa"/>
                  <w:noWrap w:val="0"/>
                  <w:vAlign w:val="center"/>
                </w:tcPr>
                <w:p w14:paraId="5CF91AEF">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100.00</w:t>
                  </w:r>
                </w:p>
              </w:tc>
            </w:tr>
          </w:tbl>
          <w:p w14:paraId="754A3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由表3-</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可知，从植被覆盖度面积及比例来看，调查区的土地面积1.8679km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sz w:val="24"/>
                <w:szCs w:val="24"/>
              </w:rPr>
              <w:t>低植被覆盖区（fv</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15%）面积达123.44hm²、占比66.08%，是主体区域；中低植被覆盖区（15≤fv＜30%）次之，为48.81hm²、26.13%，二者合计超92%；中等及以上植被覆盖区占比均不足4%，其中中等（30≤fv＜45%）、中高（45≤fv＜60%）、高覆盖区（fv≥60%）占比依次为3.28%、1.38%、3.13%，高覆盖区面积略高于中高覆盖区。</w:t>
            </w:r>
            <w:r>
              <w:rPr>
                <w:rFonts w:hint="default" w:ascii="Times New Roman" w:hAnsi="Times New Roman" w:eastAsia="宋体" w:cs="Times New Roman"/>
                <w:color w:val="auto"/>
                <w:sz w:val="24"/>
                <w:highlight w:val="none"/>
                <w:lang w:val="en-US" w:eastAsia="zh-CN"/>
              </w:rPr>
              <w:t>根据调查，本工程</w:t>
            </w:r>
            <w:r>
              <w:rPr>
                <w:rFonts w:hint="default" w:ascii="Times New Roman" w:hAnsi="Times New Roman" w:eastAsia="宋体" w:cs="Times New Roman"/>
                <w:sz w:val="24"/>
                <w:szCs w:val="24"/>
              </w:rPr>
              <w:t>评价区整体植被盖度偏低</w:t>
            </w:r>
            <w:r>
              <w:rPr>
                <w:rFonts w:hint="default" w:ascii="Times New Roman" w:hAnsi="Times New Roman" w:eastAsia="宋体" w:cs="Times New Roman"/>
                <w:color w:val="auto"/>
                <w:sz w:val="24"/>
                <w:highlight w:val="none"/>
                <w:lang w:val="en-US" w:eastAsia="zh-CN"/>
              </w:rPr>
              <w:t>。</w:t>
            </w:r>
          </w:p>
          <w:p w14:paraId="4DA33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（6）植被类型</w:t>
            </w:r>
          </w:p>
          <w:p w14:paraId="5AFC2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①遥感调查</w:t>
            </w:r>
          </w:p>
          <w:p w14:paraId="55C37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根据遥感解译结果，调查范围区域植被类型主要为荒漠灌草丛植被、阔叶林、农作物植被、无植被为主，植被类型面积见表3-</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。植被类型见附图</w:t>
            </w:r>
            <w:r>
              <w:rPr>
                <w:rFonts w:hint="eastAsia" w:cs="Times New Roman"/>
                <w:color w:val="auto"/>
                <w:sz w:val="24"/>
                <w:highlight w:val="none"/>
                <w:lang w:val="en-US" w:eastAsia="zh-CN"/>
              </w:rPr>
              <w:t>13</w:t>
            </w:r>
            <w:r>
              <w:rPr>
                <w:rFonts w:hint="default" w:ascii="Times New Roman" w:hAnsi="Times New Roman" w:eastAsia="宋体" w:cs="Times New Roman"/>
                <w:color w:val="auto"/>
                <w:sz w:val="24"/>
                <w:highlight w:val="none"/>
                <w:lang w:val="en-US" w:eastAsia="zh-CN"/>
              </w:rPr>
              <w:t>。</w:t>
            </w:r>
          </w:p>
          <w:p w14:paraId="3ADD5018">
            <w:pPr>
              <w:pStyle w:val="67"/>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w:t>
            </w:r>
            <w:r>
              <w:rPr>
                <w:rFonts w:hint="default" w:ascii="Times New Roman" w:hAnsi="Times New Roman" w:eastAsia="宋体" w:cs="Times New Roman"/>
                <w:b/>
                <w:bCs/>
                <w:color w:val="auto"/>
                <w:sz w:val="24"/>
                <w:szCs w:val="28"/>
                <w:highlight w:val="none"/>
                <w:lang w:val="en-US" w:eastAsia="zh-CN"/>
              </w:rPr>
              <w:t>3-</w:t>
            </w:r>
            <w:r>
              <w:rPr>
                <w:rFonts w:hint="eastAsia" w:ascii="Times New Roman" w:hAnsi="Times New Roman" w:eastAsia="宋体" w:cs="Times New Roman"/>
                <w:b/>
                <w:bCs/>
                <w:color w:val="auto"/>
                <w:sz w:val="24"/>
                <w:szCs w:val="28"/>
                <w:highlight w:val="none"/>
                <w:lang w:val="en-US" w:eastAsia="zh-CN"/>
              </w:rPr>
              <w:t>5</w:t>
            </w:r>
            <w:r>
              <w:rPr>
                <w:rFonts w:hint="default" w:ascii="Times New Roman" w:hAnsi="Times New Roman" w:eastAsia="宋体" w:cs="Times New Roman"/>
                <w:b/>
                <w:bCs/>
                <w:color w:val="auto"/>
                <w:sz w:val="24"/>
                <w:szCs w:val="28"/>
                <w:highlight w:val="none"/>
              </w:rPr>
              <w:t>植被类型面积统计表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5" w:type="dxa"/>
                <w:left w:w="57" w:type="dxa"/>
                <w:bottom w:w="85" w:type="dxa"/>
                <w:right w:w="57" w:type="dxa"/>
              </w:tblCellMar>
            </w:tblPr>
            <w:tblGrid>
              <w:gridCol w:w="1035"/>
              <w:gridCol w:w="1305"/>
              <w:gridCol w:w="1590"/>
              <w:gridCol w:w="1860"/>
              <w:gridCol w:w="1320"/>
              <w:gridCol w:w="1310"/>
            </w:tblGrid>
            <w:tr w14:paraId="79C3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vMerge w:val="restart"/>
                  <w:noWrap w:val="0"/>
                  <w:vAlign w:val="center"/>
                </w:tcPr>
                <w:p w14:paraId="17359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植被型组</w:t>
                  </w:r>
                </w:p>
              </w:tc>
              <w:tc>
                <w:tcPr>
                  <w:tcW w:w="1305" w:type="dxa"/>
                  <w:vMerge w:val="restart"/>
                  <w:noWrap w:val="0"/>
                  <w:vAlign w:val="center"/>
                </w:tcPr>
                <w:p w14:paraId="1CE2C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植被型</w:t>
                  </w:r>
                </w:p>
              </w:tc>
              <w:tc>
                <w:tcPr>
                  <w:tcW w:w="1590" w:type="dxa"/>
                  <w:vMerge w:val="restart"/>
                  <w:noWrap w:val="0"/>
                  <w:vAlign w:val="center"/>
                </w:tcPr>
                <w:p w14:paraId="31C3E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植被亚型</w:t>
                  </w:r>
                </w:p>
              </w:tc>
              <w:tc>
                <w:tcPr>
                  <w:tcW w:w="1860" w:type="dxa"/>
                  <w:vMerge w:val="restart"/>
                  <w:noWrap w:val="0"/>
                  <w:vAlign w:val="center"/>
                </w:tcPr>
                <w:p w14:paraId="64DCF1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群系</w:t>
                  </w:r>
                </w:p>
              </w:tc>
              <w:tc>
                <w:tcPr>
                  <w:tcW w:w="2630" w:type="dxa"/>
                  <w:gridSpan w:val="2"/>
                  <w:noWrap w:val="0"/>
                  <w:vAlign w:val="center"/>
                </w:tcPr>
                <w:p w14:paraId="394F8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评价区</w:t>
                  </w:r>
                </w:p>
              </w:tc>
            </w:tr>
            <w:tr w14:paraId="6EB17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vMerge w:val="continue"/>
                  <w:noWrap w:val="0"/>
                  <w:vAlign w:val="center"/>
                </w:tcPr>
                <w:p w14:paraId="013790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sz w:val="21"/>
                      <w:szCs w:val="21"/>
                    </w:rPr>
                  </w:pPr>
                </w:p>
              </w:tc>
              <w:tc>
                <w:tcPr>
                  <w:tcW w:w="1305" w:type="dxa"/>
                  <w:vMerge w:val="continue"/>
                  <w:noWrap w:val="0"/>
                  <w:vAlign w:val="center"/>
                </w:tcPr>
                <w:p w14:paraId="051AD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sz w:val="21"/>
                      <w:szCs w:val="21"/>
                    </w:rPr>
                  </w:pPr>
                </w:p>
              </w:tc>
              <w:tc>
                <w:tcPr>
                  <w:tcW w:w="1590" w:type="dxa"/>
                  <w:vMerge w:val="continue"/>
                  <w:noWrap w:val="0"/>
                  <w:vAlign w:val="center"/>
                </w:tcPr>
                <w:p w14:paraId="253C0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sz w:val="21"/>
                      <w:szCs w:val="21"/>
                    </w:rPr>
                  </w:pPr>
                </w:p>
              </w:tc>
              <w:tc>
                <w:tcPr>
                  <w:tcW w:w="1860" w:type="dxa"/>
                  <w:vMerge w:val="continue"/>
                  <w:noWrap w:val="0"/>
                  <w:vAlign w:val="center"/>
                </w:tcPr>
                <w:p w14:paraId="40A11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sz w:val="21"/>
                      <w:szCs w:val="21"/>
                    </w:rPr>
                  </w:pPr>
                </w:p>
              </w:tc>
              <w:tc>
                <w:tcPr>
                  <w:tcW w:w="1320" w:type="dxa"/>
                  <w:noWrap w:val="0"/>
                  <w:vAlign w:val="center"/>
                </w:tcPr>
                <w:p w14:paraId="12A1F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面积(</w:t>
                  </w:r>
                  <w:r>
                    <w:rPr>
                      <w:rFonts w:hint="eastAsia" w:ascii="Times New Roman" w:hAnsi="Times New Roman" w:cs="Times New Roman"/>
                      <w:kern w:val="2"/>
                      <w:sz w:val="21"/>
                      <w:szCs w:val="21"/>
                      <w:lang w:val="en-US" w:eastAsia="zh-CN" w:bidi="ar"/>
                    </w:rPr>
                    <w:t>h</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r>
                    <w:rPr>
                      <w:rFonts w:hint="default" w:ascii="Times New Roman" w:hAnsi="Times New Roman" w:eastAsia="宋体" w:cs="Times New Roman"/>
                      <w:kern w:val="2"/>
                      <w:sz w:val="21"/>
                      <w:szCs w:val="21"/>
                      <w:lang w:val="en-US" w:eastAsia="zh-CN" w:bidi="ar"/>
                    </w:rPr>
                    <w:t>)</w:t>
                  </w:r>
                </w:p>
              </w:tc>
              <w:tc>
                <w:tcPr>
                  <w:tcW w:w="1310" w:type="dxa"/>
                  <w:noWrap w:val="0"/>
                  <w:vAlign w:val="center"/>
                </w:tcPr>
                <w:p w14:paraId="58B7E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比例</w:t>
                  </w:r>
                  <w:r>
                    <w:rPr>
                      <w:rFonts w:hint="eastAsia" w:ascii="Times New Roman" w:hAnsi="Times New Roman" w:eastAsia="宋体" w:cs="Times New Roman"/>
                      <w:kern w:val="2"/>
                      <w:sz w:val="21"/>
                      <w:szCs w:val="21"/>
                      <w:lang w:val="en-US" w:eastAsia="zh-CN" w:bidi="ar"/>
                    </w:rPr>
                    <w:t>（%</w:t>
                  </w:r>
                </w:p>
              </w:tc>
            </w:tr>
            <w:tr w14:paraId="4C9DC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noWrap w:val="0"/>
                  <w:vAlign w:val="center"/>
                </w:tcPr>
                <w:p w14:paraId="32891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eastAsia="宋体" w:cs="Times New Roman"/>
                      <w:i w:val="0"/>
                      <w:color w:val="000000"/>
                      <w:kern w:val="0"/>
                      <w:sz w:val="21"/>
                      <w:szCs w:val="21"/>
                      <w:lang w:val="en-US" w:eastAsia="zh-CN" w:bidi="ar"/>
                    </w:rPr>
                  </w:pPr>
                  <w:r>
                    <w:rPr>
                      <w:rFonts w:hint="eastAsia" w:ascii="Times New Roman" w:hAnsi="Times New Roman" w:eastAsia="宋体" w:cs="Times New Roman"/>
                      <w:i w:val="0"/>
                      <w:color w:val="000000"/>
                      <w:kern w:val="0"/>
                      <w:sz w:val="21"/>
                      <w:szCs w:val="21"/>
                      <w:lang w:val="en-US" w:eastAsia="zh-CN" w:bidi="ar"/>
                    </w:rPr>
                    <w:t>阔叶林</w:t>
                  </w:r>
                </w:p>
              </w:tc>
              <w:tc>
                <w:tcPr>
                  <w:tcW w:w="1305" w:type="dxa"/>
                  <w:noWrap w:val="0"/>
                  <w:vAlign w:val="center"/>
                </w:tcPr>
                <w:p w14:paraId="24D904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eastAsia="宋体" w:cs="Times New Roman"/>
                      <w:i w:val="0"/>
                      <w:color w:val="000000"/>
                      <w:kern w:val="0"/>
                      <w:sz w:val="21"/>
                      <w:szCs w:val="21"/>
                      <w:lang w:val="en-US" w:eastAsia="zh-CN" w:bidi="ar"/>
                    </w:rPr>
                  </w:pPr>
                  <w:r>
                    <w:rPr>
                      <w:rFonts w:hint="eastAsia" w:ascii="Times New Roman" w:hAnsi="Times New Roman" w:eastAsia="宋体" w:cs="Times New Roman"/>
                      <w:i w:val="0"/>
                      <w:color w:val="000000"/>
                      <w:kern w:val="0"/>
                      <w:sz w:val="21"/>
                      <w:szCs w:val="21"/>
                      <w:lang w:val="en-US" w:eastAsia="zh-CN" w:bidi="ar"/>
                    </w:rPr>
                    <w:t>落叶阔叶林</w:t>
                  </w:r>
                </w:p>
              </w:tc>
              <w:tc>
                <w:tcPr>
                  <w:tcW w:w="1590" w:type="dxa"/>
                  <w:noWrap w:val="0"/>
                  <w:vAlign w:val="center"/>
                </w:tcPr>
                <w:p w14:paraId="2A0F1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eastAsia="宋体" w:cs="Times New Roman"/>
                      <w:i w:val="0"/>
                      <w:color w:val="000000"/>
                      <w:kern w:val="0"/>
                      <w:sz w:val="21"/>
                      <w:szCs w:val="21"/>
                      <w:lang w:val="en-US" w:eastAsia="zh-CN" w:bidi="ar"/>
                    </w:rPr>
                  </w:pPr>
                  <w:r>
                    <w:rPr>
                      <w:rFonts w:hint="eastAsia" w:ascii="Times New Roman" w:hAnsi="Times New Roman" w:eastAsia="宋体" w:cs="Times New Roman"/>
                      <w:i w:val="0"/>
                      <w:color w:val="000000"/>
                      <w:kern w:val="0"/>
                      <w:sz w:val="21"/>
                      <w:szCs w:val="21"/>
                      <w:lang w:val="en-US" w:eastAsia="zh-CN" w:bidi="ar"/>
                    </w:rPr>
                    <w:t>温带落叶阔叶林</w:t>
                  </w:r>
                </w:p>
              </w:tc>
              <w:tc>
                <w:tcPr>
                  <w:tcW w:w="1860" w:type="dxa"/>
                  <w:tcBorders>
                    <w:bottom w:val="single" w:color="auto" w:sz="4" w:space="0"/>
                  </w:tcBorders>
                  <w:noWrap w:val="0"/>
                  <w:vAlign w:val="center"/>
                </w:tcPr>
                <w:p w14:paraId="18950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i w:val="0"/>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山杨落叶阔叶林</w:t>
                  </w:r>
                </w:p>
              </w:tc>
              <w:tc>
                <w:tcPr>
                  <w:tcW w:w="1320" w:type="dxa"/>
                  <w:noWrap w:val="0"/>
                  <w:vAlign w:val="center"/>
                </w:tcPr>
                <w:p w14:paraId="787AC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24.23</w:t>
                  </w:r>
                </w:p>
              </w:tc>
              <w:tc>
                <w:tcPr>
                  <w:tcW w:w="1310" w:type="dxa"/>
                  <w:noWrap w:val="0"/>
                  <w:vAlign w:val="center"/>
                </w:tcPr>
                <w:p w14:paraId="4C9B91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12.97</w:t>
                  </w:r>
                </w:p>
              </w:tc>
            </w:tr>
            <w:tr w14:paraId="4552C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vMerge w:val="restart"/>
                  <w:noWrap w:val="0"/>
                  <w:vAlign w:val="center"/>
                </w:tcPr>
                <w:p w14:paraId="2E4DB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lang w:val="en-US" w:eastAsia="zh-CN" w:bidi="ar"/>
                    </w:rPr>
                    <w:t>荒漠</w:t>
                  </w:r>
                </w:p>
              </w:tc>
              <w:tc>
                <w:tcPr>
                  <w:tcW w:w="1305" w:type="dxa"/>
                  <w:vMerge w:val="restart"/>
                  <w:noWrap w:val="0"/>
                  <w:vAlign w:val="center"/>
                </w:tcPr>
                <w:p w14:paraId="74AD8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lang w:val="en-US" w:eastAsia="zh-CN" w:bidi="ar"/>
                    </w:rPr>
                    <w:t>温带荒漠</w:t>
                  </w:r>
                </w:p>
              </w:tc>
              <w:tc>
                <w:tcPr>
                  <w:tcW w:w="1590" w:type="dxa"/>
                  <w:noWrap w:val="0"/>
                  <w:vAlign w:val="center"/>
                </w:tcPr>
                <w:p w14:paraId="79FDCD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eastAsia="宋体" w:cs="Times New Roman"/>
                      <w:i w:val="0"/>
                      <w:color w:val="000000"/>
                      <w:kern w:val="0"/>
                      <w:sz w:val="21"/>
                      <w:szCs w:val="21"/>
                      <w:lang w:val="en-US" w:eastAsia="zh-CN" w:bidi="ar"/>
                    </w:rPr>
                  </w:pPr>
                  <w:r>
                    <w:rPr>
                      <w:rFonts w:hint="eastAsia" w:ascii="Times New Roman" w:hAnsi="Times New Roman" w:eastAsia="宋体" w:cs="Times New Roman"/>
                      <w:i w:val="0"/>
                      <w:color w:val="000000"/>
                      <w:kern w:val="0"/>
                      <w:sz w:val="21"/>
                      <w:szCs w:val="21"/>
                      <w:lang w:val="en-US" w:eastAsia="zh-CN" w:bidi="ar"/>
                    </w:rPr>
                    <w:t>温带荒漠灌丛</w:t>
                  </w:r>
                </w:p>
              </w:tc>
              <w:tc>
                <w:tcPr>
                  <w:tcW w:w="1860" w:type="dxa"/>
                  <w:tcBorders>
                    <w:bottom w:val="single" w:color="auto" w:sz="4" w:space="0"/>
                  </w:tcBorders>
                  <w:noWrap w:val="0"/>
                  <w:vAlign w:val="center"/>
                </w:tcPr>
                <w:p w14:paraId="4FB5D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柽柳灌丛</w:t>
                  </w:r>
                </w:p>
              </w:tc>
              <w:tc>
                <w:tcPr>
                  <w:tcW w:w="1320" w:type="dxa"/>
                  <w:noWrap w:val="0"/>
                  <w:vAlign w:val="center"/>
                </w:tcPr>
                <w:p w14:paraId="42F8D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310" w:type="dxa"/>
                  <w:noWrap w:val="0"/>
                  <w:vAlign w:val="center"/>
                </w:tcPr>
                <w:p w14:paraId="6D783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0.84</w:t>
                  </w:r>
                </w:p>
              </w:tc>
            </w:tr>
            <w:tr w14:paraId="59886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vMerge w:val="continue"/>
                  <w:noWrap w:val="0"/>
                  <w:vAlign w:val="center"/>
                </w:tcPr>
                <w:p w14:paraId="1F3AA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p>
              </w:tc>
              <w:tc>
                <w:tcPr>
                  <w:tcW w:w="1305" w:type="dxa"/>
                  <w:vMerge w:val="continue"/>
                  <w:noWrap w:val="0"/>
                  <w:vAlign w:val="center"/>
                </w:tcPr>
                <w:p w14:paraId="3D9EA4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p>
              </w:tc>
              <w:tc>
                <w:tcPr>
                  <w:tcW w:w="1590" w:type="dxa"/>
                  <w:vMerge w:val="restart"/>
                  <w:noWrap w:val="0"/>
                  <w:vAlign w:val="center"/>
                </w:tcPr>
                <w:p w14:paraId="21013E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lang w:val="en-US" w:eastAsia="zh-CN" w:bidi="ar"/>
                    </w:rPr>
                    <w:t>温带荒漠草原</w:t>
                  </w:r>
                </w:p>
              </w:tc>
              <w:tc>
                <w:tcPr>
                  <w:tcW w:w="1860" w:type="dxa"/>
                  <w:tcBorders>
                    <w:bottom w:val="single" w:color="auto" w:sz="4" w:space="0"/>
                  </w:tcBorders>
                  <w:noWrap w:val="0"/>
                  <w:vAlign w:val="center"/>
                </w:tcPr>
                <w:p w14:paraId="2A2B3E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i w:val="0"/>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珍珠猪毛菜&amp;盐爪爪草地</w:t>
                  </w:r>
                </w:p>
              </w:tc>
              <w:tc>
                <w:tcPr>
                  <w:tcW w:w="1320" w:type="dxa"/>
                  <w:noWrap w:val="0"/>
                  <w:vAlign w:val="center"/>
                </w:tcPr>
                <w:p w14:paraId="0D794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15.95</w:t>
                  </w:r>
                </w:p>
              </w:tc>
              <w:tc>
                <w:tcPr>
                  <w:tcW w:w="1310" w:type="dxa"/>
                  <w:noWrap w:val="0"/>
                  <w:vAlign w:val="center"/>
                </w:tcPr>
                <w:p w14:paraId="274EAC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8.54</w:t>
                  </w:r>
                </w:p>
              </w:tc>
            </w:tr>
            <w:tr w14:paraId="39DF6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1035" w:type="dxa"/>
                  <w:vMerge w:val="continue"/>
                  <w:tcBorders>
                    <w:bottom w:val="single" w:color="auto" w:sz="4" w:space="0"/>
                  </w:tcBorders>
                  <w:noWrap w:val="0"/>
                  <w:vAlign w:val="center"/>
                </w:tcPr>
                <w:p w14:paraId="1BBFF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p>
              </w:tc>
              <w:tc>
                <w:tcPr>
                  <w:tcW w:w="1305" w:type="dxa"/>
                  <w:vMerge w:val="continue"/>
                  <w:tcBorders>
                    <w:bottom w:val="single" w:color="auto" w:sz="4" w:space="0"/>
                  </w:tcBorders>
                  <w:noWrap w:val="0"/>
                  <w:vAlign w:val="center"/>
                </w:tcPr>
                <w:p w14:paraId="078B69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p>
              </w:tc>
              <w:tc>
                <w:tcPr>
                  <w:tcW w:w="1590" w:type="dxa"/>
                  <w:vMerge w:val="continue"/>
                  <w:tcBorders>
                    <w:bottom w:val="single" w:color="auto" w:sz="4" w:space="0"/>
                  </w:tcBorders>
                  <w:noWrap w:val="0"/>
                  <w:vAlign w:val="center"/>
                </w:tcPr>
                <w:p w14:paraId="7179B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top"/>
                    <w:rPr>
                      <w:rFonts w:hint="default" w:ascii="Times New Roman" w:hAnsi="Times New Roman" w:cs="Times New Roman"/>
                      <w:sz w:val="21"/>
                      <w:szCs w:val="21"/>
                    </w:rPr>
                  </w:pPr>
                </w:p>
              </w:tc>
              <w:tc>
                <w:tcPr>
                  <w:tcW w:w="1860" w:type="dxa"/>
                  <w:tcBorders>
                    <w:bottom w:val="single" w:color="auto" w:sz="4" w:space="0"/>
                  </w:tcBorders>
                  <w:noWrap w:val="0"/>
                  <w:vAlign w:val="center"/>
                </w:tcPr>
                <w:p w14:paraId="0DB01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i w:val="0"/>
                      <w:iCs w:val="0"/>
                      <w:color w:val="000000"/>
                      <w:kern w:val="0"/>
                      <w:sz w:val="22"/>
                      <w:szCs w:val="22"/>
                      <w:u w:val="none"/>
                      <w:lang w:val="en-US" w:eastAsia="zh-CN" w:bidi="ar"/>
                    </w:rPr>
                    <w:t>芨芨草&amp;蒿草草地</w:t>
                  </w:r>
                </w:p>
              </w:tc>
              <w:tc>
                <w:tcPr>
                  <w:tcW w:w="1320" w:type="dxa"/>
                  <w:noWrap w:val="0"/>
                  <w:vAlign w:val="center"/>
                </w:tcPr>
                <w:p w14:paraId="094AF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50.67</w:t>
                  </w:r>
                </w:p>
              </w:tc>
              <w:tc>
                <w:tcPr>
                  <w:tcW w:w="1310" w:type="dxa"/>
                  <w:noWrap w:val="0"/>
                  <w:vAlign w:val="center"/>
                </w:tcPr>
                <w:p w14:paraId="62222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27.13</w:t>
                  </w:r>
                </w:p>
              </w:tc>
            </w:tr>
            <w:tr w14:paraId="62291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5790" w:type="dxa"/>
                  <w:gridSpan w:val="4"/>
                  <w:tcBorders>
                    <w:top w:val="single" w:color="auto" w:sz="4" w:space="0"/>
                    <w:bottom w:val="single" w:color="auto" w:sz="4" w:space="0"/>
                  </w:tcBorders>
                  <w:noWrap w:val="0"/>
                  <w:vAlign w:val="center"/>
                </w:tcPr>
                <w:p w14:paraId="4CDF67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农作物</w:t>
                  </w:r>
                </w:p>
              </w:tc>
              <w:tc>
                <w:tcPr>
                  <w:tcW w:w="1320" w:type="dxa"/>
                  <w:noWrap w:val="0"/>
                  <w:vAlign w:val="center"/>
                </w:tcPr>
                <w:p w14:paraId="31F00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50.74</w:t>
                  </w:r>
                </w:p>
              </w:tc>
              <w:tc>
                <w:tcPr>
                  <w:tcW w:w="1310" w:type="dxa"/>
                  <w:noWrap w:val="0"/>
                  <w:vAlign w:val="center"/>
                </w:tcPr>
                <w:p w14:paraId="4F9B80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27.17</w:t>
                  </w:r>
                </w:p>
              </w:tc>
            </w:tr>
            <w:tr w14:paraId="7075E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5790" w:type="dxa"/>
                  <w:gridSpan w:val="4"/>
                  <w:noWrap w:val="0"/>
                  <w:vAlign w:val="center"/>
                </w:tcPr>
                <w:p w14:paraId="6E133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非植被区</w:t>
                  </w:r>
                </w:p>
              </w:tc>
              <w:tc>
                <w:tcPr>
                  <w:tcW w:w="1320" w:type="dxa"/>
                  <w:noWrap w:val="0"/>
                  <w:vAlign w:val="center"/>
                </w:tcPr>
                <w:p w14:paraId="65C7B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43.63</w:t>
                  </w:r>
                </w:p>
              </w:tc>
              <w:tc>
                <w:tcPr>
                  <w:tcW w:w="1310" w:type="dxa"/>
                  <w:noWrap w:val="0"/>
                  <w:vAlign w:val="center"/>
                </w:tcPr>
                <w:p w14:paraId="1DC0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23.36</w:t>
                  </w:r>
                </w:p>
              </w:tc>
            </w:tr>
            <w:tr w14:paraId="6246C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57" w:type="dxa"/>
                  <w:bottom w:w="85" w:type="dxa"/>
                  <w:right w:w="57" w:type="dxa"/>
                </w:tblCellMar>
              </w:tblPrEx>
              <w:trPr>
                <w:trHeight w:val="0" w:hRule="atLeast"/>
                <w:jc w:val="center"/>
              </w:trPr>
              <w:tc>
                <w:tcPr>
                  <w:tcW w:w="5790" w:type="dxa"/>
                  <w:gridSpan w:val="4"/>
                  <w:tcBorders>
                    <w:left w:val="single" w:color="auto" w:sz="4" w:space="0"/>
                  </w:tcBorders>
                  <w:noWrap w:val="0"/>
                  <w:vAlign w:val="center"/>
                </w:tcPr>
                <w:p w14:paraId="210A15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合计</w:t>
                  </w:r>
                </w:p>
              </w:tc>
              <w:tc>
                <w:tcPr>
                  <w:tcW w:w="1320" w:type="dxa"/>
                  <w:noWrap w:val="0"/>
                  <w:vAlign w:val="center"/>
                </w:tcPr>
                <w:p w14:paraId="48B4F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186.79</w:t>
                  </w:r>
                </w:p>
              </w:tc>
              <w:tc>
                <w:tcPr>
                  <w:tcW w:w="1310" w:type="dxa"/>
                  <w:noWrap w:val="0"/>
                  <w:vAlign w:val="center"/>
                </w:tcPr>
                <w:p w14:paraId="28C24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14:paraId="388FE5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由表3-</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可知，从区域植被类型分布来看，调查区的面积1.8679km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sz w:val="24"/>
                <w:szCs w:val="24"/>
              </w:rPr>
              <w:t>植被类型多样且农作物占比最高，达50.74hm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27.17%；芨芨草&amp;蒿草草地次之，为50.67hm²、27.13%，二者合计超评价区面积的54%；非植被区占比23.36%（43.63hm²），是重要的非植被景观；珍珠猪毛菜&amp;盐爪爪草地、山杨落叶阔叶林、柽柳灌丛占比依次为8.54%、12.97%、0.84%，占比相对较低。</w:t>
            </w:r>
          </w:p>
          <w:p w14:paraId="0C66DA4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.2环境空气质量现状</w:t>
            </w:r>
          </w:p>
          <w:p w14:paraId="7CFD6D9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default" w:ascii="Times New Roman" w:hAnsi="Times New Roman" w:eastAsia="宋体" w:cs="Times New Roman"/>
                <w:b w:val="0"/>
                <w:bCs w:val="0"/>
                <w:kern w:val="2"/>
                <w:sz w:val="24"/>
                <w:szCs w:val="24"/>
                <w:highlight w:val="none"/>
                <w:lang w:val="en-US" w:eastAsia="zh-CN" w:bidi="ar-SA"/>
              </w:rPr>
            </w:pPr>
            <w:r>
              <w:rPr>
                <w:rFonts w:hint="eastAsia" w:ascii="Times New Roman" w:hAnsi="Times New Roman" w:eastAsia="宋体" w:cs="Times New Roman"/>
                <w:b w:val="0"/>
                <w:bCs w:val="0"/>
                <w:kern w:val="2"/>
                <w:sz w:val="24"/>
                <w:szCs w:val="24"/>
                <w:highlight w:val="none"/>
                <w:lang w:val="en-US" w:eastAsia="zh-CN" w:bidi="ar-SA"/>
              </w:rPr>
              <w:t>根据《</w:t>
            </w:r>
            <w:r>
              <w:rPr>
                <w:rFonts w:hint="default" w:ascii="Times New Roman" w:hAnsi="Times New Roman" w:eastAsia="宋体" w:cs="Times New Roman"/>
                <w:b w:val="0"/>
                <w:bCs w:val="0"/>
                <w:kern w:val="2"/>
                <w:sz w:val="24"/>
                <w:szCs w:val="24"/>
                <w:highlight w:val="none"/>
                <w:lang w:val="en-US" w:eastAsia="zh-CN" w:bidi="ar-SA"/>
              </w:rPr>
              <w:t>2024年张掖市生态环境状况公</w:t>
            </w:r>
            <w:r>
              <w:rPr>
                <w:rFonts w:hint="eastAsia" w:ascii="Times New Roman" w:hAnsi="Times New Roman" w:eastAsia="宋体" w:cs="Times New Roman"/>
                <w:b w:val="0"/>
                <w:bCs w:val="0"/>
                <w:kern w:val="2"/>
                <w:sz w:val="24"/>
                <w:szCs w:val="24"/>
                <w:highlight w:val="none"/>
                <w:lang w:val="en-US" w:eastAsia="zh-CN" w:bidi="ar-SA"/>
              </w:rPr>
              <w:t>报》可知：2024年，全市城市环境空气综合质量指数为3.11，可吸入颗粒物（PM</w:t>
            </w:r>
            <w:r>
              <w:rPr>
                <w:rFonts w:hint="eastAsia" w:ascii="Times New Roman" w:hAnsi="Times New Roman" w:eastAsia="宋体" w:cs="Times New Roman"/>
                <w:b w:val="0"/>
                <w:bCs w:val="0"/>
                <w:kern w:val="2"/>
                <w:sz w:val="24"/>
                <w:szCs w:val="24"/>
                <w:highlight w:val="none"/>
                <w:vertAlign w:val="subscript"/>
                <w:lang w:val="en-US" w:eastAsia="zh-CN" w:bidi="ar-SA"/>
              </w:rPr>
              <w:t>10</w:t>
            </w:r>
            <w:r>
              <w:rPr>
                <w:rFonts w:hint="eastAsia" w:ascii="Times New Roman" w:hAnsi="Times New Roman" w:eastAsia="宋体" w:cs="Times New Roman"/>
                <w:b w:val="0"/>
                <w:bCs w:val="0"/>
                <w:kern w:val="2"/>
                <w:sz w:val="24"/>
                <w:szCs w:val="24"/>
                <w:highlight w:val="none"/>
                <w:lang w:val="en-US" w:eastAsia="zh-CN" w:bidi="ar-SA"/>
              </w:rPr>
              <w:t>）平均浓度为54</w:t>
            </w:r>
            <w:r>
              <w:rPr>
                <w:rFonts w:hint="default" w:ascii="Times New Roman" w:hAnsi="Times New Roman" w:eastAsia="宋体" w:cs="Times New Roman"/>
                <w:b w:val="0"/>
                <w:bCs w:val="0"/>
                <w:color w:val="auto"/>
                <w:sz w:val="24"/>
                <w:szCs w:val="24"/>
                <w:highlight w:val="none"/>
                <w:lang w:val="zh-CN" w:eastAsia="zh-CN"/>
              </w:rPr>
              <w:t>μg/m</w:t>
            </w:r>
            <w:r>
              <w:rPr>
                <w:rFonts w:hint="default" w:ascii="Times New Roman" w:hAnsi="Times New Roman" w:eastAsia="宋体" w:cs="Times New Roman"/>
                <w:b w:val="0"/>
                <w:bCs w:val="0"/>
                <w:color w:val="auto"/>
                <w:sz w:val="24"/>
                <w:szCs w:val="24"/>
                <w:highlight w:val="none"/>
                <w:vertAlign w:val="superscript"/>
                <w:lang w:val="zh-CN" w:eastAsia="zh-CN"/>
              </w:rPr>
              <w:t>3</w:t>
            </w:r>
            <w:r>
              <w:rPr>
                <w:rFonts w:hint="eastAsia" w:ascii="Times New Roman" w:hAnsi="Times New Roman" w:eastAsia="宋体" w:cs="Times New Roman"/>
                <w:b w:val="0"/>
                <w:bCs w:val="0"/>
                <w:kern w:val="2"/>
                <w:sz w:val="24"/>
                <w:szCs w:val="24"/>
                <w:highlight w:val="none"/>
                <w:lang w:val="en-US" w:eastAsia="zh-CN" w:bidi="ar-SA"/>
              </w:rPr>
              <w:t>（扣除沙尘后），细颗粒物（PM</w:t>
            </w:r>
            <w:r>
              <w:rPr>
                <w:rFonts w:hint="eastAsia" w:ascii="Times New Roman" w:hAnsi="Times New Roman" w:eastAsia="宋体" w:cs="Times New Roman"/>
                <w:b w:val="0"/>
                <w:bCs w:val="0"/>
                <w:kern w:val="2"/>
                <w:sz w:val="24"/>
                <w:szCs w:val="24"/>
                <w:highlight w:val="none"/>
                <w:vertAlign w:val="subscript"/>
                <w:lang w:val="en-US" w:eastAsia="zh-CN" w:bidi="ar-SA"/>
              </w:rPr>
              <w:t>2.5</w:t>
            </w:r>
            <w:r>
              <w:rPr>
                <w:rFonts w:hint="eastAsia" w:ascii="Times New Roman" w:hAnsi="Times New Roman" w:eastAsia="宋体" w:cs="Times New Roman"/>
                <w:b w:val="0"/>
                <w:bCs w:val="0"/>
                <w:kern w:val="2"/>
                <w:sz w:val="24"/>
                <w:szCs w:val="24"/>
                <w:highlight w:val="none"/>
                <w:lang w:val="en-US" w:eastAsia="zh-CN" w:bidi="ar-SA"/>
              </w:rPr>
              <w:t>）平均浓度为25</w:t>
            </w:r>
            <w:r>
              <w:rPr>
                <w:rFonts w:hint="default" w:ascii="Times New Roman" w:hAnsi="Times New Roman" w:eastAsia="宋体" w:cs="Times New Roman"/>
                <w:b w:val="0"/>
                <w:bCs w:val="0"/>
                <w:color w:val="auto"/>
                <w:sz w:val="24"/>
                <w:szCs w:val="24"/>
                <w:highlight w:val="none"/>
                <w:lang w:val="zh-CN" w:eastAsia="zh-CN"/>
              </w:rPr>
              <w:t>μg/m</w:t>
            </w:r>
            <w:r>
              <w:rPr>
                <w:rFonts w:hint="default" w:ascii="Times New Roman" w:hAnsi="Times New Roman" w:eastAsia="宋体" w:cs="Times New Roman"/>
                <w:b w:val="0"/>
                <w:bCs w:val="0"/>
                <w:color w:val="auto"/>
                <w:sz w:val="24"/>
                <w:szCs w:val="24"/>
                <w:highlight w:val="none"/>
                <w:vertAlign w:val="superscript"/>
                <w:lang w:val="zh-CN" w:eastAsia="zh-CN"/>
              </w:rPr>
              <w:t>3</w:t>
            </w:r>
            <w:r>
              <w:rPr>
                <w:rFonts w:hint="eastAsia" w:ascii="Times New Roman" w:hAnsi="Times New Roman" w:eastAsia="宋体" w:cs="Times New Roman"/>
                <w:b w:val="0"/>
                <w:bCs w:val="0"/>
                <w:kern w:val="2"/>
                <w:sz w:val="24"/>
                <w:szCs w:val="24"/>
                <w:highlight w:val="none"/>
                <w:lang w:val="en-US" w:eastAsia="zh-CN" w:bidi="ar-SA"/>
              </w:rPr>
              <w:t>（扣除沙尘后），二氧化硫和二氧化氮平均浓度分别为8和17</w:t>
            </w:r>
            <w:r>
              <w:rPr>
                <w:rFonts w:hint="default" w:ascii="Times New Roman" w:hAnsi="Times New Roman" w:eastAsia="宋体" w:cs="Times New Roman"/>
                <w:b w:val="0"/>
                <w:bCs w:val="0"/>
                <w:color w:val="auto"/>
                <w:sz w:val="24"/>
                <w:szCs w:val="24"/>
                <w:highlight w:val="none"/>
                <w:lang w:val="zh-CN" w:eastAsia="zh-CN"/>
              </w:rPr>
              <w:t>μg/m</w:t>
            </w:r>
            <w:r>
              <w:rPr>
                <w:rFonts w:hint="default" w:ascii="Times New Roman" w:hAnsi="Times New Roman" w:eastAsia="宋体" w:cs="Times New Roman"/>
                <w:b w:val="0"/>
                <w:bCs w:val="0"/>
                <w:color w:val="auto"/>
                <w:sz w:val="24"/>
                <w:szCs w:val="24"/>
                <w:highlight w:val="none"/>
                <w:vertAlign w:val="superscript"/>
                <w:lang w:val="zh-CN" w:eastAsia="zh-CN"/>
              </w:rPr>
              <w:t>3</w:t>
            </w:r>
            <w:r>
              <w:rPr>
                <w:rFonts w:hint="eastAsia" w:ascii="Times New Roman" w:hAnsi="Times New Roman" w:eastAsia="宋体" w:cs="Times New Roman"/>
                <w:b w:val="0"/>
                <w:bCs w:val="0"/>
                <w:kern w:val="2"/>
                <w:sz w:val="24"/>
                <w:szCs w:val="24"/>
                <w:highlight w:val="none"/>
                <w:lang w:val="en-US" w:eastAsia="zh-CN" w:bidi="ar-SA"/>
              </w:rPr>
              <w:t>（一氧化碳日均第95百分位数浓度为</w:t>
            </w:r>
            <w:r>
              <w:rPr>
                <w:rFonts w:hint="eastAsia" w:eastAsia="宋体" w:cs="Times New Roman"/>
                <w:b w:val="0"/>
                <w:bCs w:val="0"/>
                <w:kern w:val="2"/>
                <w:sz w:val="24"/>
                <w:szCs w:val="24"/>
                <w:highlight w:val="none"/>
                <w:lang w:val="en-US" w:eastAsia="zh-CN" w:bidi="ar-SA"/>
              </w:rPr>
              <w:t>0.</w:t>
            </w:r>
            <w:r>
              <w:rPr>
                <w:rFonts w:hint="eastAsia" w:ascii="Times New Roman" w:hAnsi="Times New Roman" w:eastAsia="宋体" w:cs="Times New Roman"/>
                <w:b w:val="0"/>
                <w:bCs w:val="0"/>
                <w:kern w:val="2"/>
                <w:sz w:val="24"/>
                <w:szCs w:val="24"/>
                <w:highlight w:val="none"/>
                <w:lang w:val="en-US" w:eastAsia="zh-CN" w:bidi="ar-SA"/>
              </w:rPr>
              <w:t>8</w:t>
            </w:r>
            <w:r>
              <w:rPr>
                <w:rFonts w:hint="eastAsia"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lang w:val="zh-CN" w:eastAsia="zh-CN"/>
              </w:rPr>
              <w:t>g/m</w:t>
            </w:r>
            <w:r>
              <w:rPr>
                <w:rFonts w:hint="default" w:ascii="Times New Roman" w:hAnsi="Times New Roman" w:eastAsia="宋体" w:cs="Times New Roman"/>
                <w:b w:val="0"/>
                <w:bCs w:val="0"/>
                <w:color w:val="auto"/>
                <w:sz w:val="24"/>
                <w:szCs w:val="24"/>
                <w:highlight w:val="none"/>
                <w:vertAlign w:val="superscript"/>
                <w:lang w:val="zh-CN" w:eastAsia="zh-CN"/>
              </w:rPr>
              <w:t>3</w:t>
            </w:r>
            <w:r>
              <w:rPr>
                <w:rFonts w:hint="eastAsia" w:ascii="Times New Roman" w:hAnsi="Times New Roman" w:eastAsia="宋体" w:cs="Times New Roman"/>
                <w:b w:val="0"/>
                <w:bCs w:val="0"/>
                <w:kern w:val="2"/>
                <w:sz w:val="24"/>
                <w:szCs w:val="24"/>
                <w:highlight w:val="none"/>
                <w:lang w:val="en-US" w:eastAsia="zh-CN" w:bidi="ar-SA"/>
              </w:rPr>
              <w:t>（臭氧日最大8小时平均第90百分位数浓度为140</w:t>
            </w:r>
            <w:r>
              <w:rPr>
                <w:rFonts w:hint="default" w:ascii="Times New Roman" w:hAnsi="Times New Roman" w:eastAsia="宋体" w:cs="Times New Roman"/>
                <w:b w:val="0"/>
                <w:bCs w:val="0"/>
                <w:color w:val="auto"/>
                <w:sz w:val="24"/>
                <w:szCs w:val="24"/>
                <w:highlight w:val="none"/>
                <w:lang w:val="zh-CN" w:eastAsia="zh-CN"/>
              </w:rPr>
              <w:t>μg/m</w:t>
            </w:r>
            <w:r>
              <w:rPr>
                <w:rFonts w:hint="default" w:ascii="Times New Roman" w:hAnsi="Times New Roman" w:eastAsia="宋体" w:cs="Times New Roman"/>
                <w:b w:val="0"/>
                <w:bCs w:val="0"/>
                <w:color w:val="auto"/>
                <w:sz w:val="24"/>
                <w:szCs w:val="24"/>
                <w:highlight w:val="none"/>
                <w:vertAlign w:val="superscript"/>
                <w:lang w:val="zh-CN" w:eastAsia="zh-CN"/>
              </w:rPr>
              <w:t>3</w:t>
            </w:r>
            <w:r>
              <w:rPr>
                <w:rFonts w:hint="eastAsia" w:ascii="Times New Roman" w:hAnsi="Times New Roman" w:eastAsia="宋体" w:cs="Times New Roman"/>
                <w:b w:val="0"/>
                <w:bCs w:val="0"/>
                <w:kern w:val="2"/>
                <w:sz w:val="24"/>
                <w:szCs w:val="24"/>
                <w:highlight w:val="none"/>
                <w:lang w:val="en-US" w:eastAsia="zh-CN" w:bidi="ar-SA"/>
              </w:rPr>
              <w:t>；全年城市空气质量优良天数303天，优良率82.8％。</w:t>
            </w:r>
            <w:r>
              <w:rPr>
                <w:rFonts w:hint="default" w:ascii="Times New Roman" w:hAnsi="Times New Roman" w:eastAsia="宋体" w:cs="Times New Roman"/>
                <w:b w:val="0"/>
                <w:bCs w:val="0"/>
                <w:kern w:val="2"/>
                <w:sz w:val="24"/>
                <w:szCs w:val="24"/>
                <w:highlight w:val="none"/>
                <w:lang w:val="en-US" w:eastAsia="zh-CN" w:bidi="ar-SA"/>
              </w:rPr>
              <w:t>达标区判定结果如表3-</w:t>
            </w:r>
            <w:r>
              <w:rPr>
                <w:rFonts w:hint="eastAsia" w:eastAsia="宋体" w:cs="Times New Roman"/>
                <w:b w:val="0"/>
                <w:bCs w:val="0"/>
                <w:kern w:val="2"/>
                <w:sz w:val="24"/>
                <w:szCs w:val="24"/>
                <w:highlight w:val="none"/>
                <w:lang w:val="en-US" w:eastAsia="zh-CN" w:bidi="ar-SA"/>
              </w:rPr>
              <w:t>7</w:t>
            </w:r>
            <w:r>
              <w:rPr>
                <w:rFonts w:hint="default" w:ascii="Times New Roman" w:hAnsi="Times New Roman" w:eastAsia="宋体" w:cs="Times New Roman"/>
                <w:b w:val="0"/>
                <w:bCs w:val="0"/>
                <w:kern w:val="2"/>
                <w:sz w:val="24"/>
                <w:szCs w:val="24"/>
                <w:highlight w:val="none"/>
                <w:lang w:val="en-US" w:eastAsia="zh-CN" w:bidi="ar-SA"/>
              </w:rPr>
              <w:t>：</w:t>
            </w:r>
          </w:p>
          <w:p w14:paraId="4550C21B">
            <w:pPr>
              <w:pStyle w:val="41"/>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区域空气质量现状评价表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711"/>
              <w:gridCol w:w="1454"/>
              <w:gridCol w:w="1289"/>
              <w:gridCol w:w="1207"/>
              <w:gridCol w:w="1044"/>
            </w:tblGrid>
            <w:tr w14:paraId="55BB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67" w:type="pct"/>
                  <w:tcBorders>
                    <w:tl2br w:val="nil"/>
                    <w:tr2bl w:val="nil"/>
                  </w:tcBorders>
                  <w:noWrap w:val="0"/>
                  <w:vAlign w:val="center"/>
                </w:tcPr>
                <w:p w14:paraId="0F0BA4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污染物</w:t>
                  </w:r>
                </w:p>
              </w:tc>
              <w:tc>
                <w:tcPr>
                  <w:tcW w:w="1559" w:type="pct"/>
                  <w:tcBorders>
                    <w:tl2br w:val="nil"/>
                    <w:tr2bl w:val="nil"/>
                  </w:tcBorders>
                  <w:noWrap w:val="0"/>
                  <w:vAlign w:val="center"/>
                </w:tcPr>
                <w:p w14:paraId="529563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en-US" w:eastAsia="zh-CN"/>
                    </w:rPr>
                    <w:t>平均时间</w:t>
                  </w:r>
                </w:p>
              </w:tc>
              <w:tc>
                <w:tcPr>
                  <w:tcW w:w="836" w:type="pct"/>
                  <w:tcBorders>
                    <w:tl2br w:val="nil"/>
                    <w:tr2bl w:val="nil"/>
                  </w:tcBorders>
                  <w:noWrap w:val="0"/>
                  <w:vAlign w:val="center"/>
                </w:tcPr>
                <w:p w14:paraId="76EC37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现状浓度/（μg/m</w:t>
                  </w:r>
                  <w:r>
                    <w:rPr>
                      <w:rFonts w:hint="default" w:ascii="Times New Roman" w:hAnsi="Times New Roman" w:eastAsia="宋体" w:cs="Times New Roman"/>
                      <w:b/>
                      <w:bCs/>
                      <w:color w:val="auto"/>
                      <w:szCs w:val="21"/>
                      <w:highlight w:val="none"/>
                      <w:vertAlign w:val="superscript"/>
                      <w:lang w:val="zh-CN" w:eastAsia="zh-CN"/>
                    </w:rPr>
                    <w:t>3</w:t>
                  </w:r>
                  <w:r>
                    <w:rPr>
                      <w:rFonts w:hint="default" w:ascii="Times New Roman" w:hAnsi="Times New Roman" w:eastAsia="宋体" w:cs="Times New Roman"/>
                      <w:b/>
                      <w:bCs/>
                      <w:color w:val="auto"/>
                      <w:szCs w:val="21"/>
                      <w:highlight w:val="none"/>
                      <w:lang w:val="zh-CN" w:eastAsia="zh-CN"/>
                    </w:rPr>
                    <w:t>）</w:t>
                  </w:r>
                </w:p>
              </w:tc>
              <w:tc>
                <w:tcPr>
                  <w:tcW w:w="741" w:type="pct"/>
                  <w:tcBorders>
                    <w:tl2br w:val="nil"/>
                    <w:tr2bl w:val="nil"/>
                  </w:tcBorders>
                  <w:noWrap w:val="0"/>
                  <w:vAlign w:val="center"/>
                </w:tcPr>
                <w:p w14:paraId="43F6BC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标准值/</w:t>
                  </w:r>
                </w:p>
                <w:p w14:paraId="72220F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（μg/m</w:t>
                  </w:r>
                  <w:r>
                    <w:rPr>
                      <w:rFonts w:hint="default" w:ascii="Times New Roman" w:hAnsi="Times New Roman" w:eastAsia="宋体" w:cs="Times New Roman"/>
                      <w:b/>
                      <w:bCs/>
                      <w:color w:val="auto"/>
                      <w:szCs w:val="21"/>
                      <w:highlight w:val="none"/>
                      <w:vertAlign w:val="superscript"/>
                      <w:lang w:val="zh-CN" w:eastAsia="zh-CN"/>
                    </w:rPr>
                    <w:t>3</w:t>
                  </w:r>
                  <w:r>
                    <w:rPr>
                      <w:rFonts w:hint="default" w:ascii="Times New Roman" w:hAnsi="Times New Roman" w:eastAsia="宋体" w:cs="Times New Roman"/>
                      <w:b/>
                      <w:bCs/>
                      <w:color w:val="auto"/>
                      <w:szCs w:val="21"/>
                      <w:highlight w:val="none"/>
                      <w:lang w:val="zh-CN" w:eastAsia="zh-CN"/>
                    </w:rPr>
                    <w:t>）</w:t>
                  </w:r>
                </w:p>
              </w:tc>
              <w:tc>
                <w:tcPr>
                  <w:tcW w:w="694" w:type="pct"/>
                  <w:tcBorders>
                    <w:tl2br w:val="nil"/>
                    <w:tr2bl w:val="nil"/>
                  </w:tcBorders>
                  <w:noWrap w:val="0"/>
                  <w:vAlign w:val="center"/>
                </w:tcPr>
                <w:p w14:paraId="47B5C3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占标率/%</w:t>
                  </w:r>
                </w:p>
              </w:tc>
              <w:tc>
                <w:tcPr>
                  <w:tcW w:w="600" w:type="pct"/>
                  <w:tcBorders>
                    <w:tl2br w:val="nil"/>
                    <w:tr2bl w:val="nil"/>
                  </w:tcBorders>
                  <w:noWrap w:val="0"/>
                  <w:vAlign w:val="center"/>
                </w:tcPr>
                <w:p w14:paraId="550B8C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达标</w:t>
                  </w:r>
                </w:p>
                <w:p w14:paraId="03756D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zh-CN" w:eastAsia="zh-CN"/>
                    </w:rPr>
                    <w:t>情况</w:t>
                  </w:r>
                </w:p>
              </w:tc>
            </w:tr>
            <w:tr w14:paraId="2196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67" w:type="pct"/>
                  <w:tcBorders>
                    <w:tl2br w:val="nil"/>
                    <w:tr2bl w:val="nil"/>
                  </w:tcBorders>
                  <w:noWrap w:val="0"/>
                  <w:vAlign w:val="center"/>
                </w:tcPr>
                <w:p w14:paraId="620176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SO</w:t>
                  </w:r>
                  <w:r>
                    <w:rPr>
                      <w:rFonts w:hint="default" w:ascii="Times New Roman" w:hAnsi="Times New Roman" w:eastAsia="宋体" w:cs="Times New Roman"/>
                      <w:color w:val="auto"/>
                      <w:szCs w:val="21"/>
                      <w:highlight w:val="none"/>
                      <w:vertAlign w:val="subscript"/>
                      <w:lang w:val="en-US" w:eastAsia="zh-CN"/>
                    </w:rPr>
                    <w:t>2</w:t>
                  </w:r>
                </w:p>
              </w:tc>
              <w:tc>
                <w:tcPr>
                  <w:tcW w:w="1559" w:type="pct"/>
                  <w:tcBorders>
                    <w:tl2br w:val="nil"/>
                    <w:tr2bl w:val="nil"/>
                  </w:tcBorders>
                  <w:noWrap w:val="0"/>
                  <w:vAlign w:val="center"/>
                </w:tcPr>
                <w:p w14:paraId="5CCE77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年平均质量浓度</w:t>
                  </w:r>
                </w:p>
              </w:tc>
              <w:tc>
                <w:tcPr>
                  <w:tcW w:w="836" w:type="pct"/>
                  <w:tcBorders>
                    <w:tl2br w:val="nil"/>
                    <w:tr2bl w:val="nil"/>
                  </w:tcBorders>
                  <w:noWrap w:val="0"/>
                  <w:vAlign w:val="center"/>
                </w:tcPr>
                <w:p w14:paraId="5FFF2B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w:t>
                  </w:r>
                </w:p>
              </w:tc>
              <w:tc>
                <w:tcPr>
                  <w:tcW w:w="741" w:type="pct"/>
                  <w:tcBorders>
                    <w:tl2br w:val="nil"/>
                    <w:tr2bl w:val="nil"/>
                  </w:tcBorders>
                  <w:noWrap w:val="0"/>
                  <w:vAlign w:val="center"/>
                </w:tcPr>
                <w:p w14:paraId="01DB4A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60</w:t>
                  </w:r>
                </w:p>
              </w:tc>
              <w:tc>
                <w:tcPr>
                  <w:tcW w:w="694" w:type="pct"/>
                  <w:tcBorders>
                    <w:tl2br w:val="nil"/>
                    <w:tr2bl w:val="nil"/>
                  </w:tcBorders>
                  <w:noWrap w:val="0"/>
                  <w:vAlign w:val="center"/>
                </w:tcPr>
                <w:p w14:paraId="4B0A0C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3.3</w:t>
                  </w:r>
                </w:p>
              </w:tc>
              <w:tc>
                <w:tcPr>
                  <w:tcW w:w="600" w:type="pct"/>
                  <w:tcBorders>
                    <w:tl2br w:val="nil"/>
                    <w:tr2bl w:val="nil"/>
                  </w:tcBorders>
                  <w:noWrap w:val="0"/>
                  <w:vAlign w:val="center"/>
                </w:tcPr>
                <w:p w14:paraId="1A1F46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r w14:paraId="565E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67" w:type="pct"/>
                  <w:tcBorders>
                    <w:tl2br w:val="nil"/>
                    <w:tr2bl w:val="nil"/>
                  </w:tcBorders>
                  <w:noWrap w:val="0"/>
                  <w:vAlign w:val="center"/>
                </w:tcPr>
                <w:p w14:paraId="6B6D6E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NO</w:t>
                  </w:r>
                  <w:r>
                    <w:rPr>
                      <w:rFonts w:hint="default" w:ascii="Times New Roman" w:hAnsi="Times New Roman" w:eastAsia="宋体" w:cs="Times New Roman"/>
                      <w:color w:val="auto"/>
                      <w:szCs w:val="21"/>
                      <w:highlight w:val="none"/>
                      <w:vertAlign w:val="subscript"/>
                      <w:lang w:val="en-US" w:eastAsia="zh-CN"/>
                    </w:rPr>
                    <w:t>2</w:t>
                  </w:r>
                </w:p>
              </w:tc>
              <w:tc>
                <w:tcPr>
                  <w:tcW w:w="1559" w:type="pct"/>
                  <w:tcBorders>
                    <w:tl2br w:val="nil"/>
                    <w:tr2bl w:val="nil"/>
                  </w:tcBorders>
                  <w:noWrap w:val="0"/>
                  <w:vAlign w:val="center"/>
                </w:tcPr>
                <w:p w14:paraId="2C492F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年平均质量浓度</w:t>
                  </w:r>
                </w:p>
              </w:tc>
              <w:tc>
                <w:tcPr>
                  <w:tcW w:w="836" w:type="pct"/>
                  <w:tcBorders>
                    <w:tl2br w:val="nil"/>
                    <w:tr2bl w:val="nil"/>
                  </w:tcBorders>
                  <w:noWrap w:val="0"/>
                  <w:vAlign w:val="center"/>
                </w:tcPr>
                <w:p w14:paraId="705FAD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17</w:t>
                  </w:r>
                </w:p>
              </w:tc>
              <w:tc>
                <w:tcPr>
                  <w:tcW w:w="741" w:type="pct"/>
                  <w:tcBorders>
                    <w:tl2br w:val="nil"/>
                    <w:tr2bl w:val="nil"/>
                  </w:tcBorders>
                  <w:noWrap w:val="0"/>
                  <w:vAlign w:val="center"/>
                </w:tcPr>
                <w:p w14:paraId="6DE549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w:t>
                  </w:r>
                </w:p>
              </w:tc>
              <w:tc>
                <w:tcPr>
                  <w:tcW w:w="694" w:type="pct"/>
                  <w:tcBorders>
                    <w:tl2br w:val="nil"/>
                    <w:tr2bl w:val="nil"/>
                  </w:tcBorders>
                  <w:noWrap w:val="0"/>
                  <w:vAlign w:val="center"/>
                </w:tcPr>
                <w:p w14:paraId="70FB52C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42.5</w:t>
                  </w:r>
                </w:p>
              </w:tc>
              <w:tc>
                <w:tcPr>
                  <w:tcW w:w="600" w:type="pct"/>
                  <w:tcBorders>
                    <w:tl2br w:val="nil"/>
                    <w:tr2bl w:val="nil"/>
                  </w:tcBorders>
                  <w:noWrap w:val="0"/>
                  <w:vAlign w:val="center"/>
                </w:tcPr>
                <w:p w14:paraId="49EC69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r w14:paraId="4749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67" w:type="pct"/>
                  <w:tcBorders>
                    <w:tl2br w:val="nil"/>
                    <w:tr2bl w:val="nil"/>
                  </w:tcBorders>
                  <w:noWrap w:val="0"/>
                  <w:vAlign w:val="center"/>
                </w:tcPr>
                <w:p w14:paraId="47CEB2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PM</w:t>
                  </w:r>
                  <w:r>
                    <w:rPr>
                      <w:rFonts w:hint="default" w:ascii="Times New Roman" w:hAnsi="Times New Roman" w:eastAsia="宋体" w:cs="Times New Roman"/>
                      <w:color w:val="auto"/>
                      <w:szCs w:val="21"/>
                      <w:highlight w:val="none"/>
                      <w:vertAlign w:val="subscript"/>
                      <w:lang w:val="en-US" w:eastAsia="zh-CN"/>
                    </w:rPr>
                    <w:t>10</w:t>
                  </w:r>
                </w:p>
              </w:tc>
              <w:tc>
                <w:tcPr>
                  <w:tcW w:w="1559" w:type="pct"/>
                  <w:tcBorders>
                    <w:tl2br w:val="nil"/>
                    <w:tr2bl w:val="nil"/>
                  </w:tcBorders>
                  <w:noWrap w:val="0"/>
                  <w:vAlign w:val="center"/>
                </w:tcPr>
                <w:p w14:paraId="3322EE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年平均质量浓度</w:t>
                  </w:r>
                </w:p>
              </w:tc>
              <w:tc>
                <w:tcPr>
                  <w:tcW w:w="836" w:type="pct"/>
                  <w:tcBorders>
                    <w:tl2br w:val="nil"/>
                    <w:tr2bl w:val="nil"/>
                  </w:tcBorders>
                  <w:noWrap w:val="0"/>
                  <w:vAlign w:val="center"/>
                </w:tcPr>
                <w:p w14:paraId="174263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54</w:t>
                  </w:r>
                </w:p>
              </w:tc>
              <w:tc>
                <w:tcPr>
                  <w:tcW w:w="741" w:type="pct"/>
                  <w:tcBorders>
                    <w:tl2br w:val="nil"/>
                    <w:tr2bl w:val="nil"/>
                  </w:tcBorders>
                  <w:noWrap w:val="0"/>
                  <w:vAlign w:val="center"/>
                </w:tcPr>
                <w:p w14:paraId="1F8C26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60</w:t>
                  </w:r>
                </w:p>
              </w:tc>
              <w:tc>
                <w:tcPr>
                  <w:tcW w:w="694" w:type="pct"/>
                  <w:tcBorders>
                    <w:tl2br w:val="nil"/>
                    <w:tr2bl w:val="nil"/>
                  </w:tcBorders>
                  <w:noWrap w:val="0"/>
                  <w:vAlign w:val="center"/>
                </w:tcPr>
                <w:p w14:paraId="43A82D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90</w:t>
                  </w:r>
                </w:p>
              </w:tc>
              <w:tc>
                <w:tcPr>
                  <w:tcW w:w="600" w:type="pct"/>
                  <w:tcBorders>
                    <w:tl2br w:val="nil"/>
                    <w:tr2bl w:val="nil"/>
                  </w:tcBorders>
                  <w:noWrap w:val="0"/>
                  <w:vAlign w:val="center"/>
                </w:tcPr>
                <w:p w14:paraId="35F27E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r w14:paraId="591E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67" w:type="pct"/>
                  <w:tcBorders>
                    <w:tl2br w:val="nil"/>
                    <w:tr2bl w:val="nil"/>
                  </w:tcBorders>
                  <w:noWrap w:val="0"/>
                  <w:vAlign w:val="center"/>
                </w:tcPr>
                <w:p w14:paraId="749E23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PM</w:t>
                  </w:r>
                  <w:r>
                    <w:rPr>
                      <w:rFonts w:hint="default" w:ascii="Times New Roman" w:hAnsi="Times New Roman" w:eastAsia="宋体" w:cs="Times New Roman"/>
                      <w:color w:val="auto"/>
                      <w:szCs w:val="21"/>
                      <w:highlight w:val="none"/>
                      <w:vertAlign w:val="subscript"/>
                      <w:lang w:val="en-US" w:eastAsia="zh-CN"/>
                    </w:rPr>
                    <w:t>2.5</w:t>
                  </w:r>
                </w:p>
              </w:tc>
              <w:tc>
                <w:tcPr>
                  <w:tcW w:w="1559" w:type="pct"/>
                  <w:tcBorders>
                    <w:tl2br w:val="nil"/>
                    <w:tr2bl w:val="nil"/>
                  </w:tcBorders>
                  <w:noWrap w:val="0"/>
                  <w:vAlign w:val="center"/>
                </w:tcPr>
                <w:p w14:paraId="31BDFB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年平均质量浓度</w:t>
                  </w:r>
                </w:p>
              </w:tc>
              <w:tc>
                <w:tcPr>
                  <w:tcW w:w="836" w:type="pct"/>
                  <w:tcBorders>
                    <w:tl2br w:val="nil"/>
                    <w:tr2bl w:val="nil"/>
                  </w:tcBorders>
                  <w:noWrap w:val="0"/>
                  <w:vAlign w:val="center"/>
                </w:tcPr>
                <w:p w14:paraId="748163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741" w:type="pct"/>
                  <w:tcBorders>
                    <w:tl2br w:val="nil"/>
                    <w:tr2bl w:val="nil"/>
                  </w:tcBorders>
                  <w:noWrap w:val="0"/>
                  <w:vAlign w:val="center"/>
                </w:tcPr>
                <w:p w14:paraId="73746B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30</w:t>
                  </w:r>
                </w:p>
              </w:tc>
              <w:tc>
                <w:tcPr>
                  <w:tcW w:w="694" w:type="pct"/>
                  <w:tcBorders>
                    <w:tl2br w:val="nil"/>
                    <w:tr2bl w:val="nil"/>
                  </w:tcBorders>
                  <w:noWrap w:val="0"/>
                  <w:vAlign w:val="center"/>
                </w:tcPr>
                <w:p w14:paraId="472C42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83.3</w:t>
                  </w:r>
                </w:p>
              </w:tc>
              <w:tc>
                <w:tcPr>
                  <w:tcW w:w="600" w:type="pct"/>
                  <w:tcBorders>
                    <w:tl2br w:val="nil"/>
                    <w:tr2bl w:val="nil"/>
                  </w:tcBorders>
                  <w:noWrap w:val="0"/>
                  <w:vAlign w:val="center"/>
                </w:tcPr>
                <w:p w14:paraId="5CAAD7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r w14:paraId="1453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67" w:type="pct"/>
                  <w:tcBorders>
                    <w:tl2br w:val="nil"/>
                    <w:tr2bl w:val="nil"/>
                  </w:tcBorders>
                  <w:noWrap w:val="0"/>
                  <w:vAlign w:val="center"/>
                </w:tcPr>
                <w:p w14:paraId="1CFAE2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CO</w:t>
                  </w:r>
                </w:p>
              </w:tc>
              <w:tc>
                <w:tcPr>
                  <w:tcW w:w="1559" w:type="pct"/>
                  <w:tcBorders>
                    <w:tl2br w:val="nil"/>
                    <w:tr2bl w:val="nil"/>
                  </w:tcBorders>
                  <w:noWrap w:val="0"/>
                  <w:vAlign w:val="center"/>
                </w:tcPr>
                <w:p w14:paraId="0FAE80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日均值第95百分位数</w:t>
                  </w:r>
                </w:p>
              </w:tc>
              <w:tc>
                <w:tcPr>
                  <w:tcW w:w="836" w:type="pct"/>
                  <w:tcBorders>
                    <w:tl2br w:val="nil"/>
                    <w:tr2bl w:val="nil"/>
                  </w:tcBorders>
                  <w:noWrap w:val="0"/>
                  <w:vAlign w:val="center"/>
                </w:tcPr>
                <w:p w14:paraId="2E152C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800</w:t>
                  </w:r>
                </w:p>
              </w:tc>
              <w:tc>
                <w:tcPr>
                  <w:tcW w:w="741" w:type="pct"/>
                  <w:tcBorders>
                    <w:tl2br w:val="nil"/>
                    <w:tr2bl w:val="nil"/>
                  </w:tcBorders>
                  <w:noWrap w:val="0"/>
                  <w:vAlign w:val="center"/>
                </w:tcPr>
                <w:p w14:paraId="108538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4000</w:t>
                  </w:r>
                </w:p>
              </w:tc>
              <w:tc>
                <w:tcPr>
                  <w:tcW w:w="694" w:type="pct"/>
                  <w:tcBorders>
                    <w:tl2br w:val="nil"/>
                    <w:tr2bl w:val="nil"/>
                  </w:tcBorders>
                  <w:noWrap w:val="0"/>
                  <w:vAlign w:val="center"/>
                </w:tcPr>
                <w:p w14:paraId="69560B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w:t>
                  </w:r>
                </w:p>
              </w:tc>
              <w:tc>
                <w:tcPr>
                  <w:tcW w:w="600" w:type="pct"/>
                  <w:tcBorders>
                    <w:tl2br w:val="nil"/>
                    <w:tr2bl w:val="nil"/>
                  </w:tcBorders>
                  <w:noWrap w:val="0"/>
                  <w:vAlign w:val="center"/>
                </w:tcPr>
                <w:p w14:paraId="3FA1C6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r w14:paraId="25A8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67" w:type="pct"/>
                  <w:tcBorders>
                    <w:tl2br w:val="nil"/>
                    <w:tr2bl w:val="nil"/>
                  </w:tcBorders>
                  <w:noWrap w:val="0"/>
                  <w:vAlign w:val="center"/>
                </w:tcPr>
                <w:p w14:paraId="62B2B7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O</w:t>
                  </w:r>
                  <w:r>
                    <w:rPr>
                      <w:rFonts w:hint="default" w:ascii="Times New Roman" w:hAnsi="Times New Roman" w:eastAsia="宋体" w:cs="Times New Roman"/>
                      <w:color w:val="auto"/>
                      <w:szCs w:val="21"/>
                      <w:highlight w:val="none"/>
                      <w:vertAlign w:val="subscript"/>
                      <w:lang w:val="en-US" w:eastAsia="zh-CN"/>
                    </w:rPr>
                    <w:t>3</w:t>
                  </w:r>
                </w:p>
              </w:tc>
              <w:tc>
                <w:tcPr>
                  <w:tcW w:w="1559" w:type="pct"/>
                  <w:tcBorders>
                    <w:tl2br w:val="nil"/>
                    <w:tr2bl w:val="nil"/>
                  </w:tcBorders>
                  <w:noWrap w:val="0"/>
                  <w:vAlign w:val="center"/>
                </w:tcPr>
                <w:p w14:paraId="2555C4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日最大8小时平均第90百分位数</w:t>
                  </w:r>
                </w:p>
              </w:tc>
              <w:tc>
                <w:tcPr>
                  <w:tcW w:w="836" w:type="pct"/>
                  <w:tcBorders>
                    <w:tl2br w:val="nil"/>
                    <w:tr2bl w:val="nil"/>
                  </w:tcBorders>
                  <w:noWrap w:val="0"/>
                  <w:vAlign w:val="center"/>
                </w:tcPr>
                <w:p w14:paraId="1A8E7F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40</w:t>
                  </w:r>
                </w:p>
              </w:tc>
              <w:tc>
                <w:tcPr>
                  <w:tcW w:w="741" w:type="pct"/>
                  <w:tcBorders>
                    <w:tl2br w:val="nil"/>
                    <w:tr2bl w:val="nil"/>
                  </w:tcBorders>
                  <w:noWrap w:val="0"/>
                  <w:vAlign w:val="center"/>
                </w:tcPr>
                <w:p w14:paraId="1D1152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160</w:t>
                  </w:r>
                </w:p>
              </w:tc>
              <w:tc>
                <w:tcPr>
                  <w:tcW w:w="694" w:type="pct"/>
                  <w:tcBorders>
                    <w:tl2br w:val="nil"/>
                    <w:tr2bl w:val="nil"/>
                  </w:tcBorders>
                  <w:noWrap w:val="0"/>
                  <w:vAlign w:val="center"/>
                </w:tcPr>
                <w:p w14:paraId="43A1C3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87.5</w:t>
                  </w:r>
                </w:p>
              </w:tc>
              <w:tc>
                <w:tcPr>
                  <w:tcW w:w="600" w:type="pct"/>
                  <w:tcBorders>
                    <w:tl2br w:val="nil"/>
                    <w:tr2bl w:val="nil"/>
                  </w:tcBorders>
                  <w:noWrap w:val="0"/>
                  <w:vAlign w:val="center"/>
                </w:tcPr>
                <w:p w14:paraId="44A34E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r>
          </w:tbl>
          <w:p w14:paraId="02EAE5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sz w:val="24"/>
                <w:szCs w:val="22"/>
                <w:highlight w:val="none"/>
                <w:lang w:val="en-US" w:eastAsia="zh-CN"/>
              </w:rPr>
            </w:pPr>
            <w:r>
              <w:rPr>
                <w:rFonts w:hint="default" w:ascii="Times New Roman" w:hAnsi="Times New Roman" w:eastAsia="宋体" w:cs="Times New Roman"/>
                <w:color w:val="0000FF"/>
                <w:sz w:val="24"/>
                <w:szCs w:val="22"/>
                <w:highlight w:val="none"/>
                <w:lang w:val="en-US" w:eastAsia="zh-CN"/>
              </w:rPr>
              <w:t>根据上述结果表明，202</w:t>
            </w:r>
            <w:r>
              <w:rPr>
                <w:rFonts w:hint="eastAsia" w:cs="Times New Roman"/>
                <w:color w:val="0000FF"/>
                <w:sz w:val="24"/>
                <w:szCs w:val="22"/>
                <w:highlight w:val="none"/>
                <w:lang w:val="en-US" w:eastAsia="zh-CN"/>
              </w:rPr>
              <w:t>4</w:t>
            </w:r>
            <w:r>
              <w:rPr>
                <w:rFonts w:hint="default" w:ascii="Times New Roman" w:hAnsi="Times New Roman" w:eastAsia="宋体" w:cs="Times New Roman"/>
                <w:color w:val="0000FF"/>
                <w:sz w:val="24"/>
                <w:szCs w:val="22"/>
                <w:highlight w:val="none"/>
                <w:lang w:val="en-US" w:eastAsia="zh-CN"/>
              </w:rPr>
              <w:t>年张掖市环境空气质量六项污染物均值浓度均满足</w:t>
            </w:r>
            <w:r>
              <w:rPr>
                <w:rFonts w:hint="eastAsia" w:cs="Times New Roman"/>
                <w:color w:val="0000FF"/>
                <w:sz w:val="24"/>
                <w:szCs w:val="22"/>
                <w:highlight w:val="none"/>
                <w:lang w:val="en-US" w:eastAsia="zh-CN"/>
              </w:rPr>
              <w:t>《环境空气质量标准》（GB3095-2026）中过渡阶段二级标准限值要求</w:t>
            </w:r>
            <w:r>
              <w:rPr>
                <w:rFonts w:hint="default" w:ascii="Times New Roman" w:hAnsi="Times New Roman" w:eastAsia="宋体" w:cs="Times New Roman"/>
                <w:color w:val="0000FF"/>
                <w:sz w:val="24"/>
                <w:szCs w:val="22"/>
                <w:highlight w:val="none"/>
                <w:lang w:val="en-US" w:eastAsia="zh-CN"/>
              </w:rPr>
              <w:t>。因此，以202</w:t>
            </w:r>
            <w:r>
              <w:rPr>
                <w:rFonts w:hint="eastAsia" w:cs="Times New Roman"/>
                <w:color w:val="0000FF"/>
                <w:sz w:val="24"/>
                <w:szCs w:val="22"/>
                <w:highlight w:val="none"/>
                <w:lang w:val="en-US" w:eastAsia="zh-CN"/>
              </w:rPr>
              <w:t>4</w:t>
            </w:r>
            <w:r>
              <w:rPr>
                <w:rFonts w:hint="default" w:ascii="Times New Roman" w:hAnsi="Times New Roman" w:eastAsia="宋体" w:cs="Times New Roman"/>
                <w:color w:val="0000FF"/>
                <w:sz w:val="24"/>
                <w:szCs w:val="22"/>
                <w:highlight w:val="none"/>
                <w:lang w:val="en-US" w:eastAsia="zh-CN"/>
              </w:rPr>
              <w:t>年为评价基准年，张掖市为环境空气质量达标区。</w:t>
            </w:r>
          </w:p>
          <w:p w14:paraId="6AB5291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.3声环境质量现状</w:t>
            </w:r>
          </w:p>
          <w:p w14:paraId="3AB8A0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经过现场调查，本项目占地范围内</w:t>
            </w:r>
            <w:r>
              <w:rPr>
                <w:rFonts w:hint="eastAsia" w:cs="Times New Roman"/>
                <w:color w:val="auto"/>
                <w:sz w:val="24"/>
                <w:szCs w:val="22"/>
                <w:highlight w:val="none"/>
                <w:lang w:val="en-US" w:eastAsia="zh-CN"/>
              </w:rPr>
              <w:t>200</w:t>
            </w:r>
            <w:r>
              <w:rPr>
                <w:rFonts w:hint="default" w:ascii="Times New Roman" w:hAnsi="Times New Roman" w:eastAsia="宋体" w:cs="Times New Roman"/>
                <w:color w:val="auto"/>
                <w:sz w:val="24"/>
                <w:szCs w:val="22"/>
                <w:highlight w:val="none"/>
                <w:lang w:val="en-US" w:eastAsia="zh-CN"/>
              </w:rPr>
              <w:t>m范围内无声环境敏感目标，根据《甘肃省生态环境状况公报（202</w:t>
            </w:r>
            <w:r>
              <w:rPr>
                <w:rFonts w:hint="eastAsia"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lang w:val="en-US" w:eastAsia="zh-CN"/>
              </w:rPr>
              <w:t>年）》，项目所在地张掖市声环境质量较好。</w:t>
            </w:r>
          </w:p>
          <w:p w14:paraId="52D6D0E4">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2"/>
                <w:highlight w:val="none"/>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.4地表水环境质量现状</w:t>
            </w:r>
          </w:p>
          <w:p w14:paraId="34536BB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详见地表水专章。</w:t>
            </w:r>
          </w:p>
          <w:p w14:paraId="28489B1A">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Segoe UI Symbol" w:hAnsi="Segoe UI Symbol" w:eastAsia="宋体" w:cs="Segoe UI Symbol"/>
                <w:i w:val="0"/>
                <w:iCs w:val="0"/>
                <w:caps w:val="0"/>
                <w:color w:val="000000"/>
                <w:spacing w:val="0"/>
                <w:sz w:val="24"/>
                <w:szCs w:val="24"/>
                <w:lang w:val="en-US" w:eastAsia="zh-CN"/>
              </w:rPr>
            </w:pPr>
            <w:r>
              <w:rPr>
                <w:rFonts w:hint="default" w:ascii="Segoe UI Symbol" w:hAnsi="Segoe UI Symbol" w:eastAsia="Segoe UI Symbol" w:cs="Segoe UI Symbol"/>
                <w:i w:val="0"/>
                <w:iCs w:val="0"/>
                <w:caps w:val="0"/>
                <w:color w:val="000000"/>
                <w:spacing w:val="0"/>
                <w:sz w:val="24"/>
                <w:szCs w:val="24"/>
              </w:rPr>
              <w:t>根据《建设项目环境影响报告表编制指南（生态影响类）（试行）》，</w:t>
            </w:r>
            <w:r>
              <w:rPr>
                <w:rFonts w:hint="eastAsia" w:ascii="Segoe UI Symbol" w:hAnsi="Segoe UI Symbol" w:eastAsia="宋体" w:cs="Segoe UI Symbol"/>
                <w:i w:val="0"/>
                <w:iCs w:val="0"/>
                <w:caps w:val="0"/>
                <w:color w:val="000000"/>
                <w:spacing w:val="0"/>
                <w:sz w:val="24"/>
                <w:szCs w:val="24"/>
                <w:lang w:eastAsia="zh-CN"/>
              </w:rPr>
              <w:t>水、</w:t>
            </w:r>
            <w:r>
              <w:rPr>
                <w:rFonts w:hint="default" w:ascii="Segoe UI Symbol" w:hAnsi="Segoe UI Symbol" w:eastAsia="Segoe UI Symbol" w:cs="Segoe UI Symbol"/>
                <w:i w:val="0"/>
                <w:iCs w:val="0"/>
                <w:caps w:val="0"/>
                <w:color w:val="000000"/>
                <w:spacing w:val="0"/>
                <w:sz w:val="24"/>
                <w:szCs w:val="24"/>
              </w:rPr>
              <w:t>土壤环境要素参照相关技术导则开展补充监测与调查。本项目为园区内水库工程，承担园区工业用水保障功能，</w:t>
            </w:r>
            <w:r>
              <w:rPr>
                <w:rFonts w:hint="eastAsia" w:ascii="Segoe UI Symbol" w:hAnsi="Segoe UI Symbol" w:eastAsia="宋体" w:cs="Segoe UI Symbol"/>
                <w:i w:val="0"/>
                <w:iCs w:val="0"/>
                <w:caps w:val="0"/>
                <w:color w:val="000000"/>
                <w:spacing w:val="0"/>
                <w:sz w:val="24"/>
                <w:szCs w:val="24"/>
                <w:lang w:eastAsia="zh-CN"/>
              </w:rPr>
              <w:t>且</w:t>
            </w:r>
            <w:r>
              <w:rPr>
                <w:rFonts w:hint="default" w:ascii="宋体" w:hAnsi="宋体" w:eastAsia="宋体" w:cs="宋体"/>
                <w:sz w:val="24"/>
                <w:szCs w:val="24"/>
              </w:rPr>
              <w:t>运营期可能导致周边地下水位抬升，进而引发区域土壤盐渍化风险。</w:t>
            </w:r>
            <w:r>
              <w:rPr>
                <w:rFonts w:hint="default" w:ascii="Segoe UI Symbol" w:hAnsi="Segoe UI Symbol" w:eastAsia="Segoe UI Symbol" w:cs="Segoe UI Symbol"/>
                <w:i w:val="0"/>
                <w:iCs w:val="0"/>
                <w:caps w:val="0"/>
                <w:color w:val="000000"/>
                <w:spacing w:val="0"/>
                <w:sz w:val="24"/>
                <w:szCs w:val="24"/>
              </w:rPr>
              <w:t>故按导则要求开展土壤</w:t>
            </w:r>
            <w:r>
              <w:rPr>
                <w:rFonts w:hint="eastAsia" w:ascii="Segoe UI Symbol" w:hAnsi="Segoe UI Symbol" w:eastAsia="宋体" w:cs="Segoe UI Symbol"/>
                <w:i w:val="0"/>
                <w:iCs w:val="0"/>
                <w:caps w:val="0"/>
                <w:color w:val="000000"/>
                <w:spacing w:val="0"/>
                <w:sz w:val="24"/>
                <w:szCs w:val="24"/>
                <w:lang w:eastAsia="zh-CN"/>
              </w:rPr>
              <w:t>质量现状、地下水水位</w:t>
            </w:r>
            <w:r>
              <w:rPr>
                <w:rFonts w:hint="default" w:ascii="Segoe UI Symbol" w:hAnsi="Segoe UI Symbol" w:eastAsia="Segoe UI Symbol" w:cs="Segoe UI Symbol"/>
                <w:i w:val="0"/>
                <w:iCs w:val="0"/>
                <w:caps w:val="0"/>
                <w:color w:val="000000"/>
                <w:spacing w:val="0"/>
                <w:sz w:val="24"/>
                <w:szCs w:val="24"/>
              </w:rPr>
              <w:t>现状监测，结果作为环境背景值留存</w:t>
            </w:r>
            <w:r>
              <w:rPr>
                <w:rFonts w:hint="eastAsia" w:ascii="Segoe UI Symbol" w:hAnsi="Segoe UI Symbol" w:eastAsia="宋体" w:cs="Segoe UI Symbol"/>
                <w:i w:val="0"/>
                <w:iCs w:val="0"/>
                <w:caps w:val="0"/>
                <w:color w:val="000000"/>
                <w:spacing w:val="0"/>
                <w:sz w:val="24"/>
                <w:szCs w:val="24"/>
                <w:lang w:eastAsia="zh-CN"/>
              </w:rPr>
              <w:t>，监测</w:t>
            </w:r>
            <w:r>
              <w:rPr>
                <w:rFonts w:hint="eastAsia" w:ascii="Segoe UI Symbol" w:hAnsi="Segoe UI Symbol" w:eastAsia="宋体" w:cs="Segoe UI Symbol"/>
                <w:i w:val="0"/>
                <w:iCs w:val="0"/>
                <w:caps w:val="0"/>
                <w:color w:val="auto"/>
                <w:spacing w:val="0"/>
                <w:sz w:val="24"/>
                <w:szCs w:val="24"/>
                <w:lang w:eastAsia="zh-CN"/>
              </w:rPr>
              <w:t>点位图</w:t>
            </w:r>
            <w:r>
              <w:rPr>
                <w:rFonts w:hint="default" w:ascii="Times New Roman" w:hAnsi="Times New Roman" w:eastAsia="宋体" w:cs="Times New Roman"/>
                <w:b w:val="0"/>
                <w:bCs w:val="0"/>
                <w:i w:val="0"/>
                <w:iCs w:val="0"/>
                <w:caps w:val="0"/>
                <w:color w:val="auto"/>
                <w:spacing w:val="0"/>
                <w:sz w:val="24"/>
                <w:szCs w:val="24"/>
                <w:lang w:eastAsia="zh-CN"/>
              </w:rPr>
              <w:t>见附图</w:t>
            </w:r>
            <w:r>
              <w:rPr>
                <w:rFonts w:hint="default" w:ascii="Times New Roman" w:hAnsi="Times New Roman" w:eastAsia="宋体" w:cs="Times New Roman"/>
                <w:b w:val="0"/>
                <w:bCs w:val="0"/>
                <w:i w:val="0"/>
                <w:iCs w:val="0"/>
                <w:caps w:val="0"/>
                <w:color w:val="auto"/>
                <w:spacing w:val="0"/>
                <w:sz w:val="24"/>
                <w:szCs w:val="24"/>
                <w:lang w:val="en-US" w:eastAsia="zh-CN"/>
              </w:rPr>
              <w:t>15。</w:t>
            </w:r>
          </w:p>
          <w:p w14:paraId="38C6F21A">
            <w:pPr>
              <w:pStyle w:val="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.5地下水水位现状监测</w:t>
            </w:r>
          </w:p>
          <w:p w14:paraId="3D98A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Segoe UI Symbol" w:hAnsi="Segoe UI Symbol" w:eastAsia="Segoe UI Symbol" w:cs="Segoe UI Symbol"/>
                <w:i w:val="0"/>
                <w:iCs w:val="0"/>
                <w:caps w:val="0"/>
                <w:color w:val="000000"/>
                <w:spacing w:val="0"/>
                <w:kern w:val="2"/>
                <w:sz w:val="24"/>
                <w:szCs w:val="24"/>
                <w:lang w:val="en-US" w:eastAsia="zh-CN" w:bidi="ar-SA"/>
              </w:rPr>
            </w:pPr>
            <w:r>
              <w:rPr>
                <w:rFonts w:hint="default" w:ascii="Times New Roman" w:hAnsi="Times New Roman" w:eastAsia="Segoe UI Symbol" w:cs="Times New Roman"/>
                <w:i w:val="0"/>
                <w:iCs w:val="0"/>
                <w:caps w:val="0"/>
                <w:color w:val="auto"/>
                <w:spacing w:val="0"/>
                <w:kern w:val="2"/>
                <w:sz w:val="24"/>
                <w:szCs w:val="24"/>
                <w:lang w:val="en-US" w:eastAsia="zh-CN" w:bidi="ar-SA"/>
              </w:rPr>
              <w:t>为了解项目区地下水水位现状，本次环评委托甘肃亿源环境检测科技有限公司于2026年3月8日对项目区地下水水位进行了检测</w:t>
            </w:r>
            <w:r>
              <w:rPr>
                <w:rFonts w:hint="default" w:ascii="Segoe UI Symbol" w:hAnsi="Segoe UI Symbol" w:eastAsia="Segoe UI Symbol" w:cs="Segoe UI Symbol"/>
                <w:i w:val="0"/>
                <w:iCs w:val="0"/>
                <w:caps w:val="0"/>
                <w:color w:val="000000"/>
                <w:spacing w:val="0"/>
                <w:kern w:val="2"/>
                <w:sz w:val="24"/>
                <w:szCs w:val="24"/>
                <w:lang w:val="en-US" w:eastAsia="zh-CN" w:bidi="ar-SA"/>
              </w:rPr>
              <w:t>。</w:t>
            </w:r>
          </w:p>
          <w:p w14:paraId="191332D5">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rPr>
                <w:rFonts w:hint="default" w:ascii="Segoe UI Symbol" w:hAnsi="Segoe UI Symbol" w:eastAsia="Segoe UI Symbol" w:cs="Segoe UI Symbol"/>
                <w:i w:val="0"/>
                <w:iCs w:val="0"/>
                <w:caps w:val="0"/>
                <w:color w:val="000000"/>
                <w:spacing w:val="0"/>
                <w:kern w:val="2"/>
                <w:sz w:val="24"/>
                <w:szCs w:val="24"/>
                <w:lang w:val="en-US" w:eastAsia="zh-CN" w:bidi="ar-SA"/>
              </w:rPr>
            </w:pPr>
            <w:r>
              <w:rPr>
                <w:rFonts w:hint="default" w:ascii="Segoe UI Symbol" w:hAnsi="Segoe UI Symbol" w:eastAsia="Segoe UI Symbol" w:cs="Segoe UI Symbol"/>
                <w:i w:val="0"/>
                <w:iCs w:val="0"/>
                <w:caps w:val="0"/>
                <w:color w:val="000000"/>
                <w:spacing w:val="0"/>
                <w:kern w:val="2"/>
                <w:sz w:val="24"/>
                <w:szCs w:val="24"/>
                <w:lang w:val="en-US" w:eastAsia="zh-CN" w:bidi="ar-SA"/>
              </w:rPr>
              <w:t>（1）监测点位设置</w:t>
            </w:r>
          </w:p>
          <w:p w14:paraId="319BF3C8">
            <w:pPr>
              <w:pStyle w:val="25"/>
              <w:keepNext w:val="0"/>
              <w:keepLines w:val="0"/>
              <w:pageBreakBefore w:val="0"/>
              <w:widowControl w:val="0"/>
              <w:suppressLineNumbers w:val="0"/>
              <w:tabs>
                <w:tab w:val="center" w:pos="4153"/>
              </w:tabs>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rPr>
                <w:rFonts w:hint="default" w:ascii="Segoe UI Symbol" w:hAnsi="Segoe UI Symbol" w:eastAsia="Segoe UI Symbol" w:cs="Segoe UI Symbol"/>
                <w:i w:val="0"/>
                <w:iCs w:val="0"/>
                <w:caps w:val="0"/>
                <w:color w:val="000000"/>
                <w:spacing w:val="0"/>
                <w:kern w:val="2"/>
                <w:sz w:val="24"/>
                <w:szCs w:val="24"/>
                <w:lang w:val="en-US" w:eastAsia="zh-CN" w:bidi="ar-SA"/>
              </w:rPr>
            </w:pPr>
            <w:r>
              <w:rPr>
                <w:rFonts w:hint="default" w:ascii="Segoe UI Symbol" w:hAnsi="Segoe UI Symbol" w:eastAsia="Segoe UI Symbol" w:cs="Segoe UI Symbol"/>
                <w:i w:val="0"/>
                <w:iCs w:val="0"/>
                <w:caps w:val="0"/>
                <w:color w:val="000000"/>
                <w:spacing w:val="0"/>
                <w:kern w:val="2"/>
                <w:sz w:val="24"/>
                <w:szCs w:val="24"/>
                <w:lang w:val="en-US" w:eastAsia="zh-CN" w:bidi="ar-SA"/>
              </w:rPr>
              <w:t>库区上、下游各设1个监测点位。</w:t>
            </w:r>
            <w:r>
              <w:rPr>
                <w:rFonts w:hint="default" w:ascii="Segoe UI Symbol" w:hAnsi="Segoe UI Symbol" w:eastAsia="Segoe UI Symbol" w:cs="Segoe UI Symbol"/>
                <w:i w:val="0"/>
                <w:iCs w:val="0"/>
                <w:caps w:val="0"/>
                <w:color w:val="000000"/>
                <w:spacing w:val="0"/>
                <w:kern w:val="2"/>
                <w:sz w:val="24"/>
                <w:szCs w:val="24"/>
                <w:lang w:val="en-US" w:eastAsia="zh-CN" w:bidi="ar-SA"/>
              </w:rPr>
              <w:tab/>
            </w:r>
          </w:p>
          <w:p w14:paraId="6EB8BCD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color w:val="auto"/>
                <w:lang w:val="en-US" w:eastAsia="zh-CN"/>
              </w:rPr>
            </w:pP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）检测结果</w:t>
            </w:r>
          </w:p>
          <w:p w14:paraId="3D8F8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3-</w:t>
            </w:r>
            <w:r>
              <w:rPr>
                <w:rFonts w:hint="eastAsia" w:cs="Times New Roman"/>
                <w:b/>
                <w:bCs/>
                <w:color w:val="auto"/>
                <w:sz w:val="24"/>
                <w:lang w:val="en-US" w:eastAsia="zh-CN"/>
              </w:rPr>
              <w:t>7</w:t>
            </w:r>
            <w:r>
              <w:rPr>
                <w:rFonts w:hint="eastAsia" w:ascii="Times New Roman" w:hAnsi="Times New Roman" w:cs="Times New Roman"/>
                <w:b/>
                <w:bCs/>
                <w:color w:val="auto"/>
                <w:sz w:val="24"/>
              </w:rPr>
              <w:t>地下水</w:t>
            </w:r>
            <w:r>
              <w:rPr>
                <w:rFonts w:hint="eastAsia" w:ascii="Times New Roman" w:hAnsi="Times New Roman" w:cs="Times New Roman"/>
                <w:b/>
                <w:bCs/>
                <w:color w:val="auto"/>
                <w:sz w:val="24"/>
                <w:lang w:eastAsia="zh-CN"/>
              </w:rPr>
              <w:t>水位</w:t>
            </w:r>
            <w:r>
              <w:rPr>
                <w:rFonts w:hint="default" w:ascii="Times New Roman" w:hAnsi="Times New Roman" w:cs="Times New Roman"/>
                <w:b/>
                <w:bCs/>
                <w:color w:val="auto"/>
                <w:sz w:val="24"/>
              </w:rPr>
              <w:t>检测结果一览表</w:t>
            </w:r>
            <w:r>
              <w:rPr>
                <w:rFonts w:hint="eastAsia" w:ascii="Times New Roman" w:hAnsi="Times New Roman" w:cs="Times New Roman"/>
                <w:b/>
                <w:bCs/>
                <w:color w:val="auto"/>
                <w:sz w:val="24"/>
                <w:lang w:val="en-US" w:eastAsia="zh-CN"/>
              </w:rPr>
              <w:t>单位：m</w:t>
            </w:r>
          </w:p>
          <w:tbl>
            <w:tblPr>
              <w:tblStyle w:val="26"/>
              <w:tblW w:w="5000"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2418"/>
              <w:gridCol w:w="2196"/>
              <w:gridCol w:w="2448"/>
            </w:tblGrid>
            <w:tr w14:paraId="26BA4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4" w:type="pct"/>
                  <w:tcBorders>
                    <w:top w:val="single" w:color="auto" w:sz="4" w:space="0"/>
                    <w:left w:val="single" w:color="auto" w:sz="0" w:space="0"/>
                    <w:tl2br w:val="nil"/>
                    <w:tr2bl w:val="nil"/>
                  </w:tcBorders>
                  <w:noWrap w:val="0"/>
                  <w:vAlign w:val="center"/>
                </w:tcPr>
                <w:p w14:paraId="336B435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388" w:type="pct"/>
                  <w:tcBorders>
                    <w:top w:val="single" w:color="auto" w:sz="4" w:space="0"/>
                    <w:tl2br w:val="nil"/>
                    <w:tr2bl w:val="nil"/>
                  </w:tcBorders>
                  <w:noWrap w:val="0"/>
                  <w:vAlign w:val="center"/>
                </w:tcPr>
                <w:p w14:paraId="591D36AF">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检测</w:t>
                  </w:r>
                  <w:r>
                    <w:rPr>
                      <w:rFonts w:hint="eastAsia" w:ascii="Times New Roman" w:hAnsi="Times New Roman" w:cs="Times New Roman"/>
                      <w:b/>
                      <w:color w:val="auto"/>
                      <w:sz w:val="21"/>
                      <w:szCs w:val="21"/>
                      <w:lang w:eastAsia="zh-CN"/>
                    </w:rPr>
                    <w:t>项目</w:t>
                  </w:r>
                </w:p>
              </w:tc>
              <w:tc>
                <w:tcPr>
                  <w:tcW w:w="1261" w:type="pct"/>
                  <w:tcBorders>
                    <w:top w:val="single" w:color="auto" w:sz="4" w:space="0"/>
                    <w:tl2br w:val="nil"/>
                    <w:tr2bl w:val="nil"/>
                  </w:tcBorders>
                  <w:noWrap w:val="0"/>
                  <w:vAlign w:val="center"/>
                </w:tcPr>
                <w:p w14:paraId="043C9E3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lang w:val="en-US" w:eastAsia="zh-CN"/>
                    </w:rPr>
                    <w:t>厂区</w:t>
                  </w:r>
                  <w:r>
                    <w:rPr>
                      <w:rFonts w:hint="eastAsia" w:ascii="Times New Roman" w:hAnsi="Times New Roman" w:cs="Times New Roman"/>
                      <w:b/>
                      <w:color w:val="auto"/>
                      <w:sz w:val="21"/>
                      <w:szCs w:val="21"/>
                      <w:lang w:val="en-US" w:eastAsia="zh-CN"/>
                    </w:rPr>
                    <w:t>上</w:t>
                  </w:r>
                  <w:r>
                    <w:rPr>
                      <w:rFonts w:hint="default" w:ascii="Times New Roman" w:hAnsi="Times New Roman" w:cs="Times New Roman"/>
                      <w:b/>
                      <w:color w:val="auto"/>
                      <w:sz w:val="21"/>
                      <w:szCs w:val="21"/>
                      <w:lang w:val="en-US" w:eastAsia="zh-CN"/>
                    </w:rPr>
                    <w:t>游</w:t>
                  </w:r>
                </w:p>
              </w:tc>
              <w:tc>
                <w:tcPr>
                  <w:tcW w:w="1405" w:type="pct"/>
                  <w:tcBorders>
                    <w:top w:val="single" w:color="auto" w:sz="4" w:space="0"/>
                    <w:right w:val="single" w:color="auto" w:sz="4" w:space="0"/>
                    <w:tl2br w:val="nil"/>
                    <w:tr2bl w:val="nil"/>
                  </w:tcBorders>
                  <w:noWrap w:val="0"/>
                  <w:vAlign w:val="center"/>
                </w:tcPr>
                <w:p w14:paraId="1DB3A9E8">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lang w:val="en-US" w:eastAsia="zh-CN"/>
                    </w:rPr>
                    <w:t>厂区</w:t>
                  </w:r>
                  <w:r>
                    <w:rPr>
                      <w:rFonts w:hint="eastAsia" w:ascii="Times New Roman" w:hAnsi="Times New Roman" w:cs="Times New Roman"/>
                      <w:b/>
                      <w:color w:val="auto"/>
                      <w:sz w:val="21"/>
                      <w:szCs w:val="21"/>
                      <w:lang w:val="en-US" w:eastAsia="zh-CN"/>
                    </w:rPr>
                    <w:t>下</w:t>
                  </w:r>
                  <w:r>
                    <w:rPr>
                      <w:rFonts w:hint="default" w:ascii="Times New Roman" w:hAnsi="Times New Roman" w:cs="Times New Roman"/>
                      <w:b/>
                      <w:color w:val="auto"/>
                      <w:sz w:val="21"/>
                      <w:szCs w:val="21"/>
                      <w:lang w:val="en-US" w:eastAsia="zh-CN"/>
                    </w:rPr>
                    <w:t>游</w:t>
                  </w:r>
                </w:p>
              </w:tc>
            </w:tr>
            <w:tr w14:paraId="0DFCA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4" w:type="pct"/>
                  <w:tcBorders>
                    <w:left w:val="single" w:color="auto" w:sz="4" w:space="0"/>
                    <w:bottom w:val="single" w:color="auto" w:sz="4" w:space="0"/>
                    <w:tl2br w:val="nil"/>
                    <w:tr2bl w:val="nil"/>
                  </w:tcBorders>
                  <w:noWrap w:val="0"/>
                  <w:vAlign w:val="center"/>
                </w:tcPr>
                <w:p w14:paraId="1843087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Cs/>
                      <w:color w:val="auto"/>
                      <w:sz w:val="21"/>
                      <w:szCs w:val="21"/>
                      <w:lang w:val="en-US" w:eastAsia="zh-CN"/>
                    </w:rPr>
                    <w:t>1</w:t>
                  </w:r>
                </w:p>
              </w:tc>
              <w:tc>
                <w:tcPr>
                  <w:tcW w:w="1388" w:type="pct"/>
                  <w:tcBorders>
                    <w:bottom w:val="single" w:color="auto" w:sz="4" w:space="0"/>
                    <w:tl2br w:val="nil"/>
                    <w:tr2bl w:val="nil"/>
                  </w:tcBorders>
                  <w:noWrap w:val="0"/>
                  <w:vAlign w:val="center"/>
                </w:tcPr>
                <w:p w14:paraId="7630C2B0">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lang w:eastAsia="zh-CN"/>
                    </w:rPr>
                    <w:t>水位</w:t>
                  </w:r>
                </w:p>
              </w:tc>
              <w:tc>
                <w:tcPr>
                  <w:tcW w:w="1904" w:type="dxa"/>
                  <w:tcBorders>
                    <w:bottom w:val="single" w:color="auto" w:sz="4" w:space="0"/>
                    <w:tl2br w:val="nil"/>
                    <w:tr2bl w:val="nil"/>
                  </w:tcBorders>
                  <w:noWrap w:val="0"/>
                  <w:vAlign w:val="center"/>
                </w:tcPr>
                <w:p w14:paraId="7080067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4"/>
                      <w:lang w:val="en-US" w:eastAsia="zh-CN" w:bidi="ar-SA"/>
                    </w:rPr>
                    <w:t>19.5</w:t>
                  </w:r>
                </w:p>
              </w:tc>
              <w:tc>
                <w:tcPr>
                  <w:tcW w:w="2121" w:type="dxa"/>
                  <w:tcBorders>
                    <w:bottom w:val="single" w:color="auto" w:sz="4" w:space="0"/>
                    <w:right w:val="single" w:color="auto" w:sz="4" w:space="0"/>
                    <w:tl2br w:val="nil"/>
                    <w:tr2bl w:val="nil"/>
                  </w:tcBorders>
                  <w:noWrap w:val="0"/>
                  <w:vAlign w:val="center"/>
                </w:tcPr>
                <w:p w14:paraId="3110ACF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4"/>
                      <w:lang w:val="en-US" w:eastAsia="zh-CN" w:bidi="ar-SA"/>
                    </w:rPr>
                    <w:t>21.3</w:t>
                  </w:r>
                </w:p>
              </w:tc>
            </w:tr>
          </w:tbl>
          <w:p w14:paraId="57511380">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.6土壤</w:t>
            </w:r>
            <w:r>
              <w:rPr>
                <w:rFonts w:hint="default" w:ascii="Times New Roman" w:hAnsi="Times New Roman" w:eastAsia="宋体" w:cs="Times New Roman"/>
                <w:b/>
                <w:bCs/>
                <w:color w:val="auto"/>
                <w:sz w:val="24"/>
                <w:szCs w:val="24"/>
                <w:highlight w:val="none"/>
                <w:lang w:val="en-US" w:eastAsia="zh-CN"/>
              </w:rPr>
              <w:t>环境质量现状</w:t>
            </w:r>
          </w:p>
          <w:p w14:paraId="1209AEF8">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Segoe UI Symbol" w:hAnsi="Segoe UI Symbol" w:eastAsia="Segoe UI Symbol" w:cs="Segoe UI Symbol"/>
                <w:i w:val="0"/>
                <w:iCs w:val="0"/>
                <w:caps w:val="0"/>
                <w:color w:val="000000"/>
                <w:spacing w:val="0"/>
                <w:sz w:val="24"/>
                <w:szCs w:val="24"/>
              </w:rPr>
            </w:pPr>
            <w:r>
              <w:rPr>
                <w:rFonts w:hint="default" w:ascii="Segoe UI Symbol" w:hAnsi="Segoe UI Symbol" w:eastAsia="Segoe UI Symbol" w:cs="Segoe UI Symbol"/>
                <w:i w:val="0"/>
                <w:iCs w:val="0"/>
                <w:caps w:val="0"/>
                <w:color w:val="000000"/>
                <w:spacing w:val="0"/>
                <w:sz w:val="24"/>
                <w:szCs w:val="24"/>
              </w:rPr>
              <w:t>根据《建设项目环境影响报告表编制指南（生态影响类）（试行）》，土壤环境要素参照相关技术导则开展补充监测与调查。本项目为园区内水库工程，承担园区工业用水保障功能，故按导则要求开展土壤现状监测，结果作为环境背景值留存。</w:t>
            </w:r>
          </w:p>
          <w:p w14:paraId="095A8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FF"/>
                <w:sz w:val="24"/>
                <w:szCs w:val="24"/>
                <w:highlight w:val="none"/>
                <w:lang w:val="en-US" w:eastAsia="zh-CN"/>
              </w:rPr>
            </w:pPr>
            <w:r>
              <w:rPr>
                <w:rFonts w:hint="default" w:ascii="Times New Roman" w:hAnsi="Times New Roman" w:eastAsia="宋体" w:cs="Times New Roman"/>
                <w:sz w:val="24"/>
                <w:szCs w:val="24"/>
                <w:lang w:eastAsia="zh-CN"/>
              </w:rPr>
              <w:t>为了解项目区</w:t>
            </w:r>
            <w:r>
              <w:rPr>
                <w:rFonts w:hint="eastAsia" w:ascii="Times New Roman" w:hAnsi="Times New Roman" w:eastAsia="宋体" w:cs="Times New Roman"/>
                <w:sz w:val="24"/>
                <w:szCs w:val="24"/>
                <w:lang w:eastAsia="zh-CN"/>
              </w:rPr>
              <w:t>土壤</w:t>
            </w:r>
            <w:r>
              <w:rPr>
                <w:rFonts w:hint="default" w:ascii="Times New Roman" w:hAnsi="Times New Roman" w:eastAsia="宋体" w:cs="Times New Roman"/>
                <w:sz w:val="24"/>
                <w:szCs w:val="24"/>
                <w:lang w:eastAsia="zh-CN"/>
              </w:rPr>
              <w:t>环境质量现状，本次环评委托</w:t>
            </w:r>
            <w:r>
              <w:rPr>
                <w:rFonts w:hint="eastAsia" w:ascii="Times New Roman" w:hAnsi="Times New Roman" w:eastAsia="宋体" w:cs="Times New Roman"/>
                <w:sz w:val="24"/>
                <w:szCs w:val="24"/>
                <w:lang w:val="en-US" w:eastAsia="zh-CN"/>
              </w:rPr>
              <w:t>甘肃亿源环境检测科技有限公司</w:t>
            </w:r>
            <w:r>
              <w:rPr>
                <w:rFonts w:hint="default" w:ascii="Times New Roman" w:hAnsi="Times New Roman" w:eastAsia="宋体" w:cs="Times New Roman"/>
                <w:sz w:val="24"/>
                <w:szCs w:val="24"/>
                <w:lang w:eastAsia="zh-CN"/>
              </w:rPr>
              <w:t>于</w:t>
            </w:r>
            <w:r>
              <w:rPr>
                <w:rFonts w:hint="default" w:ascii="Times New Roman" w:hAnsi="Times New Roman" w:eastAsia="宋体" w:cs="Times New Roman"/>
                <w:b w:val="0"/>
                <w:bCs/>
                <w:color w:val="auto"/>
                <w:sz w:val="24"/>
                <w:szCs w:val="24"/>
                <w:highlight w:val="none"/>
                <w:lang w:val="en-US" w:eastAsia="zh-CN"/>
              </w:rPr>
              <w:t>202</w:t>
            </w: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val="en-US" w:eastAsia="zh-CN"/>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月</w:t>
            </w:r>
            <w:r>
              <w:rPr>
                <w:rFonts w:hint="eastAsia" w:ascii="Times New Roman" w:hAnsi="Times New Roman" w:eastAsia="宋体"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lang w:val="en-US" w:eastAsia="zh-CN"/>
              </w:rPr>
              <w:t>对项目区</w:t>
            </w:r>
            <w:r>
              <w:rPr>
                <w:rFonts w:hint="eastAsia" w:ascii="Times New Roman" w:hAnsi="Times New Roman" w:eastAsia="宋体" w:cs="Times New Roman"/>
                <w:b w:val="0"/>
                <w:bCs/>
                <w:color w:val="auto"/>
                <w:sz w:val="24"/>
                <w:szCs w:val="24"/>
                <w:highlight w:val="none"/>
                <w:lang w:val="en-US" w:eastAsia="zh-CN"/>
              </w:rPr>
              <w:t>土壤</w:t>
            </w:r>
            <w:r>
              <w:rPr>
                <w:rFonts w:hint="default" w:ascii="Times New Roman" w:hAnsi="Times New Roman" w:eastAsia="宋体" w:cs="Times New Roman"/>
                <w:b w:val="0"/>
                <w:bCs/>
                <w:color w:val="auto"/>
                <w:sz w:val="24"/>
                <w:szCs w:val="24"/>
                <w:highlight w:val="none"/>
                <w:lang w:val="en-US" w:eastAsia="zh-CN"/>
              </w:rPr>
              <w:t>pH、</w:t>
            </w:r>
            <w:r>
              <w:rPr>
                <w:rFonts w:hint="eastAsia" w:ascii="Times New Roman" w:hAnsi="Times New Roman" w:eastAsia="宋体" w:cs="Times New Roman"/>
                <w:b w:val="0"/>
                <w:bCs/>
                <w:color w:val="auto"/>
                <w:sz w:val="24"/>
                <w:szCs w:val="24"/>
                <w:highlight w:val="none"/>
                <w:lang w:val="en-US" w:eastAsia="zh-CN"/>
              </w:rPr>
              <w:t>含盐量及理化性质</w:t>
            </w:r>
            <w:r>
              <w:rPr>
                <w:rFonts w:hint="eastAsia" w:cs="Times New Roman"/>
                <w:b w:val="0"/>
                <w:bCs/>
                <w:color w:val="auto"/>
                <w:sz w:val="24"/>
                <w:szCs w:val="24"/>
                <w:highlight w:val="none"/>
                <w:lang w:val="en-US" w:eastAsia="zh-CN"/>
              </w:rPr>
              <w:t>等</w:t>
            </w:r>
            <w:r>
              <w:rPr>
                <w:rFonts w:hint="default" w:ascii="Times New Roman" w:hAnsi="Times New Roman" w:eastAsia="宋体" w:cs="Times New Roman"/>
                <w:b w:val="0"/>
                <w:bCs/>
                <w:color w:val="auto"/>
                <w:sz w:val="24"/>
                <w:szCs w:val="24"/>
                <w:highlight w:val="none"/>
                <w:lang w:val="en-US" w:eastAsia="zh-CN"/>
              </w:rPr>
              <w:t>环境进行了</w:t>
            </w:r>
            <w:r>
              <w:rPr>
                <w:rFonts w:hint="eastAsia" w:cs="Times New Roman"/>
                <w:b w:val="0"/>
                <w:bCs/>
                <w:color w:val="auto"/>
                <w:sz w:val="24"/>
                <w:szCs w:val="24"/>
                <w:highlight w:val="none"/>
                <w:lang w:val="en-US" w:eastAsia="zh-CN"/>
              </w:rPr>
              <w:t>现状</w:t>
            </w:r>
            <w:r>
              <w:rPr>
                <w:rFonts w:hint="default" w:ascii="Times New Roman" w:hAnsi="Times New Roman" w:eastAsia="宋体" w:cs="Times New Roman"/>
                <w:b w:val="0"/>
                <w:bCs/>
                <w:color w:val="auto"/>
                <w:sz w:val="24"/>
                <w:szCs w:val="24"/>
                <w:highlight w:val="none"/>
                <w:lang w:val="en-US" w:eastAsia="zh-CN"/>
              </w:rPr>
              <w:t>检测</w:t>
            </w:r>
            <w:r>
              <w:rPr>
                <w:rFonts w:hint="eastAsia" w:cs="Times New Roman"/>
                <w:b w:val="0"/>
                <w:bCs/>
                <w:color w:val="auto"/>
                <w:sz w:val="24"/>
                <w:szCs w:val="24"/>
                <w:highlight w:val="none"/>
                <w:lang w:val="en-US" w:eastAsia="zh-CN"/>
              </w:rPr>
              <w:t>。</w:t>
            </w:r>
          </w:p>
          <w:p w14:paraId="7E7B87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sz w:val="24"/>
                <w:szCs w:val="24"/>
                <w:lang w:val="en-US" w:eastAsia="zh-CN"/>
              </w:rPr>
            </w:pPr>
            <w:r>
              <w:rPr>
                <w:rFonts w:hint="eastAsia" w:ascii="Times New Roman" w:hAnsi="宋体"/>
                <w:sz w:val="24"/>
                <w:szCs w:val="24"/>
              </w:rPr>
              <w:t>（</w:t>
            </w:r>
            <w:r>
              <w:rPr>
                <w:rFonts w:hint="default" w:ascii="Times New Roman" w:hAnsi="宋体"/>
                <w:sz w:val="24"/>
                <w:szCs w:val="24"/>
              </w:rPr>
              <w:t>1</w:t>
            </w:r>
            <w:r>
              <w:rPr>
                <w:rFonts w:hint="eastAsia" w:ascii="Times New Roman" w:hAnsi="宋体"/>
                <w:sz w:val="24"/>
                <w:szCs w:val="24"/>
              </w:rPr>
              <w:t>）监测点位</w:t>
            </w:r>
            <w:r>
              <w:rPr>
                <w:rFonts w:hint="eastAsia" w:hAnsi="宋体"/>
                <w:sz w:val="24"/>
                <w:szCs w:val="24"/>
                <w:lang w:val="en-US" w:eastAsia="zh-CN"/>
              </w:rPr>
              <w:t xml:space="preserve"> </w:t>
            </w:r>
          </w:p>
          <w:p w14:paraId="7503B7BB">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本项目占地范围外50m内设置1个表层样点。</w:t>
            </w:r>
          </w:p>
          <w:p w14:paraId="0C88820A">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（2）监测项目</w:t>
            </w:r>
          </w:p>
          <w:p w14:paraId="5E191551">
            <w:pPr>
              <w:pStyle w:val="1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4</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项</w:t>
            </w:r>
            <w:r>
              <w:rPr>
                <w:rFonts w:hint="eastAsia" w:ascii="Times New Roman" w:hAnsi="Times New Roman" w:eastAsia="宋体" w:cs="Times New Roman"/>
                <w:sz w:val="24"/>
                <w:szCs w:val="24"/>
                <w:lang w:val="en-US" w:eastAsia="zh-CN"/>
              </w:rPr>
              <w:t>+pH、全盐量+土壤理化性质。</w:t>
            </w:r>
          </w:p>
          <w:p w14:paraId="7FF4BE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sz w:val="24"/>
                <w:szCs w:val="24"/>
              </w:rPr>
            </w:pPr>
            <w:r>
              <w:rPr>
                <w:rFonts w:hint="eastAsia" w:ascii="Times New Roman" w:hAnsi="Times New Roman" w:eastAsia="宋体" w:cs="Times New Roman"/>
                <w:sz w:val="24"/>
                <w:szCs w:val="24"/>
              </w:rPr>
              <w:t>（3）</w:t>
            </w:r>
            <w:r>
              <w:rPr>
                <w:rFonts w:hint="eastAsia" w:ascii="Times New Roman" w:hAnsi="宋体"/>
                <w:sz w:val="24"/>
                <w:szCs w:val="24"/>
              </w:rPr>
              <w:t>监测结果</w:t>
            </w:r>
          </w:p>
          <w:p w14:paraId="3F1987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sz w:val="24"/>
                <w:szCs w:val="24"/>
              </w:rPr>
            </w:pPr>
            <w:r>
              <w:rPr>
                <w:rFonts w:hint="eastAsia" w:ascii="Times New Roman" w:hAnsi="宋体"/>
                <w:sz w:val="24"/>
                <w:szCs w:val="24"/>
              </w:rPr>
              <w:t>监测结果见表</w:t>
            </w:r>
            <w:r>
              <w:rPr>
                <w:rFonts w:hint="default" w:ascii="Times New Roman" w:hAnsi="宋体"/>
                <w:sz w:val="24"/>
                <w:szCs w:val="24"/>
              </w:rPr>
              <w:t>3-</w:t>
            </w:r>
            <w:r>
              <w:rPr>
                <w:rFonts w:hint="eastAsia" w:hAnsi="宋体"/>
                <w:sz w:val="24"/>
                <w:szCs w:val="24"/>
                <w:lang w:val="en-US" w:eastAsia="zh-CN"/>
              </w:rPr>
              <w:t>8</w:t>
            </w:r>
            <w:r>
              <w:rPr>
                <w:rFonts w:hint="eastAsia" w:ascii="Times New Roman" w:hAnsi="宋体"/>
                <w:sz w:val="24"/>
                <w:szCs w:val="24"/>
              </w:rPr>
              <w:t>。</w:t>
            </w:r>
          </w:p>
          <w:p w14:paraId="73C5879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rPr>
            </w:pPr>
            <w:r>
              <w:rPr>
                <w:rFonts w:hint="eastAsia" w:ascii="Times New Roman"/>
                <w:b/>
                <w:color w:val="auto"/>
                <w:kern w:val="0"/>
                <w:sz w:val="24"/>
                <w:szCs w:val="24"/>
              </w:rPr>
              <w:t>表</w:t>
            </w:r>
            <w:r>
              <w:rPr>
                <w:rFonts w:hint="default" w:ascii="Times New Roman"/>
                <w:b/>
                <w:color w:val="auto"/>
                <w:kern w:val="0"/>
                <w:sz w:val="24"/>
                <w:szCs w:val="24"/>
              </w:rPr>
              <w:t>3-</w:t>
            </w:r>
            <w:r>
              <w:rPr>
                <w:rFonts w:hint="eastAsia"/>
                <w:b/>
                <w:color w:val="auto"/>
                <w:kern w:val="0"/>
                <w:sz w:val="24"/>
                <w:szCs w:val="24"/>
                <w:lang w:val="en-US" w:eastAsia="zh-CN"/>
              </w:rPr>
              <w:t>8</w:t>
            </w:r>
            <w:r>
              <w:rPr>
                <w:rFonts w:hint="eastAsia" w:ascii="Times New Roman" w:hAnsi="宋体"/>
                <w:b/>
                <w:color w:val="auto"/>
                <w:sz w:val="24"/>
                <w:szCs w:val="24"/>
              </w:rPr>
              <w:t>本项目区域土壤监测结果</w:t>
            </w:r>
            <w:r>
              <w:rPr>
                <w:rFonts w:hint="default" w:ascii="Times New Roman" w:hAnsi="Times New Roman" w:cs="Times New Roman"/>
                <w:b/>
                <w:color w:val="auto"/>
                <w:sz w:val="24"/>
                <w:szCs w:val="24"/>
              </w:rPr>
              <w:t>单位：mg/kg</w:t>
            </w:r>
          </w:p>
          <w:tbl>
            <w:tblPr>
              <w:tblStyle w:val="69"/>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7"/>
              <w:gridCol w:w="2058"/>
              <w:gridCol w:w="1691"/>
              <w:gridCol w:w="3298"/>
            </w:tblGrid>
            <w:tr w14:paraId="765A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961" w:type="pct"/>
                  <w:vMerge w:val="restart"/>
                  <w:vAlign w:val="center"/>
                </w:tcPr>
                <w:p w14:paraId="5C7CBE1B">
                  <w:pPr>
                    <w:jc w:val="center"/>
                    <w:rPr>
                      <w:rFonts w:hint="default" w:ascii="Times New Roman" w:hAnsi="Times New Roman" w:cs="Times New Roman" w:eastAsiaTheme="minorEastAsia"/>
                      <w:b/>
                      <w:bCs/>
                      <w:lang w:val="en-US" w:eastAsia="zh-CN"/>
                    </w:rPr>
                  </w:pPr>
                  <w:r>
                    <w:rPr>
                      <w:rFonts w:hint="eastAsia" w:ascii="Times New Roman" w:hAnsi="Times New Roman" w:cs="Times New Roman"/>
                      <w:b/>
                      <w:bCs/>
                      <w:sz w:val="21"/>
                      <w:szCs w:val="21"/>
                      <w:highlight w:val="none"/>
                      <w:lang w:val="en-US" w:eastAsia="zh-CN"/>
                    </w:rPr>
                    <w:t>采样日期</w:t>
                  </w:r>
                </w:p>
              </w:tc>
              <w:tc>
                <w:tcPr>
                  <w:tcW w:w="1179" w:type="pct"/>
                  <w:vMerge w:val="restart"/>
                  <w:vAlign w:val="center"/>
                </w:tcPr>
                <w:p w14:paraId="5206A047">
                  <w:pPr>
                    <w:jc w:val="center"/>
                    <w:rPr>
                      <w:rFonts w:hint="eastAsia" w:ascii="Times New Roman" w:hAnsi="Times New Roman" w:cs="Times New Roman" w:eastAsiaTheme="minorEastAsia"/>
                      <w:b/>
                      <w:bCs/>
                      <w:lang w:val="en-US" w:eastAsia="zh-CN"/>
                    </w:rPr>
                  </w:pPr>
                  <w:r>
                    <w:rPr>
                      <w:rFonts w:hint="default" w:ascii="Times New Roman" w:hAnsi="Times New Roman" w:cs="Times New Roman"/>
                      <w:b/>
                      <w:bCs/>
                    </w:rPr>
                    <w:t>检测</w:t>
                  </w:r>
                  <w:r>
                    <w:rPr>
                      <w:rFonts w:hint="eastAsia" w:ascii="Times New Roman" w:hAnsi="Times New Roman" w:cs="Times New Roman"/>
                      <w:b/>
                      <w:bCs/>
                      <w:lang w:val="en-US" w:eastAsia="zh-CN"/>
                    </w:rPr>
                    <w:t>项目</w:t>
                  </w:r>
                </w:p>
              </w:tc>
              <w:tc>
                <w:tcPr>
                  <w:tcW w:w="969" w:type="pct"/>
                  <w:vMerge w:val="restart"/>
                  <w:shd w:val="clear" w:color="auto" w:fill="auto"/>
                  <w:vAlign w:val="center"/>
                </w:tcPr>
                <w:p w14:paraId="22CF86E8">
                  <w:pPr>
                    <w:jc w:val="center"/>
                    <w:rPr>
                      <w:rFonts w:hint="default" w:ascii="Times New Roman" w:hAnsi="Times New Roman" w:cs="Times New Roman" w:eastAsiaTheme="minorEastAsia"/>
                      <w:b/>
                      <w:bCs/>
                      <w:kern w:val="2"/>
                      <w:sz w:val="21"/>
                      <w:szCs w:val="24"/>
                      <w:lang w:val="en-US" w:eastAsia="zh-CN" w:bidi="ar-SA"/>
                    </w:rPr>
                  </w:pPr>
                  <w:r>
                    <w:rPr>
                      <w:rFonts w:hint="eastAsia" w:ascii="Times New Roman" w:hAnsi="Times New Roman" w:cs="Times New Roman"/>
                      <w:b/>
                      <w:bCs/>
                      <w:lang w:val="en-US" w:eastAsia="zh-CN"/>
                    </w:rPr>
                    <w:t>计量</w:t>
                  </w:r>
                  <w:r>
                    <w:rPr>
                      <w:rFonts w:hint="default" w:ascii="Times New Roman" w:hAnsi="Times New Roman" w:cs="Times New Roman"/>
                      <w:b/>
                      <w:bCs/>
                    </w:rPr>
                    <w:t>单位</w:t>
                  </w:r>
                </w:p>
              </w:tc>
              <w:tc>
                <w:tcPr>
                  <w:tcW w:w="1889" w:type="pct"/>
                  <w:vAlign w:val="center"/>
                </w:tcPr>
                <w:p w14:paraId="6E7E6767">
                  <w:pPr>
                    <w:jc w:val="center"/>
                    <w:rPr>
                      <w:rFonts w:hint="default" w:ascii="Times New Roman" w:hAnsi="Times New Roman" w:cs="Times New Roman"/>
                      <w:b/>
                      <w:bCs/>
                    </w:rPr>
                  </w:pPr>
                  <w:r>
                    <w:rPr>
                      <w:rFonts w:hint="default" w:ascii="Times New Roman" w:hAnsi="Times New Roman" w:cs="Times New Roman"/>
                      <w:b/>
                      <w:bCs/>
                    </w:rPr>
                    <w:t>检测结果</w:t>
                  </w:r>
                </w:p>
              </w:tc>
            </w:tr>
            <w:tr w14:paraId="54AF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961" w:type="pct"/>
                  <w:vMerge w:val="continue"/>
                  <w:vAlign w:val="center"/>
                </w:tcPr>
                <w:p w14:paraId="3839BE30">
                  <w:pPr>
                    <w:jc w:val="center"/>
                    <w:rPr>
                      <w:rFonts w:hint="default" w:ascii="Times New Roman" w:hAnsi="Times New Roman" w:cs="Times New Roman"/>
                      <w:b/>
                      <w:bCs/>
                    </w:rPr>
                  </w:pPr>
                </w:p>
              </w:tc>
              <w:tc>
                <w:tcPr>
                  <w:tcW w:w="1179" w:type="pct"/>
                  <w:vMerge w:val="continue"/>
                  <w:vAlign w:val="center"/>
                </w:tcPr>
                <w:p w14:paraId="5898A9F6">
                  <w:pPr>
                    <w:jc w:val="center"/>
                    <w:rPr>
                      <w:rFonts w:hint="default" w:ascii="Times New Roman" w:hAnsi="Times New Roman" w:cs="Times New Roman"/>
                      <w:b/>
                      <w:bCs/>
                    </w:rPr>
                  </w:pPr>
                </w:p>
              </w:tc>
              <w:tc>
                <w:tcPr>
                  <w:tcW w:w="969" w:type="pct"/>
                  <w:vMerge w:val="continue"/>
                  <w:shd w:val="clear" w:color="auto" w:fill="auto"/>
                  <w:vAlign w:val="center"/>
                </w:tcPr>
                <w:p w14:paraId="1151240A">
                  <w:pPr>
                    <w:jc w:val="center"/>
                    <w:rPr>
                      <w:rFonts w:hint="default" w:ascii="Times New Roman" w:hAnsi="Times New Roman" w:cs="Times New Roman" w:eastAsiaTheme="minorEastAsia"/>
                      <w:b/>
                      <w:bCs/>
                      <w:kern w:val="2"/>
                      <w:sz w:val="21"/>
                      <w:szCs w:val="24"/>
                      <w:lang w:val="en-US" w:eastAsia="zh-CN" w:bidi="ar-SA"/>
                    </w:rPr>
                  </w:pPr>
                </w:p>
              </w:tc>
              <w:tc>
                <w:tcPr>
                  <w:tcW w:w="1889" w:type="pct"/>
                  <w:shd w:val="clear" w:color="auto" w:fill="auto"/>
                  <w:vAlign w:val="center"/>
                </w:tcPr>
                <w:p w14:paraId="70FFE6B0">
                  <w:pPr>
                    <w:jc w:val="center"/>
                    <w:rPr>
                      <w:rFonts w:hint="default" w:ascii="Times New Roman" w:hAnsi="Times New Roman" w:cs="Times New Roman"/>
                      <w:b/>
                      <w:bCs/>
                      <w:lang w:val="en-US"/>
                    </w:rPr>
                  </w:pPr>
                  <w:r>
                    <w:rPr>
                      <w:rFonts w:hint="eastAsia" w:ascii="Times New Roman" w:hAnsi="Times New Roman" w:eastAsia="宋体" w:cs="Times New Roman"/>
                      <w:b/>
                      <w:bCs/>
                      <w:kern w:val="2"/>
                      <w:sz w:val="21"/>
                      <w:szCs w:val="21"/>
                      <w:vertAlign w:val="baseline"/>
                      <w:lang w:val="en-US" w:eastAsia="zh-CN" w:bidi="ar-SA"/>
                    </w:rPr>
                    <w:t>占地范围外50m内（表层样）</w:t>
                  </w:r>
                </w:p>
              </w:tc>
            </w:tr>
            <w:tr w14:paraId="5A1E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961" w:type="pct"/>
                  <w:vMerge w:val="restart"/>
                  <w:vAlign w:val="center"/>
                </w:tcPr>
                <w:p w14:paraId="30A31022">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2026.03.08</w:t>
                  </w:r>
                </w:p>
              </w:tc>
              <w:tc>
                <w:tcPr>
                  <w:tcW w:w="1179" w:type="pct"/>
                  <w:vAlign w:val="center"/>
                </w:tcPr>
                <w:p w14:paraId="2FD4EC60">
                  <w:pPr>
                    <w:jc w:val="center"/>
                    <w:rPr>
                      <w:rFonts w:hint="default" w:ascii="Times New Roman" w:hAnsi="Times New Roman" w:cs="Times New Roman"/>
                    </w:rPr>
                  </w:pPr>
                  <w:r>
                    <w:rPr>
                      <w:rFonts w:hint="default" w:ascii="Times New Roman" w:hAnsi="Times New Roman" w:cs="Times New Roman"/>
                      <w:sz w:val="21"/>
                      <w:szCs w:val="21"/>
                    </w:rPr>
                    <w:t>pH</w:t>
                  </w:r>
                </w:p>
              </w:tc>
              <w:tc>
                <w:tcPr>
                  <w:tcW w:w="969" w:type="pct"/>
                  <w:shd w:val="clear" w:color="auto" w:fill="auto"/>
                  <w:vAlign w:val="center"/>
                </w:tcPr>
                <w:p w14:paraId="50B61888">
                  <w:pPr>
                    <w:jc w:val="center"/>
                    <w:rPr>
                      <w:rFonts w:hint="default" w:ascii="Times New Roman" w:hAnsi="Times New Roman" w:cs="Times New Roman" w:eastAsiaTheme="minorEastAsia"/>
                      <w:kern w:val="2"/>
                      <w:sz w:val="21"/>
                      <w:szCs w:val="24"/>
                      <w:lang w:val="en-US" w:eastAsia="zh-CN" w:bidi="ar-SA"/>
                    </w:rPr>
                  </w:pPr>
                  <w:r>
                    <w:rPr>
                      <w:rFonts w:hint="eastAsia" w:ascii="Times New Roman" w:hAnsi="Times New Roman" w:cs="Times New Roman"/>
                      <w:kern w:val="2"/>
                      <w:sz w:val="21"/>
                      <w:szCs w:val="24"/>
                      <w:lang w:val="en-US" w:eastAsia="zh-CN" w:bidi="ar-SA"/>
                    </w:rPr>
                    <w:t>无量纲</w:t>
                  </w:r>
                </w:p>
              </w:tc>
              <w:tc>
                <w:tcPr>
                  <w:tcW w:w="1889" w:type="pct"/>
                  <w:shd w:val="clear" w:color="auto" w:fill="auto"/>
                  <w:vAlign w:val="center"/>
                </w:tcPr>
                <w:p w14:paraId="545BB0B5">
                  <w:pPr>
                    <w:jc w:val="center"/>
                    <w:rPr>
                      <w:rFonts w:hint="default" w:ascii="Times New Roman" w:hAnsi="Times New Roman" w:cs="Times New Roman" w:eastAsiaTheme="minorEastAsia"/>
                      <w:color w:val="0000FF"/>
                      <w:kern w:val="2"/>
                      <w:sz w:val="21"/>
                      <w:szCs w:val="24"/>
                      <w:lang w:val="en-US" w:eastAsia="zh-CN" w:bidi="ar-SA"/>
                    </w:rPr>
                  </w:pPr>
                  <w:r>
                    <w:rPr>
                      <w:rFonts w:hint="eastAsia" w:ascii="Times New Roman" w:hAnsi="Times New Roman" w:cs="Times New Roman"/>
                      <w:color w:val="auto"/>
                      <w:kern w:val="2"/>
                      <w:sz w:val="21"/>
                      <w:szCs w:val="24"/>
                      <w:lang w:val="en-US" w:eastAsia="zh-CN" w:bidi="ar-SA"/>
                    </w:rPr>
                    <w:t>7.3</w:t>
                  </w:r>
                </w:p>
              </w:tc>
            </w:tr>
            <w:tr w14:paraId="3DE7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961" w:type="pct"/>
                  <w:vMerge w:val="continue"/>
                  <w:vAlign w:val="center"/>
                </w:tcPr>
                <w:p w14:paraId="56C72337">
                  <w:pPr>
                    <w:jc w:val="center"/>
                    <w:rPr>
                      <w:rFonts w:hint="default" w:ascii="Times New Roman" w:hAnsi="Times New Roman" w:cs="Times New Roman"/>
                    </w:rPr>
                  </w:pPr>
                </w:p>
              </w:tc>
              <w:tc>
                <w:tcPr>
                  <w:tcW w:w="1179" w:type="pct"/>
                  <w:vAlign w:val="center"/>
                </w:tcPr>
                <w:p w14:paraId="1798FF7E">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含盐量</w:t>
                  </w:r>
                </w:p>
              </w:tc>
              <w:tc>
                <w:tcPr>
                  <w:tcW w:w="969" w:type="pct"/>
                  <w:shd w:val="clear" w:color="auto" w:fill="auto"/>
                  <w:vAlign w:val="center"/>
                </w:tcPr>
                <w:p w14:paraId="5F3207CD">
                  <w:pPr>
                    <w:jc w:val="center"/>
                    <w:rPr>
                      <w:rFonts w:hint="eastAsia" w:ascii="Times New Roman" w:hAnsi="Times New Roman" w:cs="Times New Roman" w:eastAsiaTheme="minorEastAsia"/>
                      <w:kern w:val="2"/>
                      <w:sz w:val="21"/>
                      <w:szCs w:val="24"/>
                      <w:lang w:val="en-US" w:eastAsia="zh-CN" w:bidi="ar-SA"/>
                    </w:rPr>
                  </w:pPr>
                  <w:r>
                    <w:rPr>
                      <w:rFonts w:hint="default" w:ascii="Times New Roman" w:hAnsi="Times New Roman" w:cs="Times New Roman"/>
                    </w:rPr>
                    <w:t>g/kg</w:t>
                  </w:r>
                </w:p>
              </w:tc>
              <w:tc>
                <w:tcPr>
                  <w:tcW w:w="1889" w:type="pct"/>
                  <w:shd w:val="clear" w:color="auto" w:fill="auto"/>
                  <w:vAlign w:val="center"/>
                </w:tcPr>
                <w:p w14:paraId="1E4F4CC7">
                  <w:pPr>
                    <w:jc w:val="center"/>
                    <w:rPr>
                      <w:rFonts w:hint="default" w:ascii="Times New Roman" w:hAnsi="Times New Roman" w:cs="Times New Roman" w:eastAsiaTheme="minorEastAsia"/>
                      <w:color w:val="0000FF"/>
                      <w:kern w:val="2"/>
                      <w:sz w:val="21"/>
                      <w:szCs w:val="24"/>
                      <w:lang w:val="en-US" w:eastAsia="zh-CN" w:bidi="ar-SA"/>
                    </w:rPr>
                  </w:pPr>
                  <w:r>
                    <w:rPr>
                      <w:rFonts w:hint="eastAsia" w:ascii="Times New Roman" w:hAnsi="Times New Roman" w:cs="Times New Roman"/>
                      <w:color w:val="auto"/>
                      <w:kern w:val="2"/>
                      <w:sz w:val="21"/>
                      <w:szCs w:val="24"/>
                      <w:lang w:val="en-US" w:eastAsia="zh-CN" w:bidi="ar-SA"/>
                    </w:rPr>
                    <w:t>1.3</w:t>
                  </w:r>
                </w:p>
              </w:tc>
            </w:tr>
          </w:tbl>
          <w:p w14:paraId="6373E66C">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表3-</w:t>
            </w:r>
            <w:r>
              <w:rPr>
                <w:rFonts w:hint="eastAsia" w:cs="Times New Roman"/>
                <w:b/>
                <w:color w:val="auto"/>
                <w:kern w:val="0"/>
                <w:sz w:val="24"/>
                <w:szCs w:val="24"/>
                <w:lang w:val="en-US" w:eastAsia="zh-CN"/>
              </w:rPr>
              <w:t>8</w:t>
            </w:r>
            <w:r>
              <w:rPr>
                <w:rFonts w:hint="eastAsia" w:ascii="Times New Roman" w:hAnsi="Times New Roman" w:eastAsia="宋体" w:cs="Times New Roman"/>
                <w:b/>
                <w:color w:val="auto"/>
                <w:kern w:val="0"/>
                <w:sz w:val="24"/>
                <w:szCs w:val="24"/>
                <w:lang w:val="en-US" w:eastAsia="zh-CN"/>
              </w:rPr>
              <w:t>（续）</w:t>
            </w:r>
            <w:r>
              <w:rPr>
                <w:rFonts w:hint="default" w:ascii="Times New Roman" w:hAnsi="Times New Roman" w:eastAsia="宋体" w:cs="Times New Roman"/>
                <w:b/>
                <w:color w:val="auto"/>
                <w:kern w:val="0"/>
                <w:sz w:val="24"/>
                <w:szCs w:val="24"/>
                <w:lang w:val="en-US" w:eastAsia="zh-CN"/>
              </w:rPr>
              <w:t>土壤理化特性调查表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
              <w:gridCol w:w="2708"/>
              <w:gridCol w:w="4586"/>
            </w:tblGrid>
            <w:tr w14:paraId="3528C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62" w:type="pct"/>
                  <w:gridSpan w:val="2"/>
                  <w:noWrap w:val="0"/>
                  <w:vAlign w:val="center"/>
                </w:tcPr>
                <w:p w14:paraId="4A103EAC">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检测</w:t>
                  </w:r>
                  <w:r>
                    <w:rPr>
                      <w:rFonts w:hint="default" w:ascii="Times New Roman" w:hAnsi="Times New Roman" w:eastAsia="宋体" w:cs="Times New Roman"/>
                      <w:b/>
                      <w:bCs/>
                      <w:color w:val="000000"/>
                      <w:sz w:val="21"/>
                      <w:szCs w:val="21"/>
                    </w:rPr>
                    <w:t>点位</w:t>
                  </w:r>
                </w:p>
              </w:tc>
              <w:tc>
                <w:tcPr>
                  <w:tcW w:w="2637" w:type="pct"/>
                  <w:shd w:val="clear" w:color="auto" w:fill="auto"/>
                  <w:noWrap w:val="0"/>
                  <w:vAlign w:val="center"/>
                </w:tcPr>
                <w:p w14:paraId="521BB6C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eastAsia="zh-CN"/>
                    </w:rPr>
                    <w:t>占地范围外50m内（表层样）</w:t>
                  </w:r>
                </w:p>
              </w:tc>
            </w:tr>
            <w:tr w14:paraId="0F51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62" w:type="pct"/>
                  <w:gridSpan w:val="2"/>
                  <w:shd w:val="clear" w:color="auto" w:fill="auto"/>
                  <w:noWrap w:val="0"/>
                  <w:vAlign w:val="center"/>
                </w:tcPr>
                <w:p w14:paraId="13B203C7">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kern w:val="28"/>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采样日期</w:t>
                  </w:r>
                </w:p>
              </w:tc>
              <w:tc>
                <w:tcPr>
                  <w:tcW w:w="2637" w:type="pct"/>
                  <w:shd w:val="clear" w:color="auto" w:fill="auto"/>
                  <w:noWrap w:val="0"/>
                  <w:vAlign w:val="center"/>
                </w:tcPr>
                <w:p w14:paraId="7D8928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auto"/>
                      <w:sz w:val="21"/>
                      <w:szCs w:val="21"/>
                      <w:lang w:val="en-US" w:eastAsia="zh-CN"/>
                    </w:rPr>
                    <w:t>2026.03.08</w:t>
                  </w:r>
                </w:p>
              </w:tc>
            </w:tr>
            <w:tr w14:paraId="756DA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62" w:type="pct"/>
                  <w:gridSpan w:val="2"/>
                  <w:noWrap w:val="0"/>
                  <w:vAlign w:val="center"/>
                </w:tcPr>
                <w:p w14:paraId="571C4BFD">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经度</w:t>
                  </w:r>
                </w:p>
              </w:tc>
              <w:tc>
                <w:tcPr>
                  <w:tcW w:w="2637" w:type="pct"/>
                  <w:shd w:val="clear" w:color="auto" w:fill="auto"/>
                  <w:noWrap w:val="0"/>
                  <w:vAlign w:val="center"/>
                </w:tcPr>
                <w:p w14:paraId="04F212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rPr>
                    <w:t>10</w:t>
                  </w:r>
                  <w:r>
                    <w:rPr>
                      <w:rFonts w:hint="default" w:ascii="Times New Roman" w:hAnsi="Times New Roman" w:eastAsia="宋体" w:cs="Times New Roman"/>
                      <w:color w:val="auto"/>
                      <w:spacing w:val="-2"/>
                      <w:sz w:val="21"/>
                      <w:szCs w:val="21"/>
                      <w:highlight w:val="none"/>
                      <w:lang w:val="en-US" w:eastAsia="zh-CN"/>
                    </w:rPr>
                    <w:t>0</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4</w:t>
                  </w:r>
                  <w:r>
                    <w:rPr>
                      <w:rFonts w:hint="eastAsia" w:cs="Times New Roman"/>
                      <w:color w:val="auto"/>
                      <w:spacing w:val="-2"/>
                      <w:sz w:val="21"/>
                      <w:szCs w:val="21"/>
                      <w:highlight w:val="none"/>
                      <w:lang w:val="en-US" w:eastAsia="zh-CN"/>
                    </w:rPr>
                    <w:t>71339°</w:t>
                  </w:r>
                </w:p>
              </w:tc>
            </w:tr>
            <w:tr w14:paraId="03EC7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62" w:type="pct"/>
                  <w:gridSpan w:val="2"/>
                  <w:noWrap w:val="0"/>
                  <w:vAlign w:val="center"/>
                </w:tcPr>
                <w:p w14:paraId="4702E126">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维度</w:t>
                  </w:r>
                </w:p>
              </w:tc>
              <w:tc>
                <w:tcPr>
                  <w:tcW w:w="2637" w:type="pct"/>
                  <w:shd w:val="clear" w:color="auto" w:fill="auto"/>
                  <w:noWrap w:val="0"/>
                  <w:vAlign w:val="center"/>
                </w:tcPr>
                <w:p w14:paraId="17B428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pacing w:val="-2"/>
                      <w:sz w:val="21"/>
                      <w:szCs w:val="21"/>
                      <w:highlight w:val="none"/>
                    </w:rPr>
                  </w:pPr>
                  <w:r>
                    <w:rPr>
                      <w:rFonts w:hint="default" w:ascii="Times New Roman" w:hAnsi="Times New Roman" w:eastAsia="宋体" w:cs="Times New Roman"/>
                      <w:color w:val="auto"/>
                      <w:spacing w:val="-1"/>
                      <w:sz w:val="21"/>
                      <w:szCs w:val="21"/>
                      <w:highlight w:val="none"/>
                      <w:lang w:val="en-US" w:eastAsia="zh-CN"/>
                    </w:rPr>
                    <w:t>39</w:t>
                  </w:r>
                  <w:r>
                    <w:rPr>
                      <w:rFonts w:hint="eastAsia" w:cs="Times New Roman"/>
                      <w:color w:val="auto"/>
                      <w:spacing w:val="-1"/>
                      <w:sz w:val="21"/>
                      <w:szCs w:val="21"/>
                      <w:highlight w:val="none"/>
                      <w:lang w:val="en-US" w:eastAsia="zh-CN"/>
                    </w:rPr>
                    <w:t>.</w:t>
                  </w:r>
                  <w:r>
                    <w:rPr>
                      <w:rFonts w:hint="default" w:ascii="Times New Roman" w:hAnsi="Times New Roman" w:eastAsia="宋体" w:cs="Times New Roman"/>
                      <w:color w:val="auto"/>
                      <w:spacing w:val="-1"/>
                      <w:sz w:val="21"/>
                      <w:szCs w:val="21"/>
                      <w:highlight w:val="none"/>
                      <w:lang w:val="en-US" w:eastAsia="zh-CN"/>
                    </w:rPr>
                    <w:t>06</w:t>
                  </w:r>
                  <w:r>
                    <w:rPr>
                      <w:rFonts w:hint="eastAsia" w:cs="Times New Roman"/>
                      <w:color w:val="auto"/>
                      <w:spacing w:val="-1"/>
                      <w:sz w:val="21"/>
                      <w:szCs w:val="21"/>
                      <w:highlight w:val="none"/>
                      <w:lang w:val="en-US" w:eastAsia="zh-CN"/>
                    </w:rPr>
                    <w:t>1986</w:t>
                  </w:r>
                  <w:r>
                    <w:rPr>
                      <w:rFonts w:hint="eastAsia" w:cs="Times New Roman"/>
                      <w:color w:val="auto"/>
                      <w:spacing w:val="-2"/>
                      <w:sz w:val="21"/>
                      <w:szCs w:val="21"/>
                      <w:highlight w:val="none"/>
                      <w:lang w:val="en-US" w:eastAsia="zh-CN"/>
                    </w:rPr>
                    <w:t>°</w:t>
                  </w:r>
                </w:p>
              </w:tc>
            </w:tr>
            <w:tr w14:paraId="6EEB4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62" w:type="pct"/>
                  <w:gridSpan w:val="2"/>
                  <w:noWrap w:val="0"/>
                  <w:vAlign w:val="center"/>
                </w:tcPr>
                <w:p w14:paraId="7D148741">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层次</w:t>
                  </w:r>
                </w:p>
              </w:tc>
              <w:tc>
                <w:tcPr>
                  <w:tcW w:w="2637" w:type="pct"/>
                  <w:shd w:val="clear" w:color="auto" w:fill="auto"/>
                  <w:noWrap w:val="0"/>
                  <w:vAlign w:val="center"/>
                </w:tcPr>
                <w:p w14:paraId="2EF1EBF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pacing w:val="-2"/>
                      <w:sz w:val="21"/>
                      <w:szCs w:val="21"/>
                    </w:rPr>
                    <w:t>0~0.</w:t>
                  </w:r>
                  <w:r>
                    <w:rPr>
                      <w:rFonts w:hint="default" w:ascii="Times New Roman" w:hAnsi="Times New Roman" w:eastAsia="宋体" w:cs="Times New Roman"/>
                      <w:color w:val="auto"/>
                      <w:spacing w:val="-2"/>
                      <w:sz w:val="21"/>
                      <w:szCs w:val="21"/>
                      <w:lang w:val="en-US" w:eastAsia="zh-CN"/>
                    </w:rPr>
                    <w:t>2</w:t>
                  </w:r>
                  <w:r>
                    <w:rPr>
                      <w:rFonts w:hint="default" w:ascii="Times New Roman" w:hAnsi="Times New Roman" w:eastAsia="宋体" w:cs="Times New Roman"/>
                      <w:color w:val="auto"/>
                      <w:spacing w:val="-2"/>
                      <w:sz w:val="21"/>
                      <w:szCs w:val="21"/>
                    </w:rPr>
                    <w:t>m</w:t>
                  </w:r>
                </w:p>
              </w:tc>
            </w:tr>
            <w:tr w14:paraId="37A63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restart"/>
                  <w:noWrap w:val="0"/>
                  <w:vAlign w:val="center"/>
                </w:tcPr>
                <w:p w14:paraId="4703BFEC">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现</w:t>
                  </w:r>
                </w:p>
                <w:p w14:paraId="1E7954C6">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场</w:t>
                  </w:r>
                </w:p>
                <w:p w14:paraId="784F7E91">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记</w:t>
                  </w:r>
                </w:p>
                <w:p w14:paraId="7C31B23F">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录</w:t>
                  </w:r>
                </w:p>
              </w:tc>
              <w:tc>
                <w:tcPr>
                  <w:tcW w:w="1557" w:type="pct"/>
                  <w:noWrap w:val="0"/>
                  <w:vAlign w:val="center"/>
                </w:tcPr>
                <w:p w14:paraId="31A60771">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颜色</w:t>
                  </w:r>
                </w:p>
              </w:tc>
              <w:tc>
                <w:tcPr>
                  <w:tcW w:w="2637" w:type="pct"/>
                  <w:shd w:val="clear" w:color="auto" w:fill="auto"/>
                  <w:noWrap w:val="0"/>
                  <w:vAlign w:val="center"/>
                </w:tcPr>
                <w:p w14:paraId="5510ED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黄色</w:t>
                  </w:r>
                </w:p>
              </w:tc>
            </w:tr>
            <w:tr w14:paraId="493E0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50D63905">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74578BAB">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结构</w:t>
                  </w:r>
                </w:p>
              </w:tc>
              <w:tc>
                <w:tcPr>
                  <w:tcW w:w="2637" w:type="pct"/>
                  <w:shd w:val="clear" w:color="auto" w:fill="auto"/>
                  <w:noWrap w:val="0"/>
                  <w:vAlign w:val="center"/>
                </w:tcPr>
                <w:p w14:paraId="19DB2B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粒状结构</w:t>
                  </w:r>
                </w:p>
              </w:tc>
            </w:tr>
            <w:tr w14:paraId="38E96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3006207F">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79D75092">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质地</w:t>
                  </w:r>
                </w:p>
              </w:tc>
              <w:tc>
                <w:tcPr>
                  <w:tcW w:w="2637" w:type="pct"/>
                  <w:shd w:val="clear" w:color="auto" w:fill="auto"/>
                  <w:noWrap w:val="0"/>
                  <w:vAlign w:val="center"/>
                </w:tcPr>
                <w:p w14:paraId="76529635">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FF"/>
                      <w:kern w:val="28"/>
                      <w:sz w:val="21"/>
                      <w:szCs w:val="21"/>
                      <w:lang w:val="en-US" w:eastAsia="zh-CN" w:bidi="ar-SA"/>
                    </w:rPr>
                  </w:pPr>
                  <w:r>
                    <w:rPr>
                      <w:rFonts w:hint="default" w:ascii="Times New Roman" w:hAnsi="Times New Roman" w:eastAsia="宋体" w:cs="Times New Roman"/>
                      <w:color w:val="auto"/>
                      <w:sz w:val="21"/>
                      <w:szCs w:val="21"/>
                    </w:rPr>
                    <w:t>松散</w:t>
                  </w:r>
                </w:p>
              </w:tc>
            </w:tr>
            <w:tr w14:paraId="76C11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0EAF971A">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02AE92FC">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rPr>
                    <w:t>砂砾含量</w:t>
                  </w:r>
                  <w:r>
                    <w:rPr>
                      <w:rFonts w:hint="default" w:ascii="Times New Roman" w:hAnsi="Times New Roman" w:eastAsia="宋体" w:cs="Times New Roman"/>
                      <w:b w:val="0"/>
                      <w:bCs w:val="0"/>
                      <w:color w:val="000000"/>
                      <w:sz w:val="21"/>
                      <w:szCs w:val="21"/>
                      <w:lang w:val="en-US" w:eastAsia="zh-CN"/>
                    </w:rPr>
                    <w:t>%</w:t>
                  </w:r>
                </w:p>
              </w:tc>
              <w:tc>
                <w:tcPr>
                  <w:tcW w:w="2637" w:type="pct"/>
                  <w:shd w:val="clear" w:color="auto" w:fill="auto"/>
                  <w:noWrap w:val="0"/>
                  <w:vAlign w:val="center"/>
                </w:tcPr>
                <w:p w14:paraId="28419470">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FF"/>
                      <w:kern w:val="28"/>
                      <w:sz w:val="21"/>
                      <w:szCs w:val="21"/>
                      <w:lang w:val="en-US" w:eastAsia="zh-CN" w:bidi="ar-SA"/>
                    </w:rPr>
                  </w:pPr>
                  <w:r>
                    <w:rPr>
                      <w:rFonts w:hint="default" w:ascii="Times New Roman" w:hAnsi="Times New Roman" w:eastAsia="宋体" w:cs="Times New Roman"/>
                      <w:color w:val="auto"/>
                      <w:sz w:val="21"/>
                      <w:szCs w:val="21"/>
                      <w:lang w:val="en-US" w:eastAsia="zh-CN"/>
                    </w:rPr>
                    <w:t>32%</w:t>
                  </w:r>
                </w:p>
              </w:tc>
            </w:tr>
            <w:tr w14:paraId="7AC9D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70CA9CC1">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72080F13">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其他异物</w:t>
                  </w:r>
                </w:p>
              </w:tc>
              <w:tc>
                <w:tcPr>
                  <w:tcW w:w="2637" w:type="pct"/>
                  <w:shd w:val="clear" w:color="auto" w:fill="auto"/>
                  <w:noWrap w:val="0"/>
                  <w:vAlign w:val="center"/>
                </w:tcPr>
                <w:p w14:paraId="79B74227">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FF"/>
                      <w:kern w:val="28"/>
                      <w:sz w:val="21"/>
                      <w:szCs w:val="21"/>
                      <w:lang w:val="en-US" w:eastAsia="zh-CN" w:bidi="ar-SA"/>
                    </w:rPr>
                  </w:pPr>
                  <w:r>
                    <w:rPr>
                      <w:rFonts w:hint="default" w:ascii="Times New Roman" w:hAnsi="Times New Roman" w:eastAsia="宋体" w:cs="Times New Roman"/>
                      <w:color w:val="auto"/>
                      <w:sz w:val="21"/>
                      <w:szCs w:val="21"/>
                    </w:rPr>
                    <w:t>无</w:t>
                  </w:r>
                </w:p>
              </w:tc>
            </w:tr>
            <w:tr w14:paraId="02ACE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restart"/>
                  <w:noWrap w:val="0"/>
                  <w:vAlign w:val="center"/>
                </w:tcPr>
                <w:p w14:paraId="0375E174">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实验室</w:t>
                  </w:r>
                </w:p>
                <w:p w14:paraId="638070A5">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测定</w:t>
                  </w:r>
                </w:p>
              </w:tc>
              <w:tc>
                <w:tcPr>
                  <w:tcW w:w="1557" w:type="pct"/>
                  <w:noWrap w:val="0"/>
                  <w:vAlign w:val="center"/>
                </w:tcPr>
                <w:p w14:paraId="27A2909B">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rPr>
                    <w:t>pH</w:t>
                  </w:r>
                  <w:r>
                    <w:rPr>
                      <w:rFonts w:hint="default" w:ascii="Times New Roman" w:hAnsi="Times New Roman" w:eastAsia="宋体" w:cs="Times New Roman"/>
                      <w:b w:val="0"/>
                      <w:bCs w:val="0"/>
                      <w:color w:val="000000"/>
                      <w:sz w:val="21"/>
                      <w:szCs w:val="21"/>
                      <w:lang w:eastAsia="zh-CN"/>
                    </w:rPr>
                    <w:t>（</w:t>
                  </w:r>
                  <w:r>
                    <w:rPr>
                      <w:rFonts w:hint="default" w:ascii="Times New Roman" w:hAnsi="Times New Roman" w:eastAsia="宋体" w:cs="Times New Roman"/>
                      <w:b w:val="0"/>
                      <w:bCs w:val="0"/>
                      <w:color w:val="000000"/>
                      <w:sz w:val="21"/>
                      <w:szCs w:val="21"/>
                      <w:lang w:val="en-US" w:eastAsia="zh-CN"/>
                    </w:rPr>
                    <w:t>无量纲）</w:t>
                  </w:r>
                </w:p>
              </w:tc>
              <w:tc>
                <w:tcPr>
                  <w:tcW w:w="2637" w:type="pct"/>
                  <w:shd w:val="clear" w:color="auto" w:fill="auto"/>
                  <w:noWrap w:val="0"/>
                  <w:vAlign w:val="center"/>
                </w:tcPr>
                <w:p w14:paraId="14B81FD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FF"/>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7.3</w:t>
                  </w:r>
                </w:p>
              </w:tc>
            </w:tr>
            <w:tr w14:paraId="0D29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46DB9950">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1D4A7929">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阳离子交换量(cmol</w:t>
                  </w:r>
                  <w:r>
                    <w:rPr>
                      <w:rFonts w:hint="default" w:ascii="Times New Roman" w:hAnsi="Times New Roman" w:eastAsia="宋体" w:cs="Times New Roman"/>
                      <w:b w:val="0"/>
                      <w:bCs w:val="0"/>
                      <w:color w:val="000000"/>
                      <w:sz w:val="21"/>
                      <w:szCs w:val="21"/>
                      <w:vertAlign w:val="superscript"/>
                      <w:lang w:val="en-US" w:eastAsia="zh-CN"/>
                    </w:rPr>
                    <w:t>+</w:t>
                  </w:r>
                  <w:r>
                    <w:rPr>
                      <w:rFonts w:hint="default" w:ascii="Times New Roman" w:hAnsi="Times New Roman" w:eastAsia="宋体" w:cs="Times New Roman"/>
                      <w:b w:val="0"/>
                      <w:bCs w:val="0"/>
                      <w:color w:val="000000"/>
                      <w:sz w:val="21"/>
                      <w:szCs w:val="21"/>
                    </w:rPr>
                    <w:t>/kg)</w:t>
                  </w:r>
                </w:p>
              </w:tc>
              <w:tc>
                <w:tcPr>
                  <w:tcW w:w="2637" w:type="pct"/>
                  <w:shd w:val="clear" w:color="auto" w:fill="auto"/>
                  <w:noWrap w:val="0"/>
                  <w:vAlign w:val="center"/>
                </w:tcPr>
                <w:p w14:paraId="72B92A61">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11.6</w:t>
                  </w:r>
                </w:p>
              </w:tc>
            </w:tr>
            <w:tr w14:paraId="7D459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1869D1FC">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02405B93">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氧化还原电位(</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b w:val="0"/>
                      <w:bCs w:val="0"/>
                      <w:color w:val="000000"/>
                      <w:sz w:val="21"/>
                      <w:szCs w:val="21"/>
                    </w:rPr>
                    <w:t>V)</w:t>
                  </w:r>
                </w:p>
              </w:tc>
              <w:tc>
                <w:tcPr>
                  <w:tcW w:w="2637" w:type="pct"/>
                  <w:shd w:val="clear" w:color="auto" w:fill="auto"/>
                  <w:noWrap w:val="0"/>
                  <w:vAlign w:val="center"/>
                </w:tcPr>
                <w:p w14:paraId="091387F6">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450</w:t>
                  </w:r>
                </w:p>
              </w:tc>
            </w:tr>
            <w:tr w14:paraId="4537C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4F94967B">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5186C6FE">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孔隙度(%)</w:t>
                  </w:r>
                </w:p>
              </w:tc>
              <w:tc>
                <w:tcPr>
                  <w:tcW w:w="2637" w:type="pct"/>
                  <w:shd w:val="clear" w:color="auto" w:fill="auto"/>
                  <w:noWrap w:val="0"/>
                  <w:vAlign w:val="center"/>
                </w:tcPr>
                <w:p w14:paraId="7F25FE1A">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41</w:t>
                  </w:r>
                </w:p>
              </w:tc>
            </w:tr>
            <w:tr w14:paraId="4A76D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53ED62A3">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126170CC">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饱和导水率(cm/s)</w:t>
                  </w:r>
                </w:p>
              </w:tc>
              <w:tc>
                <w:tcPr>
                  <w:tcW w:w="2637" w:type="pct"/>
                  <w:shd w:val="clear" w:color="auto" w:fill="auto"/>
                  <w:noWrap w:val="0"/>
                  <w:vAlign w:val="center"/>
                </w:tcPr>
                <w:p w14:paraId="1A0A549C">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1.22</w:t>
                  </w:r>
                </w:p>
              </w:tc>
            </w:tr>
            <w:tr w14:paraId="3FDF1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5" w:type="pct"/>
                  <w:vMerge w:val="continue"/>
                  <w:noWrap w:val="0"/>
                  <w:vAlign w:val="center"/>
                </w:tcPr>
                <w:p w14:paraId="7EBF1D1E">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p>
              </w:tc>
              <w:tc>
                <w:tcPr>
                  <w:tcW w:w="1557" w:type="pct"/>
                  <w:noWrap w:val="0"/>
                  <w:vAlign w:val="center"/>
                </w:tcPr>
                <w:p w14:paraId="4005DA1D">
                  <w:pPr>
                    <w:pStyle w:val="35"/>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土壤容重(g/</w:t>
                  </w:r>
                  <w:r>
                    <w:rPr>
                      <w:rFonts w:hint="default" w:ascii="Times New Roman" w:hAnsi="Times New Roman" w:eastAsia="宋体" w:cs="Times New Roman"/>
                      <w:b w:val="0"/>
                      <w:bCs w:val="0"/>
                      <w:color w:val="000000"/>
                      <w:sz w:val="21"/>
                      <w:szCs w:val="21"/>
                      <w:lang w:val="en-US" w:eastAsia="zh-CN"/>
                    </w:rPr>
                    <w:t>c</w:t>
                  </w:r>
                  <w:r>
                    <w:rPr>
                      <w:rFonts w:hint="default" w:ascii="Times New Roman" w:hAnsi="Times New Roman" w:eastAsia="宋体" w:cs="Times New Roman"/>
                      <w:b w:val="0"/>
                      <w:bCs w:val="0"/>
                      <w:color w:val="000000"/>
                      <w:sz w:val="21"/>
                      <w:szCs w:val="21"/>
                    </w:rPr>
                    <w:t>m</w:t>
                  </w:r>
                  <w:r>
                    <w:rPr>
                      <w:rFonts w:hint="default" w:ascii="Times New Roman" w:hAnsi="Times New Roman" w:eastAsia="宋体" w:cs="Times New Roman"/>
                      <w:b w:val="0"/>
                      <w:bCs w:val="0"/>
                      <w:color w:val="000000"/>
                      <w:sz w:val="21"/>
                      <w:szCs w:val="21"/>
                      <w:vertAlign w:val="superscript"/>
                    </w:rPr>
                    <w:t>3</w:t>
                  </w:r>
                  <w:r>
                    <w:rPr>
                      <w:rFonts w:hint="default" w:ascii="Times New Roman" w:hAnsi="Times New Roman" w:eastAsia="宋体" w:cs="Times New Roman"/>
                      <w:b w:val="0"/>
                      <w:bCs w:val="0"/>
                      <w:color w:val="000000"/>
                      <w:sz w:val="21"/>
                      <w:szCs w:val="21"/>
                    </w:rPr>
                    <w:t>)</w:t>
                  </w:r>
                </w:p>
              </w:tc>
              <w:tc>
                <w:tcPr>
                  <w:tcW w:w="2637" w:type="pct"/>
                  <w:shd w:val="clear" w:color="auto" w:fill="auto"/>
                  <w:noWrap w:val="0"/>
                  <w:vAlign w:val="center"/>
                </w:tcPr>
                <w:p w14:paraId="2C428C8D">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color w:val="auto"/>
                      <w:sz w:val="21"/>
                      <w:szCs w:val="21"/>
                      <w:lang w:val="en-US" w:eastAsia="zh-CN"/>
                    </w:rPr>
                    <w:t>1.23</w:t>
                  </w:r>
                </w:p>
              </w:tc>
            </w:tr>
          </w:tbl>
          <w:p w14:paraId="69135D0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rPr>
            </w:pPr>
            <w:r>
              <w:rPr>
                <w:rFonts w:hint="eastAsia" w:ascii="Times New Roman"/>
                <w:b/>
                <w:color w:val="auto"/>
                <w:kern w:val="0"/>
                <w:sz w:val="24"/>
                <w:szCs w:val="24"/>
              </w:rPr>
              <w:t>表</w:t>
            </w:r>
            <w:r>
              <w:rPr>
                <w:rFonts w:hint="default" w:ascii="Times New Roman"/>
                <w:b/>
                <w:color w:val="auto"/>
                <w:kern w:val="0"/>
                <w:sz w:val="24"/>
                <w:szCs w:val="24"/>
              </w:rPr>
              <w:t>3-</w:t>
            </w:r>
            <w:r>
              <w:rPr>
                <w:rFonts w:hint="eastAsia"/>
                <w:b/>
                <w:color w:val="auto"/>
                <w:kern w:val="0"/>
                <w:sz w:val="24"/>
                <w:szCs w:val="24"/>
                <w:lang w:val="en-US" w:eastAsia="zh-CN"/>
              </w:rPr>
              <w:t>9</w:t>
            </w:r>
            <w:r>
              <w:rPr>
                <w:rFonts w:hint="eastAsia" w:ascii="Times New Roman"/>
                <w:b/>
                <w:color w:val="auto"/>
                <w:kern w:val="0"/>
                <w:sz w:val="24"/>
                <w:szCs w:val="24"/>
                <w:lang w:val="en-US" w:eastAsia="zh-CN"/>
              </w:rPr>
              <w:t xml:space="preserve"> </w:t>
            </w:r>
            <w:r>
              <w:rPr>
                <w:rFonts w:hint="eastAsia" w:ascii="Times New Roman" w:hAnsi="宋体"/>
                <w:b/>
                <w:color w:val="auto"/>
                <w:sz w:val="24"/>
                <w:szCs w:val="24"/>
              </w:rPr>
              <w:t>本项目区域土壤监测结果</w:t>
            </w:r>
            <w:r>
              <w:rPr>
                <w:rFonts w:hint="default" w:ascii="Times New Roman" w:hAnsi="Times New Roman" w:cs="Times New Roman"/>
                <w:b/>
                <w:color w:val="auto"/>
                <w:sz w:val="24"/>
                <w:szCs w:val="24"/>
              </w:rPr>
              <w:t>单位：mg/kg</w:t>
            </w:r>
          </w:p>
          <w:tbl>
            <w:tblPr>
              <w:tblStyle w:val="26"/>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
              <w:gridCol w:w="1157"/>
              <w:gridCol w:w="1021"/>
              <w:gridCol w:w="3"/>
              <w:gridCol w:w="1724"/>
              <w:gridCol w:w="4"/>
              <w:gridCol w:w="1006"/>
              <w:gridCol w:w="4"/>
              <w:gridCol w:w="3773"/>
            </w:tblGrid>
            <w:tr w14:paraId="2C1A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500" w:hRule="atLeast"/>
                <w:tblHeader/>
                <w:jc w:val="center"/>
              </w:trPr>
              <w:tc>
                <w:tcPr>
                  <w:tcW w:w="576" w:type="pct"/>
                  <w:gridSpan w:val="2"/>
                  <w:vMerge w:val="restart"/>
                  <w:noWrap w:val="0"/>
                  <w:vAlign w:val="center"/>
                </w:tcPr>
                <w:p w14:paraId="0CFC9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采样</w:t>
                  </w:r>
                </w:p>
                <w:p w14:paraId="3389A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bCs/>
                      <w:sz w:val="21"/>
                      <w:szCs w:val="21"/>
                      <w:highlight w:val="none"/>
                      <w:lang w:val="en-US" w:eastAsia="zh-CN"/>
                    </w:rPr>
                    <w:t>日期</w:t>
                  </w:r>
                </w:p>
              </w:tc>
              <w:tc>
                <w:tcPr>
                  <w:tcW w:w="1619" w:type="pct"/>
                  <w:gridSpan w:val="3"/>
                  <w:vMerge w:val="restart"/>
                  <w:noWrap w:val="0"/>
                  <w:vAlign w:val="center"/>
                </w:tcPr>
                <w:p w14:paraId="73322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t>检测因子</w:t>
                  </w:r>
                </w:p>
              </w:tc>
              <w:tc>
                <w:tcPr>
                  <w:tcW w:w="607" w:type="pct"/>
                  <w:gridSpan w:val="2"/>
                  <w:vMerge w:val="restart"/>
                  <w:noWrap w:val="0"/>
                  <w:vAlign w:val="center"/>
                </w:tcPr>
                <w:p w14:paraId="60D72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t>计量</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单位</w:t>
                  </w:r>
                </w:p>
              </w:tc>
              <w:tc>
                <w:tcPr>
                  <w:tcW w:w="2192" w:type="pct"/>
                  <w:gridSpan w:val="2"/>
                  <w:noWrap w:val="0"/>
                  <w:vAlign w:val="center"/>
                </w:tcPr>
                <w:p w14:paraId="27115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检测结果</w:t>
                  </w:r>
                </w:p>
              </w:tc>
            </w:tr>
            <w:tr w14:paraId="0677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626" w:hRule="atLeast"/>
                <w:tblHeader/>
                <w:jc w:val="center"/>
              </w:trPr>
              <w:tc>
                <w:tcPr>
                  <w:tcW w:w="576" w:type="pct"/>
                  <w:gridSpan w:val="2"/>
                  <w:vMerge w:val="continue"/>
                  <w:noWrap w:val="0"/>
                  <w:vAlign w:val="center"/>
                </w:tcPr>
                <w:p w14:paraId="49DDA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p>
              </w:tc>
              <w:tc>
                <w:tcPr>
                  <w:tcW w:w="1619" w:type="pct"/>
                  <w:gridSpan w:val="3"/>
                  <w:vMerge w:val="continue"/>
                  <w:noWrap w:val="0"/>
                  <w:vAlign w:val="center"/>
                </w:tcPr>
                <w:p w14:paraId="2DA6F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p>
              </w:tc>
              <w:tc>
                <w:tcPr>
                  <w:tcW w:w="607" w:type="pct"/>
                  <w:gridSpan w:val="2"/>
                  <w:vMerge w:val="continue"/>
                  <w:noWrap w:val="0"/>
                  <w:vAlign w:val="center"/>
                </w:tcPr>
                <w:p w14:paraId="5BA79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p>
              </w:tc>
              <w:tc>
                <w:tcPr>
                  <w:tcW w:w="2192" w:type="pct"/>
                  <w:gridSpan w:val="2"/>
                  <w:noWrap w:val="0"/>
                  <w:vAlign w:val="center"/>
                </w:tcPr>
                <w:p w14:paraId="2334D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b/>
                      <w:bCs/>
                      <w:sz w:val="21"/>
                      <w:szCs w:val="21"/>
                    </w:rPr>
                    <w:t>项目占地</w:t>
                  </w:r>
                  <w:r>
                    <w:rPr>
                      <w:rFonts w:hint="eastAsia" w:ascii="Times New Roman" w:hAnsi="Times New Roman" w:eastAsia="宋体"/>
                      <w:b/>
                      <w:bCs/>
                      <w:sz w:val="21"/>
                      <w:szCs w:val="21"/>
                      <w:lang w:eastAsia="zh-CN"/>
                    </w:rPr>
                    <w:t>范围外</w:t>
                  </w:r>
                  <w:r>
                    <w:rPr>
                      <w:rFonts w:hint="eastAsia" w:ascii="Times New Roman" w:hAnsi="Times New Roman" w:eastAsia="宋体"/>
                      <w:b/>
                      <w:bCs/>
                      <w:sz w:val="21"/>
                      <w:szCs w:val="21"/>
                      <w:lang w:val="en-US" w:eastAsia="zh-CN"/>
                    </w:rPr>
                    <w:t>50m内</w:t>
                  </w:r>
                  <w:r>
                    <w:rPr>
                      <w:rFonts w:hint="default" w:ascii="Times New Roman" w:hAnsi="Times New Roman" w:eastAsia="宋体"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lang w:val="en-US" w:eastAsia="zh-CN"/>
                    </w:rPr>
                    <w:t>0.</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m）</w:t>
                  </w:r>
                </w:p>
              </w:tc>
            </w:tr>
            <w:tr w14:paraId="0F95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restart"/>
                  <w:noWrap w:val="0"/>
                  <w:vAlign w:val="center"/>
                </w:tcPr>
                <w:p w14:paraId="30810AE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6.03.08</w:t>
                  </w:r>
                </w:p>
              </w:tc>
              <w:tc>
                <w:tcPr>
                  <w:tcW w:w="1619" w:type="pct"/>
                  <w:gridSpan w:val="3"/>
                  <w:noWrap w:val="0"/>
                  <w:vAlign w:val="center"/>
                </w:tcPr>
                <w:p w14:paraId="54A51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砷</w:t>
                  </w:r>
                </w:p>
              </w:tc>
              <w:tc>
                <w:tcPr>
                  <w:tcW w:w="607" w:type="pct"/>
                  <w:gridSpan w:val="2"/>
                  <w:noWrap w:val="0"/>
                  <w:vAlign w:val="center"/>
                </w:tcPr>
                <w:p w14:paraId="4475A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mg/kg</w:t>
                  </w:r>
                </w:p>
              </w:tc>
              <w:tc>
                <w:tcPr>
                  <w:tcW w:w="2192" w:type="pct"/>
                  <w:gridSpan w:val="2"/>
                  <w:shd w:val="clear" w:color="auto" w:fill="auto"/>
                  <w:noWrap w:val="0"/>
                  <w:vAlign w:val="center"/>
                </w:tcPr>
                <w:p w14:paraId="1981C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39</w:t>
                  </w:r>
                </w:p>
              </w:tc>
            </w:tr>
            <w:tr w14:paraId="4E2D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07367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619" w:type="pct"/>
                  <w:gridSpan w:val="3"/>
                  <w:noWrap w:val="0"/>
                  <w:vAlign w:val="center"/>
                </w:tcPr>
                <w:p w14:paraId="5A219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镉</w:t>
                  </w:r>
                </w:p>
              </w:tc>
              <w:tc>
                <w:tcPr>
                  <w:tcW w:w="607" w:type="pct"/>
                  <w:gridSpan w:val="2"/>
                  <w:noWrap w:val="0"/>
                  <w:vAlign w:val="center"/>
                </w:tcPr>
                <w:p w14:paraId="3C1B5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noWrap w:val="0"/>
                  <w:vAlign w:val="center"/>
                </w:tcPr>
                <w:p w14:paraId="4A7E01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022</w:t>
                  </w:r>
                </w:p>
              </w:tc>
            </w:tr>
            <w:tr w14:paraId="6B56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1DC664A8">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19" w:type="pct"/>
                  <w:gridSpan w:val="3"/>
                  <w:noWrap w:val="0"/>
                  <w:vAlign w:val="center"/>
                </w:tcPr>
                <w:p w14:paraId="76C67D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六价铬</w:t>
                  </w:r>
                </w:p>
              </w:tc>
              <w:tc>
                <w:tcPr>
                  <w:tcW w:w="607" w:type="pct"/>
                  <w:gridSpan w:val="2"/>
                  <w:noWrap w:val="0"/>
                  <w:vAlign w:val="center"/>
                </w:tcPr>
                <w:p w14:paraId="7BF88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noWrap w:val="0"/>
                  <w:vAlign w:val="center"/>
                </w:tcPr>
                <w:p w14:paraId="24260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2CF5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0F3899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619" w:type="pct"/>
                  <w:gridSpan w:val="3"/>
                  <w:noWrap w:val="0"/>
                  <w:vAlign w:val="center"/>
                </w:tcPr>
                <w:p w14:paraId="070E3AF3">
                  <w:pPr>
                    <w:pStyle w:val="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铜</w:t>
                  </w:r>
                </w:p>
              </w:tc>
              <w:tc>
                <w:tcPr>
                  <w:tcW w:w="607" w:type="pct"/>
                  <w:gridSpan w:val="2"/>
                  <w:noWrap w:val="0"/>
                  <w:vAlign w:val="center"/>
                </w:tcPr>
                <w:p w14:paraId="25A0B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noWrap w:val="0"/>
                  <w:vAlign w:val="center"/>
                </w:tcPr>
                <w:p w14:paraId="6B155F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33</w:t>
                  </w:r>
                </w:p>
              </w:tc>
            </w:tr>
            <w:tr w14:paraId="3327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79FF2DD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19" w:type="pct"/>
                  <w:gridSpan w:val="3"/>
                  <w:noWrap w:val="0"/>
                  <w:vAlign w:val="center"/>
                </w:tcPr>
                <w:p w14:paraId="1B6E78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铅</w:t>
                  </w:r>
                </w:p>
              </w:tc>
              <w:tc>
                <w:tcPr>
                  <w:tcW w:w="607" w:type="pct"/>
                  <w:gridSpan w:val="2"/>
                  <w:noWrap w:val="0"/>
                  <w:vAlign w:val="center"/>
                </w:tcPr>
                <w:p w14:paraId="66DC1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noWrap w:val="0"/>
                  <w:vAlign w:val="center"/>
                </w:tcPr>
                <w:p w14:paraId="0F860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36</w:t>
                  </w:r>
                </w:p>
              </w:tc>
            </w:tr>
            <w:tr w14:paraId="6A10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34282A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619" w:type="pct"/>
                  <w:gridSpan w:val="3"/>
                  <w:noWrap w:val="0"/>
                  <w:vAlign w:val="center"/>
                </w:tcPr>
                <w:p w14:paraId="351C4F1F">
                  <w:pPr>
                    <w:pStyle w:val="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汞</w:t>
                  </w:r>
                </w:p>
              </w:tc>
              <w:tc>
                <w:tcPr>
                  <w:tcW w:w="607" w:type="pct"/>
                  <w:gridSpan w:val="2"/>
                  <w:noWrap w:val="0"/>
                  <w:vAlign w:val="center"/>
                </w:tcPr>
                <w:p w14:paraId="3C699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mg/kg</w:t>
                  </w:r>
                </w:p>
              </w:tc>
              <w:tc>
                <w:tcPr>
                  <w:tcW w:w="2192" w:type="pct"/>
                  <w:gridSpan w:val="2"/>
                  <w:noWrap w:val="0"/>
                  <w:vAlign w:val="center"/>
                </w:tcPr>
                <w:p w14:paraId="60570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998</w:t>
                  </w:r>
                </w:p>
              </w:tc>
            </w:tr>
            <w:tr w14:paraId="680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4F777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619" w:type="pct"/>
                  <w:gridSpan w:val="3"/>
                  <w:noWrap w:val="0"/>
                  <w:vAlign w:val="center"/>
                </w:tcPr>
                <w:p w14:paraId="58F7DE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镍</w:t>
                  </w:r>
                </w:p>
              </w:tc>
              <w:tc>
                <w:tcPr>
                  <w:tcW w:w="607" w:type="pct"/>
                  <w:gridSpan w:val="2"/>
                  <w:noWrap w:val="0"/>
                  <w:vAlign w:val="center"/>
                </w:tcPr>
                <w:p w14:paraId="2EBFA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noWrap w:val="0"/>
                  <w:vAlign w:val="center"/>
                </w:tcPr>
                <w:p w14:paraId="09027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29</w:t>
                  </w:r>
                </w:p>
              </w:tc>
            </w:tr>
            <w:tr w14:paraId="7E50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06EC996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0" w:type="pct"/>
                  <w:vMerge w:val="restart"/>
                  <w:noWrap w:val="0"/>
                  <w:vAlign w:val="center"/>
                </w:tcPr>
                <w:p w14:paraId="470D205A">
                  <w:pPr>
                    <w:pStyle w:val="8"/>
                    <w:keepNext w:val="0"/>
                    <w:keepLines w:val="0"/>
                    <w:suppressLineNumbers w:val="0"/>
                    <w:spacing w:before="0" w:beforeAutospacing="0" w:after="0" w:afterAutospacing="0"/>
                    <w:ind w:left="0" w:right="0"/>
                    <w:jc w:val="center"/>
                    <w:rPr>
                      <w:rFonts w:hint="default" w:ascii="Times New Roman" w:hAnsi="Times New Roman" w:cs="Times New Roman"/>
                      <w:lang w:val="en-US" w:eastAsia="zh-CN"/>
                    </w:rPr>
                  </w:pPr>
                </w:p>
                <w:p w14:paraId="2E0095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挥发性有机物</w:t>
                  </w:r>
                </w:p>
              </w:tc>
              <w:tc>
                <w:tcPr>
                  <w:tcW w:w="1018" w:type="pct"/>
                  <w:gridSpan w:val="2"/>
                  <w:shd w:val="clear" w:color="auto" w:fill="auto"/>
                  <w:noWrap w:val="0"/>
                  <w:vAlign w:val="center"/>
                </w:tcPr>
                <w:p w14:paraId="0F6E00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四氯化碳</w:t>
                  </w:r>
                </w:p>
              </w:tc>
              <w:tc>
                <w:tcPr>
                  <w:tcW w:w="607" w:type="pct"/>
                  <w:gridSpan w:val="2"/>
                  <w:noWrap w:val="0"/>
                  <w:vAlign w:val="center"/>
                </w:tcPr>
                <w:p w14:paraId="0E915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3DBC1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8F7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54F6D9DD">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09871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464893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氯仿</w:t>
                  </w:r>
                </w:p>
              </w:tc>
              <w:tc>
                <w:tcPr>
                  <w:tcW w:w="607" w:type="pct"/>
                  <w:gridSpan w:val="2"/>
                  <w:noWrap w:val="0"/>
                  <w:vAlign w:val="center"/>
                </w:tcPr>
                <w:p w14:paraId="1B2E4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761AD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0549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11B712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600" w:type="pct"/>
                  <w:vMerge w:val="continue"/>
                  <w:noWrap w:val="0"/>
                  <w:vAlign w:val="center"/>
                </w:tcPr>
                <w:p w14:paraId="259F9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7FE4C8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氯甲烷</w:t>
                  </w:r>
                </w:p>
              </w:tc>
              <w:tc>
                <w:tcPr>
                  <w:tcW w:w="607" w:type="pct"/>
                  <w:gridSpan w:val="2"/>
                  <w:noWrap w:val="0"/>
                  <w:vAlign w:val="center"/>
                </w:tcPr>
                <w:p w14:paraId="6E197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5806C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06C6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36F58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600" w:type="pct"/>
                  <w:vMerge w:val="continue"/>
                  <w:noWrap w:val="0"/>
                  <w:vAlign w:val="center"/>
                </w:tcPr>
                <w:p w14:paraId="4721B6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744867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1,1-二氯乙烷</w:t>
                  </w:r>
                </w:p>
              </w:tc>
              <w:tc>
                <w:tcPr>
                  <w:tcW w:w="607" w:type="pct"/>
                  <w:gridSpan w:val="2"/>
                  <w:noWrap w:val="0"/>
                  <w:vAlign w:val="center"/>
                </w:tcPr>
                <w:p w14:paraId="2F225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5CB58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169D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46FBDCE5">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0" w:type="pct"/>
                  <w:vMerge w:val="continue"/>
                  <w:noWrap w:val="0"/>
                  <w:vAlign w:val="center"/>
                </w:tcPr>
                <w:p w14:paraId="36B96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12CDFB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1,2-二氯乙烷</w:t>
                  </w:r>
                </w:p>
              </w:tc>
              <w:tc>
                <w:tcPr>
                  <w:tcW w:w="607" w:type="pct"/>
                  <w:gridSpan w:val="2"/>
                  <w:noWrap w:val="0"/>
                  <w:vAlign w:val="center"/>
                </w:tcPr>
                <w:p w14:paraId="02789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6C562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3246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59BB84D5">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0" w:type="pct"/>
                  <w:vMerge w:val="continue"/>
                  <w:noWrap w:val="0"/>
                  <w:vAlign w:val="center"/>
                </w:tcPr>
                <w:p w14:paraId="68C1D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2DDF78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1,1-二氯乙烯</w:t>
                  </w:r>
                </w:p>
              </w:tc>
              <w:tc>
                <w:tcPr>
                  <w:tcW w:w="607" w:type="pct"/>
                  <w:gridSpan w:val="2"/>
                  <w:noWrap w:val="0"/>
                  <w:vAlign w:val="center"/>
                </w:tcPr>
                <w:p w14:paraId="46723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0B156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3F5F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5F95ED50">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1247DC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4F121A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顺-1,2-二氯乙烯</w:t>
                  </w:r>
                </w:p>
              </w:tc>
              <w:tc>
                <w:tcPr>
                  <w:tcW w:w="607" w:type="pct"/>
                  <w:gridSpan w:val="2"/>
                  <w:noWrap w:val="0"/>
                  <w:vAlign w:val="center"/>
                </w:tcPr>
                <w:p w14:paraId="14BEA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53DFD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913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61D96366">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3A3776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05B22B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反-1,2-二氯乙烯</w:t>
                  </w:r>
                </w:p>
              </w:tc>
              <w:tc>
                <w:tcPr>
                  <w:tcW w:w="607" w:type="pct"/>
                  <w:gridSpan w:val="2"/>
                  <w:noWrap w:val="0"/>
                  <w:vAlign w:val="center"/>
                </w:tcPr>
                <w:p w14:paraId="18B61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4191E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E1E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69AD7B06">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1ACCE5D4">
                  <w:pPr>
                    <w:keepNext w:val="0"/>
                    <w:keepLines w:val="0"/>
                    <w:suppressLineNumbers w:val="0"/>
                    <w:adjustRightInd w:val="0"/>
                    <w:snapToGrid w:val="0"/>
                    <w:spacing w:before="0" w:beforeAutospacing="0" w:after="0" w:afterAutospacing="0"/>
                    <w:ind w:left="0" w:right="-220" w:rightChars="-105"/>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6DE1F009">
                  <w:pPr>
                    <w:keepNext w:val="0"/>
                    <w:keepLines w:val="0"/>
                    <w:suppressLineNumbers w:val="0"/>
                    <w:adjustRightInd w:val="0"/>
                    <w:snapToGrid w:val="0"/>
                    <w:spacing w:before="0" w:beforeAutospacing="0" w:after="0" w:afterAutospacing="0"/>
                    <w:ind w:left="0" w:right="-220" w:rightChars="-105"/>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二氯甲烷</w:t>
                  </w:r>
                </w:p>
              </w:tc>
              <w:tc>
                <w:tcPr>
                  <w:tcW w:w="607" w:type="pct"/>
                  <w:gridSpan w:val="2"/>
                  <w:noWrap w:val="0"/>
                  <w:vAlign w:val="center"/>
                </w:tcPr>
                <w:p w14:paraId="04FF6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33D3A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2A2D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34AA0F9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390B3C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1283C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1,2-二氯丙烷</w:t>
                  </w:r>
                </w:p>
              </w:tc>
              <w:tc>
                <w:tcPr>
                  <w:tcW w:w="607" w:type="pct"/>
                  <w:gridSpan w:val="2"/>
                  <w:noWrap w:val="0"/>
                  <w:vAlign w:val="center"/>
                </w:tcPr>
                <w:p w14:paraId="3E55A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2500F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936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5F2C81D7">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62FCF3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23101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1,1,1,2-四氯乙烷</w:t>
                  </w:r>
                </w:p>
              </w:tc>
              <w:tc>
                <w:tcPr>
                  <w:tcW w:w="607" w:type="pct"/>
                  <w:gridSpan w:val="2"/>
                  <w:noWrap w:val="0"/>
                  <w:vAlign w:val="center"/>
                </w:tcPr>
                <w:p w14:paraId="7391C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18C02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2331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2BBF381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4D8049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22E833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1,1,2,2-四氯乙烷</w:t>
                  </w:r>
                </w:p>
              </w:tc>
              <w:tc>
                <w:tcPr>
                  <w:tcW w:w="607" w:type="pct"/>
                  <w:gridSpan w:val="2"/>
                  <w:noWrap w:val="0"/>
                  <w:vAlign w:val="center"/>
                </w:tcPr>
                <w:p w14:paraId="4861A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12031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1814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shd w:val="clear" w:color="auto" w:fill="auto"/>
                  <w:noWrap w:val="0"/>
                  <w:vAlign w:val="center"/>
                </w:tcPr>
                <w:p w14:paraId="0C5BE64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0" w:type="pct"/>
                  <w:vMerge w:val="continue"/>
                  <w:noWrap w:val="0"/>
                  <w:vAlign w:val="center"/>
                </w:tcPr>
                <w:p w14:paraId="60162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285EEC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四氯乙烯</w:t>
                  </w:r>
                </w:p>
              </w:tc>
              <w:tc>
                <w:tcPr>
                  <w:tcW w:w="607" w:type="pct"/>
                  <w:gridSpan w:val="2"/>
                  <w:noWrap w:val="0"/>
                  <w:vAlign w:val="center"/>
                </w:tcPr>
                <w:p w14:paraId="25211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6FEB9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331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4EFF124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41E215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6C73ED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1,1,1-三氯乙烷</w:t>
                  </w:r>
                </w:p>
              </w:tc>
              <w:tc>
                <w:tcPr>
                  <w:tcW w:w="607" w:type="pct"/>
                  <w:gridSpan w:val="2"/>
                  <w:noWrap w:val="0"/>
                  <w:vAlign w:val="center"/>
                </w:tcPr>
                <w:p w14:paraId="20723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15727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5DD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412" w:hRule="atLeast"/>
                <w:jc w:val="center"/>
              </w:trPr>
              <w:tc>
                <w:tcPr>
                  <w:tcW w:w="576" w:type="pct"/>
                  <w:gridSpan w:val="2"/>
                  <w:vMerge w:val="continue"/>
                  <w:noWrap w:val="0"/>
                  <w:vAlign w:val="center"/>
                </w:tcPr>
                <w:p w14:paraId="464D9AB7">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6C2DFB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2CFC42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1,1,2-三氯乙烷</w:t>
                  </w:r>
                </w:p>
              </w:tc>
              <w:tc>
                <w:tcPr>
                  <w:tcW w:w="607" w:type="pct"/>
                  <w:gridSpan w:val="2"/>
                  <w:shd w:val="clear" w:color="auto" w:fill="auto"/>
                  <w:noWrap w:val="0"/>
                  <w:vAlign w:val="center"/>
                </w:tcPr>
                <w:p w14:paraId="65355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12E3B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068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548" w:hRule="atLeast"/>
                <w:jc w:val="center"/>
              </w:trPr>
              <w:tc>
                <w:tcPr>
                  <w:tcW w:w="576" w:type="pct"/>
                  <w:gridSpan w:val="2"/>
                  <w:vMerge w:val="continue"/>
                  <w:noWrap w:val="0"/>
                  <w:vAlign w:val="center"/>
                </w:tcPr>
                <w:p w14:paraId="1A6927CA">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0" w:type="pct"/>
                  <w:vMerge w:val="continue"/>
                  <w:noWrap w:val="0"/>
                  <w:vAlign w:val="center"/>
                </w:tcPr>
                <w:p w14:paraId="6FEE2D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shd w:val="clear" w:color="auto" w:fill="auto"/>
                  <w:noWrap w:val="0"/>
                  <w:vAlign w:val="center"/>
                </w:tcPr>
                <w:p w14:paraId="778934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三氯乙烯</w:t>
                  </w:r>
                </w:p>
              </w:tc>
              <w:tc>
                <w:tcPr>
                  <w:tcW w:w="607" w:type="pct"/>
                  <w:gridSpan w:val="2"/>
                  <w:shd w:val="clear" w:color="auto" w:fill="auto"/>
                  <w:noWrap w:val="0"/>
                  <w:vAlign w:val="center"/>
                </w:tcPr>
                <w:p w14:paraId="5E435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92" w:type="pct"/>
                  <w:gridSpan w:val="2"/>
                  <w:shd w:val="clear" w:color="auto" w:fill="auto"/>
                  <w:noWrap w:val="0"/>
                  <w:vAlign w:val="center"/>
                </w:tcPr>
                <w:p w14:paraId="722DC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7D77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restart"/>
                  <w:tcBorders>
                    <w:tl2br w:val="nil"/>
                    <w:tr2bl w:val="nil"/>
                  </w:tcBorders>
                  <w:noWrap w:val="0"/>
                  <w:vAlign w:val="center"/>
                </w:tcPr>
                <w:p w14:paraId="6E9AE79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6.03.08</w:t>
                  </w:r>
                </w:p>
              </w:tc>
              <w:tc>
                <w:tcPr>
                  <w:tcW w:w="604" w:type="pct"/>
                  <w:gridSpan w:val="2"/>
                  <w:vMerge w:val="restart"/>
                  <w:tcBorders>
                    <w:tl2br w:val="nil"/>
                    <w:tr2bl w:val="nil"/>
                  </w:tcBorders>
                  <w:noWrap w:val="0"/>
                  <w:vAlign w:val="center"/>
                </w:tcPr>
                <w:p w14:paraId="5177E7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挥发性有机物</w:t>
                  </w:r>
                </w:p>
              </w:tc>
              <w:tc>
                <w:tcPr>
                  <w:tcW w:w="1018" w:type="pct"/>
                  <w:gridSpan w:val="2"/>
                  <w:tcBorders>
                    <w:tl2br w:val="nil"/>
                    <w:tr2bl w:val="nil"/>
                  </w:tcBorders>
                  <w:shd w:val="clear" w:color="auto" w:fill="auto"/>
                  <w:noWrap w:val="0"/>
                  <w:vAlign w:val="center"/>
                </w:tcPr>
                <w:p w14:paraId="2C37D7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1,2,3-三氯丙烷</w:t>
                  </w:r>
                </w:p>
              </w:tc>
              <w:tc>
                <w:tcPr>
                  <w:tcW w:w="607" w:type="pct"/>
                  <w:gridSpan w:val="2"/>
                  <w:tcBorders>
                    <w:tl2br w:val="nil"/>
                    <w:tr2bl w:val="nil"/>
                  </w:tcBorders>
                  <w:noWrap w:val="0"/>
                  <w:vAlign w:val="center"/>
                </w:tcPr>
                <w:p w14:paraId="72B0D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FD76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126F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20EF471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4758C8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7EDE4D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氯乙烯</w:t>
                  </w:r>
                </w:p>
              </w:tc>
              <w:tc>
                <w:tcPr>
                  <w:tcW w:w="607" w:type="pct"/>
                  <w:gridSpan w:val="2"/>
                  <w:tcBorders>
                    <w:tl2br w:val="nil"/>
                    <w:tr2bl w:val="nil"/>
                  </w:tcBorders>
                  <w:noWrap w:val="0"/>
                  <w:vAlign w:val="center"/>
                </w:tcPr>
                <w:p w14:paraId="44562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1DF66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EB3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74C1038E">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02CEEC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23AC59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w:t>
                  </w:r>
                </w:p>
              </w:tc>
              <w:tc>
                <w:tcPr>
                  <w:tcW w:w="607" w:type="pct"/>
                  <w:gridSpan w:val="2"/>
                  <w:tcBorders>
                    <w:tl2br w:val="nil"/>
                    <w:tr2bl w:val="nil"/>
                  </w:tcBorders>
                  <w:noWrap w:val="0"/>
                  <w:vAlign w:val="center"/>
                </w:tcPr>
                <w:p w14:paraId="0B115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5C1A9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5BA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0AFF97E6">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35A26D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31376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氯苯</w:t>
                  </w:r>
                </w:p>
              </w:tc>
              <w:tc>
                <w:tcPr>
                  <w:tcW w:w="607" w:type="pct"/>
                  <w:gridSpan w:val="2"/>
                  <w:tcBorders>
                    <w:tl2br w:val="nil"/>
                    <w:tr2bl w:val="nil"/>
                  </w:tcBorders>
                  <w:noWrap w:val="0"/>
                  <w:vAlign w:val="center"/>
                </w:tcPr>
                <w:p w14:paraId="08BA7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2C621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51F6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1385AF2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1153C9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2229D4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1，2-二氯苯</w:t>
                  </w:r>
                </w:p>
              </w:tc>
              <w:tc>
                <w:tcPr>
                  <w:tcW w:w="607" w:type="pct"/>
                  <w:gridSpan w:val="2"/>
                  <w:tcBorders>
                    <w:tl2br w:val="nil"/>
                    <w:tr2bl w:val="nil"/>
                  </w:tcBorders>
                  <w:noWrap w:val="0"/>
                  <w:vAlign w:val="center"/>
                </w:tcPr>
                <w:p w14:paraId="22804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4E7BB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7001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798F388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28932C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0BD79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1,4-二氯苯</w:t>
                  </w:r>
                </w:p>
              </w:tc>
              <w:tc>
                <w:tcPr>
                  <w:tcW w:w="607" w:type="pct"/>
                  <w:gridSpan w:val="2"/>
                  <w:tcBorders>
                    <w:tl2br w:val="nil"/>
                    <w:tr2bl w:val="nil"/>
                  </w:tcBorders>
                  <w:noWrap w:val="0"/>
                  <w:vAlign w:val="center"/>
                </w:tcPr>
                <w:p w14:paraId="59A75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1C58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5C79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3D00DFBE">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1DBB08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384E30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乙苯</w:t>
                  </w:r>
                </w:p>
              </w:tc>
              <w:tc>
                <w:tcPr>
                  <w:tcW w:w="607" w:type="pct"/>
                  <w:gridSpan w:val="2"/>
                  <w:tcBorders>
                    <w:tl2br w:val="nil"/>
                    <w:tr2bl w:val="nil"/>
                  </w:tcBorders>
                  <w:noWrap w:val="0"/>
                  <w:vAlign w:val="center"/>
                </w:tcPr>
                <w:p w14:paraId="5CBBB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57698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606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385B6898">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1C38CA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075C17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苯乙烯</w:t>
                  </w:r>
                </w:p>
              </w:tc>
              <w:tc>
                <w:tcPr>
                  <w:tcW w:w="607" w:type="pct"/>
                  <w:gridSpan w:val="2"/>
                  <w:tcBorders>
                    <w:tl2br w:val="nil"/>
                    <w:tr2bl w:val="nil"/>
                  </w:tcBorders>
                  <w:noWrap w:val="0"/>
                  <w:vAlign w:val="center"/>
                </w:tcPr>
                <w:p w14:paraId="69BAE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B42B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D51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6AED1DDE">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353942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2A5E38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甲苯</w:t>
                  </w:r>
                </w:p>
              </w:tc>
              <w:tc>
                <w:tcPr>
                  <w:tcW w:w="607" w:type="pct"/>
                  <w:gridSpan w:val="2"/>
                  <w:tcBorders>
                    <w:tl2br w:val="nil"/>
                    <w:tr2bl w:val="nil"/>
                  </w:tcBorders>
                  <w:noWrap w:val="0"/>
                  <w:vAlign w:val="center"/>
                </w:tcPr>
                <w:p w14:paraId="6108D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71E9A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2393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2B339E4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7073FE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6CE476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间,对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二甲苯</w:t>
                  </w:r>
                </w:p>
              </w:tc>
              <w:tc>
                <w:tcPr>
                  <w:tcW w:w="607" w:type="pct"/>
                  <w:gridSpan w:val="2"/>
                  <w:tcBorders>
                    <w:tl2br w:val="nil"/>
                    <w:tr2bl w:val="nil"/>
                  </w:tcBorders>
                  <w:noWrap w:val="0"/>
                  <w:vAlign w:val="center"/>
                </w:tcPr>
                <w:p w14:paraId="7AF2D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7F15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B4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02F84E3E">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40C8CB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5EB1A9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邻</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二甲苯</w:t>
                  </w:r>
                </w:p>
              </w:tc>
              <w:tc>
                <w:tcPr>
                  <w:tcW w:w="607" w:type="pct"/>
                  <w:gridSpan w:val="2"/>
                  <w:tcBorders>
                    <w:tl2br w:val="nil"/>
                    <w:tr2bl w:val="nil"/>
                  </w:tcBorders>
                  <w:noWrap w:val="0"/>
                  <w:vAlign w:val="center"/>
                </w:tcPr>
                <w:p w14:paraId="1739E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4529E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6960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30922F4E">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restart"/>
                  <w:tcBorders>
                    <w:tl2br w:val="nil"/>
                    <w:tr2bl w:val="nil"/>
                  </w:tcBorders>
                  <w:noWrap w:val="0"/>
                  <w:vAlign w:val="center"/>
                </w:tcPr>
                <w:p w14:paraId="303F7E4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半挥发性有机物</w:t>
                  </w:r>
                </w:p>
              </w:tc>
              <w:tc>
                <w:tcPr>
                  <w:tcW w:w="1018" w:type="pct"/>
                  <w:gridSpan w:val="2"/>
                  <w:tcBorders>
                    <w:tl2br w:val="nil"/>
                    <w:tr2bl w:val="nil"/>
                  </w:tcBorders>
                  <w:shd w:val="clear" w:color="auto" w:fill="auto"/>
                  <w:noWrap w:val="0"/>
                  <w:vAlign w:val="center"/>
                </w:tcPr>
                <w:p w14:paraId="778569B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硝基苯</w:t>
                  </w:r>
                </w:p>
              </w:tc>
              <w:tc>
                <w:tcPr>
                  <w:tcW w:w="607" w:type="pct"/>
                  <w:gridSpan w:val="2"/>
                  <w:tcBorders>
                    <w:tl2br w:val="nil"/>
                    <w:tr2bl w:val="nil"/>
                  </w:tcBorders>
                  <w:noWrap w:val="0"/>
                  <w:vAlign w:val="center"/>
                </w:tcPr>
                <w:p w14:paraId="5D38F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8B86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1ED1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6BB7A92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434E2E6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18" w:type="pct"/>
                  <w:gridSpan w:val="2"/>
                  <w:tcBorders>
                    <w:tl2br w:val="nil"/>
                    <w:tr2bl w:val="nil"/>
                  </w:tcBorders>
                  <w:shd w:val="clear" w:color="auto" w:fill="auto"/>
                  <w:noWrap w:val="0"/>
                  <w:vAlign w:val="center"/>
                </w:tcPr>
                <w:p w14:paraId="346F9F3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苯胺</w:t>
                  </w:r>
                </w:p>
              </w:tc>
              <w:tc>
                <w:tcPr>
                  <w:tcW w:w="607" w:type="pct"/>
                  <w:gridSpan w:val="2"/>
                  <w:tcBorders>
                    <w:tl2br w:val="nil"/>
                    <w:tr2bl w:val="nil"/>
                  </w:tcBorders>
                  <w:noWrap w:val="0"/>
                  <w:vAlign w:val="center"/>
                </w:tcPr>
                <w:p w14:paraId="4D30E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0EA8A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705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36B99DF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37A95F0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2A353D5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2-氯酚</w:t>
                  </w:r>
                </w:p>
              </w:tc>
              <w:tc>
                <w:tcPr>
                  <w:tcW w:w="607" w:type="pct"/>
                  <w:gridSpan w:val="2"/>
                  <w:tcBorders>
                    <w:tl2br w:val="nil"/>
                    <w:tr2bl w:val="nil"/>
                  </w:tcBorders>
                  <w:noWrap w:val="0"/>
                  <w:vAlign w:val="center"/>
                </w:tcPr>
                <w:p w14:paraId="1F0D1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179E5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7542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5EA017B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146F21F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1DFB1D7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苯并[a]蒽</w:t>
                  </w:r>
                </w:p>
              </w:tc>
              <w:tc>
                <w:tcPr>
                  <w:tcW w:w="607" w:type="pct"/>
                  <w:gridSpan w:val="2"/>
                  <w:tcBorders>
                    <w:tl2br w:val="nil"/>
                    <w:tr2bl w:val="nil"/>
                  </w:tcBorders>
                  <w:noWrap w:val="0"/>
                  <w:vAlign w:val="center"/>
                </w:tcPr>
                <w:p w14:paraId="3B9C2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4ACE0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3A2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shd w:val="clear" w:color="auto" w:fill="auto"/>
                  <w:noWrap w:val="0"/>
                  <w:vAlign w:val="center"/>
                </w:tcPr>
                <w:p w14:paraId="08287BE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3044DF9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0EAA6F4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苯并[a]芘</w:t>
                  </w:r>
                </w:p>
              </w:tc>
              <w:tc>
                <w:tcPr>
                  <w:tcW w:w="607" w:type="pct"/>
                  <w:gridSpan w:val="2"/>
                  <w:tcBorders>
                    <w:tl2br w:val="nil"/>
                    <w:tr2bl w:val="nil"/>
                  </w:tcBorders>
                  <w:noWrap w:val="0"/>
                  <w:vAlign w:val="center"/>
                </w:tcPr>
                <w:p w14:paraId="40C24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43FA6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5DCB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6A969FAF">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0BCAECF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0250208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苯并[b]荧蒽</w:t>
                  </w:r>
                </w:p>
              </w:tc>
              <w:tc>
                <w:tcPr>
                  <w:tcW w:w="607" w:type="pct"/>
                  <w:gridSpan w:val="2"/>
                  <w:tcBorders>
                    <w:tl2br w:val="nil"/>
                    <w:tr2bl w:val="nil"/>
                  </w:tcBorders>
                  <w:noWrap w:val="0"/>
                  <w:vAlign w:val="center"/>
                </w:tcPr>
                <w:p w14:paraId="42BB7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7032C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7C44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4D2B5B4F">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4448C99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21E4CCB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苯并[k]荧蒽</w:t>
                  </w:r>
                </w:p>
              </w:tc>
              <w:tc>
                <w:tcPr>
                  <w:tcW w:w="607" w:type="pct"/>
                  <w:gridSpan w:val="2"/>
                  <w:tcBorders>
                    <w:tl2br w:val="nil"/>
                    <w:tr2bl w:val="nil"/>
                  </w:tcBorders>
                  <w:noWrap w:val="0"/>
                  <w:vAlign w:val="center"/>
                </w:tcPr>
                <w:p w14:paraId="33655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4DDB1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3207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1CBA036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04" w:type="pct"/>
                  <w:gridSpan w:val="2"/>
                  <w:vMerge w:val="continue"/>
                  <w:tcBorders>
                    <w:tl2br w:val="nil"/>
                    <w:tr2bl w:val="nil"/>
                  </w:tcBorders>
                  <w:noWrap w:val="0"/>
                  <w:vAlign w:val="center"/>
                </w:tcPr>
                <w:p w14:paraId="63927DB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2646C9F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䓛</w:t>
                  </w:r>
                </w:p>
              </w:tc>
              <w:tc>
                <w:tcPr>
                  <w:tcW w:w="607" w:type="pct"/>
                  <w:gridSpan w:val="2"/>
                  <w:tcBorders>
                    <w:tl2br w:val="nil"/>
                    <w:tr2bl w:val="nil"/>
                  </w:tcBorders>
                  <w:noWrap w:val="0"/>
                  <w:vAlign w:val="center"/>
                </w:tcPr>
                <w:p w14:paraId="73EA6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9B57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39FA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6EF79A1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631CB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39E9C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二苯并[a,h]蒽</w:t>
                  </w:r>
                </w:p>
              </w:tc>
              <w:tc>
                <w:tcPr>
                  <w:tcW w:w="607" w:type="pct"/>
                  <w:gridSpan w:val="2"/>
                  <w:tcBorders>
                    <w:tl2br w:val="nil"/>
                    <w:tr2bl w:val="nil"/>
                  </w:tcBorders>
                  <w:noWrap w:val="0"/>
                  <w:vAlign w:val="center"/>
                </w:tcPr>
                <w:p w14:paraId="1628E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33B22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1315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05C4432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0FF7D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18" w:type="pct"/>
                  <w:gridSpan w:val="2"/>
                  <w:tcBorders>
                    <w:tl2br w:val="nil"/>
                    <w:tr2bl w:val="nil"/>
                  </w:tcBorders>
                  <w:shd w:val="clear" w:color="auto" w:fill="auto"/>
                  <w:noWrap w:val="0"/>
                  <w:vAlign w:val="center"/>
                </w:tcPr>
                <w:p w14:paraId="49290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茚并[1,2,3-cd]芘</w:t>
                  </w:r>
                </w:p>
              </w:tc>
              <w:tc>
                <w:tcPr>
                  <w:tcW w:w="607" w:type="pct"/>
                  <w:gridSpan w:val="2"/>
                  <w:tcBorders>
                    <w:tl2br w:val="nil"/>
                    <w:tr2bl w:val="nil"/>
                  </w:tcBorders>
                  <w:noWrap w:val="0"/>
                  <w:vAlign w:val="center"/>
                </w:tcPr>
                <w:p w14:paraId="5D767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257BE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4238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 w:type="pct"/>
                <w:trHeight w:val="397" w:hRule="atLeast"/>
                <w:jc w:val="center"/>
              </w:trPr>
              <w:tc>
                <w:tcPr>
                  <w:tcW w:w="576" w:type="pct"/>
                  <w:gridSpan w:val="2"/>
                  <w:vMerge w:val="continue"/>
                  <w:tcBorders>
                    <w:tl2br w:val="nil"/>
                    <w:tr2bl w:val="nil"/>
                  </w:tcBorders>
                  <w:noWrap w:val="0"/>
                  <w:vAlign w:val="center"/>
                </w:tcPr>
                <w:p w14:paraId="3DA9E70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gridSpan w:val="2"/>
                  <w:vMerge w:val="continue"/>
                  <w:tcBorders>
                    <w:tl2br w:val="nil"/>
                    <w:tr2bl w:val="nil"/>
                  </w:tcBorders>
                  <w:noWrap w:val="0"/>
                  <w:vAlign w:val="center"/>
                </w:tcPr>
                <w:p w14:paraId="60BD3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18" w:type="pct"/>
                  <w:gridSpan w:val="2"/>
                  <w:tcBorders>
                    <w:tl2br w:val="nil"/>
                    <w:tr2bl w:val="nil"/>
                  </w:tcBorders>
                  <w:shd w:val="clear" w:color="auto" w:fill="auto"/>
                  <w:noWrap w:val="0"/>
                  <w:vAlign w:val="center"/>
                </w:tcPr>
                <w:p w14:paraId="22140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萘</w:t>
                  </w:r>
                </w:p>
              </w:tc>
              <w:tc>
                <w:tcPr>
                  <w:tcW w:w="607" w:type="pct"/>
                  <w:gridSpan w:val="2"/>
                  <w:tcBorders>
                    <w:tl2br w:val="nil"/>
                    <w:tr2bl w:val="nil"/>
                  </w:tcBorders>
                  <w:noWrap w:val="0"/>
                  <w:vAlign w:val="center"/>
                </w:tcPr>
                <w:p w14:paraId="483B2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mg/kg</w:t>
                  </w:r>
                </w:p>
              </w:tc>
              <w:tc>
                <w:tcPr>
                  <w:tcW w:w="2188" w:type="pct"/>
                  <w:tcBorders>
                    <w:tl2br w:val="nil"/>
                    <w:tr2bl w:val="nil"/>
                  </w:tcBorders>
                  <w:noWrap w:val="0"/>
                  <w:vAlign w:val="center"/>
                </w:tcPr>
                <w:p w14:paraId="71E45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outlineLvl w:val="9"/>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未检出</w:t>
                  </w:r>
                </w:p>
              </w:tc>
            </w:tr>
            <w:tr w14:paraId="072D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 w:type="pct"/>
                <w:trHeight w:val="283" w:hRule="atLeast"/>
                <w:tblHeader/>
                <w:jc w:val="center"/>
              </w:trPr>
              <w:tc>
                <w:tcPr>
                  <w:tcW w:w="573" w:type="pct"/>
                  <w:tcBorders>
                    <w:tl2br w:val="nil"/>
                    <w:tr2bl w:val="nil"/>
                  </w:tcBorders>
                  <w:noWrap w:val="0"/>
                  <w:vAlign w:val="center"/>
                </w:tcPr>
                <w:p w14:paraId="2CB6CB1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423" w:type="pct"/>
                  <w:gridSpan w:val="7"/>
                  <w:tcBorders>
                    <w:tl2br w:val="nil"/>
                    <w:tr2bl w:val="nil"/>
                  </w:tcBorders>
                  <w:noWrap w:val="0"/>
                  <w:vAlign w:val="center"/>
                </w:tcPr>
                <w:p w14:paraId="19ECBA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此表</w:t>
                  </w:r>
                  <w:r>
                    <w:rPr>
                      <w:rFonts w:hint="default" w:ascii="Times New Roman" w:hAnsi="Times New Roman" w:eastAsia="宋体" w:cs="Times New Roman"/>
                      <w:kern w:val="2"/>
                      <w:sz w:val="21"/>
                      <w:szCs w:val="21"/>
                      <w:lang w:val="en-US" w:eastAsia="zh-CN" w:bidi="ar-SA"/>
                    </w:rPr>
                    <w:t>为分包因子，分包单位为新疆点点星光检测技术有限公司。</w:t>
                  </w:r>
                </w:p>
              </w:tc>
            </w:tr>
          </w:tbl>
          <w:p w14:paraId="3D6CAA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b/>
                <w:szCs w:val="24"/>
              </w:rPr>
            </w:pPr>
            <w:r>
              <w:rPr>
                <w:rFonts w:hint="eastAsia" w:ascii="Times New Roman"/>
                <w:kern w:val="0"/>
                <w:sz w:val="24"/>
                <w:szCs w:val="24"/>
              </w:rPr>
              <w:t>根据监测结果，项目场地附近土壤环境监测值均符合相应的《土壤环境质量</w:t>
            </w:r>
            <w:r>
              <w:rPr>
                <w:rFonts w:hint="eastAsia"/>
                <w:kern w:val="0"/>
                <w:sz w:val="24"/>
                <w:szCs w:val="24"/>
                <w:lang w:val="en-US" w:eastAsia="zh-CN"/>
              </w:rPr>
              <w:t xml:space="preserve"> </w:t>
            </w:r>
            <w:r>
              <w:rPr>
                <w:rFonts w:hint="eastAsia" w:ascii="Times New Roman"/>
                <w:kern w:val="0"/>
                <w:sz w:val="24"/>
                <w:szCs w:val="24"/>
              </w:rPr>
              <w:t>建设用地</w:t>
            </w:r>
            <w:r>
              <w:rPr>
                <w:rFonts w:hint="eastAsia"/>
                <w:kern w:val="0"/>
                <w:sz w:val="24"/>
                <w:szCs w:val="24"/>
                <w:lang w:eastAsia="zh-CN"/>
              </w:rPr>
              <w:t>土壤</w:t>
            </w:r>
            <w:r>
              <w:rPr>
                <w:rFonts w:hint="eastAsia" w:ascii="Times New Roman"/>
                <w:kern w:val="0"/>
                <w:sz w:val="24"/>
                <w:szCs w:val="24"/>
              </w:rPr>
              <w:t>污染风险管控标准（试行）》（</w:t>
            </w:r>
            <w:r>
              <w:rPr>
                <w:rFonts w:hint="default" w:ascii="Times New Roman"/>
                <w:kern w:val="0"/>
                <w:sz w:val="24"/>
                <w:szCs w:val="24"/>
              </w:rPr>
              <w:t>GB36600-2018</w:t>
            </w:r>
            <w:r>
              <w:rPr>
                <w:rFonts w:hint="eastAsia" w:ascii="Times New Roman"/>
                <w:kern w:val="0"/>
                <w:sz w:val="24"/>
                <w:szCs w:val="24"/>
              </w:rPr>
              <w:t>）的要求。</w:t>
            </w:r>
          </w:p>
          <w:p w14:paraId="7C634BD2">
            <w:pPr>
              <w:pStyle w:val="70"/>
              <w:keepNext w:val="0"/>
              <w:keepLines w:val="0"/>
              <w:suppressLineNumbers w:val="0"/>
              <w:ind w:left="0" w:right="0"/>
              <w:rPr>
                <w:rFonts w:hint="eastAsia"/>
                <w:lang w:val="en-US" w:eastAsia="zh-CN"/>
              </w:rPr>
            </w:pPr>
          </w:p>
          <w:p w14:paraId="7B9535F5">
            <w:pPr>
              <w:keepNext w:val="0"/>
              <w:keepLines w:val="0"/>
              <w:suppressLineNumbers w:val="0"/>
              <w:spacing w:before="0" w:beforeAutospacing="0" w:after="0" w:afterAutospacing="0"/>
              <w:ind w:left="0" w:right="0"/>
              <w:rPr>
                <w:rFonts w:hint="default"/>
                <w:lang w:val="en-US"/>
              </w:rPr>
            </w:pPr>
          </w:p>
        </w:tc>
      </w:tr>
      <w:tr w14:paraId="09056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5" w:type="pct"/>
            <w:vAlign w:val="center"/>
          </w:tcPr>
          <w:p w14:paraId="5627E2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与项目有关的原有环境污染和生态破坏问题</w:t>
            </w:r>
          </w:p>
          <w:p w14:paraId="4655B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p>
        </w:tc>
        <w:tc>
          <w:tcPr>
            <w:tcW w:w="4524" w:type="pct"/>
            <w:vAlign w:val="center"/>
          </w:tcPr>
          <w:p w14:paraId="1A487718">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本项目为新建项目，不存在原有污染情况及主要环境问题。</w:t>
            </w:r>
          </w:p>
        </w:tc>
      </w:tr>
      <w:tr w14:paraId="73E92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5" w:type="pct"/>
            <w:vAlign w:val="center"/>
          </w:tcPr>
          <w:p w14:paraId="59269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生态环境保护目标</w:t>
            </w:r>
          </w:p>
        </w:tc>
        <w:tc>
          <w:tcPr>
            <w:tcW w:w="4524" w:type="pct"/>
            <w:vAlign w:val="center"/>
          </w:tcPr>
          <w:p w14:paraId="4A638AD8">
            <w:pPr>
              <w:keepNext w:val="0"/>
              <w:keepLines w:val="0"/>
              <w:suppressLineNumbers w:val="0"/>
              <w:spacing w:before="0" w:beforeAutospacing="0" w:after="0" w:afterAutospacing="0" w:line="360" w:lineRule="auto"/>
              <w:ind w:right="0"/>
              <w:rPr>
                <w:rFonts w:hint="eastAsia"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1.各环境要素评价范围</w:t>
            </w:r>
          </w:p>
          <w:p w14:paraId="7B7D470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0000FF"/>
                <w:sz w:val="24"/>
                <w:szCs w:val="24"/>
              </w:rPr>
            </w:pPr>
            <w:r>
              <w:rPr>
                <w:rFonts w:ascii="宋体" w:hAnsi="宋体" w:eastAsia="宋体" w:cs="宋体"/>
                <w:color w:val="0000FF"/>
                <w:kern w:val="0"/>
                <w:sz w:val="24"/>
                <w:szCs w:val="24"/>
                <w:lang w:val="en-US" w:eastAsia="zh-CN" w:bidi="ar"/>
              </w:rPr>
              <w:t>根据《建设项目环境影响报告表编制技术指南（生态影响类）（试行）》及各环境要素评价技术导则要求，结合本工程特性、环境特征及影响程度，确定各评价要素范围如下：</w:t>
            </w:r>
          </w:p>
          <w:p w14:paraId="30273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rPr>
              <w:noBreakHyphen/>
            </w:r>
            <w:r>
              <w:rPr>
                <w:rFonts w:hint="eastAsia"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 xml:space="preserve"> 各环境要素评价范围一览表</w:t>
            </w:r>
          </w:p>
          <w:tbl>
            <w:tblPr>
              <w:tblStyle w:val="26"/>
              <w:tblW w:w="5000"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184"/>
              <w:gridCol w:w="1468"/>
              <w:gridCol w:w="3180"/>
              <w:gridCol w:w="2864"/>
            </w:tblGrid>
            <w:tr w14:paraId="1AD0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blHeader/>
              </w:trPr>
              <w:tc>
                <w:tcPr>
                  <w:tcW w:w="1183" w:type="dxa"/>
                  <w:shd w:val="clear" w:color="auto" w:fill="auto"/>
                  <w:tcMar>
                    <w:top w:w="120" w:type="dxa"/>
                    <w:left w:w="120" w:type="dxa"/>
                    <w:bottom w:w="120" w:type="dxa"/>
                    <w:right w:w="120" w:type="dxa"/>
                  </w:tcMar>
                  <w:vAlign w:val="center"/>
                </w:tcPr>
                <w:p w14:paraId="535F04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评价要素</w:t>
                  </w:r>
                </w:p>
              </w:tc>
              <w:tc>
                <w:tcPr>
                  <w:tcW w:w="1467" w:type="dxa"/>
                  <w:shd w:val="clear" w:color="auto" w:fill="auto"/>
                  <w:tcMar>
                    <w:top w:w="120" w:type="dxa"/>
                    <w:left w:w="120" w:type="dxa"/>
                    <w:bottom w:w="120" w:type="dxa"/>
                    <w:right w:w="120" w:type="dxa"/>
                  </w:tcMar>
                  <w:vAlign w:val="center"/>
                </w:tcPr>
                <w:p w14:paraId="2488EE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依据导则/文件</w:t>
                  </w:r>
                </w:p>
              </w:tc>
              <w:tc>
                <w:tcPr>
                  <w:tcW w:w="3179" w:type="dxa"/>
                  <w:shd w:val="clear" w:color="auto" w:fill="auto"/>
                  <w:tcMar>
                    <w:top w:w="120" w:type="dxa"/>
                    <w:left w:w="120" w:type="dxa"/>
                    <w:bottom w:w="120" w:type="dxa"/>
                    <w:right w:w="120" w:type="dxa"/>
                  </w:tcMar>
                  <w:vAlign w:val="center"/>
                </w:tcPr>
                <w:p w14:paraId="76E0D5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评价范围</w:t>
                  </w:r>
                </w:p>
              </w:tc>
              <w:tc>
                <w:tcPr>
                  <w:tcW w:w="2863" w:type="dxa"/>
                  <w:shd w:val="clear" w:color="auto" w:fill="auto"/>
                  <w:tcMar>
                    <w:top w:w="120" w:type="dxa"/>
                    <w:left w:w="120" w:type="dxa"/>
                    <w:bottom w:w="120" w:type="dxa"/>
                    <w:right w:w="120" w:type="dxa"/>
                  </w:tcMar>
                  <w:vAlign w:val="center"/>
                </w:tcPr>
                <w:p w14:paraId="43B39B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lang w:val="en-US" w:eastAsia="zh-CN" w:bidi="ar"/>
                    </w:rPr>
                    <w:t>确定理由</w:t>
                  </w:r>
                </w:p>
              </w:tc>
            </w:tr>
            <w:tr w14:paraId="37B6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4F04D0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生态环境</w:t>
                  </w:r>
                </w:p>
              </w:tc>
              <w:tc>
                <w:tcPr>
                  <w:tcW w:w="1467" w:type="dxa"/>
                  <w:shd w:val="clear" w:color="auto" w:fill="auto"/>
                  <w:tcMar>
                    <w:top w:w="120" w:type="dxa"/>
                    <w:left w:w="120" w:type="dxa"/>
                    <w:bottom w:w="120" w:type="dxa"/>
                    <w:right w:w="120" w:type="dxa"/>
                  </w:tcMar>
                  <w:vAlign w:val="center"/>
                </w:tcPr>
                <w:p w14:paraId="69482D1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19-2022</w:t>
                  </w:r>
                </w:p>
              </w:tc>
              <w:tc>
                <w:tcPr>
                  <w:tcW w:w="3179" w:type="dxa"/>
                  <w:shd w:val="clear" w:color="auto" w:fill="auto"/>
                  <w:tcMar>
                    <w:top w:w="120" w:type="dxa"/>
                    <w:left w:w="120" w:type="dxa"/>
                    <w:bottom w:w="120" w:type="dxa"/>
                    <w:right w:w="120" w:type="dxa"/>
                  </w:tcMar>
                  <w:vAlign w:val="center"/>
                </w:tcPr>
                <w:p w14:paraId="3978F3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工程占地边界外扩</w:t>
                  </w:r>
                  <w:r>
                    <w:rPr>
                      <w:rStyle w:val="30"/>
                      <w:rFonts w:hint="default" w:ascii="Times New Roman" w:hAnsi="Times New Roman" w:eastAsia="宋体" w:cs="Times New Roman"/>
                      <w:b w:val="0"/>
                      <w:bCs w:val="0"/>
                      <w:color w:val="0000FF"/>
                      <w:kern w:val="0"/>
                      <w:sz w:val="21"/>
                      <w:szCs w:val="21"/>
                      <w:lang w:val="en-US" w:eastAsia="zh-CN" w:bidi="ar"/>
                    </w:rPr>
                    <w:t>500m</w:t>
                  </w:r>
                  <w:r>
                    <w:rPr>
                      <w:rFonts w:hint="default" w:ascii="Times New Roman" w:hAnsi="Times New Roman" w:eastAsia="宋体" w:cs="Times New Roman"/>
                      <w:b w:val="0"/>
                      <w:bCs w:val="0"/>
                      <w:color w:val="0000FF"/>
                      <w:kern w:val="0"/>
                      <w:sz w:val="21"/>
                      <w:szCs w:val="21"/>
                      <w:lang w:val="en-US" w:eastAsia="zh-CN" w:bidi="ar"/>
                    </w:rPr>
                    <w:t>，总面积约</w:t>
                  </w:r>
                  <w:r>
                    <w:rPr>
                      <w:rStyle w:val="30"/>
                      <w:rFonts w:hint="default" w:ascii="Times New Roman" w:hAnsi="Times New Roman" w:eastAsia="宋体" w:cs="Times New Roman"/>
                      <w:b w:val="0"/>
                      <w:bCs w:val="0"/>
                      <w:color w:val="0000FF"/>
                      <w:kern w:val="0"/>
                      <w:sz w:val="21"/>
                      <w:szCs w:val="21"/>
                      <w:lang w:val="en-US" w:eastAsia="zh-CN" w:bidi="ar"/>
                    </w:rPr>
                    <w:t>1.87km²</w:t>
                  </w:r>
                </w:p>
              </w:tc>
              <w:tc>
                <w:tcPr>
                  <w:tcW w:w="2863" w:type="dxa"/>
                  <w:shd w:val="clear" w:color="auto" w:fill="auto"/>
                  <w:tcMar>
                    <w:top w:w="120" w:type="dxa"/>
                    <w:left w:w="120" w:type="dxa"/>
                    <w:bottom w:w="120" w:type="dxa"/>
                    <w:right w:w="120" w:type="dxa"/>
                  </w:tcMar>
                  <w:vAlign w:val="center"/>
                </w:tcPr>
                <w:p w14:paraId="3FDCBD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覆盖永久占地、临时占地及生态直接/间接影响区，满足植被、野生动物、水土流失等评价要求</w:t>
                  </w:r>
                </w:p>
              </w:tc>
            </w:tr>
            <w:tr w14:paraId="433F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163232CA">
                  <w:pPr>
                    <w:keepNext w:val="0"/>
                    <w:keepLines w:val="0"/>
                    <w:pageBreakBefore w:val="0"/>
                    <w:widowControl/>
                    <w:suppressLineNumbers w:val="0"/>
                    <w:kinsoku/>
                    <w:wordWrap/>
                    <w:overflowPunct/>
                    <w:topLinePunct w:val="0"/>
                    <w:autoSpaceDE/>
                    <w:autoSpaceDN/>
                    <w:bidi w:val="0"/>
                    <w:adjustRightInd/>
                    <w:snapToGrid/>
                    <w:jc w:val="center"/>
                    <w:textAlignment w:val="auto"/>
                    <w:rPr>
                      <w:rStyle w:val="30"/>
                      <w:rFonts w:hint="default" w:ascii="Times New Roman" w:hAnsi="Times New Roman" w:eastAsia="宋体" w:cs="Times New Roman"/>
                      <w:b w:val="0"/>
                      <w:bCs w:val="0"/>
                      <w:color w:val="0000FF"/>
                      <w:kern w:val="0"/>
                      <w:sz w:val="21"/>
                      <w:szCs w:val="21"/>
                      <w:lang w:val="en-US" w:eastAsia="zh-CN" w:bidi="ar"/>
                    </w:rPr>
                  </w:pPr>
                  <w:r>
                    <w:rPr>
                      <w:rStyle w:val="30"/>
                      <w:rFonts w:hint="default" w:ascii="Times New Roman" w:hAnsi="Times New Roman" w:eastAsia="宋体" w:cs="Times New Roman"/>
                      <w:b w:val="0"/>
                      <w:bCs w:val="0"/>
                      <w:color w:val="0000FF"/>
                      <w:kern w:val="0"/>
                      <w:sz w:val="21"/>
                      <w:szCs w:val="21"/>
                      <w:lang w:val="en-US" w:eastAsia="zh-CN" w:bidi="ar"/>
                    </w:rPr>
                    <w:t>地表水</w:t>
                  </w:r>
                </w:p>
                <w:p w14:paraId="541098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环境</w:t>
                  </w:r>
                </w:p>
              </w:tc>
              <w:tc>
                <w:tcPr>
                  <w:tcW w:w="1467" w:type="dxa"/>
                  <w:shd w:val="clear" w:color="auto" w:fill="auto"/>
                  <w:tcMar>
                    <w:top w:w="120" w:type="dxa"/>
                    <w:left w:w="120" w:type="dxa"/>
                    <w:bottom w:w="120" w:type="dxa"/>
                    <w:right w:w="120" w:type="dxa"/>
                  </w:tcMar>
                  <w:vAlign w:val="center"/>
                </w:tcPr>
                <w:p w14:paraId="14B23B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2.3-2018</w:t>
                  </w:r>
                </w:p>
              </w:tc>
              <w:tc>
                <w:tcPr>
                  <w:tcW w:w="3179" w:type="dxa"/>
                  <w:shd w:val="clear" w:color="auto" w:fill="auto"/>
                  <w:tcMar>
                    <w:top w:w="120" w:type="dxa"/>
                    <w:left w:w="120" w:type="dxa"/>
                    <w:bottom w:w="120" w:type="dxa"/>
                    <w:right w:w="120" w:type="dxa"/>
                  </w:tcMar>
                  <w:vAlign w:val="center"/>
                </w:tcPr>
                <w:p w14:paraId="12FE7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水库库区全部水域</w:t>
                  </w:r>
                </w:p>
              </w:tc>
              <w:tc>
                <w:tcPr>
                  <w:tcW w:w="2863" w:type="dxa"/>
                  <w:shd w:val="clear" w:color="auto" w:fill="auto"/>
                  <w:tcMar>
                    <w:top w:w="120" w:type="dxa"/>
                    <w:left w:w="120" w:type="dxa"/>
                    <w:bottom w:w="120" w:type="dxa"/>
                    <w:right w:w="120" w:type="dxa"/>
                  </w:tcMar>
                  <w:vAlign w:val="center"/>
                </w:tcPr>
                <w:p w14:paraId="22160A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调蓄水库至净水厂0.29km供水管线沿线无地表水体；无直接退水</w:t>
                  </w:r>
                </w:p>
              </w:tc>
            </w:tr>
            <w:tr w14:paraId="06A2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0A5AE4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环境空气</w:t>
                  </w:r>
                </w:p>
              </w:tc>
              <w:tc>
                <w:tcPr>
                  <w:tcW w:w="1467" w:type="dxa"/>
                  <w:shd w:val="clear" w:color="auto" w:fill="auto"/>
                  <w:tcMar>
                    <w:top w:w="120" w:type="dxa"/>
                    <w:left w:w="120" w:type="dxa"/>
                    <w:bottom w:w="120" w:type="dxa"/>
                    <w:right w:w="120" w:type="dxa"/>
                  </w:tcMar>
                  <w:vAlign w:val="center"/>
                </w:tcPr>
                <w:p w14:paraId="279C13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2.2-2018</w:t>
                  </w:r>
                </w:p>
              </w:tc>
              <w:tc>
                <w:tcPr>
                  <w:tcW w:w="3179" w:type="dxa"/>
                  <w:shd w:val="clear" w:color="auto" w:fill="auto"/>
                  <w:tcMar>
                    <w:top w:w="120" w:type="dxa"/>
                    <w:left w:w="120" w:type="dxa"/>
                    <w:bottom w:w="120" w:type="dxa"/>
                    <w:right w:w="120" w:type="dxa"/>
                  </w:tcMar>
                  <w:vAlign w:val="center"/>
                </w:tcPr>
                <w:p w14:paraId="7ED70B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eastAsia" w:ascii="Times New Roman" w:hAnsi="Times New Roman" w:eastAsia="宋体" w:cs="Times New Roman"/>
                      <w:b w:val="0"/>
                      <w:bCs w:val="0"/>
                      <w:color w:val="0000FF"/>
                      <w:kern w:val="0"/>
                      <w:sz w:val="21"/>
                      <w:szCs w:val="21"/>
                      <w:lang w:val="en-US" w:eastAsia="zh-CN" w:bidi="ar"/>
                    </w:rPr>
                    <w:t>不设</w:t>
                  </w:r>
                  <w:r>
                    <w:rPr>
                      <w:rStyle w:val="30"/>
                      <w:rFonts w:hint="default" w:ascii="Times New Roman" w:hAnsi="Times New Roman" w:eastAsia="宋体" w:cs="Times New Roman"/>
                      <w:b w:val="0"/>
                      <w:bCs w:val="0"/>
                      <w:color w:val="0000FF"/>
                      <w:kern w:val="0"/>
                      <w:sz w:val="21"/>
                      <w:szCs w:val="21"/>
                      <w:lang w:val="en-US" w:eastAsia="zh-CN" w:bidi="ar"/>
                    </w:rPr>
                    <w:t>置</w:t>
                  </w:r>
                  <w:r>
                    <w:rPr>
                      <w:rFonts w:hint="eastAsia" w:ascii="Times New Roman" w:hAnsi="Times New Roman" w:eastAsia="宋体" w:cs="Times New Roman"/>
                      <w:b w:val="0"/>
                      <w:bCs w:val="0"/>
                      <w:color w:val="0000FF"/>
                      <w:kern w:val="0"/>
                      <w:sz w:val="21"/>
                      <w:szCs w:val="21"/>
                      <w:lang w:val="en-US" w:eastAsia="zh-CN" w:bidi="ar"/>
                    </w:rPr>
                    <w:t>评价范围</w:t>
                  </w:r>
                </w:p>
              </w:tc>
              <w:tc>
                <w:tcPr>
                  <w:tcW w:w="2863" w:type="dxa"/>
                  <w:shd w:val="clear" w:color="auto" w:fill="auto"/>
                  <w:tcMar>
                    <w:top w:w="120" w:type="dxa"/>
                    <w:left w:w="120" w:type="dxa"/>
                    <w:bottom w:w="120" w:type="dxa"/>
                    <w:right w:w="120" w:type="dxa"/>
                  </w:tcMar>
                  <w:vAlign w:val="center"/>
                </w:tcPr>
                <w:p w14:paraId="111B66C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eastAsia" w:ascii="Times New Roman" w:hAnsi="Times New Roman" w:eastAsia="宋体" w:cs="Times New Roman"/>
                      <w:b w:val="0"/>
                      <w:bCs w:val="0"/>
                      <w:color w:val="0000FF"/>
                      <w:kern w:val="0"/>
                      <w:sz w:val="21"/>
                      <w:szCs w:val="21"/>
                      <w:lang w:val="en-US" w:eastAsia="zh-CN" w:bidi="ar"/>
                    </w:rPr>
                    <w:t>项目运营期无废气产生</w:t>
                  </w:r>
                </w:p>
              </w:tc>
            </w:tr>
            <w:tr w14:paraId="5905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01DFFD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声环境</w:t>
                  </w:r>
                </w:p>
              </w:tc>
              <w:tc>
                <w:tcPr>
                  <w:tcW w:w="1467" w:type="dxa"/>
                  <w:shd w:val="clear" w:color="auto" w:fill="auto"/>
                  <w:tcMar>
                    <w:top w:w="120" w:type="dxa"/>
                    <w:left w:w="120" w:type="dxa"/>
                    <w:bottom w:w="120" w:type="dxa"/>
                    <w:right w:w="120" w:type="dxa"/>
                  </w:tcMar>
                  <w:vAlign w:val="center"/>
                </w:tcPr>
                <w:p w14:paraId="20E29F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2.4-2021</w:t>
                  </w:r>
                </w:p>
              </w:tc>
              <w:tc>
                <w:tcPr>
                  <w:tcW w:w="3179" w:type="dxa"/>
                  <w:shd w:val="clear" w:color="auto" w:fill="auto"/>
                  <w:tcMar>
                    <w:top w:w="120" w:type="dxa"/>
                    <w:left w:w="120" w:type="dxa"/>
                    <w:bottom w:w="120" w:type="dxa"/>
                    <w:right w:w="120" w:type="dxa"/>
                  </w:tcMar>
                  <w:vAlign w:val="center"/>
                </w:tcPr>
                <w:p w14:paraId="4791ED0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施工场界、运营厂界外扩</w:t>
                  </w:r>
                  <w:r>
                    <w:rPr>
                      <w:rStyle w:val="30"/>
                      <w:rFonts w:hint="default" w:ascii="Times New Roman" w:hAnsi="Times New Roman" w:eastAsia="宋体" w:cs="Times New Roman"/>
                      <w:b w:val="0"/>
                      <w:bCs w:val="0"/>
                      <w:color w:val="0000FF"/>
                      <w:kern w:val="0"/>
                      <w:sz w:val="21"/>
                      <w:szCs w:val="21"/>
                      <w:lang w:val="en-US" w:eastAsia="zh-CN" w:bidi="ar"/>
                    </w:rPr>
                    <w:t>200m</w:t>
                  </w:r>
                </w:p>
              </w:tc>
              <w:tc>
                <w:tcPr>
                  <w:tcW w:w="2863" w:type="dxa"/>
                  <w:shd w:val="clear" w:color="auto" w:fill="auto"/>
                  <w:tcMar>
                    <w:top w:w="120" w:type="dxa"/>
                    <w:left w:w="120" w:type="dxa"/>
                    <w:bottom w:w="120" w:type="dxa"/>
                    <w:right w:w="120" w:type="dxa"/>
                  </w:tcMar>
                  <w:vAlign w:val="center"/>
                </w:tcPr>
                <w:p w14:paraId="3D2BF1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覆盖施工机械、泵站噪声影响范围，评价范围内无声环境敏感目标</w:t>
                  </w:r>
                </w:p>
              </w:tc>
            </w:tr>
            <w:tr w14:paraId="1D7B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3AD23F38">
                  <w:pPr>
                    <w:keepNext w:val="0"/>
                    <w:keepLines w:val="0"/>
                    <w:pageBreakBefore w:val="0"/>
                    <w:widowControl/>
                    <w:suppressLineNumbers w:val="0"/>
                    <w:kinsoku/>
                    <w:wordWrap/>
                    <w:overflowPunct/>
                    <w:topLinePunct w:val="0"/>
                    <w:autoSpaceDE/>
                    <w:autoSpaceDN/>
                    <w:bidi w:val="0"/>
                    <w:adjustRightInd/>
                    <w:snapToGrid/>
                    <w:jc w:val="center"/>
                    <w:textAlignment w:val="auto"/>
                    <w:rPr>
                      <w:rStyle w:val="30"/>
                      <w:rFonts w:hint="default" w:ascii="Times New Roman" w:hAnsi="Times New Roman" w:eastAsia="宋体" w:cs="Times New Roman"/>
                      <w:b w:val="0"/>
                      <w:bCs w:val="0"/>
                      <w:color w:val="0000FF"/>
                      <w:kern w:val="0"/>
                      <w:sz w:val="21"/>
                      <w:szCs w:val="21"/>
                      <w:lang w:val="en-US" w:eastAsia="zh-CN" w:bidi="ar"/>
                    </w:rPr>
                  </w:pPr>
                  <w:r>
                    <w:rPr>
                      <w:rStyle w:val="30"/>
                      <w:rFonts w:hint="default" w:ascii="Times New Roman" w:hAnsi="Times New Roman" w:eastAsia="宋体" w:cs="Times New Roman"/>
                      <w:b w:val="0"/>
                      <w:bCs w:val="0"/>
                      <w:color w:val="0000FF"/>
                      <w:kern w:val="0"/>
                      <w:sz w:val="21"/>
                      <w:szCs w:val="21"/>
                      <w:lang w:val="en-US" w:eastAsia="zh-CN" w:bidi="ar"/>
                    </w:rPr>
                    <w:t>地下水</w:t>
                  </w:r>
                </w:p>
                <w:p w14:paraId="21FE8E5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环境</w:t>
                  </w:r>
                </w:p>
              </w:tc>
              <w:tc>
                <w:tcPr>
                  <w:tcW w:w="1467" w:type="dxa"/>
                  <w:shd w:val="clear" w:color="auto" w:fill="auto"/>
                  <w:tcMar>
                    <w:top w:w="120" w:type="dxa"/>
                    <w:left w:w="120" w:type="dxa"/>
                    <w:bottom w:w="120" w:type="dxa"/>
                    <w:right w:w="120" w:type="dxa"/>
                  </w:tcMar>
                  <w:vAlign w:val="center"/>
                </w:tcPr>
                <w:p w14:paraId="7713205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610-2016</w:t>
                  </w:r>
                </w:p>
              </w:tc>
              <w:tc>
                <w:tcPr>
                  <w:tcW w:w="3179" w:type="dxa"/>
                  <w:shd w:val="clear" w:color="auto" w:fill="auto"/>
                  <w:tcMar>
                    <w:top w:w="120" w:type="dxa"/>
                    <w:left w:w="120" w:type="dxa"/>
                    <w:bottom w:w="120" w:type="dxa"/>
                    <w:right w:w="120" w:type="dxa"/>
                  </w:tcMar>
                  <w:vAlign w:val="center"/>
                </w:tcPr>
                <w:p w14:paraId="1199B2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不设置评价范围</w:t>
                  </w:r>
                </w:p>
              </w:tc>
              <w:tc>
                <w:tcPr>
                  <w:tcW w:w="2863" w:type="dxa"/>
                  <w:shd w:val="clear" w:color="auto" w:fill="auto"/>
                  <w:tcMar>
                    <w:top w:w="120" w:type="dxa"/>
                    <w:left w:w="120" w:type="dxa"/>
                    <w:bottom w:w="120" w:type="dxa"/>
                    <w:right w:w="120" w:type="dxa"/>
                  </w:tcMar>
                  <w:vAlign w:val="center"/>
                </w:tcPr>
                <w:p w14:paraId="00CE8B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本项目为Ⅳ类项目，按导则可不开展地下水环境影响评价</w:t>
                  </w:r>
                </w:p>
              </w:tc>
            </w:tr>
            <w:tr w14:paraId="04AE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1183" w:type="dxa"/>
                  <w:shd w:val="clear" w:color="auto" w:fill="auto"/>
                  <w:tcMar>
                    <w:top w:w="120" w:type="dxa"/>
                    <w:left w:w="120" w:type="dxa"/>
                    <w:bottom w:w="120" w:type="dxa"/>
                    <w:right w:w="120" w:type="dxa"/>
                  </w:tcMar>
                  <w:vAlign w:val="center"/>
                </w:tcPr>
                <w:p w14:paraId="5BD3B5E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土壤环境</w:t>
                  </w:r>
                </w:p>
              </w:tc>
              <w:tc>
                <w:tcPr>
                  <w:tcW w:w="1467" w:type="dxa"/>
                  <w:shd w:val="clear" w:color="auto" w:fill="auto"/>
                  <w:tcMar>
                    <w:top w:w="120" w:type="dxa"/>
                    <w:left w:w="120" w:type="dxa"/>
                    <w:bottom w:w="120" w:type="dxa"/>
                    <w:right w:w="120" w:type="dxa"/>
                  </w:tcMar>
                  <w:vAlign w:val="center"/>
                </w:tcPr>
                <w:p w14:paraId="355435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964-2018</w:t>
                  </w:r>
                </w:p>
              </w:tc>
              <w:tc>
                <w:tcPr>
                  <w:tcW w:w="3179" w:type="dxa"/>
                  <w:shd w:val="clear" w:color="auto" w:fill="auto"/>
                  <w:tcMar>
                    <w:top w:w="120" w:type="dxa"/>
                    <w:left w:w="120" w:type="dxa"/>
                    <w:bottom w:w="120" w:type="dxa"/>
                    <w:right w:w="120" w:type="dxa"/>
                  </w:tcMar>
                  <w:vAlign w:val="center"/>
                </w:tcPr>
                <w:p w14:paraId="3CAE37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不设置评价范围</w:t>
                  </w:r>
                </w:p>
              </w:tc>
              <w:tc>
                <w:tcPr>
                  <w:tcW w:w="2863" w:type="dxa"/>
                  <w:shd w:val="clear" w:color="auto" w:fill="auto"/>
                  <w:tcMar>
                    <w:top w:w="120" w:type="dxa"/>
                    <w:left w:w="120" w:type="dxa"/>
                    <w:bottom w:w="120" w:type="dxa"/>
                    <w:right w:w="120" w:type="dxa"/>
                  </w:tcMar>
                  <w:vAlign w:val="center"/>
                </w:tcPr>
                <w:p w14:paraId="1B17D3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本项目为</w:t>
                  </w:r>
                  <w:r>
                    <w:rPr>
                      <w:rFonts w:hint="default" w:ascii="Times New Roman" w:hAnsi="Times New Roman" w:eastAsia="宋体" w:cs="Times New Roman"/>
                      <w:b w:val="0"/>
                      <w:bCs w:val="0"/>
                      <w:color w:val="0000FF"/>
                      <w:kern w:val="0"/>
                      <w:sz w:val="21"/>
                      <w:szCs w:val="21"/>
                      <w:lang w:val="en-US" w:eastAsia="zh-CN" w:bidi="ar"/>
                    </w:rPr>
                    <w:fldChar w:fldCharType="begin"/>
                  </w:r>
                  <w:r>
                    <w:rPr>
                      <w:rFonts w:hint="default" w:ascii="Times New Roman" w:hAnsi="Times New Roman" w:eastAsia="宋体" w:cs="Times New Roman"/>
                      <w:b w:val="0"/>
                      <w:bCs w:val="0"/>
                      <w:color w:val="0000FF"/>
                      <w:kern w:val="0"/>
                      <w:sz w:val="21"/>
                      <w:szCs w:val="21"/>
                      <w:lang w:val="en-US" w:eastAsia="zh-CN" w:bidi="ar"/>
                    </w:rPr>
                    <w:instrText xml:space="preserve"> = 3 \* ROMAN \* MERGEFORMAT </w:instrText>
                  </w:r>
                  <w:r>
                    <w:rPr>
                      <w:rFonts w:hint="default" w:ascii="Times New Roman" w:hAnsi="Times New Roman" w:eastAsia="宋体" w:cs="Times New Roman"/>
                      <w:b w:val="0"/>
                      <w:bCs w:val="0"/>
                      <w:color w:val="0000FF"/>
                      <w:kern w:val="0"/>
                      <w:sz w:val="21"/>
                      <w:szCs w:val="21"/>
                      <w:lang w:val="en-US" w:eastAsia="zh-CN" w:bidi="ar"/>
                    </w:rPr>
                    <w:fldChar w:fldCharType="separate"/>
                  </w:r>
                  <w:r>
                    <w:rPr>
                      <w:rFonts w:hint="default" w:ascii="Times New Roman" w:hAnsi="Times New Roman" w:cs="Times New Roman"/>
                      <w:color w:val="0000FF"/>
                    </w:rPr>
                    <w:t>III</w:t>
                  </w:r>
                  <w:r>
                    <w:rPr>
                      <w:rFonts w:hint="default" w:ascii="Times New Roman" w:hAnsi="Times New Roman" w:eastAsia="宋体" w:cs="Times New Roman"/>
                      <w:b w:val="0"/>
                      <w:bCs w:val="0"/>
                      <w:color w:val="0000FF"/>
                      <w:kern w:val="0"/>
                      <w:sz w:val="21"/>
                      <w:szCs w:val="21"/>
                      <w:lang w:val="en-US" w:eastAsia="zh-CN" w:bidi="ar"/>
                    </w:rPr>
                    <w:fldChar w:fldCharType="end"/>
                  </w:r>
                  <w:r>
                    <w:rPr>
                      <w:rFonts w:hint="default" w:ascii="Times New Roman" w:hAnsi="Times New Roman" w:eastAsia="宋体" w:cs="Times New Roman"/>
                      <w:b w:val="0"/>
                      <w:bCs w:val="0"/>
                      <w:color w:val="0000FF"/>
                      <w:kern w:val="0"/>
                      <w:sz w:val="21"/>
                      <w:szCs w:val="21"/>
                      <w:lang w:val="en-US" w:eastAsia="zh-CN" w:bidi="ar"/>
                    </w:rPr>
                    <w:t>类项目</w:t>
                  </w:r>
                  <w:r>
                    <w:rPr>
                      <w:rFonts w:hint="default" w:ascii="Times New Roman" w:hAnsi="Times New Roman" w:cs="Times New Roman"/>
                      <w:b w:val="0"/>
                      <w:bCs w:val="0"/>
                      <w:color w:val="0000FF"/>
                      <w:kern w:val="0"/>
                      <w:sz w:val="21"/>
                      <w:szCs w:val="21"/>
                      <w:lang w:val="en-US" w:eastAsia="zh-CN" w:bidi="ar"/>
                    </w:rPr>
                    <w:t>（生态影响类）</w:t>
                  </w:r>
                  <w:r>
                    <w:rPr>
                      <w:rFonts w:hint="default" w:ascii="Times New Roman" w:hAnsi="Times New Roman" w:eastAsia="宋体" w:cs="Times New Roman"/>
                      <w:b w:val="0"/>
                      <w:bCs w:val="0"/>
                      <w:color w:val="0000FF"/>
                      <w:kern w:val="0"/>
                      <w:sz w:val="21"/>
                      <w:szCs w:val="21"/>
                      <w:lang w:val="en-US" w:eastAsia="zh-CN" w:bidi="ar"/>
                    </w:rPr>
                    <w:t>，项目土壤环境</w:t>
                  </w:r>
                  <w:r>
                    <w:rPr>
                      <w:rFonts w:hint="default" w:ascii="Times New Roman" w:hAnsi="Times New Roman" w:cs="Times New Roman"/>
                      <w:b w:val="0"/>
                      <w:bCs w:val="0"/>
                      <w:color w:val="0000FF"/>
                      <w:kern w:val="0"/>
                      <w:sz w:val="21"/>
                      <w:szCs w:val="21"/>
                      <w:lang w:val="en-US" w:eastAsia="zh-CN" w:bidi="ar"/>
                    </w:rPr>
                    <w:t>敏感程度为不敏感，不确定</w:t>
                  </w:r>
                  <w:r>
                    <w:rPr>
                      <w:rFonts w:hint="default" w:ascii="Times New Roman" w:hAnsi="Times New Roman" w:eastAsia="宋体" w:cs="Times New Roman"/>
                      <w:b w:val="0"/>
                      <w:bCs w:val="0"/>
                      <w:color w:val="0000FF"/>
                      <w:kern w:val="0"/>
                      <w:sz w:val="21"/>
                      <w:szCs w:val="21"/>
                      <w:lang w:val="en-US" w:eastAsia="zh-CN" w:bidi="ar"/>
                    </w:rPr>
                    <w:t>评价等级。</w:t>
                  </w:r>
                </w:p>
              </w:tc>
            </w:tr>
            <w:tr w14:paraId="3D34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4" w:hRule="atLeast"/>
              </w:trPr>
              <w:tc>
                <w:tcPr>
                  <w:tcW w:w="1183" w:type="dxa"/>
                  <w:shd w:val="clear" w:color="auto" w:fill="auto"/>
                  <w:tcMar>
                    <w:top w:w="120" w:type="dxa"/>
                    <w:left w:w="120" w:type="dxa"/>
                    <w:bottom w:w="120" w:type="dxa"/>
                    <w:right w:w="120" w:type="dxa"/>
                  </w:tcMar>
                  <w:vAlign w:val="center"/>
                </w:tcPr>
                <w:p w14:paraId="2F8FB0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环境风险</w:t>
                  </w:r>
                </w:p>
              </w:tc>
              <w:tc>
                <w:tcPr>
                  <w:tcW w:w="1467" w:type="dxa"/>
                  <w:shd w:val="clear" w:color="auto" w:fill="auto"/>
                  <w:tcMar>
                    <w:top w:w="120" w:type="dxa"/>
                    <w:left w:w="120" w:type="dxa"/>
                    <w:bottom w:w="120" w:type="dxa"/>
                    <w:right w:w="120" w:type="dxa"/>
                  </w:tcMar>
                  <w:vAlign w:val="center"/>
                </w:tcPr>
                <w:p w14:paraId="598EFB8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HJ 169-2018</w:t>
                  </w:r>
                </w:p>
              </w:tc>
              <w:tc>
                <w:tcPr>
                  <w:tcW w:w="3179" w:type="dxa"/>
                  <w:shd w:val="clear" w:color="auto" w:fill="auto"/>
                  <w:tcMar>
                    <w:top w:w="120" w:type="dxa"/>
                    <w:left w:w="120" w:type="dxa"/>
                    <w:bottom w:w="120" w:type="dxa"/>
                    <w:right w:w="120" w:type="dxa"/>
                  </w:tcMar>
                  <w:vAlign w:val="center"/>
                </w:tcPr>
                <w:p w14:paraId="768D26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Style w:val="30"/>
                      <w:rFonts w:hint="default" w:ascii="Times New Roman" w:hAnsi="Times New Roman" w:eastAsia="宋体" w:cs="Times New Roman"/>
                      <w:b w:val="0"/>
                      <w:bCs w:val="0"/>
                      <w:color w:val="0000FF"/>
                      <w:kern w:val="0"/>
                      <w:sz w:val="21"/>
                      <w:szCs w:val="21"/>
                      <w:lang w:val="en-US" w:eastAsia="zh-CN" w:bidi="ar"/>
                    </w:rPr>
                    <w:t>不开展风险评价</w:t>
                  </w:r>
                </w:p>
              </w:tc>
              <w:tc>
                <w:tcPr>
                  <w:tcW w:w="2863" w:type="dxa"/>
                  <w:shd w:val="clear" w:color="auto" w:fill="auto"/>
                  <w:tcMar>
                    <w:top w:w="120" w:type="dxa"/>
                    <w:left w:w="120" w:type="dxa"/>
                    <w:bottom w:w="120" w:type="dxa"/>
                    <w:right w:w="120" w:type="dxa"/>
                  </w:tcMar>
                  <w:vAlign w:val="center"/>
                </w:tcPr>
                <w:p w14:paraId="25942B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kern w:val="0"/>
                      <w:sz w:val="21"/>
                      <w:szCs w:val="21"/>
                      <w:lang w:val="en-US" w:eastAsia="zh-CN" w:bidi="ar"/>
                    </w:rPr>
                    <w:t>不涉及危险物质，无重大环境风险源，可不开展风险评价</w:t>
                  </w:r>
                </w:p>
              </w:tc>
            </w:tr>
          </w:tbl>
          <w:p w14:paraId="6831425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、生态环境保护目标</w:t>
            </w:r>
          </w:p>
          <w:p w14:paraId="1FBDF56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2"/>
                <w:highlight w:val="none"/>
                <w:lang w:val="en-US" w:eastAsia="zh-CN"/>
              </w:rPr>
              <w:t>本工程总占地面积</w:t>
            </w:r>
            <w:r>
              <w:rPr>
                <w:rFonts w:hint="default" w:ascii="Times New Roman" w:hAnsi="Times New Roman" w:eastAsia="宋体" w:cs="Times New Roman"/>
                <w:spacing w:val="7"/>
                <w:sz w:val="23"/>
                <w:szCs w:val="23"/>
              </w:rPr>
              <w:t>19.8</w:t>
            </w:r>
            <w:r>
              <w:rPr>
                <w:rFonts w:hint="eastAsia" w:cs="Times New Roman"/>
                <w:spacing w:val="7"/>
                <w:sz w:val="23"/>
                <w:szCs w:val="23"/>
                <w:lang w:val="en-US" w:eastAsia="zh-CN"/>
              </w:rPr>
              <w:t>3h</w:t>
            </w:r>
            <w:r>
              <w:rPr>
                <w:rFonts w:hint="default" w:ascii="Times New Roman" w:hAnsi="Times New Roman" w:eastAsia="宋体" w:cs="Times New Roman"/>
                <w:color w:val="auto"/>
                <w:sz w:val="24"/>
                <w:szCs w:val="22"/>
                <w:highlight w:val="none"/>
                <w:lang w:val="en-US" w:eastAsia="zh-CN"/>
              </w:rPr>
              <w:t>m</w:t>
            </w:r>
            <w:r>
              <w:rPr>
                <w:rFonts w:hint="default" w:ascii="Times New Roman" w:hAnsi="Times New Roman" w:eastAsia="宋体" w:cs="Times New Roman"/>
                <w:color w:val="auto"/>
                <w:sz w:val="24"/>
                <w:szCs w:val="22"/>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工程建设区域不涉及自然保护区、世界文化和自然遗产地、风景名胜区、森林公园、地质公园、重要湿地、原始天然林、珍稀濒危野生动物天然集中分布区、重要水生生物的自然产卵场、索饵场、越冬场及洄游通道、天然渔场等特殊区域。</w:t>
            </w:r>
          </w:p>
          <w:p w14:paraId="06F205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评价区范围内无自然保护区、风景名胜区、世界文化和自然遗产；也无文物保护单位，无具有特殊历史、文化、科学、民族意义的保护地等环境敏感区，调查未见珍稀、濒危野生动物和保护物种。张掖黑河湿地国家级自然保护区</w:t>
            </w:r>
            <w:r>
              <w:rPr>
                <w:rFonts w:hint="eastAsia" w:ascii="Times New Roman" w:hAnsi="Times New Roman" w:eastAsia="宋体" w:cs="Times New Roman"/>
                <w:color w:val="auto"/>
                <w:sz w:val="24"/>
                <w:szCs w:val="24"/>
                <w:highlight w:val="none"/>
                <w:lang w:val="en-US" w:eastAsia="zh-CN"/>
              </w:rPr>
              <w:t>位于本项目西南侧，</w:t>
            </w:r>
            <w:r>
              <w:rPr>
                <w:rFonts w:hint="default" w:ascii="Times New Roman" w:hAnsi="Times New Roman" w:eastAsia="宋体" w:cs="Times New Roman"/>
                <w:color w:val="auto"/>
                <w:sz w:val="24"/>
                <w:szCs w:val="24"/>
                <w:highlight w:val="none"/>
                <w:lang w:val="en-US" w:eastAsia="zh-CN"/>
              </w:rPr>
              <w:t>距离本项目约</w:t>
            </w:r>
            <w:r>
              <w:rPr>
                <w:rFonts w:hint="eastAsia" w:cs="Times New Roman"/>
                <w:color w:val="auto"/>
                <w:sz w:val="24"/>
                <w:szCs w:val="24"/>
                <w:highlight w:val="none"/>
                <w:lang w:val="en-US" w:eastAsia="zh-CN"/>
              </w:rPr>
              <w:t>1.1km</w:t>
            </w:r>
            <w:r>
              <w:rPr>
                <w:rFonts w:hint="default" w:ascii="Times New Roman" w:hAnsi="Times New Roman" w:eastAsia="宋体" w:cs="Times New Roman"/>
                <w:color w:val="auto"/>
                <w:sz w:val="24"/>
                <w:szCs w:val="24"/>
                <w:highlight w:val="none"/>
                <w:lang w:val="en-US" w:eastAsia="zh-CN"/>
              </w:rPr>
              <w:t>公里</w:t>
            </w:r>
            <w:r>
              <w:rPr>
                <w:rFonts w:hint="eastAsia" w:cs="Times New Roman"/>
                <w:color w:val="auto"/>
                <w:sz w:val="24"/>
                <w:szCs w:val="24"/>
                <w:highlight w:val="none"/>
                <w:lang w:val="en-US" w:eastAsia="zh-CN"/>
              </w:rPr>
              <w:t>，</w:t>
            </w:r>
            <w:r>
              <w:rPr>
                <w:rFonts w:ascii="宋体" w:hAnsi="宋体" w:eastAsia="宋体" w:cs="宋体"/>
                <w:color w:val="0000FF"/>
                <w:sz w:val="24"/>
                <w:szCs w:val="24"/>
              </w:rPr>
              <w:t>项目建设不穿越、不占用、不扰动保护区，环境影响可控。</w:t>
            </w:r>
            <w:r>
              <w:rPr>
                <w:rFonts w:hint="default" w:ascii="Times New Roman" w:hAnsi="Times New Roman" w:eastAsia="宋体" w:cs="Times New Roman"/>
                <w:color w:val="auto"/>
                <w:sz w:val="24"/>
                <w:szCs w:val="24"/>
                <w:highlight w:val="none"/>
                <w:lang w:val="en-US" w:eastAsia="zh-CN"/>
              </w:rPr>
              <w:t>本项目与张掖黑河湿地国家级自然保护区的位置</w:t>
            </w:r>
            <w:r>
              <w:rPr>
                <w:rFonts w:hint="eastAsia" w:ascii="Times New Roman" w:hAnsi="Times New Roman" w:eastAsia="宋体" w:cs="Times New Roman"/>
                <w:color w:val="auto"/>
                <w:sz w:val="24"/>
                <w:szCs w:val="24"/>
                <w:highlight w:val="none"/>
                <w:lang w:val="en-US" w:eastAsia="zh-CN"/>
              </w:rPr>
              <w:t>关系图见附图14。</w:t>
            </w:r>
          </w:p>
          <w:p w14:paraId="659E72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参考《环境影响评价技术导则生态影响》（HJ19-2022），</w:t>
            </w:r>
            <w:r>
              <w:rPr>
                <w:rFonts w:ascii="宋体" w:hAnsi="宋体" w:eastAsia="宋体" w:cs="宋体"/>
                <w:sz w:val="24"/>
                <w:szCs w:val="24"/>
              </w:rPr>
              <w:t>本项目施工期与运营期</w:t>
            </w:r>
            <w:r>
              <w:rPr>
                <w:rFonts w:hint="eastAsia" w:ascii="宋体" w:hAnsi="宋体" w:eastAsia="宋体" w:cs="宋体"/>
                <w:sz w:val="24"/>
                <w:szCs w:val="24"/>
                <w:lang w:eastAsia="zh-CN"/>
              </w:rPr>
              <w:t>生态</w:t>
            </w:r>
            <w:r>
              <w:rPr>
                <w:rFonts w:ascii="宋体" w:hAnsi="宋体" w:eastAsia="宋体" w:cs="宋体"/>
                <w:sz w:val="24"/>
                <w:szCs w:val="24"/>
              </w:rPr>
              <w:t>环境保护目标如下：</w:t>
            </w:r>
          </w:p>
          <w:p w14:paraId="465B15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rPr>
              <w:t>表3</w:t>
            </w:r>
            <w:r>
              <w:rPr>
                <w:rFonts w:hint="default" w:ascii="Times New Roman" w:hAnsi="Times New Roman" w:eastAsia="宋体" w:cs="Times New Roman"/>
                <w:b/>
                <w:bCs/>
                <w:color w:val="0000FF"/>
                <w:sz w:val="24"/>
                <w:szCs w:val="24"/>
                <w:lang w:val="en-US" w:eastAsia="zh-CN"/>
              </w:rPr>
              <w:t>-11</w:t>
            </w:r>
            <w:r>
              <w:rPr>
                <w:rFonts w:hint="default" w:ascii="Times New Roman" w:hAnsi="Times New Roman" w:eastAsia="宋体" w:cs="Times New Roman"/>
                <w:b/>
                <w:bCs/>
                <w:color w:val="0000FF"/>
                <w:sz w:val="24"/>
                <w:szCs w:val="24"/>
              </w:rPr>
              <w:t xml:space="preserve"> 生态环境保护目标一览表</w:t>
            </w:r>
          </w:p>
          <w:tbl>
            <w:tblP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15" w:type="dxa"/>
                <w:left w:w="15" w:type="dxa"/>
                <w:bottom w:w="15" w:type="dxa"/>
                <w:right w:w="15" w:type="dxa"/>
              </w:tblCellMar>
            </w:tblPr>
            <w:tblGrid>
              <w:gridCol w:w="1262"/>
              <w:gridCol w:w="1794"/>
              <w:gridCol w:w="1648"/>
              <w:gridCol w:w="1973"/>
              <w:gridCol w:w="2019"/>
            </w:tblGrid>
            <w:tr w14:paraId="1FD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15" w:type="dxa"/>
                  <w:left w:w="15" w:type="dxa"/>
                  <w:bottom w:w="15" w:type="dxa"/>
                  <w:right w:w="15" w:type="dxa"/>
                </w:tblCellMar>
              </w:tblPrEx>
              <w:trPr>
                <w:tblHeader/>
              </w:trPr>
              <w:tc>
                <w:tcPr>
                  <w:tcW w:w="725" w:type="pct"/>
                  <w:shd w:val="clear"/>
                  <w:tcMar>
                    <w:top w:w="120" w:type="dxa"/>
                    <w:left w:w="120" w:type="dxa"/>
                    <w:bottom w:w="120" w:type="dxa"/>
                    <w:right w:w="120" w:type="dxa"/>
                  </w:tcMar>
                  <w:vAlign w:val="center"/>
                </w:tcPr>
                <w:p w14:paraId="479CAD55">
                  <w:pPr>
                    <w:keepNext w:val="0"/>
                    <w:keepLines w:val="0"/>
                    <w:widowControl/>
                    <w:suppressLineNumbers w:val="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环境要素</w:t>
                  </w:r>
                </w:p>
              </w:tc>
              <w:tc>
                <w:tcPr>
                  <w:tcW w:w="1031" w:type="pct"/>
                  <w:shd w:val="clear"/>
                  <w:tcMar>
                    <w:top w:w="120" w:type="dxa"/>
                    <w:left w:w="120" w:type="dxa"/>
                    <w:bottom w:w="120" w:type="dxa"/>
                    <w:right w:w="120" w:type="dxa"/>
                  </w:tcMar>
                  <w:vAlign w:val="center"/>
                </w:tcPr>
                <w:p w14:paraId="1CD5AB61">
                  <w:pPr>
                    <w:keepNext w:val="0"/>
                    <w:keepLines w:val="0"/>
                    <w:widowControl/>
                    <w:suppressLineNumbers w:val="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保护对象</w:t>
                  </w:r>
                </w:p>
              </w:tc>
              <w:tc>
                <w:tcPr>
                  <w:tcW w:w="947" w:type="pct"/>
                  <w:shd w:val="clear"/>
                  <w:tcMar>
                    <w:top w:w="120" w:type="dxa"/>
                    <w:left w:w="120" w:type="dxa"/>
                    <w:bottom w:w="120" w:type="dxa"/>
                    <w:right w:w="120" w:type="dxa"/>
                  </w:tcMar>
                  <w:vAlign w:val="center"/>
                </w:tcPr>
                <w:p w14:paraId="5F129932">
                  <w:pPr>
                    <w:keepNext w:val="0"/>
                    <w:keepLines w:val="0"/>
                    <w:widowControl/>
                    <w:suppressLineNumbers w:val="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规模/功能</w:t>
                  </w:r>
                </w:p>
              </w:tc>
              <w:tc>
                <w:tcPr>
                  <w:tcW w:w="1134" w:type="pct"/>
                  <w:shd w:val="clear"/>
                  <w:tcMar>
                    <w:top w:w="120" w:type="dxa"/>
                    <w:left w:w="120" w:type="dxa"/>
                    <w:bottom w:w="120" w:type="dxa"/>
                    <w:right w:w="120" w:type="dxa"/>
                  </w:tcMar>
                  <w:vAlign w:val="center"/>
                </w:tcPr>
                <w:p w14:paraId="6BF47668">
                  <w:pPr>
                    <w:keepNext w:val="0"/>
                    <w:keepLines w:val="0"/>
                    <w:widowControl/>
                    <w:suppressLineNumbers w:val="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相对位置与距离</w:t>
                  </w:r>
                </w:p>
              </w:tc>
              <w:tc>
                <w:tcPr>
                  <w:tcW w:w="1160" w:type="pct"/>
                  <w:shd w:val="clear"/>
                  <w:tcMar>
                    <w:top w:w="120" w:type="dxa"/>
                    <w:left w:w="120" w:type="dxa"/>
                    <w:bottom w:w="120" w:type="dxa"/>
                    <w:right w:w="120" w:type="dxa"/>
                  </w:tcMar>
                  <w:vAlign w:val="center"/>
                </w:tcPr>
                <w:p w14:paraId="21E539D8">
                  <w:pPr>
                    <w:keepNext w:val="0"/>
                    <w:keepLines w:val="0"/>
                    <w:widowControl/>
                    <w:suppressLineNumbers w:val="0"/>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kern w:val="0"/>
                      <w:sz w:val="21"/>
                      <w:szCs w:val="21"/>
                      <w:bdr w:val="none" w:color="auto" w:sz="0" w:space="0"/>
                      <w:lang w:val="en-US" w:eastAsia="zh-CN" w:bidi="ar"/>
                    </w:rPr>
                    <w:t>保护标准与要求</w:t>
                  </w:r>
                </w:p>
              </w:tc>
            </w:tr>
            <w:tr w14:paraId="1356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725" w:type="pct"/>
                  <w:vMerge w:val="restart"/>
                  <w:shd w:val="clear"/>
                  <w:tcMar>
                    <w:top w:w="120" w:type="dxa"/>
                    <w:left w:w="120" w:type="dxa"/>
                    <w:bottom w:w="120" w:type="dxa"/>
                    <w:right w:w="120" w:type="dxa"/>
                  </w:tcMar>
                  <w:vAlign w:val="center"/>
                </w:tcPr>
                <w:p w14:paraId="7326C24C">
                  <w:pPr>
                    <w:keepNext w:val="0"/>
                    <w:keepLines w:val="0"/>
                    <w:widowControl/>
                    <w:suppressLineNumbers w:val="0"/>
                    <w:jc w:val="center"/>
                    <w:rPr>
                      <w:rFonts w:hint="default" w:ascii="Times New Roman" w:hAnsi="Times New Roman" w:eastAsia="宋体" w:cs="Times New Roman"/>
                      <w:color w:val="0000FF"/>
                      <w:sz w:val="21"/>
                      <w:szCs w:val="21"/>
                    </w:rPr>
                  </w:pPr>
                  <w:r>
                    <w:rPr>
                      <w:rStyle w:val="30"/>
                      <w:rFonts w:hint="default" w:ascii="Times New Roman" w:hAnsi="Times New Roman" w:eastAsia="宋体" w:cs="Times New Roman"/>
                      <w:color w:val="0000FF"/>
                      <w:kern w:val="0"/>
                      <w:sz w:val="21"/>
                      <w:szCs w:val="21"/>
                      <w:bdr w:val="none" w:color="auto" w:sz="0" w:space="0"/>
                      <w:lang w:val="en-US" w:eastAsia="zh-CN" w:bidi="ar"/>
                    </w:rPr>
                    <w:t>生态环境</w:t>
                  </w:r>
                </w:p>
              </w:tc>
              <w:tc>
                <w:tcPr>
                  <w:tcW w:w="1031" w:type="pct"/>
                  <w:shd w:val="clear"/>
                  <w:tcMar>
                    <w:top w:w="120" w:type="dxa"/>
                    <w:left w:w="120" w:type="dxa"/>
                    <w:bottom w:w="120" w:type="dxa"/>
                    <w:right w:w="120" w:type="dxa"/>
                  </w:tcMar>
                  <w:vAlign w:val="center"/>
                </w:tcPr>
                <w:p w14:paraId="0BD5C6C5">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区域植被、野生动物（鸟类、野兔、爬行类等）</w:t>
                  </w:r>
                </w:p>
              </w:tc>
              <w:tc>
                <w:tcPr>
                  <w:tcW w:w="947" w:type="pct"/>
                  <w:shd w:val="clear"/>
                  <w:tcMar>
                    <w:top w:w="120" w:type="dxa"/>
                    <w:left w:w="120" w:type="dxa"/>
                    <w:bottom w:w="120" w:type="dxa"/>
                    <w:right w:w="120" w:type="dxa"/>
                  </w:tcMar>
                  <w:vAlign w:val="center"/>
                </w:tcPr>
                <w:p w14:paraId="3B4FB623">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评价区范围内自然生态系统</w:t>
                  </w:r>
                </w:p>
              </w:tc>
              <w:tc>
                <w:tcPr>
                  <w:tcW w:w="1134" w:type="pct"/>
                  <w:shd w:val="clear"/>
                  <w:tcMar>
                    <w:top w:w="120" w:type="dxa"/>
                    <w:left w:w="120" w:type="dxa"/>
                    <w:bottom w:w="120" w:type="dxa"/>
                    <w:right w:w="120" w:type="dxa"/>
                  </w:tcMar>
                  <w:vAlign w:val="center"/>
                </w:tcPr>
                <w:p w14:paraId="165373B5">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工程占地及外扩 500m 范围</w:t>
                  </w:r>
                </w:p>
              </w:tc>
              <w:tc>
                <w:tcPr>
                  <w:tcW w:w="1160" w:type="pct"/>
                  <w:shd w:val="clear"/>
                  <w:tcMar>
                    <w:top w:w="120" w:type="dxa"/>
                    <w:left w:w="120" w:type="dxa"/>
                    <w:bottom w:w="120" w:type="dxa"/>
                    <w:right w:w="120" w:type="dxa"/>
                  </w:tcMar>
                  <w:vAlign w:val="center"/>
                </w:tcPr>
                <w:p w14:paraId="0B13706B">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减少扰动与破坏，施工结束迹地恢复，维护生态系统完整性</w:t>
                  </w:r>
                </w:p>
              </w:tc>
            </w:tr>
            <w:tr w14:paraId="5B02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725" w:type="pct"/>
                  <w:vMerge w:val="continue"/>
                  <w:tcBorders/>
                  <w:shd w:val="clear"/>
                  <w:tcMar>
                    <w:top w:w="120" w:type="dxa"/>
                    <w:left w:w="120" w:type="dxa"/>
                    <w:bottom w:w="120" w:type="dxa"/>
                    <w:right w:w="120" w:type="dxa"/>
                  </w:tcMar>
                  <w:vAlign w:val="center"/>
                </w:tcPr>
                <w:p w14:paraId="1A6EBA29">
                  <w:pPr>
                    <w:jc w:val="center"/>
                    <w:rPr>
                      <w:rFonts w:hint="default" w:ascii="Times New Roman" w:hAnsi="Times New Roman" w:eastAsia="宋体" w:cs="Times New Roman"/>
                      <w:color w:val="0000FF"/>
                      <w:sz w:val="21"/>
                      <w:szCs w:val="21"/>
                    </w:rPr>
                  </w:pPr>
                </w:p>
              </w:tc>
              <w:tc>
                <w:tcPr>
                  <w:tcW w:w="1031" w:type="pct"/>
                  <w:shd w:val="clear"/>
                  <w:tcMar>
                    <w:top w:w="120" w:type="dxa"/>
                    <w:left w:w="120" w:type="dxa"/>
                    <w:bottom w:w="120" w:type="dxa"/>
                    <w:right w:w="120" w:type="dxa"/>
                  </w:tcMar>
                  <w:vAlign w:val="center"/>
                </w:tcPr>
                <w:p w14:paraId="639EEF54">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张掖黑河湿地国家级自然保护区</w:t>
                  </w:r>
                </w:p>
              </w:tc>
              <w:tc>
                <w:tcPr>
                  <w:tcW w:w="947" w:type="pct"/>
                  <w:shd w:val="clear"/>
                  <w:tcMar>
                    <w:top w:w="120" w:type="dxa"/>
                    <w:left w:w="120" w:type="dxa"/>
                    <w:bottom w:w="120" w:type="dxa"/>
                    <w:right w:w="120" w:type="dxa"/>
                  </w:tcMar>
                  <w:vAlign w:val="center"/>
                </w:tcPr>
                <w:p w14:paraId="6E76AA16">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国家级湿地生态保护区</w:t>
                  </w:r>
                </w:p>
              </w:tc>
              <w:tc>
                <w:tcPr>
                  <w:tcW w:w="1134" w:type="pct"/>
                  <w:shd w:val="clear"/>
                  <w:tcMar>
                    <w:top w:w="120" w:type="dxa"/>
                    <w:left w:w="120" w:type="dxa"/>
                    <w:bottom w:w="120" w:type="dxa"/>
                    <w:right w:w="120" w:type="dxa"/>
                  </w:tcMar>
                  <w:vAlign w:val="center"/>
                </w:tcPr>
                <w:p w14:paraId="66620F33">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项目西南侧约 1.1km</w:t>
                  </w:r>
                </w:p>
              </w:tc>
              <w:tc>
                <w:tcPr>
                  <w:tcW w:w="1160" w:type="pct"/>
                  <w:shd w:val="clear"/>
                  <w:tcMar>
                    <w:top w:w="120" w:type="dxa"/>
                    <w:left w:w="120" w:type="dxa"/>
                    <w:bottom w:w="120" w:type="dxa"/>
                    <w:right w:w="120" w:type="dxa"/>
                  </w:tcMar>
                  <w:vAlign w:val="center"/>
                </w:tcPr>
                <w:p w14:paraId="155E22D4">
                  <w:pPr>
                    <w:keepNext w:val="0"/>
                    <w:keepLines w:val="0"/>
                    <w:widowControl/>
                    <w:suppressLineNumbers w:val="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0"/>
                      <w:sz w:val="21"/>
                      <w:szCs w:val="21"/>
                      <w:bdr w:val="none" w:color="auto" w:sz="0" w:space="0"/>
                      <w:lang w:val="en-US" w:eastAsia="zh-CN" w:bidi="ar"/>
                    </w:rPr>
                    <w:t>不占用、不扰动、不影响保护区功能与环境质量</w:t>
                  </w:r>
                </w:p>
              </w:tc>
            </w:tr>
          </w:tbl>
          <w:p w14:paraId="135B051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3</w:t>
            </w:r>
            <w:r>
              <w:rPr>
                <w:rFonts w:hint="default" w:ascii="Times New Roman" w:hAnsi="Times New Roman" w:eastAsia="宋体" w:cs="Times New Roman"/>
                <w:b/>
                <w:bCs/>
                <w:color w:val="auto"/>
                <w:sz w:val="24"/>
                <w:szCs w:val="22"/>
                <w:highlight w:val="none"/>
                <w:lang w:val="en-US" w:eastAsia="zh-CN"/>
              </w:rPr>
              <w:t>、大气环境保护目标</w:t>
            </w:r>
          </w:p>
          <w:p w14:paraId="6B897A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参照《建设项目环境影响报告表编制技术指南（污染影响类）》（试行），本项目大气环境保护目标调查范围为500m，根据现场踏勘，本项目周边500m范围内无居民区等环境敏感目标。</w:t>
            </w:r>
          </w:p>
          <w:p w14:paraId="417FABE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4</w:t>
            </w:r>
            <w:r>
              <w:rPr>
                <w:rFonts w:hint="default" w:ascii="Times New Roman" w:hAnsi="Times New Roman" w:eastAsia="宋体" w:cs="Times New Roman"/>
                <w:b/>
                <w:bCs/>
                <w:color w:val="auto"/>
                <w:sz w:val="24"/>
                <w:szCs w:val="22"/>
                <w:highlight w:val="none"/>
                <w:lang w:val="en-US" w:eastAsia="zh-CN"/>
              </w:rPr>
              <w:t>、噪声环境保护目标</w:t>
            </w:r>
          </w:p>
          <w:p w14:paraId="207126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eastAsia" w:cs="Times New Roman"/>
                <w:color w:val="0000FF"/>
                <w:sz w:val="24"/>
                <w:szCs w:val="22"/>
                <w:highlight w:val="none"/>
                <w:lang w:val="en-US" w:eastAsia="zh-CN"/>
              </w:rPr>
              <w:t>根据</w:t>
            </w:r>
            <w:r>
              <w:rPr>
                <w:rFonts w:hint="default" w:ascii="Times New Roman" w:hAnsi="Times New Roman" w:eastAsia="宋体" w:cs="Times New Roman"/>
                <w:color w:val="0000FF"/>
                <w:sz w:val="24"/>
                <w:szCs w:val="22"/>
                <w:highlight w:val="none"/>
                <w:lang w:val="en-US" w:eastAsia="zh-CN"/>
              </w:rPr>
              <w:t>《</w:t>
            </w:r>
            <w:r>
              <w:rPr>
                <w:rFonts w:hint="eastAsia" w:cs="Times New Roman"/>
                <w:color w:val="0000FF"/>
                <w:sz w:val="24"/>
                <w:szCs w:val="22"/>
                <w:highlight w:val="none"/>
                <w:lang w:val="en-US" w:eastAsia="zh-CN"/>
              </w:rPr>
              <w:t>环境影响评价技术导则  声环境</w:t>
            </w:r>
            <w:r>
              <w:rPr>
                <w:rFonts w:hint="default" w:ascii="Times New Roman" w:hAnsi="Times New Roman" w:eastAsia="宋体" w:cs="Times New Roman"/>
                <w:color w:val="0000FF"/>
                <w:sz w:val="24"/>
                <w:szCs w:val="22"/>
                <w:highlight w:val="none"/>
                <w:lang w:val="en-US" w:eastAsia="zh-CN"/>
              </w:rPr>
              <w:t>》（</w:t>
            </w:r>
            <w:r>
              <w:rPr>
                <w:rFonts w:hint="default" w:ascii="Times New Roman" w:hAnsi="Times New Roman" w:eastAsia="宋体" w:cs="Times New Roman"/>
                <w:b w:val="0"/>
                <w:bCs w:val="0"/>
                <w:color w:val="0000FF"/>
                <w:kern w:val="0"/>
                <w:sz w:val="24"/>
                <w:szCs w:val="24"/>
                <w:lang w:val="en-US" w:eastAsia="zh-CN" w:bidi="ar"/>
              </w:rPr>
              <w:t>HJ 2.4-2021</w:t>
            </w:r>
            <w:r>
              <w:rPr>
                <w:rFonts w:hint="default"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2"/>
                <w:highlight w:val="none"/>
                <w:lang w:val="en-US" w:eastAsia="zh-CN"/>
              </w:rPr>
              <w:t>本项目声环境保护目标调查范围为</w:t>
            </w:r>
            <w:r>
              <w:rPr>
                <w:rFonts w:hint="eastAsia" w:cs="Times New Roman"/>
                <w:color w:val="0000FF"/>
                <w:sz w:val="24"/>
                <w:szCs w:val="22"/>
                <w:highlight w:val="none"/>
                <w:lang w:val="en-US" w:eastAsia="zh-CN"/>
              </w:rPr>
              <w:t>20</w:t>
            </w:r>
            <w:r>
              <w:rPr>
                <w:rFonts w:hint="default" w:ascii="Times New Roman" w:hAnsi="Times New Roman" w:eastAsia="宋体" w:cs="Times New Roman"/>
                <w:color w:val="0000FF"/>
                <w:sz w:val="24"/>
                <w:szCs w:val="22"/>
                <w:highlight w:val="none"/>
                <w:lang w:val="en-US" w:eastAsia="zh-CN"/>
              </w:rPr>
              <w:t>0m。根据现场踏勘，本项目周边</w:t>
            </w:r>
            <w:r>
              <w:rPr>
                <w:rFonts w:hint="eastAsia" w:cs="Times New Roman"/>
                <w:color w:val="0000FF"/>
                <w:sz w:val="24"/>
                <w:szCs w:val="22"/>
                <w:highlight w:val="none"/>
                <w:lang w:val="en-US" w:eastAsia="zh-CN"/>
              </w:rPr>
              <w:t>20</w:t>
            </w:r>
            <w:r>
              <w:rPr>
                <w:rFonts w:hint="default" w:ascii="Times New Roman" w:hAnsi="Times New Roman" w:eastAsia="宋体" w:cs="Times New Roman"/>
                <w:color w:val="0000FF"/>
                <w:sz w:val="24"/>
                <w:szCs w:val="22"/>
                <w:highlight w:val="none"/>
                <w:lang w:val="en-US" w:eastAsia="zh-CN"/>
              </w:rPr>
              <w:t>0m范围内无声环境保护目标。</w:t>
            </w:r>
          </w:p>
          <w:p w14:paraId="0E573128">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5</w:t>
            </w:r>
            <w:r>
              <w:rPr>
                <w:rFonts w:hint="default" w:ascii="Times New Roman" w:hAnsi="Times New Roman" w:eastAsia="宋体" w:cs="Times New Roman"/>
                <w:b/>
                <w:bCs/>
                <w:color w:val="auto"/>
                <w:sz w:val="24"/>
                <w:szCs w:val="22"/>
                <w:highlight w:val="none"/>
                <w:lang w:val="en-US" w:eastAsia="zh-CN"/>
              </w:rPr>
              <w:t>、土壤环境保护目标</w:t>
            </w:r>
          </w:p>
          <w:p w14:paraId="3A779A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根据《环境影响评价技术导则</w:t>
            </w:r>
            <w:r>
              <w:rPr>
                <w:rFonts w:hint="eastAsia" w:cs="Times New Roman"/>
                <w:color w:val="auto"/>
                <w:sz w:val="24"/>
                <w:szCs w:val="22"/>
                <w:highlight w:val="none"/>
                <w:lang w:val="en-US" w:eastAsia="zh-CN"/>
              </w:rPr>
              <w:t xml:space="preserve"> </w:t>
            </w:r>
            <w:r>
              <w:rPr>
                <w:rFonts w:hint="default" w:ascii="Times New Roman" w:hAnsi="Times New Roman" w:eastAsia="宋体" w:cs="Times New Roman"/>
                <w:color w:val="auto"/>
                <w:sz w:val="24"/>
                <w:szCs w:val="22"/>
                <w:highlight w:val="none"/>
                <w:lang w:val="en-US" w:eastAsia="zh-CN"/>
              </w:rPr>
              <w:t>土壤环境（试行）》（HJ964-2018），本项目无与土壤环境相关的敏感区或对象，本项目无土壤环境保护目标。</w:t>
            </w:r>
          </w:p>
          <w:p w14:paraId="7594CF2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6</w:t>
            </w:r>
            <w:r>
              <w:rPr>
                <w:rFonts w:hint="default" w:ascii="Times New Roman" w:hAnsi="Times New Roman" w:eastAsia="宋体" w:cs="Times New Roman"/>
                <w:b/>
                <w:bCs/>
                <w:color w:val="auto"/>
                <w:sz w:val="24"/>
                <w:szCs w:val="22"/>
                <w:highlight w:val="none"/>
                <w:lang w:val="en-US" w:eastAsia="zh-CN"/>
              </w:rPr>
              <w:t>、地下水环境保护目标</w:t>
            </w:r>
          </w:p>
          <w:p w14:paraId="098EA8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根据《环境影响评价技术导则</w:t>
            </w:r>
            <w:r>
              <w:rPr>
                <w:rFonts w:hint="eastAsia" w:cs="Times New Roman"/>
                <w:color w:val="auto"/>
                <w:sz w:val="24"/>
                <w:szCs w:val="22"/>
                <w:highlight w:val="none"/>
                <w:lang w:val="en-US" w:eastAsia="zh-CN"/>
              </w:rPr>
              <w:t xml:space="preserve"> </w:t>
            </w:r>
            <w:r>
              <w:rPr>
                <w:rFonts w:hint="default" w:ascii="Times New Roman" w:hAnsi="Times New Roman" w:eastAsia="宋体" w:cs="Times New Roman"/>
                <w:color w:val="auto"/>
                <w:sz w:val="24"/>
                <w:szCs w:val="22"/>
                <w:highlight w:val="none"/>
                <w:lang w:val="en-US" w:eastAsia="zh-CN"/>
              </w:rPr>
              <w:t>地下水环境》（HJ610-2016），本项目为Ⅳ类项目，可不开展地下水评价，不设评价范围，无地下水环境保护目标。</w:t>
            </w:r>
          </w:p>
          <w:p w14:paraId="5C50531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7</w:t>
            </w:r>
            <w:r>
              <w:rPr>
                <w:rFonts w:hint="default" w:ascii="Times New Roman" w:hAnsi="Times New Roman" w:eastAsia="宋体" w:cs="Times New Roman"/>
                <w:b/>
                <w:bCs/>
                <w:color w:val="auto"/>
                <w:sz w:val="24"/>
                <w:szCs w:val="22"/>
                <w:highlight w:val="none"/>
                <w:lang w:val="en-US" w:eastAsia="zh-CN"/>
              </w:rPr>
              <w:t>、地表水环境保护目标</w:t>
            </w:r>
          </w:p>
          <w:p w14:paraId="582F7D1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本项目占地范围内不涉及饮用水水源保护区、饮用水取水口，涉水的自然保护区、风景名胜区，重要湿地、重点保护与珍稀水生生物的栖息地、重要水生生物的自然产卵场及索饵场、越冬场和</w:t>
            </w:r>
            <w:r>
              <w:rPr>
                <w:rFonts w:hint="eastAsia" w:cs="Times New Roman"/>
                <w:color w:val="auto"/>
                <w:sz w:val="24"/>
                <w:szCs w:val="24"/>
                <w:highlight w:val="none"/>
                <w:lang w:val="en-US" w:eastAsia="zh-CN"/>
              </w:rPr>
              <w:t>洄游通道</w:t>
            </w:r>
            <w:r>
              <w:rPr>
                <w:rFonts w:hint="default" w:ascii="Times New Roman" w:hAnsi="Times New Roman" w:eastAsia="宋体" w:cs="Times New Roman"/>
                <w:color w:val="auto"/>
                <w:sz w:val="24"/>
                <w:szCs w:val="24"/>
                <w:highlight w:val="none"/>
                <w:lang w:val="en-US" w:eastAsia="zh-CN"/>
              </w:rPr>
              <w:t>，天然渔场等渔业水体，以及水产种质资源保护区等。</w:t>
            </w:r>
          </w:p>
          <w:p w14:paraId="2FCEC27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0000FF"/>
                <w:sz w:val="24"/>
                <w:szCs w:val="24"/>
                <w:highlight w:val="none"/>
                <w:lang w:val="en-US" w:eastAsia="zh-CN"/>
              </w:rPr>
              <w:t>本项目地表水保护目标</w:t>
            </w:r>
            <w:r>
              <w:rPr>
                <w:rFonts w:hint="eastAsia" w:ascii="Times New Roman" w:hAnsi="Times New Roman" w:eastAsia="宋体" w:cs="Times New Roman"/>
                <w:color w:val="0000FF"/>
                <w:sz w:val="24"/>
                <w:szCs w:val="24"/>
                <w:highlight w:val="none"/>
                <w:lang w:val="en-US" w:eastAsia="zh-CN"/>
              </w:rPr>
              <w:t>主要为</w:t>
            </w:r>
            <w:r>
              <w:rPr>
                <w:rFonts w:hint="default" w:ascii="Times New Roman" w:hAnsi="Times New Roman" w:eastAsia="宋体" w:cs="Times New Roman"/>
                <w:color w:val="0000FF"/>
                <w:sz w:val="24"/>
                <w:szCs w:val="24"/>
                <w:highlight w:val="none"/>
                <w:lang w:val="en-US" w:eastAsia="zh-CN"/>
              </w:rPr>
              <w:t>兔儿坝滩水库库区</w:t>
            </w:r>
            <w:r>
              <w:rPr>
                <w:rFonts w:hint="eastAsia"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4"/>
                <w:highlight w:val="none"/>
                <w:lang w:val="en-US" w:eastAsia="zh-CN"/>
              </w:rPr>
              <w:t>维持入库与库区水质达标，防控富营养化</w:t>
            </w:r>
            <w:r>
              <w:rPr>
                <w:rFonts w:hint="eastAsia" w:cs="Times New Roman"/>
                <w:color w:val="0000FF"/>
                <w:sz w:val="24"/>
                <w:szCs w:val="24"/>
                <w:highlight w:val="none"/>
                <w:lang w:val="en-US" w:eastAsia="zh-CN"/>
              </w:rPr>
              <w:t>。</w:t>
            </w:r>
          </w:p>
        </w:tc>
      </w:tr>
      <w:tr w14:paraId="23047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5" w:type="pct"/>
            <w:vAlign w:val="center"/>
          </w:tcPr>
          <w:p w14:paraId="6624AF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评价</w:t>
            </w:r>
          </w:p>
          <w:p w14:paraId="2F5010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标准</w:t>
            </w:r>
          </w:p>
        </w:tc>
        <w:tc>
          <w:tcPr>
            <w:tcW w:w="4524" w:type="pct"/>
            <w:vAlign w:val="center"/>
          </w:tcPr>
          <w:p w14:paraId="797811D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1、质量标准</w:t>
            </w:r>
          </w:p>
          <w:p w14:paraId="2F41BB6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1.1环境空气</w:t>
            </w:r>
          </w:p>
          <w:p w14:paraId="33071D88">
            <w:pPr>
              <w:pStyle w:val="46"/>
              <w:keepNext w:val="0"/>
              <w:keepLines w:val="0"/>
              <w:suppressLineNumbers w:val="0"/>
              <w:adjustRightInd/>
              <w:snapToGrid/>
              <w:spacing w:before="0" w:beforeAutospacing="0" w:after="0" w:afterLines="0" w:afterAutospacing="0" w:line="360" w:lineRule="auto"/>
              <w:ind w:left="0" w:right="0" w:firstLine="480" w:firstLineChars="200"/>
              <w:jc w:val="left"/>
              <w:rPr>
                <w:rFonts w:hint="default" w:ascii="Times New Roman" w:hAnsi="Times New Roman" w:eastAsia="宋体" w:cs="Times New Roman"/>
                <w:b w:val="0"/>
                <w:bCs/>
                <w:color w:val="0000FF"/>
                <w:sz w:val="24"/>
                <w:szCs w:val="24"/>
                <w:highlight w:val="none"/>
              </w:rPr>
            </w:pPr>
            <w:r>
              <w:rPr>
                <w:rFonts w:hint="default" w:ascii="Times New Roman" w:hAnsi="Times New Roman" w:eastAsia="宋体" w:cs="Times New Roman"/>
                <w:b w:val="0"/>
                <w:color w:val="0000FF"/>
                <w:kern w:val="2"/>
                <w:sz w:val="24"/>
                <w:szCs w:val="22"/>
                <w:highlight w:val="none"/>
                <w:lang w:val="en-US" w:eastAsia="zh-CN" w:bidi="ar-SA"/>
              </w:rPr>
              <w:t>评价区环境空气质量执行《环境空气质量标准》（GB3095-20</w:t>
            </w:r>
            <w:r>
              <w:rPr>
                <w:rFonts w:hint="eastAsia" w:cs="Times New Roman"/>
                <w:b w:val="0"/>
                <w:color w:val="0000FF"/>
                <w:kern w:val="2"/>
                <w:sz w:val="24"/>
                <w:szCs w:val="22"/>
                <w:highlight w:val="none"/>
                <w:lang w:val="en-US" w:eastAsia="zh-CN" w:bidi="ar-SA"/>
              </w:rPr>
              <w:t>26</w:t>
            </w:r>
            <w:r>
              <w:rPr>
                <w:rFonts w:hint="default" w:ascii="Times New Roman" w:hAnsi="Times New Roman" w:eastAsia="宋体" w:cs="Times New Roman"/>
                <w:b w:val="0"/>
                <w:color w:val="0000FF"/>
                <w:kern w:val="2"/>
                <w:sz w:val="24"/>
                <w:szCs w:val="22"/>
                <w:highlight w:val="none"/>
                <w:lang w:val="en-US" w:eastAsia="zh-CN" w:bidi="ar-SA"/>
              </w:rPr>
              <w:t>）</w:t>
            </w:r>
            <w:r>
              <w:rPr>
                <w:rFonts w:hint="eastAsia" w:cs="Times New Roman"/>
                <w:b w:val="0"/>
                <w:bCs/>
                <w:color w:val="0000FF"/>
                <w:sz w:val="24"/>
                <w:szCs w:val="22"/>
                <w:highlight w:val="none"/>
                <w:lang w:val="en-US" w:eastAsia="zh-CN"/>
              </w:rPr>
              <w:t>中过渡阶段二级标准限值要求</w:t>
            </w:r>
            <w:r>
              <w:rPr>
                <w:rFonts w:hint="default" w:ascii="Times New Roman" w:hAnsi="Times New Roman" w:eastAsia="宋体" w:cs="Times New Roman"/>
                <w:b w:val="0"/>
                <w:bCs/>
                <w:color w:val="0000FF"/>
                <w:kern w:val="2"/>
                <w:sz w:val="24"/>
                <w:szCs w:val="22"/>
                <w:highlight w:val="none"/>
                <w:lang w:val="en-US" w:eastAsia="zh-CN" w:bidi="ar-SA"/>
              </w:rPr>
              <w:t>。</w:t>
            </w:r>
          </w:p>
          <w:p w14:paraId="395AC0F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环境空气质量标准（GB3095-20</w:t>
            </w:r>
            <w:r>
              <w:rPr>
                <w:rFonts w:hint="eastAsia" w:cs="Times New Roman"/>
                <w:b/>
                <w:bCs/>
                <w:color w:val="auto"/>
                <w:sz w:val="24"/>
                <w:szCs w:val="24"/>
                <w:highlight w:val="none"/>
                <w:lang w:val="en-US" w:eastAsia="zh-CN"/>
              </w:rPr>
              <w:t>26</w:t>
            </w:r>
            <w:r>
              <w:rPr>
                <w:rFonts w:hint="default" w:ascii="Times New Roman" w:hAnsi="Times New Roman" w:eastAsia="宋体" w:cs="Times New Roman"/>
                <w:b/>
                <w:bCs/>
                <w:color w:val="auto"/>
                <w:sz w:val="24"/>
                <w:szCs w:val="24"/>
                <w:highlight w:val="none"/>
              </w:rPr>
              <w:t>）中</w:t>
            </w:r>
            <w:r>
              <w:rPr>
                <w:rFonts w:hint="eastAsia" w:cs="Times New Roman"/>
                <w:b/>
                <w:bCs/>
                <w:color w:val="auto"/>
                <w:sz w:val="24"/>
                <w:szCs w:val="24"/>
                <w:highlight w:val="none"/>
                <w:lang w:eastAsia="zh-CN"/>
              </w:rPr>
              <w:t>过渡阶段</w:t>
            </w:r>
            <w:r>
              <w:rPr>
                <w:rFonts w:hint="default" w:ascii="Times New Roman" w:hAnsi="Times New Roman" w:eastAsia="宋体" w:cs="Times New Roman"/>
                <w:b/>
                <w:bCs/>
                <w:color w:val="auto"/>
                <w:sz w:val="24"/>
                <w:szCs w:val="24"/>
                <w:highlight w:val="none"/>
              </w:rPr>
              <w:t>二级标准</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765"/>
              <w:gridCol w:w="1710"/>
              <w:gridCol w:w="1706"/>
              <w:gridCol w:w="2125"/>
              <w:gridCol w:w="1838"/>
            </w:tblGrid>
            <w:tr w14:paraId="48CF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vMerge w:val="restart"/>
                  <w:noWrap w:val="0"/>
                  <w:vAlign w:val="center"/>
                </w:tcPr>
                <w:p w14:paraId="7806BABB">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78" w:type="pct"/>
                  <w:vMerge w:val="restart"/>
                  <w:noWrap w:val="0"/>
                  <w:vAlign w:val="center"/>
                </w:tcPr>
                <w:p w14:paraId="05567F32">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3300" w:type="pct"/>
                  <w:gridSpan w:val="3"/>
                  <w:noWrap w:val="0"/>
                  <w:vAlign w:val="center"/>
                </w:tcPr>
                <w:p w14:paraId="68A4EA7B">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标准值（μg/m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866" w:type="pct"/>
                  <w:vMerge w:val="restart"/>
                  <w:noWrap w:val="0"/>
                  <w:vAlign w:val="center"/>
                </w:tcPr>
                <w:p w14:paraId="58C87044">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依据</w:t>
                  </w:r>
                </w:p>
              </w:tc>
            </w:tr>
            <w:tr w14:paraId="52DF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vMerge w:val="continue"/>
                  <w:noWrap w:val="0"/>
                  <w:vAlign w:val="center"/>
                </w:tcPr>
                <w:p w14:paraId="063A082E">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p>
              </w:tc>
              <w:tc>
                <w:tcPr>
                  <w:tcW w:w="478" w:type="pct"/>
                  <w:vMerge w:val="continue"/>
                  <w:noWrap w:val="0"/>
                  <w:vAlign w:val="center"/>
                </w:tcPr>
                <w:p w14:paraId="300A2B68">
                  <w:pPr>
                    <w:pStyle w:val="11"/>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auto"/>
                      <w:sz w:val="21"/>
                      <w:szCs w:val="21"/>
                      <w:highlight w:val="none"/>
                    </w:rPr>
                  </w:pPr>
                </w:p>
              </w:tc>
              <w:tc>
                <w:tcPr>
                  <w:tcW w:w="1021" w:type="pct"/>
                  <w:noWrap w:val="0"/>
                  <w:vAlign w:val="center"/>
                </w:tcPr>
                <w:p w14:paraId="4F122D7C">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1小时平均值</w:t>
                  </w:r>
                </w:p>
              </w:tc>
              <w:tc>
                <w:tcPr>
                  <w:tcW w:w="1019" w:type="pct"/>
                  <w:noWrap w:val="0"/>
                  <w:vAlign w:val="center"/>
                </w:tcPr>
                <w:p w14:paraId="50E75A80">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24小时平均</w:t>
                  </w:r>
                </w:p>
              </w:tc>
              <w:tc>
                <w:tcPr>
                  <w:tcW w:w="1260" w:type="pct"/>
                  <w:noWrap w:val="0"/>
                  <w:vAlign w:val="center"/>
                </w:tcPr>
                <w:p w14:paraId="3DAF9F9B">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年平均</w:t>
                  </w:r>
                </w:p>
              </w:tc>
              <w:tc>
                <w:tcPr>
                  <w:tcW w:w="866" w:type="pct"/>
                  <w:vMerge w:val="continue"/>
                  <w:noWrap w:val="0"/>
                  <w:vAlign w:val="center"/>
                </w:tcPr>
                <w:p w14:paraId="6E072F9C">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b/>
                      <w:color w:val="auto"/>
                      <w:sz w:val="21"/>
                      <w:szCs w:val="21"/>
                      <w:highlight w:val="none"/>
                    </w:rPr>
                  </w:pPr>
                </w:p>
              </w:tc>
            </w:tr>
            <w:tr w14:paraId="5AB0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1E5496C9">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78" w:type="pct"/>
                  <w:noWrap w:val="0"/>
                  <w:vAlign w:val="center"/>
                </w:tcPr>
                <w:p w14:paraId="15F77980">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021" w:type="pct"/>
                  <w:noWrap w:val="0"/>
                  <w:vAlign w:val="center"/>
                </w:tcPr>
                <w:p w14:paraId="31D21290">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019" w:type="pct"/>
                  <w:noWrap w:val="0"/>
                  <w:vAlign w:val="center"/>
                </w:tcPr>
                <w:p w14:paraId="46F63ABD">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260" w:type="pct"/>
                  <w:noWrap w:val="0"/>
                  <w:vAlign w:val="center"/>
                </w:tcPr>
                <w:p w14:paraId="76127914">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66" w:type="pct"/>
                  <w:vMerge w:val="restart"/>
                  <w:noWrap w:val="0"/>
                  <w:vAlign w:val="center"/>
                </w:tcPr>
                <w:p w14:paraId="3854A723">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《环境空气质量标准》（GB3095-20</w:t>
                  </w:r>
                  <w:r>
                    <w:rPr>
                      <w:rFonts w:hint="eastAsia" w:cs="Times New Roman"/>
                      <w:b w:val="0"/>
                      <w:color w:val="auto"/>
                      <w:sz w:val="21"/>
                      <w:szCs w:val="21"/>
                      <w:highlight w:val="none"/>
                      <w:lang w:val="en-US" w:eastAsia="zh-CN"/>
                    </w:rPr>
                    <w:t>26</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val="en-US" w:eastAsia="zh-CN"/>
                    </w:rPr>
                    <w:t>中</w:t>
                  </w:r>
                  <w:r>
                    <w:rPr>
                      <w:rFonts w:hint="eastAsia" w:cs="Times New Roman"/>
                      <w:b w:val="0"/>
                      <w:color w:val="auto"/>
                      <w:sz w:val="21"/>
                      <w:szCs w:val="21"/>
                      <w:highlight w:val="none"/>
                      <w:lang w:val="en-US" w:eastAsia="zh-CN"/>
                    </w:rPr>
                    <w:t>过渡阶段</w:t>
                  </w:r>
                  <w:r>
                    <w:rPr>
                      <w:rFonts w:hint="default" w:ascii="Times New Roman" w:hAnsi="Times New Roman" w:eastAsia="宋体" w:cs="Times New Roman"/>
                      <w:b w:val="0"/>
                      <w:color w:val="auto"/>
                      <w:sz w:val="21"/>
                      <w:szCs w:val="21"/>
                      <w:highlight w:val="none"/>
                    </w:rPr>
                    <w:t>二类区标准</w:t>
                  </w:r>
                </w:p>
              </w:tc>
            </w:tr>
            <w:tr w14:paraId="6740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53F3EC69">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78" w:type="pct"/>
                  <w:noWrap w:val="0"/>
                  <w:vAlign w:val="center"/>
                </w:tcPr>
                <w:p w14:paraId="36399F95">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021" w:type="pct"/>
                  <w:noWrap w:val="0"/>
                  <w:vAlign w:val="center"/>
                </w:tcPr>
                <w:p w14:paraId="478498F1">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019" w:type="pct"/>
                  <w:noWrap w:val="0"/>
                  <w:vAlign w:val="center"/>
                </w:tcPr>
                <w:p w14:paraId="64D69B55">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260" w:type="pct"/>
                  <w:noWrap w:val="0"/>
                  <w:vAlign w:val="center"/>
                </w:tcPr>
                <w:p w14:paraId="1355E205">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66" w:type="pct"/>
                  <w:vMerge w:val="continue"/>
                  <w:noWrap w:val="0"/>
                  <w:vAlign w:val="center"/>
                </w:tcPr>
                <w:p w14:paraId="0F319CE1">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r w14:paraId="6F01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7534A41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78" w:type="pct"/>
                  <w:noWrap w:val="0"/>
                  <w:vAlign w:val="center"/>
                </w:tcPr>
                <w:p w14:paraId="007779A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021" w:type="pct"/>
                  <w:noWrap w:val="0"/>
                  <w:vAlign w:val="center"/>
                </w:tcPr>
                <w:p w14:paraId="5D0A780F">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19" w:type="pct"/>
                  <w:noWrap w:val="0"/>
                  <w:vAlign w:val="center"/>
                </w:tcPr>
                <w:p w14:paraId="254ABACE">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rPr>
                    <w:t>1</w:t>
                  </w:r>
                  <w:r>
                    <w:rPr>
                      <w:rFonts w:hint="eastAsia" w:cs="Times New Roman"/>
                      <w:color w:val="0000FF"/>
                      <w:sz w:val="21"/>
                      <w:szCs w:val="21"/>
                      <w:highlight w:val="none"/>
                      <w:lang w:val="en-US" w:eastAsia="zh-CN"/>
                    </w:rPr>
                    <w:t>20</w:t>
                  </w:r>
                </w:p>
              </w:tc>
              <w:tc>
                <w:tcPr>
                  <w:tcW w:w="1260" w:type="pct"/>
                  <w:noWrap w:val="0"/>
                  <w:vAlign w:val="center"/>
                </w:tcPr>
                <w:p w14:paraId="78B03BA9">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0000FF"/>
                      <w:sz w:val="21"/>
                      <w:szCs w:val="21"/>
                      <w:highlight w:val="none"/>
                    </w:rPr>
                  </w:pPr>
                  <w:r>
                    <w:rPr>
                      <w:rFonts w:hint="eastAsia" w:cs="Times New Roman"/>
                      <w:color w:val="0000FF"/>
                      <w:sz w:val="21"/>
                      <w:szCs w:val="21"/>
                      <w:highlight w:val="none"/>
                      <w:lang w:val="en-US" w:eastAsia="zh-CN"/>
                    </w:rPr>
                    <w:t>6</w:t>
                  </w:r>
                  <w:r>
                    <w:rPr>
                      <w:rFonts w:hint="default" w:ascii="Times New Roman" w:hAnsi="Times New Roman" w:eastAsia="宋体" w:cs="Times New Roman"/>
                      <w:color w:val="0000FF"/>
                      <w:sz w:val="21"/>
                      <w:szCs w:val="21"/>
                      <w:highlight w:val="none"/>
                    </w:rPr>
                    <w:t>0</w:t>
                  </w:r>
                </w:p>
              </w:tc>
              <w:tc>
                <w:tcPr>
                  <w:tcW w:w="866" w:type="pct"/>
                  <w:vMerge w:val="continue"/>
                  <w:noWrap w:val="0"/>
                  <w:vAlign w:val="center"/>
                </w:tcPr>
                <w:p w14:paraId="4BB2639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r w14:paraId="4CBF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5011926F">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78" w:type="pct"/>
                  <w:noWrap w:val="0"/>
                  <w:vAlign w:val="center"/>
                </w:tcPr>
                <w:p w14:paraId="0C592AF5">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021" w:type="pct"/>
                  <w:noWrap w:val="0"/>
                  <w:vAlign w:val="center"/>
                </w:tcPr>
                <w:p w14:paraId="084FEF07">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19" w:type="pct"/>
                  <w:noWrap w:val="0"/>
                  <w:vAlign w:val="center"/>
                </w:tcPr>
                <w:p w14:paraId="68CB5633">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60</w:t>
                  </w:r>
                </w:p>
              </w:tc>
              <w:tc>
                <w:tcPr>
                  <w:tcW w:w="1260" w:type="pct"/>
                  <w:noWrap w:val="0"/>
                  <w:vAlign w:val="center"/>
                </w:tcPr>
                <w:p w14:paraId="2B23450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30</w:t>
                  </w:r>
                </w:p>
              </w:tc>
              <w:tc>
                <w:tcPr>
                  <w:tcW w:w="866" w:type="pct"/>
                  <w:vMerge w:val="continue"/>
                  <w:noWrap w:val="0"/>
                  <w:vAlign w:val="center"/>
                </w:tcPr>
                <w:p w14:paraId="216D0048">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r w14:paraId="6DB4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74F7C5DC">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78" w:type="pct"/>
                  <w:noWrap w:val="0"/>
                  <w:vAlign w:val="center"/>
                </w:tcPr>
                <w:p w14:paraId="732FF2D1">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021" w:type="pct"/>
                  <w:noWrap w:val="0"/>
                  <w:vAlign w:val="center"/>
                </w:tcPr>
                <w:p w14:paraId="32755D9D">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000</w:t>
                  </w:r>
                </w:p>
              </w:tc>
              <w:tc>
                <w:tcPr>
                  <w:tcW w:w="1019" w:type="pct"/>
                  <w:noWrap w:val="0"/>
                  <w:vAlign w:val="center"/>
                </w:tcPr>
                <w:p w14:paraId="4174B31F">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000</w:t>
                  </w:r>
                </w:p>
              </w:tc>
              <w:tc>
                <w:tcPr>
                  <w:tcW w:w="1260" w:type="pct"/>
                  <w:noWrap w:val="0"/>
                  <w:vAlign w:val="center"/>
                </w:tcPr>
                <w:p w14:paraId="11A070FA">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66" w:type="pct"/>
                  <w:vMerge w:val="continue"/>
                  <w:noWrap w:val="0"/>
                  <w:vAlign w:val="center"/>
                </w:tcPr>
                <w:p w14:paraId="6018D46F">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r w14:paraId="6D0C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53" w:type="pct"/>
                  <w:noWrap w:val="0"/>
                  <w:vAlign w:val="center"/>
                </w:tcPr>
                <w:p w14:paraId="3D66786B">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78" w:type="pct"/>
                  <w:noWrap w:val="0"/>
                  <w:vAlign w:val="center"/>
                </w:tcPr>
                <w:p w14:paraId="5F1DC3B2">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021" w:type="pct"/>
                  <w:noWrap w:val="0"/>
                  <w:vAlign w:val="center"/>
                </w:tcPr>
                <w:p w14:paraId="1598385B">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019" w:type="pct"/>
                  <w:noWrap w:val="0"/>
                  <w:vAlign w:val="center"/>
                </w:tcPr>
                <w:p w14:paraId="2B058594">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60" w:type="pct"/>
                  <w:noWrap w:val="0"/>
                  <w:vAlign w:val="center"/>
                </w:tcPr>
                <w:p w14:paraId="4FB18383">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66" w:type="pct"/>
                  <w:vMerge w:val="continue"/>
                  <w:noWrap w:val="0"/>
                  <w:vAlign w:val="center"/>
                </w:tcPr>
                <w:p w14:paraId="7DB9D2B6">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r w14:paraId="27E0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3" w:type="pct"/>
                  <w:noWrap w:val="0"/>
                  <w:vAlign w:val="center"/>
                </w:tcPr>
                <w:p w14:paraId="6E18F7C7">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478" w:type="pct"/>
                  <w:noWrap w:val="0"/>
                  <w:vAlign w:val="center"/>
                </w:tcPr>
                <w:p w14:paraId="367081F2">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1021" w:type="pct"/>
                  <w:noWrap w:val="0"/>
                  <w:vAlign w:val="center"/>
                </w:tcPr>
                <w:p w14:paraId="02933817">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19" w:type="pct"/>
                  <w:noWrap w:val="0"/>
                  <w:vAlign w:val="center"/>
                </w:tcPr>
                <w:p w14:paraId="0E480E35">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260" w:type="pct"/>
                  <w:noWrap w:val="0"/>
                  <w:vAlign w:val="center"/>
                </w:tcPr>
                <w:p w14:paraId="31F86A6E">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866" w:type="pct"/>
                  <w:vMerge w:val="continue"/>
                  <w:noWrap w:val="0"/>
                  <w:vAlign w:val="center"/>
                </w:tcPr>
                <w:p w14:paraId="14317A2F">
                  <w:pPr>
                    <w:keepNext w:val="0"/>
                    <w:keepLines w:val="0"/>
                    <w:suppressLineNumbers w:val="0"/>
                    <w:spacing w:before="0" w:beforeAutospacing="0" w:after="0" w:afterAutospacing="0" w:line="240" w:lineRule="auto"/>
                    <w:ind w:left="0" w:right="0" w:firstLine="0" w:firstLineChars="0"/>
                    <w:contextualSpacing/>
                    <w:jc w:val="center"/>
                    <w:rPr>
                      <w:rFonts w:hint="default" w:ascii="Times New Roman" w:hAnsi="Times New Roman" w:eastAsia="宋体" w:cs="Times New Roman"/>
                      <w:color w:val="auto"/>
                      <w:sz w:val="21"/>
                      <w:szCs w:val="21"/>
                      <w:highlight w:val="none"/>
                    </w:rPr>
                  </w:pPr>
                </w:p>
              </w:tc>
            </w:tr>
          </w:tbl>
          <w:p w14:paraId="42E1358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1.2声环境</w:t>
            </w:r>
          </w:p>
          <w:p w14:paraId="7F17631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项目区域声环境质量执行《声环境质量标准》（GB3096-2008）中</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类区标准限值。标准值见表3-9。</w:t>
            </w:r>
          </w:p>
          <w:p w14:paraId="5654E53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声环境质量标准单位：dB（A）摘录</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1"/>
              <w:gridCol w:w="2897"/>
              <w:gridCol w:w="2898"/>
            </w:tblGrid>
            <w:tr w14:paraId="50D4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67" w:type="dxa"/>
                  <w:shd w:val="clear" w:color="auto" w:fill="auto"/>
                  <w:vAlign w:val="center"/>
                </w:tcPr>
                <w:p w14:paraId="4BECBB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声环境功能区类别</w:t>
                  </w:r>
                </w:p>
              </w:tc>
              <w:tc>
                <w:tcPr>
                  <w:tcW w:w="2863" w:type="dxa"/>
                  <w:shd w:val="clear" w:color="auto" w:fill="auto"/>
                  <w:vAlign w:val="center"/>
                </w:tcPr>
                <w:p w14:paraId="2AAEA9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昼间</w:t>
                  </w:r>
                </w:p>
              </w:tc>
              <w:tc>
                <w:tcPr>
                  <w:tcW w:w="2863" w:type="dxa"/>
                  <w:shd w:val="clear" w:color="auto" w:fill="auto"/>
                  <w:vAlign w:val="center"/>
                </w:tcPr>
                <w:p w14:paraId="646DF2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夜间</w:t>
                  </w:r>
                </w:p>
              </w:tc>
            </w:tr>
            <w:tr w14:paraId="56A1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867" w:type="dxa"/>
                  <w:vAlign w:val="center"/>
                </w:tcPr>
                <w:p w14:paraId="04FC62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2863" w:type="dxa"/>
                  <w:vAlign w:val="center"/>
                </w:tcPr>
                <w:p w14:paraId="523DE2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w:t>
                  </w:r>
                </w:p>
              </w:tc>
              <w:tc>
                <w:tcPr>
                  <w:tcW w:w="2863" w:type="dxa"/>
                  <w:vAlign w:val="center"/>
                </w:tcPr>
                <w:p w14:paraId="396B77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r>
          </w:tbl>
          <w:p w14:paraId="7EB0BEC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2"/>
                <w:highlight w:val="none"/>
                <w:lang w:val="en-US" w:eastAsia="zh-CN"/>
              </w:rPr>
            </w:pPr>
            <w:bookmarkStart w:id="10" w:name="_Toc24137"/>
            <w:r>
              <w:rPr>
                <w:rFonts w:hint="default" w:ascii="Times New Roman" w:hAnsi="Times New Roman" w:eastAsia="宋体" w:cs="Times New Roman"/>
                <w:b/>
                <w:bCs/>
                <w:color w:val="auto"/>
                <w:sz w:val="24"/>
                <w:szCs w:val="22"/>
                <w:highlight w:val="none"/>
                <w:lang w:val="en-US" w:eastAsia="zh-CN"/>
              </w:rPr>
              <w:t>1.3地表水环境质量标准</w:t>
            </w:r>
            <w:bookmarkEnd w:id="10"/>
          </w:p>
          <w:p w14:paraId="4E976C3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本项目地表水环境执行《地表水环境质量标准》(GB3838-2002)表1中</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ROMAN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rPr>
              <w:t>IV</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b w:val="0"/>
                <w:color w:val="auto"/>
                <w:kern w:val="2"/>
                <w:sz w:val="24"/>
                <w:szCs w:val="22"/>
                <w:highlight w:val="none"/>
                <w:lang w:val="en-US" w:eastAsia="zh-CN" w:bidi="ar-SA"/>
              </w:rPr>
              <w:t>类标准限值要求。基本项目标准限值见表3-10。</w:t>
            </w:r>
          </w:p>
          <w:p w14:paraId="1456209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3-10</w:t>
            </w:r>
            <w:r>
              <w:rPr>
                <w:rFonts w:hint="default" w:ascii="Times New Roman" w:hAnsi="Times New Roman" w:eastAsia="宋体" w:cs="Times New Roman"/>
                <w:b/>
                <w:bCs/>
                <w:color w:val="auto"/>
                <w:sz w:val="24"/>
                <w:szCs w:val="24"/>
                <w:highlight w:val="none"/>
                <w:lang w:eastAsia="zh-CN"/>
              </w:rPr>
              <w:t>地表水环境质量标准基本项目标准限值单位：mg/L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2"/>
              <w:gridCol w:w="1935"/>
              <w:gridCol w:w="1450"/>
              <w:gridCol w:w="862"/>
              <w:gridCol w:w="2037"/>
              <w:gridCol w:w="1450"/>
            </w:tblGrid>
            <w:tr w14:paraId="41F9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39ED6B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112" w:type="pct"/>
                  <w:noWrap w:val="0"/>
                  <w:vAlign w:val="center"/>
                </w:tcPr>
                <w:p w14:paraId="31B4B9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833" w:type="pct"/>
                  <w:noWrap w:val="0"/>
                  <w:vAlign w:val="center"/>
                </w:tcPr>
                <w:p w14:paraId="4BF60B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标准值</w:t>
                  </w:r>
                </w:p>
              </w:tc>
              <w:tc>
                <w:tcPr>
                  <w:tcW w:w="495" w:type="pct"/>
                  <w:noWrap w:val="0"/>
                  <w:vAlign w:val="center"/>
                </w:tcPr>
                <w:p w14:paraId="750929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170" w:type="pct"/>
                  <w:noWrap w:val="0"/>
                  <w:vAlign w:val="center"/>
                </w:tcPr>
                <w:p w14:paraId="48E723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833" w:type="pct"/>
                  <w:noWrap w:val="0"/>
                  <w:vAlign w:val="center"/>
                </w:tcPr>
                <w:p w14:paraId="47A7C5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标准值</w:t>
                  </w:r>
                </w:p>
              </w:tc>
            </w:tr>
            <w:tr w14:paraId="05D7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2CF6FB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112" w:type="pct"/>
                  <w:noWrap w:val="0"/>
                  <w:vAlign w:val="center"/>
                </w:tcPr>
                <w:p w14:paraId="361954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水温(℃)</w:t>
                  </w:r>
                </w:p>
              </w:tc>
              <w:tc>
                <w:tcPr>
                  <w:tcW w:w="833" w:type="pct"/>
                  <w:noWrap w:val="0"/>
                  <w:vAlign w:val="center"/>
                </w:tcPr>
                <w:p w14:paraId="6A9ACB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95" w:type="pct"/>
                  <w:noWrap w:val="0"/>
                  <w:vAlign w:val="center"/>
                </w:tcPr>
                <w:p w14:paraId="5FAF62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1170" w:type="pct"/>
                  <w:noWrap w:val="0"/>
                  <w:vAlign w:val="center"/>
                </w:tcPr>
                <w:p w14:paraId="433566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氰化物</w:t>
                  </w:r>
                </w:p>
              </w:tc>
              <w:tc>
                <w:tcPr>
                  <w:tcW w:w="833" w:type="pct"/>
                  <w:noWrap w:val="0"/>
                  <w:vAlign w:val="center"/>
                </w:tcPr>
                <w:p w14:paraId="66F37E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.2</w:t>
                  </w:r>
                </w:p>
              </w:tc>
            </w:tr>
            <w:tr w14:paraId="6C60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51F346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112" w:type="pct"/>
                  <w:noWrap w:val="0"/>
                  <w:vAlign w:val="center"/>
                </w:tcPr>
                <w:p w14:paraId="07B5B9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pH值（无量纲）</w:t>
                  </w:r>
                </w:p>
              </w:tc>
              <w:tc>
                <w:tcPr>
                  <w:tcW w:w="833" w:type="pct"/>
                  <w:noWrap w:val="0"/>
                  <w:vAlign w:val="center"/>
                </w:tcPr>
                <w:p w14:paraId="3BD49B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6~9</w:t>
                  </w:r>
                </w:p>
              </w:tc>
              <w:tc>
                <w:tcPr>
                  <w:tcW w:w="495" w:type="pct"/>
                  <w:noWrap w:val="0"/>
                  <w:vAlign w:val="center"/>
                </w:tcPr>
                <w:p w14:paraId="2E80D9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1170" w:type="pct"/>
                  <w:noWrap w:val="0"/>
                  <w:vAlign w:val="center"/>
                </w:tcPr>
                <w:p w14:paraId="3CF09B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铬（六价）</w:t>
                  </w:r>
                </w:p>
              </w:tc>
              <w:tc>
                <w:tcPr>
                  <w:tcW w:w="833" w:type="pct"/>
                  <w:noWrap w:val="0"/>
                  <w:vAlign w:val="center"/>
                </w:tcPr>
                <w:p w14:paraId="00392F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≤0.05</w:t>
                  </w:r>
                </w:p>
              </w:tc>
            </w:tr>
            <w:tr w14:paraId="5071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35C91D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112" w:type="pct"/>
                  <w:noWrap w:val="0"/>
                  <w:vAlign w:val="center"/>
                </w:tcPr>
                <w:p w14:paraId="607904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溶解氧</w:t>
                  </w:r>
                </w:p>
              </w:tc>
              <w:tc>
                <w:tcPr>
                  <w:tcW w:w="833" w:type="pct"/>
                  <w:noWrap w:val="0"/>
                  <w:vAlign w:val="center"/>
                </w:tcPr>
                <w:p w14:paraId="29FD37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3</w:t>
                  </w:r>
                </w:p>
              </w:tc>
              <w:tc>
                <w:tcPr>
                  <w:tcW w:w="495" w:type="pct"/>
                  <w:noWrap w:val="0"/>
                  <w:vAlign w:val="center"/>
                </w:tcPr>
                <w:p w14:paraId="1F2FFC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170" w:type="pct"/>
                  <w:noWrap w:val="0"/>
                  <w:vAlign w:val="center"/>
                </w:tcPr>
                <w:p w14:paraId="0B88F5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硫化物</w:t>
                  </w:r>
                </w:p>
              </w:tc>
              <w:tc>
                <w:tcPr>
                  <w:tcW w:w="833" w:type="pct"/>
                  <w:noWrap w:val="0"/>
                  <w:vAlign w:val="center"/>
                </w:tcPr>
                <w:p w14:paraId="60594B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5</w:t>
                  </w:r>
                </w:p>
              </w:tc>
            </w:tr>
            <w:tr w14:paraId="755D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27DADE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112" w:type="pct"/>
                  <w:noWrap w:val="0"/>
                  <w:vAlign w:val="center"/>
                </w:tcPr>
                <w:p w14:paraId="53E4B0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高锰酸盐指数</w:t>
                  </w:r>
                </w:p>
              </w:tc>
              <w:tc>
                <w:tcPr>
                  <w:tcW w:w="833" w:type="pct"/>
                  <w:noWrap w:val="0"/>
                  <w:vAlign w:val="center"/>
                </w:tcPr>
                <w:p w14:paraId="39555D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10</w:t>
                  </w:r>
                </w:p>
              </w:tc>
              <w:tc>
                <w:tcPr>
                  <w:tcW w:w="495" w:type="pct"/>
                  <w:noWrap w:val="0"/>
                  <w:vAlign w:val="center"/>
                </w:tcPr>
                <w:p w14:paraId="774F3E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1170" w:type="pct"/>
                  <w:noWrap w:val="0"/>
                  <w:vAlign w:val="center"/>
                </w:tcPr>
                <w:p w14:paraId="51CBE4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汞</w:t>
                  </w:r>
                </w:p>
              </w:tc>
              <w:tc>
                <w:tcPr>
                  <w:tcW w:w="833" w:type="pct"/>
                  <w:noWrap w:val="0"/>
                  <w:vAlign w:val="center"/>
                </w:tcPr>
                <w:p w14:paraId="5EEA15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w:t>
                  </w:r>
                </w:p>
              </w:tc>
            </w:tr>
            <w:tr w14:paraId="3B48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195628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112" w:type="pct"/>
                  <w:noWrap w:val="0"/>
                  <w:vAlign w:val="center"/>
                </w:tcPr>
                <w:p w14:paraId="4ED234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833" w:type="pct"/>
                  <w:noWrap w:val="0"/>
                  <w:vAlign w:val="center"/>
                </w:tcPr>
                <w:p w14:paraId="614784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30</w:t>
                  </w:r>
                </w:p>
              </w:tc>
              <w:tc>
                <w:tcPr>
                  <w:tcW w:w="495" w:type="pct"/>
                  <w:noWrap w:val="0"/>
                  <w:vAlign w:val="center"/>
                </w:tcPr>
                <w:p w14:paraId="0BEDBF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w:t>
                  </w:r>
                </w:p>
              </w:tc>
              <w:tc>
                <w:tcPr>
                  <w:tcW w:w="1170" w:type="pct"/>
                  <w:noWrap w:val="0"/>
                  <w:vAlign w:val="center"/>
                </w:tcPr>
                <w:p w14:paraId="4ED5F3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铜</w:t>
                  </w:r>
                </w:p>
              </w:tc>
              <w:tc>
                <w:tcPr>
                  <w:tcW w:w="833" w:type="pct"/>
                  <w:noWrap w:val="0"/>
                  <w:vAlign w:val="center"/>
                </w:tcPr>
                <w:p w14:paraId="53EE0B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r w14:paraId="1876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33C863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1112" w:type="pct"/>
                  <w:noWrap w:val="0"/>
                  <w:vAlign w:val="center"/>
                </w:tcPr>
                <w:p w14:paraId="157913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五日生化需氧量</w:t>
                  </w:r>
                </w:p>
              </w:tc>
              <w:tc>
                <w:tcPr>
                  <w:tcW w:w="833" w:type="pct"/>
                  <w:noWrap w:val="0"/>
                  <w:vAlign w:val="center"/>
                </w:tcPr>
                <w:p w14:paraId="1614D4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6</w:t>
                  </w:r>
                </w:p>
              </w:tc>
              <w:tc>
                <w:tcPr>
                  <w:tcW w:w="495" w:type="pct"/>
                  <w:noWrap w:val="0"/>
                  <w:vAlign w:val="center"/>
                </w:tcPr>
                <w:p w14:paraId="07C724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w:t>
                  </w:r>
                </w:p>
              </w:tc>
              <w:tc>
                <w:tcPr>
                  <w:tcW w:w="1170" w:type="pct"/>
                  <w:noWrap w:val="0"/>
                  <w:vAlign w:val="center"/>
                </w:tcPr>
                <w:p w14:paraId="27DCA5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锌</w:t>
                  </w:r>
                </w:p>
              </w:tc>
              <w:tc>
                <w:tcPr>
                  <w:tcW w:w="833" w:type="pct"/>
                  <w:noWrap w:val="0"/>
                  <w:vAlign w:val="center"/>
                </w:tcPr>
                <w:p w14:paraId="1072B8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.0</w:t>
                  </w:r>
                </w:p>
              </w:tc>
            </w:tr>
            <w:tr w14:paraId="103B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438FA1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1112" w:type="pct"/>
                  <w:noWrap w:val="0"/>
                  <w:vAlign w:val="center"/>
                </w:tcPr>
                <w:p w14:paraId="3087D3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833" w:type="pct"/>
                  <w:noWrap w:val="0"/>
                  <w:vAlign w:val="center"/>
                </w:tcPr>
                <w:p w14:paraId="140E58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5</w:t>
                  </w:r>
                </w:p>
              </w:tc>
              <w:tc>
                <w:tcPr>
                  <w:tcW w:w="495" w:type="pct"/>
                  <w:noWrap w:val="0"/>
                  <w:vAlign w:val="center"/>
                </w:tcPr>
                <w:p w14:paraId="6B92AA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w:t>
                  </w:r>
                </w:p>
              </w:tc>
              <w:tc>
                <w:tcPr>
                  <w:tcW w:w="1170" w:type="pct"/>
                  <w:noWrap w:val="0"/>
                  <w:vAlign w:val="center"/>
                </w:tcPr>
                <w:p w14:paraId="657A3F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铅</w:t>
                  </w:r>
                </w:p>
              </w:tc>
              <w:tc>
                <w:tcPr>
                  <w:tcW w:w="833" w:type="pct"/>
                  <w:noWrap w:val="0"/>
                  <w:vAlign w:val="center"/>
                </w:tcPr>
                <w:p w14:paraId="09D13F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0.05</w:t>
                  </w:r>
                </w:p>
              </w:tc>
            </w:tr>
            <w:tr w14:paraId="5BE0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081741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1112" w:type="pct"/>
                  <w:noWrap w:val="0"/>
                  <w:vAlign w:val="center"/>
                </w:tcPr>
                <w:p w14:paraId="785DDE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833" w:type="pct"/>
                  <w:noWrap w:val="0"/>
                  <w:vAlign w:val="center"/>
                </w:tcPr>
                <w:p w14:paraId="0B38E3C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5</w:t>
                  </w:r>
                </w:p>
              </w:tc>
              <w:tc>
                <w:tcPr>
                  <w:tcW w:w="495" w:type="pct"/>
                  <w:noWrap w:val="0"/>
                  <w:vAlign w:val="center"/>
                </w:tcPr>
                <w:p w14:paraId="1BBAAF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1170" w:type="pct"/>
                  <w:noWrap w:val="0"/>
                  <w:vAlign w:val="center"/>
                </w:tcPr>
                <w:p w14:paraId="710541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镉</w:t>
                  </w:r>
                </w:p>
              </w:tc>
              <w:tc>
                <w:tcPr>
                  <w:tcW w:w="833" w:type="pct"/>
                  <w:noWrap w:val="0"/>
                  <w:vAlign w:val="center"/>
                </w:tcPr>
                <w:p w14:paraId="43A457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≤0.005</w:t>
                  </w:r>
                </w:p>
              </w:tc>
            </w:tr>
            <w:tr w14:paraId="2731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33C40E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1112" w:type="pct"/>
                  <w:noWrap w:val="0"/>
                  <w:vAlign w:val="center"/>
                </w:tcPr>
                <w:p w14:paraId="685F55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833" w:type="pct"/>
                  <w:noWrap w:val="0"/>
                  <w:vAlign w:val="center"/>
                </w:tcPr>
                <w:p w14:paraId="680DE3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3</w:t>
                  </w:r>
                </w:p>
              </w:tc>
              <w:tc>
                <w:tcPr>
                  <w:tcW w:w="495" w:type="pct"/>
                  <w:noWrap w:val="0"/>
                  <w:vAlign w:val="center"/>
                </w:tcPr>
                <w:p w14:paraId="191BE3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1170" w:type="pct"/>
                  <w:noWrap w:val="0"/>
                  <w:vAlign w:val="center"/>
                </w:tcPr>
                <w:p w14:paraId="5785AC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氟化物</w:t>
                  </w:r>
                </w:p>
              </w:tc>
              <w:tc>
                <w:tcPr>
                  <w:tcW w:w="833" w:type="pct"/>
                  <w:noWrap w:val="0"/>
                  <w:vAlign w:val="center"/>
                </w:tcPr>
                <w:p w14:paraId="72F3B9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≤1.</w:t>
                  </w:r>
                  <w:r>
                    <w:rPr>
                      <w:rFonts w:hint="eastAsia" w:cs="Times New Roman"/>
                      <w:color w:val="auto"/>
                      <w:szCs w:val="21"/>
                      <w:highlight w:val="none"/>
                      <w:lang w:val="en-US" w:eastAsia="zh-CN"/>
                    </w:rPr>
                    <w:t>5</w:t>
                  </w:r>
                </w:p>
              </w:tc>
            </w:tr>
            <w:tr w14:paraId="30E7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0F3BC0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112" w:type="pct"/>
                  <w:noWrap w:val="0"/>
                  <w:vAlign w:val="center"/>
                </w:tcPr>
                <w:p w14:paraId="486C7C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833" w:type="pct"/>
                  <w:noWrap w:val="0"/>
                  <w:vAlign w:val="center"/>
                </w:tcPr>
                <w:p w14:paraId="396A13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5</w:t>
                  </w:r>
                </w:p>
              </w:tc>
              <w:tc>
                <w:tcPr>
                  <w:tcW w:w="495" w:type="pct"/>
                  <w:noWrap w:val="0"/>
                  <w:vAlign w:val="center"/>
                </w:tcPr>
                <w:p w14:paraId="03EA87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w:t>
                  </w:r>
                </w:p>
              </w:tc>
              <w:tc>
                <w:tcPr>
                  <w:tcW w:w="1170" w:type="pct"/>
                  <w:noWrap w:val="0"/>
                  <w:vAlign w:val="center"/>
                </w:tcPr>
                <w:p w14:paraId="60B602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砷</w:t>
                  </w:r>
                </w:p>
              </w:tc>
              <w:tc>
                <w:tcPr>
                  <w:tcW w:w="833" w:type="pct"/>
                  <w:noWrap w:val="0"/>
                  <w:vAlign w:val="center"/>
                </w:tcPr>
                <w:p w14:paraId="6FEBF3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1</w:t>
                  </w:r>
                </w:p>
              </w:tc>
            </w:tr>
            <w:tr w14:paraId="2038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6677EA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1112" w:type="pct"/>
                  <w:noWrap w:val="0"/>
                  <w:vAlign w:val="center"/>
                </w:tcPr>
                <w:p w14:paraId="58F1DB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阴离子表面活性剂</w:t>
                  </w:r>
                </w:p>
              </w:tc>
              <w:tc>
                <w:tcPr>
                  <w:tcW w:w="833" w:type="pct"/>
                  <w:noWrap w:val="0"/>
                  <w:vAlign w:val="center"/>
                </w:tcPr>
                <w:p w14:paraId="05194BE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3</w:t>
                  </w:r>
                </w:p>
              </w:tc>
              <w:tc>
                <w:tcPr>
                  <w:tcW w:w="495" w:type="pct"/>
                  <w:noWrap w:val="0"/>
                  <w:vAlign w:val="center"/>
                </w:tcPr>
                <w:p w14:paraId="0C65A8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w:t>
                  </w:r>
                </w:p>
              </w:tc>
              <w:tc>
                <w:tcPr>
                  <w:tcW w:w="1170" w:type="pct"/>
                  <w:noWrap w:val="0"/>
                  <w:vAlign w:val="center"/>
                </w:tcPr>
                <w:p w14:paraId="7E93E6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硒</w:t>
                  </w:r>
                </w:p>
              </w:tc>
              <w:tc>
                <w:tcPr>
                  <w:tcW w:w="833" w:type="pct"/>
                  <w:noWrap w:val="0"/>
                  <w:vAlign w:val="center"/>
                </w:tcPr>
                <w:p w14:paraId="1155F7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w:t>
                  </w:r>
                  <w:r>
                    <w:rPr>
                      <w:rFonts w:hint="eastAsia" w:cs="Times New Roman"/>
                      <w:color w:val="auto"/>
                      <w:szCs w:val="21"/>
                      <w:highlight w:val="none"/>
                      <w:lang w:val="en-US" w:eastAsia="zh-CN"/>
                    </w:rPr>
                    <w:t>2</w:t>
                  </w:r>
                </w:p>
              </w:tc>
            </w:tr>
            <w:tr w14:paraId="3117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646960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1112" w:type="pct"/>
                  <w:noWrap w:val="0"/>
                  <w:vAlign w:val="center"/>
                </w:tcPr>
                <w:p w14:paraId="748E19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挥发酚</w:t>
                  </w:r>
                </w:p>
              </w:tc>
              <w:tc>
                <w:tcPr>
                  <w:tcW w:w="833" w:type="pct"/>
                  <w:noWrap w:val="0"/>
                  <w:vAlign w:val="center"/>
                </w:tcPr>
                <w:p w14:paraId="1084CD2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≤0.0</w:t>
                  </w:r>
                  <w:r>
                    <w:rPr>
                      <w:rFonts w:hint="eastAsia" w:cs="Times New Roman"/>
                      <w:color w:val="auto"/>
                      <w:szCs w:val="21"/>
                      <w:highlight w:val="none"/>
                      <w:lang w:val="en-US" w:eastAsia="zh-CN"/>
                    </w:rPr>
                    <w:t>1</w:t>
                  </w:r>
                </w:p>
              </w:tc>
              <w:tc>
                <w:tcPr>
                  <w:tcW w:w="495" w:type="pct"/>
                  <w:noWrap w:val="0"/>
                  <w:vAlign w:val="center"/>
                </w:tcPr>
                <w:p w14:paraId="04C9FB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1170" w:type="pct"/>
                  <w:noWrap w:val="0"/>
                  <w:vAlign w:val="center"/>
                </w:tcPr>
                <w:p w14:paraId="6150AB4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粪大肠菌群（个/L）</w:t>
                  </w:r>
                </w:p>
              </w:tc>
              <w:tc>
                <w:tcPr>
                  <w:tcW w:w="833" w:type="pct"/>
                  <w:noWrap w:val="0"/>
                  <w:vAlign w:val="center"/>
                </w:tcPr>
                <w:p w14:paraId="3FB367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10000</w:t>
                  </w:r>
                </w:p>
              </w:tc>
            </w:tr>
          </w:tbl>
          <w:p w14:paraId="760691E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2、排放标准</w:t>
            </w:r>
          </w:p>
          <w:p w14:paraId="4C389F5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2.1大气污染物排放标准</w:t>
            </w:r>
          </w:p>
          <w:p w14:paraId="7898D31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本项目施工期大气污染物排放执行《大气污染物综合排放标准》（GB16297-1996）中无组织排放标准限值。施工期大气污染物排放执行标准详见表3-11。</w:t>
            </w:r>
          </w:p>
          <w:p w14:paraId="7EEE513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大气污染物综合排放标准</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103"/>
              <w:gridCol w:w="663"/>
              <w:gridCol w:w="3429"/>
              <w:gridCol w:w="2522"/>
            </w:tblGrid>
            <w:tr w14:paraId="6E2B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77" w:type="pct"/>
                  <w:gridSpan w:val="3"/>
                  <w:tcBorders>
                    <w:tl2br w:val="nil"/>
                    <w:tr2bl w:val="nil"/>
                  </w:tcBorders>
                  <w:noWrap w:val="0"/>
                  <w:vAlign w:val="center"/>
                </w:tcPr>
                <w:p w14:paraId="222D5A9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控制指标及标准限制</w:t>
                  </w:r>
                </w:p>
              </w:tc>
              <w:tc>
                <w:tcPr>
                  <w:tcW w:w="1972" w:type="pct"/>
                  <w:tcBorders>
                    <w:tl2br w:val="nil"/>
                    <w:tr2bl w:val="nil"/>
                  </w:tcBorders>
                  <w:noWrap w:val="0"/>
                  <w:vAlign w:val="center"/>
                </w:tcPr>
                <w:p w14:paraId="747F314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限制含义</w:t>
                  </w:r>
                </w:p>
              </w:tc>
              <w:tc>
                <w:tcPr>
                  <w:tcW w:w="1450" w:type="pct"/>
                  <w:tcBorders>
                    <w:tl2br w:val="nil"/>
                    <w:tr2bl w:val="nil"/>
                  </w:tcBorders>
                  <w:noWrap w:val="0"/>
                  <w:vAlign w:val="center"/>
                </w:tcPr>
                <w:p w14:paraId="2BF2819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无组织排放监控位置</w:t>
                  </w:r>
                </w:p>
              </w:tc>
            </w:tr>
            <w:tr w14:paraId="533C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2" w:type="pct"/>
                  <w:tcBorders>
                    <w:tl2br w:val="nil"/>
                    <w:tr2bl w:val="nil"/>
                  </w:tcBorders>
                  <w:noWrap w:val="0"/>
                  <w:vAlign w:val="center"/>
                </w:tcPr>
                <w:p w14:paraId="2787BAC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34" w:type="pct"/>
                  <w:tcBorders>
                    <w:tl2br w:val="nil"/>
                    <w:tr2bl w:val="nil"/>
                  </w:tcBorders>
                  <w:noWrap w:val="0"/>
                  <w:vAlign w:val="center"/>
                </w:tcPr>
                <w:p w14:paraId="333CB32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380" w:type="pct"/>
                  <w:tcBorders>
                    <w:tl2br w:val="nil"/>
                    <w:tr2bl w:val="nil"/>
                  </w:tcBorders>
                  <w:noWrap w:val="0"/>
                  <w:vAlign w:val="center"/>
                </w:tcPr>
                <w:p w14:paraId="4042C4D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972" w:type="pct"/>
                  <w:tcBorders>
                    <w:tl2br w:val="nil"/>
                    <w:tr2bl w:val="nil"/>
                  </w:tcBorders>
                  <w:noWrap w:val="0"/>
                  <w:vAlign w:val="center"/>
                </w:tcPr>
                <w:p w14:paraId="2B22B2F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监控点与参照点总悬浮颗粒物（TSP）1小时浓度值的差值</w:t>
                  </w:r>
                </w:p>
              </w:tc>
              <w:tc>
                <w:tcPr>
                  <w:tcW w:w="1450" w:type="pct"/>
                  <w:tcBorders>
                    <w:tl2br w:val="nil"/>
                    <w:tr2bl w:val="nil"/>
                  </w:tcBorders>
                  <w:noWrap w:val="0"/>
                  <w:vAlign w:val="center"/>
                </w:tcPr>
                <w:p w14:paraId="5E898C5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厂界外20m处上风向设参照点，下风向设监控点</w:t>
                  </w:r>
                </w:p>
              </w:tc>
            </w:tr>
          </w:tbl>
          <w:p w14:paraId="70CB662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混凝土拌合站有组织废气排放执行《水泥工业大气污染物排放标准》（GB4915-2013）表1中“散装水泥中转站及水泥制品生产”排放限值，无组织废气执行《水泥工业大气污染物排放标准》（GB4915-2013）表3中大气污染物无组织排放浓度限值，详见表3-12、表3-13。</w:t>
            </w:r>
          </w:p>
          <w:p w14:paraId="50AF83CE">
            <w:pPr>
              <w:pStyle w:val="22"/>
              <w:keepNext w:val="0"/>
              <w:keepLines w:val="0"/>
              <w:suppressLineNumbers w:val="0"/>
              <w:spacing w:before="0" w:beforeAutospacing="0" w:after="0" w:afterAutospacing="0"/>
              <w:ind w:left="842" w:right="0" w:hanging="422"/>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3-12</w:t>
            </w:r>
            <w:r>
              <w:rPr>
                <w:rFonts w:hint="default" w:ascii="Times New Roman" w:hAnsi="Times New Roman" w:eastAsia="宋体" w:cs="Times New Roman"/>
                <w:b/>
                <w:bCs/>
                <w:color w:val="auto"/>
                <w:sz w:val="24"/>
                <w:szCs w:val="24"/>
                <w:highlight w:val="none"/>
              </w:rPr>
              <w:t>《水泥工业大气污染物排放标准》（单位：mg/m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4"/>
                <w:szCs w:val="24"/>
                <w:highlight w:val="none"/>
              </w:rPr>
              <w:t>)</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9"/>
              <w:gridCol w:w="3108"/>
              <w:gridCol w:w="1946"/>
            </w:tblGrid>
            <w:tr w14:paraId="5DD2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93" w:type="pct"/>
                  <w:tcBorders>
                    <w:tl2br w:val="nil"/>
                    <w:tr2bl w:val="nil"/>
                  </w:tcBorders>
                  <w:noWrap w:val="0"/>
                  <w:vAlign w:val="center"/>
                </w:tcPr>
                <w:p w14:paraId="1E301A4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生产过程</w:t>
                  </w:r>
                </w:p>
              </w:tc>
              <w:tc>
                <w:tcPr>
                  <w:tcW w:w="1787" w:type="pct"/>
                  <w:tcBorders>
                    <w:tl2br w:val="nil"/>
                    <w:tr2bl w:val="nil"/>
                  </w:tcBorders>
                  <w:noWrap w:val="0"/>
                  <w:vAlign w:val="center"/>
                </w:tcPr>
                <w:p w14:paraId="1416C66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生产设备</w:t>
                  </w:r>
                </w:p>
              </w:tc>
              <w:tc>
                <w:tcPr>
                  <w:tcW w:w="1119" w:type="pct"/>
                  <w:tcBorders>
                    <w:tl2br w:val="nil"/>
                    <w:tr2bl w:val="nil"/>
                  </w:tcBorders>
                  <w:noWrap w:val="0"/>
                  <w:vAlign w:val="center"/>
                </w:tcPr>
                <w:p w14:paraId="5D7388A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颗粒物（mg/m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14:paraId="04C9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93" w:type="pct"/>
                  <w:tcBorders>
                    <w:tl2br w:val="nil"/>
                    <w:tr2bl w:val="nil"/>
                  </w:tcBorders>
                  <w:noWrap w:val="0"/>
                  <w:vAlign w:val="center"/>
                </w:tcPr>
                <w:p w14:paraId="7A0283C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散装水泥中转站及水泥制品生产</w:t>
                  </w:r>
                </w:p>
              </w:tc>
              <w:tc>
                <w:tcPr>
                  <w:tcW w:w="1787" w:type="pct"/>
                  <w:tcBorders>
                    <w:tl2br w:val="nil"/>
                    <w:tr2bl w:val="nil"/>
                  </w:tcBorders>
                  <w:noWrap w:val="0"/>
                  <w:vAlign w:val="center"/>
                </w:tcPr>
                <w:p w14:paraId="418FC0F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水泥仓及其他通风生产设备</w:t>
                  </w:r>
                </w:p>
              </w:tc>
              <w:tc>
                <w:tcPr>
                  <w:tcW w:w="1119" w:type="pct"/>
                  <w:tcBorders>
                    <w:tl2br w:val="nil"/>
                    <w:tr2bl w:val="nil"/>
                  </w:tcBorders>
                  <w:noWrap w:val="0"/>
                  <w:vAlign w:val="center"/>
                </w:tcPr>
                <w:p w14:paraId="3707C0D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bl>
          <w:p w14:paraId="2AF295C7">
            <w:pPr>
              <w:pStyle w:val="22"/>
              <w:keepNext w:val="0"/>
              <w:keepLines w:val="0"/>
              <w:suppressLineNumbers w:val="0"/>
              <w:spacing w:before="0" w:beforeAutospacing="0" w:after="0" w:afterAutospacing="0"/>
              <w:ind w:left="842" w:right="0" w:hanging="422"/>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3-13</w:t>
            </w:r>
            <w:r>
              <w:rPr>
                <w:rFonts w:hint="default" w:ascii="Times New Roman" w:hAnsi="Times New Roman" w:eastAsia="宋体" w:cs="Times New Roman"/>
                <w:b/>
                <w:bCs/>
                <w:color w:val="auto"/>
                <w:sz w:val="24"/>
                <w:szCs w:val="24"/>
                <w:highlight w:val="none"/>
              </w:rPr>
              <w:t>《水泥工业大气污染物排放标准》（单位：mg/m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4"/>
                <w:szCs w:val="24"/>
                <w:highlight w:val="none"/>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115"/>
              <w:gridCol w:w="829"/>
              <w:gridCol w:w="3198"/>
              <w:gridCol w:w="2523"/>
            </w:tblGrid>
            <w:tr w14:paraId="01FF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961" w:type="dxa"/>
                  <w:gridSpan w:val="3"/>
                  <w:tcBorders>
                    <w:tl2br w:val="nil"/>
                    <w:tr2bl w:val="nil"/>
                  </w:tcBorders>
                  <w:noWrap w:val="0"/>
                  <w:vAlign w:val="center"/>
                </w:tcPr>
                <w:p w14:paraId="0018EBA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控制指标及标准限制</w:t>
                  </w:r>
                </w:p>
              </w:tc>
              <w:tc>
                <w:tcPr>
                  <w:tcW w:w="3183" w:type="dxa"/>
                  <w:tcBorders>
                    <w:tl2br w:val="nil"/>
                    <w:tr2bl w:val="nil"/>
                  </w:tcBorders>
                  <w:noWrap w:val="0"/>
                  <w:vAlign w:val="center"/>
                </w:tcPr>
                <w:p w14:paraId="7A8D93E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限制含义</w:t>
                  </w:r>
                </w:p>
              </w:tc>
              <w:tc>
                <w:tcPr>
                  <w:tcW w:w="2510" w:type="dxa"/>
                  <w:tcBorders>
                    <w:tl2br w:val="nil"/>
                    <w:tr2bl w:val="nil"/>
                  </w:tcBorders>
                  <w:noWrap w:val="0"/>
                  <w:vAlign w:val="center"/>
                </w:tcPr>
                <w:p w14:paraId="6D2A126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无组织排放监控位置</w:t>
                  </w:r>
                </w:p>
              </w:tc>
            </w:tr>
            <w:tr w14:paraId="6F2E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26" w:type="dxa"/>
                  <w:tcBorders>
                    <w:tl2br w:val="nil"/>
                    <w:tr2bl w:val="nil"/>
                  </w:tcBorders>
                  <w:noWrap w:val="0"/>
                  <w:vAlign w:val="center"/>
                </w:tcPr>
                <w:p w14:paraId="26055C6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10" w:type="dxa"/>
                  <w:tcBorders>
                    <w:tl2br w:val="nil"/>
                    <w:tr2bl w:val="nil"/>
                  </w:tcBorders>
                  <w:noWrap w:val="0"/>
                  <w:vAlign w:val="center"/>
                </w:tcPr>
                <w:p w14:paraId="120F26C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825" w:type="dxa"/>
                  <w:tcBorders>
                    <w:tl2br w:val="nil"/>
                    <w:tr2bl w:val="nil"/>
                  </w:tcBorders>
                  <w:noWrap w:val="0"/>
                  <w:vAlign w:val="center"/>
                </w:tcPr>
                <w:p w14:paraId="6D22834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3183" w:type="dxa"/>
                  <w:tcBorders>
                    <w:tl2br w:val="nil"/>
                    <w:tr2bl w:val="nil"/>
                  </w:tcBorders>
                  <w:noWrap w:val="0"/>
                  <w:vAlign w:val="center"/>
                </w:tcPr>
                <w:p w14:paraId="5961BD4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监控点与参照点总悬浮颗粒物（TSP）1小时浓度值的差值</w:t>
                  </w:r>
                </w:p>
              </w:tc>
              <w:tc>
                <w:tcPr>
                  <w:tcW w:w="2510" w:type="dxa"/>
                  <w:tcBorders>
                    <w:tl2br w:val="nil"/>
                    <w:tr2bl w:val="nil"/>
                  </w:tcBorders>
                  <w:noWrap w:val="0"/>
                  <w:vAlign w:val="center"/>
                </w:tcPr>
                <w:p w14:paraId="34AFFA4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厂界外20m处上风向设参照点，下风向设监控点</w:t>
                  </w:r>
                </w:p>
              </w:tc>
            </w:tr>
          </w:tbl>
          <w:p w14:paraId="3D8FF0F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2.2废水污染物排放标准</w:t>
            </w:r>
          </w:p>
          <w:p w14:paraId="79E3A3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eastAsia" w:cs="Times New Roman"/>
                <w:color w:val="auto"/>
                <w:sz w:val="24"/>
                <w:szCs w:val="22"/>
                <w:highlight w:val="none"/>
                <w:lang w:val="en-US" w:eastAsia="zh-CN"/>
              </w:rPr>
              <w:t>施工期</w:t>
            </w:r>
            <w:r>
              <w:rPr>
                <w:rFonts w:hint="default" w:ascii="Times New Roman" w:hAnsi="Times New Roman" w:eastAsia="宋体" w:cs="Times New Roman"/>
                <w:color w:val="auto"/>
                <w:sz w:val="24"/>
                <w:szCs w:val="22"/>
                <w:highlight w:val="none"/>
                <w:lang w:val="en-US" w:eastAsia="zh-CN"/>
              </w:rPr>
              <w:t>餐饮废水先经隔油池（1m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）处理，再与生活污水一同进入化粪池（10m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）处理，处理后的污水达到《污水综合排放标准》（</w:t>
            </w:r>
            <w:r>
              <w:rPr>
                <w:rFonts w:hint="default" w:ascii="Times New Roman" w:hAnsi="Times New Roman" w:eastAsia="宋体" w:cs="Times New Roman"/>
                <w:color w:val="auto"/>
                <w:sz w:val="24"/>
                <w:szCs w:val="24"/>
                <w:highlight w:val="none"/>
                <w:lang w:val="en-US" w:eastAsia="zh-CN"/>
              </w:rPr>
              <w:t>GB</w:t>
            </w:r>
            <w:r>
              <w:rPr>
                <w:rFonts w:hint="default" w:ascii="Times New Roman" w:hAnsi="Times New Roman" w:eastAsia="宋体" w:cs="Times New Roman"/>
                <w:color w:val="auto"/>
                <w:sz w:val="24"/>
                <w:szCs w:val="22"/>
                <w:highlight w:val="none"/>
                <w:lang w:val="en-US" w:eastAsia="zh-CN"/>
              </w:rPr>
              <w:t>8978-1996）表4三级标准后</w:t>
            </w:r>
            <w:r>
              <w:rPr>
                <w:rFonts w:hint="eastAsia" w:ascii="Times New Roman" w:hAnsi="Times New Roman" w:eastAsia="宋体" w:cs="Times New Roman"/>
                <w:color w:val="auto"/>
                <w:sz w:val="24"/>
                <w:szCs w:val="22"/>
                <w:highlight w:val="none"/>
                <w:lang w:val="en-US" w:eastAsia="zh-CN"/>
              </w:rPr>
              <w:t>通过</w:t>
            </w:r>
            <w:r>
              <w:rPr>
                <w:rFonts w:hint="default" w:ascii="Times New Roman" w:hAnsi="Times New Roman" w:eastAsia="宋体" w:cs="Times New Roman"/>
                <w:color w:val="auto"/>
                <w:sz w:val="24"/>
                <w:szCs w:val="22"/>
                <w:highlight w:val="none"/>
                <w:lang w:val="en-US" w:eastAsia="zh-CN"/>
              </w:rPr>
              <w:t>园区污水管网进入张掖经济技术开发区循环经济示范园污水处理厂处理。</w:t>
            </w:r>
          </w:p>
          <w:p w14:paraId="1550C0C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表3-15《</w:t>
            </w:r>
            <w:r>
              <w:rPr>
                <w:rFonts w:hint="default" w:ascii="Times New Roman" w:hAnsi="Times New Roman" w:eastAsia="宋体" w:cs="Times New Roman"/>
                <w:b/>
                <w:bCs/>
                <w:color w:val="auto"/>
                <w:sz w:val="24"/>
                <w:szCs w:val="24"/>
                <w:highlight w:val="none"/>
              </w:rPr>
              <w:t>污水综合排放标准</w:t>
            </w:r>
            <w:r>
              <w:rPr>
                <w:rFonts w:hint="default" w:ascii="Times New Roman" w:hAnsi="Times New Roman" w:eastAsia="宋体" w:cs="Times New Roman"/>
                <w:b/>
                <w:bCs/>
                <w:color w:val="auto"/>
                <w:sz w:val="24"/>
                <w:szCs w:val="24"/>
                <w:highlight w:val="none"/>
                <w:lang w:val="en-US" w:eastAsia="zh-CN"/>
              </w:rPr>
              <w:t>》（GB</w:t>
            </w:r>
            <w:r>
              <w:rPr>
                <w:rFonts w:hint="default" w:ascii="Times New Roman" w:hAnsi="Times New Roman" w:eastAsia="宋体" w:cs="Times New Roman"/>
                <w:b/>
                <w:bCs/>
                <w:color w:val="auto"/>
                <w:sz w:val="24"/>
                <w:szCs w:val="24"/>
                <w:highlight w:val="none"/>
              </w:rPr>
              <w:t>8978-1996</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三级标准</w:t>
            </w:r>
            <w:r>
              <w:rPr>
                <w:rFonts w:hint="default" w:ascii="Times New Roman" w:hAnsi="Times New Roman" w:eastAsia="宋体" w:cs="Times New Roman"/>
                <w:b/>
                <w:bCs/>
                <w:color w:val="auto"/>
                <w:sz w:val="24"/>
                <w:szCs w:val="24"/>
                <w:highlight w:val="none"/>
                <w:lang w:val="en-US" w:eastAsia="zh-CN"/>
              </w:rPr>
              <w:t>单位：mg/L</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3400"/>
              <w:gridCol w:w="2899"/>
            </w:tblGrid>
            <w:tr w14:paraId="5E6B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7773B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4"/>
                      <w:sz w:val="21"/>
                      <w:szCs w:val="21"/>
                      <w:highlight w:val="none"/>
                      <w:vertAlign w:val="baseline"/>
                      <w:lang w:val="en-US" w:eastAsia="zh-CN"/>
                    </w:rPr>
                  </w:pPr>
                  <w:r>
                    <w:rPr>
                      <w:rFonts w:hint="default" w:ascii="Times New Roman" w:hAnsi="Times New Roman" w:eastAsia="宋体" w:cs="Times New Roman"/>
                      <w:b/>
                      <w:color w:val="auto"/>
                      <w:kern w:val="24"/>
                      <w:sz w:val="21"/>
                      <w:szCs w:val="21"/>
                      <w:highlight w:val="none"/>
                      <w:vertAlign w:val="baseline"/>
                      <w:lang w:val="en-US" w:eastAsia="zh-CN"/>
                    </w:rPr>
                    <w:t>序号</w:t>
                  </w:r>
                </w:p>
              </w:tc>
              <w:tc>
                <w:tcPr>
                  <w:tcW w:w="1955" w:type="pct"/>
                  <w:vAlign w:val="center"/>
                </w:tcPr>
                <w:p w14:paraId="79A0DE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4"/>
                      <w:sz w:val="21"/>
                      <w:szCs w:val="21"/>
                      <w:highlight w:val="none"/>
                      <w:vertAlign w:val="baseline"/>
                      <w:lang w:val="en-US" w:eastAsia="zh-CN"/>
                    </w:rPr>
                  </w:pPr>
                  <w:r>
                    <w:rPr>
                      <w:rFonts w:hint="default" w:ascii="Times New Roman" w:hAnsi="Times New Roman" w:eastAsia="宋体" w:cs="Times New Roman"/>
                      <w:b/>
                      <w:color w:val="auto"/>
                      <w:kern w:val="24"/>
                      <w:sz w:val="21"/>
                      <w:szCs w:val="21"/>
                      <w:highlight w:val="none"/>
                      <w:vertAlign w:val="baseline"/>
                      <w:lang w:val="en-US" w:eastAsia="zh-CN"/>
                    </w:rPr>
                    <w:t>污染物</w:t>
                  </w:r>
                </w:p>
              </w:tc>
              <w:tc>
                <w:tcPr>
                  <w:tcW w:w="1667" w:type="pct"/>
                  <w:vAlign w:val="center"/>
                </w:tcPr>
                <w:p w14:paraId="556C4A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4"/>
                      <w:sz w:val="21"/>
                      <w:szCs w:val="21"/>
                      <w:highlight w:val="none"/>
                      <w:vertAlign w:val="baseline"/>
                      <w:lang w:val="en-US" w:eastAsia="zh-CN"/>
                    </w:rPr>
                  </w:pPr>
                  <w:r>
                    <w:rPr>
                      <w:rFonts w:hint="default" w:ascii="Times New Roman" w:hAnsi="Times New Roman" w:eastAsia="宋体" w:cs="Times New Roman"/>
                      <w:b/>
                      <w:color w:val="auto"/>
                      <w:kern w:val="24"/>
                      <w:sz w:val="21"/>
                      <w:szCs w:val="21"/>
                      <w:highlight w:val="none"/>
                      <w:vertAlign w:val="baseline"/>
                      <w:lang w:val="en-US" w:eastAsia="zh-CN"/>
                    </w:rPr>
                    <w:t>三级标准</w:t>
                  </w:r>
                </w:p>
              </w:tc>
            </w:tr>
            <w:tr w14:paraId="771B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377" w:type="pct"/>
                  <w:vAlign w:val="center"/>
                </w:tcPr>
                <w:p w14:paraId="2A153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1</w:t>
                  </w:r>
                </w:p>
              </w:tc>
              <w:tc>
                <w:tcPr>
                  <w:tcW w:w="1955" w:type="pct"/>
                  <w:vAlign w:val="center"/>
                </w:tcPr>
                <w:p w14:paraId="26361F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PH</w:t>
                  </w:r>
                </w:p>
              </w:tc>
              <w:tc>
                <w:tcPr>
                  <w:tcW w:w="1667" w:type="pct"/>
                  <w:vAlign w:val="center"/>
                </w:tcPr>
                <w:p w14:paraId="56BC5C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6~9</w:t>
                  </w:r>
                </w:p>
              </w:tc>
            </w:tr>
            <w:tr w14:paraId="52AC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07AAE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2</w:t>
                  </w:r>
                </w:p>
              </w:tc>
              <w:tc>
                <w:tcPr>
                  <w:tcW w:w="1955" w:type="pct"/>
                  <w:vAlign w:val="center"/>
                </w:tcPr>
                <w:p w14:paraId="06CFA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色度</w:t>
                  </w:r>
                </w:p>
              </w:tc>
              <w:tc>
                <w:tcPr>
                  <w:tcW w:w="1667" w:type="pct"/>
                  <w:vAlign w:val="center"/>
                </w:tcPr>
                <w:p w14:paraId="6F6FE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w:t>
                  </w:r>
                </w:p>
              </w:tc>
            </w:tr>
            <w:tr w14:paraId="021A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5B449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3</w:t>
                  </w:r>
                </w:p>
              </w:tc>
              <w:tc>
                <w:tcPr>
                  <w:tcW w:w="1955" w:type="pct"/>
                  <w:vAlign w:val="center"/>
                </w:tcPr>
                <w:p w14:paraId="437E2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悬浮物</w:t>
                  </w:r>
                </w:p>
              </w:tc>
              <w:tc>
                <w:tcPr>
                  <w:tcW w:w="1667" w:type="pct"/>
                  <w:vAlign w:val="center"/>
                </w:tcPr>
                <w:p w14:paraId="0F779F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400</w:t>
                  </w:r>
                </w:p>
              </w:tc>
            </w:tr>
            <w:tr w14:paraId="6C29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487CC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4</w:t>
                  </w:r>
                </w:p>
              </w:tc>
              <w:tc>
                <w:tcPr>
                  <w:tcW w:w="1955" w:type="pct"/>
                  <w:vAlign w:val="center"/>
                </w:tcPr>
                <w:p w14:paraId="69000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五日生化需氧量（BOD</w:t>
                  </w:r>
                  <w:r>
                    <w:rPr>
                      <w:rFonts w:hint="default" w:ascii="Times New Roman" w:hAnsi="Times New Roman" w:eastAsia="宋体" w:cs="Times New Roman"/>
                      <w:b w:val="0"/>
                      <w:bCs/>
                      <w:color w:val="auto"/>
                      <w:kern w:val="24"/>
                      <w:sz w:val="21"/>
                      <w:szCs w:val="21"/>
                      <w:highlight w:val="none"/>
                      <w:vertAlign w:val="subscript"/>
                      <w:lang w:val="en-US" w:eastAsia="zh-CN"/>
                    </w:rPr>
                    <w:t>5</w:t>
                  </w:r>
                  <w:r>
                    <w:rPr>
                      <w:rFonts w:hint="default" w:ascii="Times New Roman" w:hAnsi="Times New Roman" w:eastAsia="宋体" w:cs="Times New Roman"/>
                      <w:b w:val="0"/>
                      <w:bCs/>
                      <w:color w:val="auto"/>
                      <w:kern w:val="24"/>
                      <w:sz w:val="21"/>
                      <w:szCs w:val="21"/>
                      <w:highlight w:val="none"/>
                      <w:vertAlign w:val="baseline"/>
                      <w:lang w:val="en-US" w:eastAsia="zh-CN"/>
                    </w:rPr>
                    <w:t>）</w:t>
                  </w:r>
                </w:p>
              </w:tc>
              <w:tc>
                <w:tcPr>
                  <w:tcW w:w="1667" w:type="pct"/>
                  <w:vAlign w:val="center"/>
                </w:tcPr>
                <w:p w14:paraId="3FD97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300</w:t>
                  </w:r>
                </w:p>
              </w:tc>
            </w:tr>
            <w:tr w14:paraId="30BD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6E2C8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5</w:t>
                  </w:r>
                </w:p>
              </w:tc>
              <w:tc>
                <w:tcPr>
                  <w:tcW w:w="1955" w:type="pct"/>
                  <w:vAlign w:val="center"/>
                </w:tcPr>
                <w:p w14:paraId="3E5B0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化学需氧量</w:t>
                  </w:r>
                </w:p>
              </w:tc>
              <w:tc>
                <w:tcPr>
                  <w:tcW w:w="1667" w:type="pct"/>
                  <w:vAlign w:val="center"/>
                </w:tcPr>
                <w:p w14:paraId="75A94E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500</w:t>
                  </w:r>
                </w:p>
              </w:tc>
            </w:tr>
            <w:tr w14:paraId="5E05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086EA1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6</w:t>
                  </w:r>
                </w:p>
              </w:tc>
              <w:tc>
                <w:tcPr>
                  <w:tcW w:w="1955" w:type="pct"/>
                  <w:vAlign w:val="center"/>
                </w:tcPr>
                <w:p w14:paraId="04C5B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石油类</w:t>
                  </w:r>
                </w:p>
              </w:tc>
              <w:tc>
                <w:tcPr>
                  <w:tcW w:w="1667" w:type="pct"/>
                  <w:vAlign w:val="center"/>
                </w:tcPr>
                <w:p w14:paraId="4E6A50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20</w:t>
                  </w:r>
                </w:p>
              </w:tc>
            </w:tr>
            <w:tr w14:paraId="3F9E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pct"/>
                  <w:vAlign w:val="center"/>
                </w:tcPr>
                <w:p w14:paraId="4AC99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7</w:t>
                  </w:r>
                </w:p>
              </w:tc>
              <w:tc>
                <w:tcPr>
                  <w:tcW w:w="1955" w:type="pct"/>
                  <w:vAlign w:val="center"/>
                </w:tcPr>
                <w:p w14:paraId="4D57D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动植物油</w:t>
                  </w:r>
                </w:p>
              </w:tc>
              <w:tc>
                <w:tcPr>
                  <w:tcW w:w="1667" w:type="pct"/>
                  <w:vAlign w:val="center"/>
                </w:tcPr>
                <w:p w14:paraId="19208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4"/>
                      <w:sz w:val="21"/>
                      <w:szCs w:val="21"/>
                      <w:highlight w:val="none"/>
                      <w:vertAlign w:val="baseline"/>
                      <w:lang w:val="en-US" w:eastAsia="zh-CN"/>
                    </w:rPr>
                  </w:pPr>
                  <w:r>
                    <w:rPr>
                      <w:rFonts w:hint="default" w:ascii="Times New Roman" w:hAnsi="Times New Roman" w:eastAsia="宋体" w:cs="Times New Roman"/>
                      <w:b w:val="0"/>
                      <w:bCs/>
                      <w:color w:val="auto"/>
                      <w:kern w:val="24"/>
                      <w:sz w:val="21"/>
                      <w:szCs w:val="21"/>
                      <w:highlight w:val="none"/>
                      <w:vertAlign w:val="baseline"/>
                      <w:lang w:val="en-US" w:eastAsia="zh-CN"/>
                    </w:rPr>
                    <w:t>100</w:t>
                  </w:r>
                </w:p>
              </w:tc>
            </w:tr>
          </w:tbl>
          <w:p w14:paraId="7E7E65C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2.3噪声排放标准</w:t>
            </w:r>
          </w:p>
          <w:p w14:paraId="1CF1B48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项目施工期噪声污染控制执行：《建筑施工场界环境噪声排放标准》</w:t>
            </w:r>
            <w:r>
              <w:rPr>
                <w:rFonts w:hint="default" w:ascii="Times New Roman" w:hAnsi="Times New Roman" w:eastAsia="宋体" w:cs="Times New Roman"/>
                <w:color w:val="0000FF"/>
                <w:sz w:val="24"/>
                <w:szCs w:val="22"/>
                <w:highlight w:val="none"/>
                <w:lang w:val="en-US" w:eastAsia="zh-CN"/>
              </w:rPr>
              <w:t>（GB12523—20</w:t>
            </w:r>
            <w:r>
              <w:rPr>
                <w:rFonts w:hint="eastAsia" w:cs="Times New Roman"/>
                <w:color w:val="0000FF"/>
                <w:sz w:val="24"/>
                <w:szCs w:val="22"/>
                <w:highlight w:val="none"/>
                <w:lang w:val="en-US" w:eastAsia="zh-CN"/>
              </w:rPr>
              <w:t>25</w:t>
            </w:r>
            <w:r>
              <w:rPr>
                <w:rFonts w:hint="default" w:ascii="Times New Roman" w:hAnsi="Times New Roman" w:eastAsia="宋体" w:cs="Times New Roman"/>
                <w:color w:val="0000FF"/>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（昼间：70dB(A)，夜间：55dB(A)）。</w:t>
            </w:r>
          </w:p>
          <w:p w14:paraId="173B333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运营期厂界噪声排放执行《工业企业厂界环境噪声排放标准》(GB12348-2008)中</w:t>
            </w:r>
            <w:r>
              <w:rPr>
                <w:rFonts w:hint="eastAsia"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lang w:val="en-US" w:eastAsia="zh-CN"/>
              </w:rPr>
              <w:t>类标准，（昼间：</w:t>
            </w:r>
            <w:r>
              <w:rPr>
                <w:rFonts w:hint="eastAsia" w:ascii="Times New Roman" w:hAnsi="Times New Roman" w:eastAsia="宋体" w:cs="Times New Roman"/>
                <w:color w:val="auto"/>
                <w:sz w:val="24"/>
                <w:szCs w:val="22"/>
                <w:highlight w:val="none"/>
                <w:lang w:val="en-US" w:eastAsia="zh-CN"/>
              </w:rPr>
              <w:t>6</w:t>
            </w:r>
            <w:r>
              <w:rPr>
                <w:rFonts w:hint="default" w:ascii="Times New Roman" w:hAnsi="Times New Roman" w:eastAsia="宋体" w:cs="Times New Roman"/>
                <w:color w:val="auto"/>
                <w:sz w:val="24"/>
                <w:szCs w:val="22"/>
                <w:highlight w:val="none"/>
                <w:lang w:val="en-US" w:eastAsia="zh-CN"/>
              </w:rPr>
              <w:t>5dB(A)，夜间：</w:t>
            </w:r>
            <w:r>
              <w:rPr>
                <w:rFonts w:hint="eastAsia" w:ascii="Times New Roman" w:hAnsi="Times New Roman"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5dB(A)）。</w:t>
            </w:r>
          </w:p>
          <w:p w14:paraId="337F7F7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2.4固体废物排放标准</w:t>
            </w:r>
          </w:p>
          <w:p w14:paraId="36BE9B8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kern w:val="2"/>
                <w:sz w:val="24"/>
                <w:szCs w:val="22"/>
                <w:highlight w:val="none"/>
                <w:lang w:val="en-US" w:eastAsia="zh-CN" w:bidi="ar-SA"/>
              </w:rPr>
              <w:t>本项目不产生一般固体废物和危险废物。</w:t>
            </w:r>
          </w:p>
        </w:tc>
      </w:tr>
      <w:tr w14:paraId="4C48F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5" w:type="pct"/>
            <w:vAlign w:val="center"/>
          </w:tcPr>
          <w:p w14:paraId="385125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2"/>
                <w:highlight w:val="none"/>
              </w:rPr>
            </w:pPr>
            <w:r>
              <w:rPr>
                <w:rFonts w:hint="default" w:ascii="Times New Roman" w:hAnsi="Times New Roman" w:eastAsia="宋体" w:cs="Times New Roman"/>
                <w:b/>
                <w:bCs/>
                <w:color w:val="auto"/>
                <w:kern w:val="0"/>
                <w:sz w:val="24"/>
                <w:szCs w:val="22"/>
                <w:highlight w:val="none"/>
              </w:rPr>
              <w:t>其他</w:t>
            </w:r>
          </w:p>
        </w:tc>
        <w:tc>
          <w:tcPr>
            <w:tcW w:w="4524" w:type="pct"/>
            <w:vAlign w:val="center"/>
          </w:tcPr>
          <w:p w14:paraId="557373B6">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kern w:val="2"/>
                <w:sz w:val="24"/>
                <w:szCs w:val="22"/>
                <w:highlight w:val="none"/>
                <w:lang w:val="en-US" w:eastAsia="zh-CN" w:bidi="ar-SA"/>
              </w:rPr>
              <w:t>本项目无总量控制指标。</w:t>
            </w:r>
          </w:p>
        </w:tc>
      </w:tr>
    </w:tbl>
    <w:p w14:paraId="6753A29F">
      <w:pPr>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br w:type="page"/>
      </w:r>
    </w:p>
    <w:p w14:paraId="56ECA9C4">
      <w:pPr>
        <w:pStyle w:val="23"/>
        <w:spacing w:before="0" w:beforeAutospacing="0" w:after="0" w:afterAutospacing="0"/>
        <w:jc w:val="center"/>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四、生态环境影响分析</w:t>
      </w:r>
      <w:bookmarkEnd w:id="8"/>
    </w:p>
    <w:tbl>
      <w:tblPr>
        <w:tblStyle w:val="26"/>
        <w:tblW w:w="50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286"/>
      </w:tblGrid>
      <w:tr w14:paraId="40046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25" w:type="pct"/>
            <w:tcMar>
              <w:left w:w="28" w:type="dxa"/>
              <w:right w:w="28" w:type="dxa"/>
            </w:tcMar>
            <w:vAlign w:val="center"/>
          </w:tcPr>
          <w:p w14:paraId="080D337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highlight w:val="none"/>
              </w:rPr>
            </w:pPr>
            <w:bookmarkStart w:id="11" w:name="_Hlk49796138"/>
            <w:r>
              <w:rPr>
                <w:rFonts w:hint="default" w:ascii="Times New Roman" w:hAnsi="Times New Roman" w:eastAsia="宋体" w:cs="Times New Roman"/>
                <w:b/>
                <w:color w:val="auto"/>
                <w:spacing w:val="10"/>
                <w:kern w:val="2"/>
                <w:highlight w:val="none"/>
              </w:rPr>
              <w:t>施工期生态环境影响分析</w:t>
            </w:r>
            <w:bookmarkEnd w:id="11"/>
          </w:p>
        </w:tc>
        <w:tc>
          <w:tcPr>
            <w:tcW w:w="4674" w:type="pct"/>
            <w:vAlign w:val="center"/>
          </w:tcPr>
          <w:p w14:paraId="76E84EDE">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1、施工期生态环境影响分析</w:t>
            </w:r>
          </w:p>
          <w:p w14:paraId="7A00E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w:t>
            </w:r>
            <w:bookmarkStart w:id="12" w:name="_Toc3677"/>
            <w:r>
              <w:rPr>
                <w:rFonts w:hint="default" w:ascii="Times New Roman" w:hAnsi="Times New Roman" w:eastAsia="宋体" w:cs="Times New Roman"/>
                <w:b/>
                <w:bCs/>
                <w:color w:val="auto"/>
                <w:sz w:val="24"/>
                <w:szCs w:val="24"/>
                <w:highlight w:val="none"/>
                <w:lang w:eastAsia="zh-CN"/>
              </w:rPr>
              <w:t>施工期对野生动物的影响</w:t>
            </w:r>
            <w:bookmarkEnd w:id="12"/>
          </w:p>
          <w:p w14:paraId="48431FB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机械噪声和人类活动噪声是影响野生动物的主要因素，各种施工机械如运输车辆、推土机、夯实机等均可能产生较强的噪声，虽然这些施工机械属非连续性间歇排放，但由于噪声源相对集中，且多为裸露声源，故其辐射范围和影响程度较大。预计在施工期，本区的野生动物都将产生规避反应，远离这一地区，特别是鸟类，其栖息和繁殖环境需要相对的安静，因此，本区的鸟类将受到一定影响。项目区主要野生鸟类为乌鸦、麻雀、野鸡等常见鸟类，在该区域内未发现珍稀类野生鸟类。本工程区域据调查主要野生动物有常见鸟类、野兔、蛇等，野生动物的种类相对较少，多以小型动物群为主，且多为常见动物。总体来说，施工期对野生动物的影响较小。</w:t>
            </w:r>
          </w:p>
          <w:p w14:paraId="43BE8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sz w:val="24"/>
                <w:szCs w:val="24"/>
                <w:highlight w:val="none"/>
                <w:lang w:eastAsia="zh-CN"/>
              </w:rPr>
            </w:pPr>
            <w:bookmarkStart w:id="13" w:name="_Toc12552"/>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）施工期对植被的影响</w:t>
            </w:r>
          </w:p>
          <w:p w14:paraId="0629F3E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本项目建设对植被的影响主要集中在蓄水池、坝体、</w:t>
            </w:r>
            <w:r>
              <w:rPr>
                <w:rFonts w:hint="eastAsia" w:ascii="Times New Roman" w:hAnsi="Times New Roman" w:eastAsia="宋体" w:cs="Times New Roman"/>
                <w:b w:val="0"/>
                <w:color w:val="auto"/>
                <w:kern w:val="2"/>
                <w:sz w:val="24"/>
                <w:szCs w:val="22"/>
                <w:highlight w:val="none"/>
                <w:lang w:val="en-US" w:eastAsia="zh-CN" w:bidi="ar-SA"/>
              </w:rPr>
              <w:t>水厂泵站</w:t>
            </w:r>
            <w:r>
              <w:rPr>
                <w:rFonts w:hint="default" w:ascii="Times New Roman" w:hAnsi="Times New Roman" w:eastAsia="宋体" w:cs="Times New Roman"/>
                <w:b w:val="0"/>
                <w:color w:val="auto"/>
                <w:kern w:val="2"/>
                <w:sz w:val="24"/>
                <w:szCs w:val="22"/>
                <w:highlight w:val="none"/>
                <w:lang w:val="en-US" w:eastAsia="zh-CN" w:bidi="ar-SA"/>
              </w:rPr>
              <w:t>等施工过程中，表现为地表开挖造成植被破坏、埋压等。此外，施工生产生活区等临时建筑也需要占地，破坏地表植被。施工过程中，施工范围内的植物地上部分与根系均被铲除，同时还伤及附近植物的根系；施工带内植被由于挖掘出的土方堆放、人员践踏、施工车辆和机械碾压等，会造成地上部分破坏甚至去除，但根系仍然保留。这些将会造成施工区域植被的破坏，影响区域内植被覆盖度及植物群落组成和数量分布，使区域植被生产能力降低。</w:t>
            </w:r>
          </w:p>
          <w:p w14:paraId="0B5A521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永久占地内的植被破坏一般是不可逆的，临时占地内的植被破坏具有暂时性，随施工结束而终止。自然植被在施工结束后，周围植物可侵入，开始恢复演替的过程。本环评要求，施工结束后应对</w:t>
            </w:r>
            <w:r>
              <w:rPr>
                <w:rFonts w:hint="default" w:ascii="宋体" w:hAnsi="宋体" w:eastAsia="宋体" w:cs="宋体"/>
                <w:sz w:val="24"/>
                <w:szCs w:val="24"/>
              </w:rPr>
              <w:t>施工作业带、施工生产生活区等临时占用的草地恢复至原有使用功能，并及时恢复管道沿线被破坏的植被和生态环境</w:t>
            </w:r>
            <w:r>
              <w:rPr>
                <w:rFonts w:hint="default" w:ascii="Times New Roman" w:hAnsi="Times New Roman" w:eastAsia="宋体" w:cs="Times New Roman"/>
                <w:b w:val="0"/>
                <w:color w:val="auto"/>
                <w:kern w:val="2"/>
                <w:sz w:val="24"/>
                <w:szCs w:val="22"/>
                <w:highlight w:val="none"/>
                <w:lang w:val="en-US" w:eastAsia="zh-CN" w:bidi="ar-SA"/>
              </w:rPr>
              <w:t>。经现场调查，项目所在区域内未发现珍稀植物，故本项目建设对当地植被的总体影响不大，施工造成的部分植被破坏不会导致评价区生物多样性改变等不良后果，在采取环评提出的植被恢复措施后，植被破坏可得到有效补偿。</w:t>
            </w:r>
          </w:p>
          <w:p w14:paraId="4D2BA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）施工期</w:t>
            </w:r>
            <w:r>
              <w:rPr>
                <w:rFonts w:hint="default" w:ascii="Times New Roman" w:hAnsi="Times New Roman" w:eastAsia="宋体" w:cs="Times New Roman"/>
                <w:b/>
                <w:bCs/>
                <w:color w:val="auto"/>
                <w:sz w:val="24"/>
                <w:szCs w:val="24"/>
                <w:highlight w:val="none"/>
              </w:rPr>
              <w:t>对土地利用结构的影响</w:t>
            </w:r>
          </w:p>
          <w:p w14:paraId="75C2945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项目占地类型主要为其他草地。包括永久性占地和临时性占地，永久性占地包括调蓄水池、</w:t>
            </w:r>
            <w:r>
              <w:rPr>
                <w:rFonts w:hint="eastAsia" w:ascii="Times New Roman" w:hAnsi="Times New Roman" w:eastAsia="宋体" w:cs="Times New Roman"/>
                <w:b w:val="0"/>
                <w:color w:val="auto"/>
                <w:kern w:val="2"/>
                <w:sz w:val="24"/>
                <w:szCs w:val="22"/>
                <w:highlight w:val="none"/>
                <w:lang w:val="en-US" w:eastAsia="zh-CN" w:bidi="ar-SA"/>
              </w:rPr>
              <w:t>水厂泵站</w:t>
            </w:r>
            <w:r>
              <w:rPr>
                <w:rFonts w:hint="default" w:ascii="Times New Roman" w:hAnsi="Times New Roman" w:eastAsia="宋体" w:cs="Times New Roman"/>
                <w:b w:val="0"/>
                <w:color w:val="auto"/>
                <w:kern w:val="2"/>
                <w:sz w:val="24"/>
                <w:szCs w:val="22"/>
                <w:highlight w:val="none"/>
                <w:lang w:val="en-US" w:eastAsia="zh-CN" w:bidi="ar-SA"/>
              </w:rPr>
              <w:t>等所涉及的占地。临时性占地包括施工生产生活区占地</w:t>
            </w:r>
            <w:r>
              <w:rPr>
                <w:rFonts w:hint="eastAsia" w:ascii="Times New Roman" w:hAnsi="Times New Roman" w:eastAsia="宋体" w:cs="Times New Roman"/>
                <w:b w:val="0"/>
                <w:color w:val="auto"/>
                <w:kern w:val="2"/>
                <w:sz w:val="24"/>
                <w:szCs w:val="22"/>
                <w:highlight w:val="none"/>
                <w:lang w:val="en-US" w:eastAsia="zh-CN" w:bidi="ar-SA"/>
              </w:rPr>
              <w:t>、供水管线及</w:t>
            </w:r>
            <w:r>
              <w:rPr>
                <w:rFonts w:hint="default" w:ascii="Times New Roman" w:hAnsi="Times New Roman" w:eastAsia="宋体" w:cs="Times New Roman"/>
                <w:b w:val="0"/>
                <w:color w:val="auto"/>
                <w:kern w:val="2"/>
                <w:sz w:val="24"/>
                <w:szCs w:val="22"/>
                <w:highlight w:val="none"/>
                <w:lang w:val="en-US" w:eastAsia="zh-CN" w:bidi="ar-SA"/>
              </w:rPr>
              <w:t>临时堆土场</w:t>
            </w:r>
            <w:r>
              <w:rPr>
                <w:rFonts w:hint="eastAsia" w:ascii="Times New Roman" w:hAnsi="Times New Roman" w:eastAsia="宋体" w:cs="Times New Roman"/>
                <w:b w:val="0"/>
                <w:color w:val="auto"/>
                <w:kern w:val="2"/>
                <w:sz w:val="24"/>
                <w:szCs w:val="22"/>
                <w:highlight w:val="none"/>
                <w:lang w:val="en-US" w:eastAsia="zh-CN" w:bidi="ar-SA"/>
              </w:rPr>
              <w:t>占地</w:t>
            </w:r>
            <w:r>
              <w:rPr>
                <w:rFonts w:hint="default" w:ascii="Times New Roman" w:hAnsi="Times New Roman" w:eastAsia="宋体" w:cs="Times New Roman"/>
                <w:b w:val="0"/>
                <w:color w:val="auto"/>
                <w:kern w:val="2"/>
                <w:sz w:val="24"/>
                <w:szCs w:val="22"/>
                <w:highlight w:val="none"/>
                <w:lang w:val="en-US" w:eastAsia="zh-CN" w:bidi="ar-SA"/>
              </w:rPr>
              <w:t>。</w:t>
            </w:r>
          </w:p>
          <w:p w14:paraId="7CB02ED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color w:val="auto"/>
                <w:kern w:val="2"/>
                <w:sz w:val="24"/>
                <w:szCs w:val="22"/>
                <w:highlight w:val="none"/>
                <w:lang w:val="en-US" w:eastAsia="zh-CN" w:bidi="ar-SA"/>
              </w:rPr>
              <w:t>对于临时用地，主要影响是设备运输、堆放时对施工占地的碾压，有效的解决措施是在施工结束后，及时实施土地整治，并选择合适草种或灌木进行恢复性种植。临时占地中的土地一般经过1~3年即可恢复原有生态。采取措施后对土地利用结构的影响较小。</w:t>
            </w:r>
          </w:p>
          <w:p w14:paraId="7F802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）施工期对土壤的影响</w:t>
            </w:r>
            <w:bookmarkEnd w:id="13"/>
          </w:p>
          <w:p w14:paraId="541A1FE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工程建设对土壤的影响主要是建设和占地对原有土壤结构的影响，其次是对土壤环境的影响。</w:t>
            </w:r>
          </w:p>
          <w:p w14:paraId="2E1C9AA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对土壤结构的影响主要集中在地基开挖、回填过程中。工程在施工时进行开挖、堆放、回填、人工踩踏、机械设备夯实或碾压等施工操作，这些物理过程对土壤的最大影响是破坏土壤结构、扰乱土壤耕作层。土壤结构是经过较长的历史时期形成的，一旦遭到破坏，短期内难以恢复。在施工过程中，对土壤耕作层的影响最为严重。但对临时占地而言，这种影响是短期的、可逆的，施工结束后，经过2～3年的时间可以恢复。</w:t>
            </w:r>
          </w:p>
          <w:p w14:paraId="0464FE6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工程建设所使用的材料均选用符合国家环保标准的材料，不会对土壤环境造成危害；基础施工材料是普通的钢筋水泥，不会造成土壤和地下水污染。但施工过程中施工机械的管理及使用不当产生的机械燃油、润滑油漏损将污染土壤，且这种污染是长期的，因此应加强施工期机械运行的管理与维护，减少污染的产生。</w:t>
            </w:r>
          </w:p>
          <w:p w14:paraId="1BD7F4F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总体而言，本项目施工过程中对土壤环境影响较小。</w:t>
            </w:r>
          </w:p>
          <w:p w14:paraId="4957B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lang w:eastAsia="zh-CN"/>
              </w:rPr>
            </w:pPr>
            <w:bookmarkStart w:id="14" w:name="_Toc17138"/>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eastAsia="zh-CN"/>
              </w:rPr>
              <w:t>施工期对水土流失的影响</w:t>
            </w:r>
            <w:bookmarkEnd w:id="14"/>
          </w:p>
          <w:p w14:paraId="768529F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在建设过程中造成水土流失的因素主要包括自然和人为因素。自然因素是引起水土流失的潜在因素，包括降雨因子、地形因子、植被因子、土壤抗蚀性和抗冲性；人为因素是指改变引起水土流失自然因素的人类活动。根据实地调查，工程在建设过程中，由于基础开挖与建等活动，使地表植被遭到破坏、地表局部坡度加大、土体结构松散，改变了外营力与土体抗蚀力之间的自然相对平衡，在外营力的作用下，诱发、加剧了水土流失，是造成工程新增水土流失的主导因素。</w:t>
            </w:r>
          </w:p>
          <w:p w14:paraId="44BA33C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施工准备期：在施工准备期，将首先进行场地的平整，因此，由于原地貌土地被扰动，地面的覆盖物被清除，大面积的土地裸露，容易导致水土流失。</w:t>
            </w:r>
          </w:p>
          <w:p w14:paraId="381CCE5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期：在土建施工阶段，将进行基础开挖、基础工程及建（构）筑物的建设，施工材料、土石方挖填量、土石方运输等均较容易导致水土流失。开挖的土方若不运往指定地点堆放，并采取防护措施，极易造成水土流失。在设备安装及调试期，对地表的挖填扰动全部结束，流失强度已大大降低。</w:t>
            </w:r>
          </w:p>
          <w:p w14:paraId="7108EE6C">
            <w:pPr>
              <w:keepNext/>
              <w:keepLines/>
              <w:widowControl/>
              <w:suppressLineNumbers w:val="0"/>
              <w:spacing w:before="0" w:beforeAutospacing="0" w:after="0" w:afterAutospacing="0" w:line="360" w:lineRule="auto"/>
              <w:ind w:left="0" w:right="0"/>
              <w:jc w:val="lef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2、施工期环境空气影响分析</w:t>
            </w:r>
          </w:p>
          <w:p w14:paraId="0EBB71F3">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color w:val="auto"/>
                <w:kern w:val="2"/>
                <w:sz w:val="24"/>
                <w:szCs w:val="22"/>
                <w:highlight w:val="none"/>
                <w:lang w:val="en-US" w:eastAsia="zh-CN" w:bidi="ar-SA"/>
              </w:rPr>
              <w:t>本项目施工期对周边环境空气影响主要来自施工场地及运输车辆产生的扬尘、燃油废气、混凝土临时拌合站废气等。</w:t>
            </w:r>
          </w:p>
          <w:p w14:paraId="39B92ECB">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（1）场地起尘</w:t>
            </w:r>
          </w:p>
          <w:p w14:paraId="576F1397">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场地起尘主要来自场地挖填、平整过程中产生的施工扬尘及土石方堆场风力起尘，场地挖填、平整、夯实、堆放等过程，在气候干燥又有风的情况下，会产生扬尘，其扬尘可按堆放尘的经验公式计算：</w:t>
            </w:r>
          </w:p>
          <w:p w14:paraId="746FF5BC">
            <w:pPr>
              <w:pStyle w:val="53"/>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1571625" cy="257175"/>
                  <wp:effectExtent l="0" t="0" r="0" b="825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22"/>
                          <a:srcRect/>
                          <a:stretch>
                            <a:fillRect/>
                          </a:stretch>
                        </pic:blipFill>
                        <pic:spPr>
                          <a:xfrm>
                            <a:off x="0" y="0"/>
                            <a:ext cx="1571625" cy="257175"/>
                          </a:xfrm>
                          <a:prstGeom prst="rect">
                            <a:avLst/>
                          </a:prstGeom>
                          <a:noFill/>
                          <a:ln w="9525">
                            <a:noFill/>
                            <a:miter lim="800000"/>
                            <a:headEnd/>
                            <a:tailEnd/>
                          </a:ln>
                        </pic:spPr>
                      </pic:pic>
                    </a:graphicData>
                  </a:graphic>
                </wp:inline>
              </w:drawing>
            </w:r>
          </w:p>
          <w:p w14:paraId="2B624269">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其中：Q——起尘量，kg/t·a；</w:t>
            </w:r>
          </w:p>
          <w:p w14:paraId="5896F890">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50</w:t>
            </w:r>
            <w:r>
              <w:rPr>
                <w:rFonts w:hint="default" w:ascii="Times New Roman" w:hAnsi="Times New Roman" w:eastAsia="宋体" w:cs="Times New Roman"/>
                <w:color w:val="auto"/>
                <w:kern w:val="0"/>
                <w:sz w:val="24"/>
                <w:szCs w:val="24"/>
                <w:highlight w:val="none"/>
              </w:rPr>
              <w:t>——距地面50m处风速，m/s；</w:t>
            </w:r>
          </w:p>
          <w:p w14:paraId="0E499917">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0</w:t>
            </w:r>
            <w:r>
              <w:rPr>
                <w:rFonts w:hint="default" w:ascii="Times New Roman" w:hAnsi="Times New Roman" w:eastAsia="宋体" w:cs="Times New Roman"/>
                <w:color w:val="auto"/>
                <w:kern w:val="0"/>
                <w:sz w:val="24"/>
                <w:szCs w:val="24"/>
                <w:highlight w:val="none"/>
              </w:rPr>
              <w:t>——起尘风速，m/s；</w:t>
            </w:r>
          </w:p>
          <w:p w14:paraId="49FAFF0C">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W——尘粒的含水率，%。</w:t>
            </w:r>
          </w:p>
          <w:p w14:paraId="0AB0E3C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V0与粒径和含水率有关，因此，减少土方露天堆放和保证一定的含水率及减少裸露地面是减少风力起尘的有效手段。</w:t>
            </w:r>
          </w:p>
          <w:p w14:paraId="1BAC032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尘粒在空气中的传播扩散情况与风速等气象条件有关，也与尘粒本身的沉降速度有关。以煤尘为例，不同粒径的尘粒的沉降速率见表4-1。</w:t>
            </w:r>
          </w:p>
          <w:p w14:paraId="7AD91CBF">
            <w:pPr>
              <w:pStyle w:val="5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表4-1不同粒径尘粒的沉降速度</w:t>
            </w:r>
          </w:p>
          <w:tbl>
            <w:tblPr>
              <w:tblStyle w:val="28"/>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930"/>
              <w:gridCol w:w="930"/>
              <w:gridCol w:w="930"/>
              <w:gridCol w:w="1080"/>
              <w:gridCol w:w="937"/>
              <w:gridCol w:w="1080"/>
              <w:gridCol w:w="1008"/>
            </w:tblGrid>
            <w:tr w14:paraId="7446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0136D9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粒径（mm）</w:t>
                  </w:r>
                </w:p>
              </w:tc>
              <w:tc>
                <w:tcPr>
                  <w:tcW w:w="930" w:type="dxa"/>
                  <w:tcBorders>
                    <w:tl2br w:val="nil"/>
                    <w:tr2bl w:val="nil"/>
                  </w:tcBorders>
                  <w:shd w:val="clear" w:color="auto" w:fill="auto"/>
                  <w:vAlign w:val="center"/>
                </w:tcPr>
                <w:p w14:paraId="66D816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10</w:t>
                  </w:r>
                </w:p>
              </w:tc>
              <w:tc>
                <w:tcPr>
                  <w:tcW w:w="930" w:type="dxa"/>
                  <w:tcBorders>
                    <w:tl2br w:val="nil"/>
                    <w:tr2bl w:val="nil"/>
                  </w:tcBorders>
                  <w:shd w:val="clear" w:color="auto" w:fill="auto"/>
                  <w:vAlign w:val="center"/>
                </w:tcPr>
                <w:p w14:paraId="69734E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20</w:t>
                  </w:r>
                </w:p>
              </w:tc>
              <w:tc>
                <w:tcPr>
                  <w:tcW w:w="930" w:type="dxa"/>
                  <w:tcBorders>
                    <w:tl2br w:val="nil"/>
                    <w:tr2bl w:val="nil"/>
                  </w:tcBorders>
                  <w:shd w:val="clear" w:color="auto" w:fill="auto"/>
                  <w:vAlign w:val="center"/>
                </w:tcPr>
                <w:p w14:paraId="357DD2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30</w:t>
                  </w:r>
                </w:p>
              </w:tc>
              <w:tc>
                <w:tcPr>
                  <w:tcW w:w="1080" w:type="dxa"/>
                  <w:tcBorders>
                    <w:tl2br w:val="nil"/>
                    <w:tr2bl w:val="nil"/>
                  </w:tcBorders>
                  <w:shd w:val="clear" w:color="auto" w:fill="auto"/>
                  <w:vAlign w:val="center"/>
                </w:tcPr>
                <w:p w14:paraId="4BAA0B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40</w:t>
                  </w:r>
                </w:p>
              </w:tc>
              <w:tc>
                <w:tcPr>
                  <w:tcW w:w="937" w:type="dxa"/>
                  <w:tcBorders>
                    <w:tl2br w:val="nil"/>
                    <w:tr2bl w:val="nil"/>
                  </w:tcBorders>
                  <w:shd w:val="clear" w:color="auto" w:fill="auto"/>
                  <w:vAlign w:val="center"/>
                </w:tcPr>
                <w:p w14:paraId="068427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50</w:t>
                  </w:r>
                </w:p>
              </w:tc>
              <w:tc>
                <w:tcPr>
                  <w:tcW w:w="1080" w:type="dxa"/>
                  <w:tcBorders>
                    <w:tl2br w:val="nil"/>
                    <w:tr2bl w:val="nil"/>
                  </w:tcBorders>
                  <w:shd w:val="clear" w:color="auto" w:fill="auto"/>
                  <w:vAlign w:val="center"/>
                </w:tcPr>
                <w:p w14:paraId="6A040C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60</w:t>
                  </w:r>
                </w:p>
              </w:tc>
              <w:tc>
                <w:tcPr>
                  <w:tcW w:w="1008" w:type="dxa"/>
                  <w:tcBorders>
                    <w:tl2br w:val="nil"/>
                    <w:tr2bl w:val="nil"/>
                  </w:tcBorders>
                  <w:shd w:val="clear" w:color="auto" w:fill="auto"/>
                  <w:vAlign w:val="center"/>
                </w:tcPr>
                <w:p w14:paraId="52A67A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Cs w:val="21"/>
                      <w:highlight w:val="none"/>
                    </w:rPr>
                  </w:pPr>
                  <w:r>
                    <w:rPr>
                      <w:rFonts w:hint="default" w:ascii="Times New Roman" w:hAnsi="Times New Roman" w:eastAsia="宋体" w:cs="Times New Roman"/>
                      <w:b/>
                      <w:bCs/>
                      <w:caps/>
                      <w:color w:val="auto"/>
                      <w:szCs w:val="21"/>
                      <w:highlight w:val="none"/>
                    </w:rPr>
                    <w:t>70</w:t>
                  </w:r>
                </w:p>
              </w:tc>
            </w:tr>
            <w:tr w14:paraId="7B2D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0CC701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沉降速度，m/s</w:t>
                  </w:r>
                </w:p>
              </w:tc>
              <w:tc>
                <w:tcPr>
                  <w:tcW w:w="930" w:type="dxa"/>
                  <w:tcBorders>
                    <w:tl2br w:val="nil"/>
                    <w:tr2bl w:val="nil"/>
                  </w:tcBorders>
                  <w:shd w:val="clear" w:color="auto" w:fill="auto"/>
                  <w:vAlign w:val="center"/>
                </w:tcPr>
                <w:p w14:paraId="60FD30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w:t>
                  </w:r>
                </w:p>
              </w:tc>
              <w:tc>
                <w:tcPr>
                  <w:tcW w:w="930" w:type="dxa"/>
                  <w:tcBorders>
                    <w:tl2br w:val="nil"/>
                    <w:tr2bl w:val="nil"/>
                  </w:tcBorders>
                  <w:shd w:val="clear" w:color="auto" w:fill="auto"/>
                  <w:vAlign w:val="center"/>
                </w:tcPr>
                <w:p w14:paraId="3C2CBD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0.012</w:t>
                  </w:r>
                </w:p>
              </w:tc>
              <w:tc>
                <w:tcPr>
                  <w:tcW w:w="930" w:type="dxa"/>
                  <w:tcBorders>
                    <w:tl2br w:val="nil"/>
                    <w:tr2bl w:val="nil"/>
                  </w:tcBorders>
                  <w:shd w:val="clear" w:color="auto" w:fill="auto"/>
                  <w:vAlign w:val="center"/>
                </w:tcPr>
                <w:p w14:paraId="1D8BD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0.027</w:t>
                  </w:r>
                </w:p>
              </w:tc>
              <w:tc>
                <w:tcPr>
                  <w:tcW w:w="1080" w:type="dxa"/>
                  <w:tcBorders>
                    <w:tl2br w:val="nil"/>
                    <w:tr2bl w:val="nil"/>
                  </w:tcBorders>
                  <w:shd w:val="clear" w:color="auto" w:fill="auto"/>
                  <w:vAlign w:val="center"/>
                </w:tcPr>
                <w:p w14:paraId="336826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0.048</w:t>
                  </w:r>
                </w:p>
              </w:tc>
              <w:tc>
                <w:tcPr>
                  <w:tcW w:w="937" w:type="dxa"/>
                  <w:tcBorders>
                    <w:tl2br w:val="nil"/>
                    <w:tr2bl w:val="nil"/>
                  </w:tcBorders>
                  <w:shd w:val="clear" w:color="auto" w:fill="auto"/>
                  <w:vAlign w:val="center"/>
                </w:tcPr>
                <w:p w14:paraId="1E36A9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0.075</w:t>
                  </w:r>
                </w:p>
              </w:tc>
              <w:tc>
                <w:tcPr>
                  <w:tcW w:w="1080" w:type="dxa"/>
                  <w:tcBorders>
                    <w:tl2br w:val="nil"/>
                    <w:tr2bl w:val="nil"/>
                  </w:tcBorders>
                  <w:shd w:val="clear" w:color="auto" w:fill="auto"/>
                  <w:vAlign w:val="center"/>
                </w:tcPr>
                <w:p w14:paraId="584A66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0.108</w:t>
                  </w:r>
                </w:p>
              </w:tc>
              <w:tc>
                <w:tcPr>
                  <w:tcW w:w="1008" w:type="dxa"/>
                  <w:tcBorders>
                    <w:tl2br w:val="nil"/>
                    <w:tr2bl w:val="nil"/>
                  </w:tcBorders>
                  <w:shd w:val="clear" w:color="auto" w:fill="auto"/>
                  <w:vAlign w:val="center"/>
                </w:tcPr>
                <w:p w14:paraId="21C4AB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0.147</w:t>
                  </w:r>
                </w:p>
              </w:tc>
            </w:tr>
            <w:tr w14:paraId="0BFE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13B43B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粒径，μm</w:t>
                  </w:r>
                </w:p>
              </w:tc>
              <w:tc>
                <w:tcPr>
                  <w:tcW w:w="930" w:type="dxa"/>
                  <w:tcBorders>
                    <w:tl2br w:val="nil"/>
                    <w:tr2bl w:val="nil"/>
                  </w:tcBorders>
                  <w:shd w:val="clear" w:color="auto" w:fill="auto"/>
                  <w:vAlign w:val="center"/>
                </w:tcPr>
                <w:p w14:paraId="06E2B7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930" w:type="dxa"/>
                  <w:tcBorders>
                    <w:tl2br w:val="nil"/>
                    <w:tr2bl w:val="nil"/>
                  </w:tcBorders>
                  <w:shd w:val="clear" w:color="auto" w:fill="auto"/>
                  <w:vAlign w:val="center"/>
                </w:tcPr>
                <w:p w14:paraId="02666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w:t>
                  </w:r>
                </w:p>
              </w:tc>
              <w:tc>
                <w:tcPr>
                  <w:tcW w:w="930" w:type="dxa"/>
                  <w:tcBorders>
                    <w:tl2br w:val="nil"/>
                    <w:tr2bl w:val="nil"/>
                  </w:tcBorders>
                  <w:shd w:val="clear" w:color="auto" w:fill="auto"/>
                  <w:vAlign w:val="center"/>
                </w:tcPr>
                <w:p w14:paraId="67D3CD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c>
                <w:tcPr>
                  <w:tcW w:w="1080" w:type="dxa"/>
                  <w:tcBorders>
                    <w:tl2br w:val="nil"/>
                    <w:tr2bl w:val="nil"/>
                  </w:tcBorders>
                  <w:shd w:val="clear" w:color="auto" w:fill="auto"/>
                  <w:vAlign w:val="center"/>
                </w:tcPr>
                <w:p w14:paraId="71795E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937" w:type="dxa"/>
                  <w:tcBorders>
                    <w:tl2br w:val="nil"/>
                    <w:tr2bl w:val="nil"/>
                  </w:tcBorders>
                  <w:shd w:val="clear" w:color="auto" w:fill="auto"/>
                  <w:vAlign w:val="center"/>
                </w:tcPr>
                <w:p w14:paraId="5425AE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1080" w:type="dxa"/>
                  <w:tcBorders>
                    <w:tl2br w:val="nil"/>
                    <w:tr2bl w:val="nil"/>
                  </w:tcBorders>
                  <w:shd w:val="clear" w:color="auto" w:fill="auto"/>
                  <w:vAlign w:val="center"/>
                </w:tcPr>
                <w:p w14:paraId="6BCE24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1008" w:type="dxa"/>
                  <w:tcBorders>
                    <w:tl2br w:val="nil"/>
                    <w:tr2bl w:val="nil"/>
                  </w:tcBorders>
                  <w:shd w:val="clear" w:color="auto" w:fill="auto"/>
                  <w:vAlign w:val="center"/>
                </w:tcPr>
                <w:p w14:paraId="62DD54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r>
            <w:tr w14:paraId="0314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4F9C81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沉降速度，m/s</w:t>
                  </w:r>
                </w:p>
              </w:tc>
              <w:tc>
                <w:tcPr>
                  <w:tcW w:w="930" w:type="dxa"/>
                  <w:tcBorders>
                    <w:tl2br w:val="nil"/>
                    <w:tr2bl w:val="nil"/>
                  </w:tcBorders>
                  <w:shd w:val="clear" w:color="auto" w:fill="auto"/>
                  <w:vAlign w:val="center"/>
                </w:tcPr>
                <w:p w14:paraId="7EBF04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0.158</w:t>
                  </w:r>
                </w:p>
              </w:tc>
              <w:tc>
                <w:tcPr>
                  <w:tcW w:w="930" w:type="dxa"/>
                  <w:tcBorders>
                    <w:tl2br w:val="nil"/>
                    <w:tr2bl w:val="nil"/>
                  </w:tcBorders>
                  <w:shd w:val="clear" w:color="auto" w:fill="auto"/>
                  <w:vAlign w:val="center"/>
                </w:tcPr>
                <w:p w14:paraId="3AB7C9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0.17</w:t>
                  </w:r>
                </w:p>
              </w:tc>
              <w:tc>
                <w:tcPr>
                  <w:tcW w:w="930" w:type="dxa"/>
                  <w:tcBorders>
                    <w:tl2br w:val="nil"/>
                    <w:tr2bl w:val="nil"/>
                  </w:tcBorders>
                  <w:shd w:val="clear" w:color="auto" w:fill="auto"/>
                  <w:vAlign w:val="center"/>
                </w:tcPr>
                <w:p w14:paraId="5F04FF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0.182</w:t>
                  </w:r>
                </w:p>
              </w:tc>
              <w:tc>
                <w:tcPr>
                  <w:tcW w:w="1080" w:type="dxa"/>
                  <w:tcBorders>
                    <w:tl2br w:val="nil"/>
                    <w:tr2bl w:val="nil"/>
                  </w:tcBorders>
                  <w:shd w:val="clear" w:color="auto" w:fill="auto"/>
                  <w:vAlign w:val="center"/>
                </w:tcPr>
                <w:p w14:paraId="1B5B42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0.239</w:t>
                  </w:r>
                </w:p>
              </w:tc>
              <w:tc>
                <w:tcPr>
                  <w:tcW w:w="937" w:type="dxa"/>
                  <w:tcBorders>
                    <w:tl2br w:val="nil"/>
                    <w:tr2bl w:val="nil"/>
                  </w:tcBorders>
                  <w:shd w:val="clear" w:color="auto" w:fill="auto"/>
                  <w:vAlign w:val="center"/>
                </w:tcPr>
                <w:p w14:paraId="40B254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0.804</w:t>
                  </w:r>
                </w:p>
              </w:tc>
              <w:tc>
                <w:tcPr>
                  <w:tcW w:w="1080" w:type="dxa"/>
                  <w:tcBorders>
                    <w:tl2br w:val="nil"/>
                    <w:tr2bl w:val="nil"/>
                  </w:tcBorders>
                  <w:shd w:val="clear" w:color="auto" w:fill="auto"/>
                  <w:vAlign w:val="center"/>
                </w:tcPr>
                <w:p w14:paraId="4E6D9D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1.005</w:t>
                  </w:r>
                </w:p>
              </w:tc>
              <w:tc>
                <w:tcPr>
                  <w:tcW w:w="1008" w:type="dxa"/>
                  <w:tcBorders>
                    <w:tl2br w:val="nil"/>
                    <w:tr2bl w:val="nil"/>
                  </w:tcBorders>
                  <w:shd w:val="clear" w:color="auto" w:fill="auto"/>
                  <w:vAlign w:val="center"/>
                </w:tcPr>
                <w:p w14:paraId="280B96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0.829</w:t>
                  </w:r>
                </w:p>
              </w:tc>
            </w:tr>
            <w:tr w14:paraId="04C4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5684D8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粒径，μm</w:t>
                  </w:r>
                </w:p>
              </w:tc>
              <w:tc>
                <w:tcPr>
                  <w:tcW w:w="930" w:type="dxa"/>
                  <w:tcBorders>
                    <w:tl2br w:val="nil"/>
                    <w:tr2bl w:val="nil"/>
                  </w:tcBorders>
                  <w:shd w:val="clear" w:color="auto" w:fill="auto"/>
                  <w:vAlign w:val="center"/>
                </w:tcPr>
                <w:p w14:paraId="5D181C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w:t>
                  </w:r>
                </w:p>
              </w:tc>
              <w:tc>
                <w:tcPr>
                  <w:tcW w:w="930" w:type="dxa"/>
                  <w:tcBorders>
                    <w:tl2br w:val="nil"/>
                    <w:tr2bl w:val="nil"/>
                  </w:tcBorders>
                  <w:shd w:val="clear" w:color="auto" w:fill="auto"/>
                  <w:vAlign w:val="center"/>
                </w:tcPr>
                <w:p w14:paraId="2A679E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550</w:t>
                  </w:r>
                </w:p>
              </w:tc>
              <w:tc>
                <w:tcPr>
                  <w:tcW w:w="930" w:type="dxa"/>
                  <w:tcBorders>
                    <w:tl2br w:val="nil"/>
                    <w:tr2bl w:val="nil"/>
                  </w:tcBorders>
                  <w:shd w:val="clear" w:color="auto" w:fill="auto"/>
                  <w:vAlign w:val="center"/>
                </w:tcPr>
                <w:p w14:paraId="69566F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650</w:t>
                  </w:r>
                </w:p>
              </w:tc>
              <w:tc>
                <w:tcPr>
                  <w:tcW w:w="1080" w:type="dxa"/>
                  <w:tcBorders>
                    <w:tl2br w:val="nil"/>
                    <w:tr2bl w:val="nil"/>
                  </w:tcBorders>
                  <w:shd w:val="clear" w:color="auto" w:fill="auto"/>
                  <w:vAlign w:val="center"/>
                </w:tcPr>
                <w:p w14:paraId="6E451B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750</w:t>
                  </w:r>
                </w:p>
              </w:tc>
              <w:tc>
                <w:tcPr>
                  <w:tcW w:w="937" w:type="dxa"/>
                  <w:tcBorders>
                    <w:tl2br w:val="nil"/>
                    <w:tr2bl w:val="nil"/>
                  </w:tcBorders>
                  <w:shd w:val="clear" w:color="auto" w:fill="auto"/>
                  <w:vAlign w:val="center"/>
                </w:tcPr>
                <w:p w14:paraId="79FC0D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850</w:t>
                  </w:r>
                </w:p>
              </w:tc>
              <w:tc>
                <w:tcPr>
                  <w:tcW w:w="1080" w:type="dxa"/>
                  <w:tcBorders>
                    <w:tl2br w:val="nil"/>
                    <w:tr2bl w:val="nil"/>
                  </w:tcBorders>
                  <w:shd w:val="clear" w:color="auto" w:fill="auto"/>
                  <w:vAlign w:val="center"/>
                </w:tcPr>
                <w:p w14:paraId="00113F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950</w:t>
                  </w:r>
                </w:p>
              </w:tc>
              <w:tc>
                <w:tcPr>
                  <w:tcW w:w="1008" w:type="dxa"/>
                  <w:tcBorders>
                    <w:tl2br w:val="nil"/>
                    <w:tr2bl w:val="nil"/>
                  </w:tcBorders>
                  <w:shd w:val="clear" w:color="auto" w:fill="auto"/>
                  <w:vAlign w:val="center"/>
                </w:tcPr>
                <w:p w14:paraId="16B60E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1050</w:t>
                  </w:r>
                </w:p>
              </w:tc>
            </w:tr>
            <w:tr w14:paraId="7234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tcBorders>
                    <w:tl2br w:val="nil"/>
                    <w:tr2bl w:val="nil"/>
                  </w:tcBorders>
                  <w:shd w:val="clear" w:color="auto" w:fill="auto"/>
                  <w:vAlign w:val="center"/>
                </w:tcPr>
                <w:p w14:paraId="0F73F1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沉降速，m/s</w:t>
                  </w:r>
                </w:p>
              </w:tc>
              <w:tc>
                <w:tcPr>
                  <w:tcW w:w="930" w:type="dxa"/>
                  <w:tcBorders>
                    <w:tl2br w:val="nil"/>
                    <w:tr2bl w:val="nil"/>
                  </w:tcBorders>
                  <w:shd w:val="clear" w:color="auto" w:fill="auto"/>
                  <w:vAlign w:val="center"/>
                </w:tcPr>
                <w:p w14:paraId="3E6B84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2.211</w:t>
                  </w:r>
                </w:p>
              </w:tc>
              <w:tc>
                <w:tcPr>
                  <w:tcW w:w="930" w:type="dxa"/>
                  <w:tcBorders>
                    <w:tl2br w:val="nil"/>
                    <w:tr2bl w:val="nil"/>
                  </w:tcBorders>
                  <w:shd w:val="clear" w:color="auto" w:fill="auto"/>
                  <w:vAlign w:val="center"/>
                </w:tcPr>
                <w:p w14:paraId="56970D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2.614</w:t>
                  </w:r>
                </w:p>
              </w:tc>
              <w:tc>
                <w:tcPr>
                  <w:tcW w:w="930" w:type="dxa"/>
                  <w:tcBorders>
                    <w:tl2br w:val="nil"/>
                    <w:tr2bl w:val="nil"/>
                  </w:tcBorders>
                  <w:shd w:val="clear" w:color="auto" w:fill="auto"/>
                  <w:vAlign w:val="center"/>
                </w:tcPr>
                <w:p w14:paraId="1B0C1D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3.016</w:t>
                  </w:r>
                </w:p>
              </w:tc>
              <w:tc>
                <w:tcPr>
                  <w:tcW w:w="1080" w:type="dxa"/>
                  <w:tcBorders>
                    <w:tl2br w:val="nil"/>
                    <w:tr2bl w:val="nil"/>
                  </w:tcBorders>
                  <w:shd w:val="clear" w:color="auto" w:fill="auto"/>
                  <w:vAlign w:val="center"/>
                </w:tcPr>
                <w:p w14:paraId="619EF2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3.418</w:t>
                  </w:r>
                </w:p>
              </w:tc>
              <w:tc>
                <w:tcPr>
                  <w:tcW w:w="937" w:type="dxa"/>
                  <w:tcBorders>
                    <w:tl2br w:val="nil"/>
                    <w:tr2bl w:val="nil"/>
                  </w:tcBorders>
                  <w:shd w:val="clear" w:color="auto" w:fill="auto"/>
                  <w:vAlign w:val="center"/>
                </w:tcPr>
                <w:p w14:paraId="267935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382</w:t>
                  </w:r>
                </w:p>
              </w:tc>
              <w:tc>
                <w:tcPr>
                  <w:tcW w:w="1080" w:type="dxa"/>
                  <w:tcBorders>
                    <w:tl2br w:val="nil"/>
                    <w:tr2bl w:val="nil"/>
                  </w:tcBorders>
                  <w:shd w:val="clear" w:color="auto" w:fill="auto"/>
                  <w:vAlign w:val="center"/>
                </w:tcPr>
                <w:p w14:paraId="06682E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4.222</w:t>
                  </w:r>
                </w:p>
              </w:tc>
              <w:tc>
                <w:tcPr>
                  <w:tcW w:w="1008" w:type="dxa"/>
                  <w:tcBorders>
                    <w:tl2br w:val="nil"/>
                    <w:tr2bl w:val="nil"/>
                  </w:tcBorders>
                  <w:shd w:val="clear" w:color="auto" w:fill="auto"/>
                  <w:vAlign w:val="center"/>
                </w:tcPr>
                <w:p w14:paraId="68C700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4.624</w:t>
                  </w:r>
                </w:p>
              </w:tc>
            </w:tr>
          </w:tbl>
          <w:p w14:paraId="50B913D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由上表可知，尘粒的沉降速度随粒径的增大而迅速增大。当粒径为250</w:t>
            </w:r>
            <w:r>
              <w:rPr>
                <w:rFonts w:hint="default" w:ascii="Times New Roman" w:hAnsi="Times New Roman" w:eastAsia="宋体" w:cs="Times New Roman"/>
                <w:b w:val="0"/>
                <w:color w:val="auto"/>
                <w:kern w:val="2"/>
                <w:sz w:val="24"/>
                <w:szCs w:val="22"/>
                <w:highlight w:val="none"/>
                <w:lang w:val="en-US" w:eastAsia="zh-CN" w:bidi="ar-SA"/>
              </w:rPr>
              <w:sym w:font="Symbol" w:char="F06D"/>
            </w:r>
            <w:r>
              <w:rPr>
                <w:rFonts w:hint="default" w:ascii="Times New Roman" w:hAnsi="Times New Roman" w:eastAsia="宋体" w:cs="Times New Roman"/>
                <w:b w:val="0"/>
                <w:color w:val="auto"/>
                <w:kern w:val="2"/>
                <w:sz w:val="24"/>
                <w:szCs w:val="22"/>
                <w:highlight w:val="none"/>
                <w:lang w:val="en-US" w:eastAsia="zh-CN" w:bidi="ar-SA"/>
              </w:rPr>
              <w:t>m时，沉降速度为1.005m/s，因此可以认为当尘粒大于250</w:t>
            </w:r>
            <w:r>
              <w:rPr>
                <w:rFonts w:hint="default" w:ascii="Times New Roman" w:hAnsi="Times New Roman" w:eastAsia="宋体" w:cs="Times New Roman"/>
                <w:b w:val="0"/>
                <w:color w:val="auto"/>
                <w:kern w:val="2"/>
                <w:sz w:val="24"/>
                <w:szCs w:val="22"/>
                <w:highlight w:val="none"/>
                <w:lang w:val="en-US" w:eastAsia="zh-CN" w:bidi="ar-SA"/>
              </w:rPr>
              <w:sym w:font="Symbol" w:char="F06D"/>
            </w:r>
            <w:r>
              <w:rPr>
                <w:rFonts w:hint="default" w:ascii="Times New Roman" w:hAnsi="Times New Roman" w:eastAsia="宋体" w:cs="Times New Roman"/>
                <w:b w:val="0"/>
                <w:color w:val="auto"/>
                <w:kern w:val="2"/>
                <w:sz w:val="24"/>
                <w:szCs w:val="22"/>
                <w:highlight w:val="none"/>
                <w:lang w:val="en-US" w:eastAsia="zh-CN" w:bidi="ar-SA"/>
              </w:rPr>
              <w:t>m时，主要影响范围在扬尘点下风向近距离范围内，而真正对外环境产生影响的是一些微小尘粒。由于气候条件不同，其影响范围也有所不同，根据当地气象资料，施工扬尘的影响范围在200m范围内，本项目200m范围内无居民，因此施工过程中施工扬尘对周围环境及住户的影响较小。</w:t>
            </w:r>
          </w:p>
          <w:p w14:paraId="48F1986E">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（2）道路起尘</w:t>
            </w:r>
          </w:p>
          <w:p w14:paraId="4D5B673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道路扬尘主要是由于施工车辆在施工道路上运输施工材料而引起的，本项目施工材料的运输量较小，道路扬尘的产生量极小，通过定期清扫、洒水降尘等措施后，道路起尘对周围环境基本无影响。施工材料运输过程中篷布遮盖，选择周边居民较少的道路等。</w:t>
            </w:r>
          </w:p>
          <w:p w14:paraId="7725CD09">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（3）机械燃油废气</w:t>
            </w:r>
          </w:p>
          <w:p w14:paraId="6B0F944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施工燃油废气中的污染物主要包括THC、NO</w:t>
            </w:r>
            <w:r>
              <w:rPr>
                <w:rFonts w:hint="default" w:ascii="Times New Roman" w:hAnsi="Times New Roman" w:eastAsia="宋体" w:cs="Times New Roman"/>
                <w:b w:val="0"/>
                <w:color w:val="auto"/>
                <w:kern w:val="2"/>
                <w:sz w:val="24"/>
                <w:szCs w:val="22"/>
                <w:highlight w:val="none"/>
                <w:vertAlign w:val="subscript"/>
                <w:lang w:val="en-US" w:eastAsia="zh-CN" w:bidi="ar-SA"/>
              </w:rPr>
              <w:t>X</w:t>
            </w:r>
            <w:r>
              <w:rPr>
                <w:rFonts w:hint="default" w:ascii="Times New Roman" w:hAnsi="Times New Roman" w:eastAsia="宋体" w:cs="Times New Roman"/>
                <w:b w:val="0"/>
                <w:color w:val="auto"/>
                <w:kern w:val="2"/>
                <w:sz w:val="24"/>
                <w:szCs w:val="22"/>
                <w:highlight w:val="none"/>
                <w:lang w:val="en-US" w:eastAsia="zh-CN" w:bidi="ar-SA"/>
              </w:rPr>
              <w:t>、SO</w:t>
            </w:r>
            <w:r>
              <w:rPr>
                <w:rFonts w:hint="default" w:ascii="Times New Roman" w:hAnsi="Times New Roman" w:eastAsia="宋体" w:cs="Times New Roman"/>
                <w:b w:val="0"/>
                <w:color w:val="auto"/>
                <w:kern w:val="2"/>
                <w:sz w:val="24"/>
                <w:szCs w:val="22"/>
                <w:highlight w:val="none"/>
                <w:vertAlign w:val="subscript"/>
                <w:lang w:val="en-US" w:eastAsia="zh-CN" w:bidi="ar-SA"/>
              </w:rPr>
              <w:t>2</w:t>
            </w:r>
            <w:r>
              <w:rPr>
                <w:rFonts w:hint="default" w:ascii="Times New Roman" w:hAnsi="Times New Roman" w:eastAsia="宋体" w:cs="Times New Roman"/>
                <w:b w:val="0"/>
                <w:color w:val="auto"/>
                <w:kern w:val="2"/>
                <w:sz w:val="24"/>
                <w:szCs w:val="22"/>
                <w:highlight w:val="none"/>
                <w:lang w:val="en-US" w:eastAsia="zh-CN" w:bidi="ar-SA"/>
              </w:rPr>
              <w:t>等，燃油废气排放具有流动、分散的特点，施工过程采用分段施工，施工场地呈线状分布，同一施工区域中不同工程内容施工时段不同，机械燃油废气排放源密度不大，且施工区域地势平坦开阔，有较好的扩散条件，通过建设过程中选用低能耗、低污染排放的施工机械，选用较高质量的油品等措施可进一步减少机械燃油废气的产生，因此工程运输和施工过程中产生的机械燃油废气不会对区域环境空气质量产生大的影响。</w:t>
            </w:r>
          </w:p>
          <w:p w14:paraId="4957718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（4）混凝土临时拌合站废气</w:t>
            </w:r>
          </w:p>
          <w:p w14:paraId="53C75F0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eastAsia" w:cs="Times New Roman"/>
                <w:b w:val="0"/>
                <w:color w:val="auto"/>
                <w:kern w:val="2"/>
                <w:sz w:val="24"/>
                <w:szCs w:val="22"/>
                <w:highlight w:val="none"/>
                <w:lang w:val="en-US" w:eastAsia="zh-CN" w:bidi="ar-SA"/>
              </w:rPr>
              <w:t>本项目施工期10个月，拌合站运行时间为6个月（180d），每天运行8h。</w:t>
            </w:r>
            <w:r>
              <w:rPr>
                <w:rFonts w:hint="default" w:ascii="Times New Roman" w:hAnsi="Times New Roman" w:eastAsia="宋体" w:cs="Times New Roman"/>
                <w:b w:val="0"/>
                <w:color w:val="auto"/>
                <w:kern w:val="2"/>
                <w:sz w:val="24"/>
                <w:szCs w:val="22"/>
                <w:highlight w:val="none"/>
                <w:lang w:val="en-US" w:eastAsia="zh-CN" w:bidi="ar-SA"/>
              </w:rPr>
              <w:t>本项目混凝土所需原料均在当地购买，混凝土拌合站生产过程中产生的废气主要包括：卸料及储存粉尘、砂石料上料粉尘、皮带输送粉尘、水泥筒仓粉尘、</w:t>
            </w:r>
            <w:r>
              <w:rPr>
                <w:rFonts w:hint="eastAsia" w:cs="Times New Roman"/>
                <w:b w:val="0"/>
                <w:color w:val="auto"/>
                <w:kern w:val="2"/>
                <w:sz w:val="24"/>
                <w:szCs w:val="22"/>
                <w:highlight w:val="none"/>
                <w:lang w:val="en-US" w:eastAsia="zh-CN" w:bidi="ar-SA"/>
              </w:rPr>
              <w:t>粉煤灰筒仓仓顶呼吸口粉尘</w:t>
            </w:r>
            <w:r>
              <w:rPr>
                <w:rFonts w:hint="default" w:ascii="Times New Roman" w:hAnsi="Times New Roman" w:eastAsia="宋体" w:cs="Times New Roman"/>
                <w:b w:val="0"/>
                <w:color w:val="auto"/>
                <w:kern w:val="2"/>
                <w:sz w:val="24"/>
                <w:szCs w:val="22"/>
                <w:highlight w:val="none"/>
                <w:lang w:val="en-US" w:eastAsia="zh-CN" w:bidi="ar-SA"/>
              </w:rPr>
              <w:t>、搅拌粉尘。施工结束后混凝土拌合站作为临时工程将进行拆除。</w:t>
            </w:r>
          </w:p>
          <w:p w14:paraId="3258644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1）筒仓粉尘</w:t>
            </w:r>
          </w:p>
          <w:p w14:paraId="6D18922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①产污量</w:t>
            </w:r>
          </w:p>
          <w:p w14:paraId="1932020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sz w:val="24"/>
              </w:rPr>
            </w:pPr>
            <w:r>
              <w:rPr>
                <w:rFonts w:hint="default" w:ascii="Times New Roman" w:hAnsi="Times New Roman" w:eastAsia="宋体" w:cs="Times New Roman"/>
                <w:b w:val="0"/>
                <w:color w:val="000000"/>
                <w:kern w:val="0"/>
                <w:sz w:val="24"/>
                <w:szCs w:val="18"/>
                <w:lang w:val="en-US" w:eastAsia="zh-CN" w:bidi="ar-SA"/>
              </w:rPr>
              <w:t>水泥、粉煤灰、卸料过程中，粉料通过运输车辆与相应料筒仓管道封闭直连，启用车辆自带的空气压缩机，利用压缩空气将粉料通过管道输送至筒仓储存，细粉料卸料过程产生的粉尘由仓顶呼吸口排出。</w:t>
            </w:r>
            <w:r>
              <w:rPr>
                <w:rFonts w:hint="default" w:ascii="Times New Roman" w:hAnsi="Times New Roman"/>
                <w:color w:val="000000"/>
                <w:sz w:val="24"/>
              </w:rPr>
              <w:t>根据《未纳入排污许可管理行业适用的排污系数、物料衡算方法（试行）》中“50、水泥制品制造业产排污系数表”粉尘产生系数为</w:t>
            </w:r>
            <w:r>
              <w:rPr>
                <w:rFonts w:hint="eastAsia" w:ascii="Times New Roman" w:hAnsi="Times New Roman"/>
                <w:color w:val="000000"/>
                <w:sz w:val="24"/>
                <w:lang w:val="en-US" w:eastAsia="zh-CN"/>
              </w:rPr>
              <w:t>2.09</w:t>
            </w:r>
            <w:r>
              <w:rPr>
                <w:rFonts w:hint="default" w:ascii="Times New Roman" w:hAnsi="Times New Roman"/>
                <w:color w:val="000000"/>
                <w:sz w:val="24"/>
              </w:rPr>
              <w:t>kg/t，粉尘的排放系数为0.0</w:t>
            </w:r>
            <w:r>
              <w:rPr>
                <w:rFonts w:hint="eastAsia" w:ascii="Times New Roman" w:hAnsi="Times New Roman"/>
                <w:color w:val="000000"/>
                <w:sz w:val="24"/>
                <w:lang w:val="en-US" w:eastAsia="zh-CN"/>
              </w:rPr>
              <w:t>23</w:t>
            </w:r>
            <w:r>
              <w:rPr>
                <w:rFonts w:hint="default" w:ascii="Times New Roman" w:hAnsi="Times New Roman"/>
                <w:color w:val="000000"/>
                <w:sz w:val="24"/>
              </w:rPr>
              <w:t>kg/t，</w:t>
            </w:r>
            <w:r>
              <w:rPr>
                <w:rFonts w:hint="eastAsia" w:ascii="Times New Roman" w:hAnsi="Times New Roman"/>
                <w:color w:val="000000"/>
                <w:sz w:val="24"/>
                <w:lang w:eastAsia="zh-CN"/>
              </w:rPr>
              <w:t>本项目</w:t>
            </w:r>
            <w:r>
              <w:rPr>
                <w:rFonts w:hint="default" w:ascii="Times New Roman" w:hAnsi="Times New Roman"/>
                <w:color w:val="000000"/>
                <w:sz w:val="24"/>
              </w:rPr>
              <w:t>水泥</w:t>
            </w:r>
            <w:r>
              <w:rPr>
                <w:rFonts w:hint="eastAsia" w:ascii="Times New Roman" w:hAnsi="Times New Roman"/>
                <w:color w:val="000000"/>
                <w:sz w:val="24"/>
                <w:lang w:eastAsia="zh-CN"/>
              </w:rPr>
              <w:t>、粉煤灰总</w:t>
            </w:r>
            <w:r>
              <w:rPr>
                <w:rFonts w:hint="eastAsia" w:ascii="Times New Roman" w:hAnsi="Times New Roman"/>
                <w:color w:val="000000"/>
                <w:sz w:val="24"/>
              </w:rPr>
              <w:t>用量</w:t>
            </w:r>
            <w:r>
              <w:rPr>
                <w:rFonts w:hint="default" w:ascii="Times New Roman" w:hAnsi="Times New Roman"/>
                <w:color w:val="000000"/>
                <w:sz w:val="24"/>
              </w:rPr>
              <w:t>为</w:t>
            </w:r>
            <w:r>
              <w:rPr>
                <w:rFonts w:hint="eastAsia" w:ascii="Times New Roman" w:hAnsi="Times New Roman"/>
                <w:color w:val="000000"/>
                <w:sz w:val="24"/>
                <w:lang w:val="en-US" w:eastAsia="zh-CN"/>
              </w:rPr>
              <w:t>9580</w:t>
            </w:r>
            <w:r>
              <w:rPr>
                <w:rFonts w:hint="default" w:ascii="Times New Roman" w:hAnsi="Times New Roman"/>
                <w:color w:val="000000"/>
                <w:sz w:val="24"/>
              </w:rPr>
              <w:t>t/a，则项目筒仓粉尘产生情况如表</w:t>
            </w:r>
            <w:r>
              <w:rPr>
                <w:rFonts w:hint="eastAsia" w:ascii="Times New Roman" w:hAnsi="Times New Roman"/>
                <w:color w:val="000000"/>
                <w:sz w:val="24"/>
                <w:lang w:val="en-US" w:eastAsia="zh-CN"/>
              </w:rPr>
              <w:t>4-2</w:t>
            </w:r>
            <w:r>
              <w:rPr>
                <w:rFonts w:hint="default" w:ascii="Times New Roman" w:hAnsi="Times New Roman"/>
                <w:color w:val="000000"/>
                <w:sz w:val="24"/>
              </w:rPr>
              <w:t>所示。</w:t>
            </w:r>
          </w:p>
          <w:p w14:paraId="5345AC34">
            <w:pPr>
              <w:keepNext w:val="0"/>
              <w:keepLines w:val="0"/>
              <w:suppressLineNumbers w:val="0"/>
              <w:adjustRightInd w:val="0"/>
              <w:spacing w:before="0" w:beforeAutospacing="0" w:after="0" w:afterAutospacing="0"/>
              <w:ind w:left="0" w:right="0"/>
              <w:jc w:val="center"/>
              <w:rPr>
                <w:rFonts w:hint="default" w:ascii="Times New Roman" w:hAnsi="宋体"/>
                <w:b/>
                <w:color w:val="000000"/>
                <w:sz w:val="24"/>
              </w:rPr>
            </w:pPr>
            <w:r>
              <w:rPr>
                <w:rFonts w:hint="default" w:ascii="Times New Roman" w:hAnsi="宋体"/>
                <w:b/>
                <w:color w:val="000000"/>
                <w:sz w:val="24"/>
              </w:rPr>
              <w:t>表</w:t>
            </w:r>
            <w:r>
              <w:rPr>
                <w:rFonts w:hint="eastAsia" w:ascii="Times New Roman" w:hAnsi="宋体"/>
                <w:b/>
                <w:color w:val="000000"/>
                <w:sz w:val="24"/>
                <w:lang w:val="en-US" w:eastAsia="zh-CN"/>
              </w:rPr>
              <w:t>4-2</w:t>
            </w:r>
            <w:r>
              <w:rPr>
                <w:rFonts w:hint="default" w:ascii="Times New Roman" w:hAnsi="宋体"/>
                <w:b/>
                <w:color w:val="000000"/>
                <w:sz w:val="24"/>
              </w:rPr>
              <w:t xml:space="preserve">   筒仓粉尘产生及排放量一览表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31"/>
              <w:gridCol w:w="1336"/>
              <w:gridCol w:w="1182"/>
              <w:gridCol w:w="1436"/>
              <w:gridCol w:w="1254"/>
              <w:gridCol w:w="1457"/>
              <w:gridCol w:w="1360"/>
            </w:tblGrid>
            <w:tr w14:paraId="75B1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569" w:type="pct"/>
                  <w:noWrap w:val="0"/>
                  <w:vAlign w:val="center"/>
                </w:tcPr>
                <w:p w14:paraId="1E57525D">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筒仓数目</w:t>
                  </w:r>
                </w:p>
              </w:tc>
              <w:tc>
                <w:tcPr>
                  <w:tcW w:w="737" w:type="pct"/>
                  <w:noWrap w:val="0"/>
                  <w:vAlign w:val="center"/>
                </w:tcPr>
                <w:p w14:paraId="5094C160">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产污系</w:t>
                  </w:r>
                  <w:r>
                    <w:rPr>
                      <w:rFonts w:hint="eastAsia" w:ascii="Times New Roman" w:hAnsi="Times New Roman"/>
                      <w:color w:val="000000"/>
                      <w:szCs w:val="21"/>
                      <w:lang w:eastAsia="zh-CN"/>
                    </w:rPr>
                    <w:t>数</w:t>
                  </w:r>
                  <w:r>
                    <w:rPr>
                      <w:rFonts w:hint="default" w:ascii="Times New Roman" w:hAnsi="Times New Roman"/>
                      <w:color w:val="000000"/>
                      <w:szCs w:val="21"/>
                    </w:rPr>
                    <w:cr/>
                  </w:r>
                </w:p>
              </w:tc>
              <w:tc>
                <w:tcPr>
                  <w:tcW w:w="652" w:type="pct"/>
                  <w:noWrap w:val="0"/>
                  <w:vAlign w:val="center"/>
                </w:tcPr>
                <w:p w14:paraId="649A77D8">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粉尘产生量（t/a）</w:t>
                  </w:r>
                </w:p>
              </w:tc>
              <w:tc>
                <w:tcPr>
                  <w:tcW w:w="792" w:type="pct"/>
                  <w:noWrap w:val="0"/>
                  <w:vAlign w:val="center"/>
                </w:tcPr>
                <w:p w14:paraId="5AF7B07A">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除尘设施</w:t>
                  </w:r>
                </w:p>
              </w:tc>
              <w:tc>
                <w:tcPr>
                  <w:tcW w:w="692" w:type="pct"/>
                  <w:noWrap w:val="0"/>
                  <w:vAlign w:val="center"/>
                </w:tcPr>
                <w:p w14:paraId="7A94E8B7">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除尘效率(%)</w:t>
                  </w:r>
                </w:p>
              </w:tc>
              <w:tc>
                <w:tcPr>
                  <w:tcW w:w="804" w:type="pct"/>
                  <w:noWrap w:val="0"/>
                  <w:vAlign w:val="center"/>
                </w:tcPr>
                <w:p w14:paraId="7D21BB4C">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排放系数</w:t>
                  </w:r>
                </w:p>
              </w:tc>
              <w:tc>
                <w:tcPr>
                  <w:tcW w:w="750" w:type="pct"/>
                  <w:noWrap w:val="0"/>
                  <w:vAlign w:val="center"/>
                </w:tcPr>
                <w:p w14:paraId="628127E8">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排放量（t/a）</w:t>
                  </w:r>
                </w:p>
              </w:tc>
            </w:tr>
            <w:tr w14:paraId="43A7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jc w:val="center"/>
              </w:trPr>
              <w:tc>
                <w:tcPr>
                  <w:tcW w:w="569" w:type="pct"/>
                  <w:noWrap w:val="0"/>
                  <w:vAlign w:val="center"/>
                </w:tcPr>
                <w:p w14:paraId="21F2F011">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eastAsia" w:ascii="Times New Roman" w:hAnsi="Times New Roman"/>
                      <w:color w:val="000000"/>
                      <w:szCs w:val="21"/>
                      <w:lang w:val="en-US" w:eastAsia="zh-CN"/>
                    </w:rPr>
                    <w:t>2</w:t>
                  </w:r>
                  <w:r>
                    <w:rPr>
                      <w:rFonts w:hint="default" w:ascii="Times New Roman" w:hAnsi="Times New Roman"/>
                      <w:color w:val="000000"/>
                      <w:szCs w:val="21"/>
                    </w:rPr>
                    <w:t>座</w:t>
                  </w:r>
                </w:p>
              </w:tc>
              <w:tc>
                <w:tcPr>
                  <w:tcW w:w="737" w:type="pct"/>
                  <w:noWrap w:val="0"/>
                  <w:vAlign w:val="center"/>
                </w:tcPr>
                <w:p w14:paraId="3B17867E">
                  <w:pPr>
                    <w:keepNext w:val="0"/>
                    <w:keepLines w:val="0"/>
                    <w:suppressLineNumbers w:val="0"/>
                    <w:spacing w:before="0" w:beforeAutospacing="0" w:after="0" w:afterAutospacing="0"/>
                    <w:ind w:left="0" w:right="0"/>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2.09</w:t>
                  </w:r>
                </w:p>
              </w:tc>
              <w:tc>
                <w:tcPr>
                  <w:tcW w:w="652" w:type="pct"/>
                  <w:noWrap w:val="0"/>
                  <w:vAlign w:val="center"/>
                </w:tcPr>
                <w:p w14:paraId="7674D33E">
                  <w:pPr>
                    <w:keepNext w:val="0"/>
                    <w:keepLines w:val="0"/>
                    <w:suppressLineNumbers w:val="0"/>
                    <w:spacing w:before="0" w:beforeAutospacing="0" w:after="0" w:afterAutospacing="0"/>
                    <w:ind w:left="0" w:right="0"/>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20.02</w:t>
                  </w:r>
                </w:p>
              </w:tc>
              <w:tc>
                <w:tcPr>
                  <w:tcW w:w="792" w:type="pct"/>
                  <w:noWrap w:val="0"/>
                  <w:vAlign w:val="center"/>
                </w:tcPr>
                <w:p w14:paraId="4D2912BA">
                  <w:pPr>
                    <w:keepNext w:val="0"/>
                    <w:keepLines w:val="0"/>
                    <w:suppressLineNumbers w:val="0"/>
                    <w:spacing w:before="0" w:beforeAutospacing="0" w:after="0" w:afterAutospacing="0"/>
                    <w:ind w:left="0" w:right="0"/>
                    <w:jc w:val="center"/>
                    <w:rPr>
                      <w:rFonts w:hint="default" w:ascii="Times New Roman" w:hAnsi="Times New Roman"/>
                      <w:color w:val="000000"/>
                      <w:szCs w:val="21"/>
                    </w:rPr>
                  </w:pPr>
                  <w:r>
                    <w:rPr>
                      <w:rFonts w:hint="default" w:ascii="Times New Roman" w:hAnsi="Times New Roman"/>
                      <w:color w:val="000000"/>
                      <w:szCs w:val="21"/>
                    </w:rPr>
                    <w:t>滤芯除尘器</w:t>
                  </w:r>
                </w:p>
              </w:tc>
              <w:tc>
                <w:tcPr>
                  <w:tcW w:w="692" w:type="pct"/>
                  <w:noWrap w:val="0"/>
                  <w:vAlign w:val="center"/>
                </w:tcPr>
                <w:p w14:paraId="0F2CCE06">
                  <w:pPr>
                    <w:keepNext w:val="0"/>
                    <w:keepLines w:val="0"/>
                    <w:suppressLineNumbers w:val="0"/>
                    <w:spacing w:before="0" w:beforeAutospacing="0" w:after="0" w:afterAutospacing="0"/>
                    <w:ind w:left="0" w:right="0"/>
                    <w:jc w:val="center"/>
                    <w:rPr>
                      <w:rFonts w:hint="default" w:ascii="Times New Roman" w:hAnsi="Times New Roman" w:eastAsia="宋体"/>
                      <w:color w:val="000000"/>
                      <w:szCs w:val="21"/>
                      <w:lang w:val="en-US" w:eastAsia="zh-CN"/>
                    </w:rPr>
                  </w:pPr>
                  <w:r>
                    <w:rPr>
                      <w:rFonts w:hint="eastAsia" w:ascii="Times New Roman" w:hAnsi="Times New Roman"/>
                      <w:color w:val="000000"/>
                      <w:szCs w:val="21"/>
                    </w:rPr>
                    <w:t>9</w:t>
                  </w:r>
                  <w:r>
                    <w:rPr>
                      <w:rFonts w:hint="eastAsia" w:ascii="Times New Roman" w:hAnsi="Times New Roman"/>
                      <w:color w:val="000000"/>
                      <w:szCs w:val="21"/>
                      <w:lang w:val="en-US" w:eastAsia="zh-CN"/>
                    </w:rPr>
                    <w:t>7.9</w:t>
                  </w:r>
                </w:p>
              </w:tc>
              <w:tc>
                <w:tcPr>
                  <w:tcW w:w="804" w:type="pct"/>
                  <w:noWrap w:val="0"/>
                  <w:vAlign w:val="center"/>
                </w:tcPr>
                <w:p w14:paraId="3A2A2085">
                  <w:pPr>
                    <w:keepNext w:val="0"/>
                    <w:keepLines w:val="0"/>
                    <w:suppressLineNumbers w:val="0"/>
                    <w:spacing w:before="0" w:beforeAutospacing="0" w:after="0" w:afterAutospacing="0"/>
                    <w:ind w:left="0" w:right="0"/>
                    <w:jc w:val="center"/>
                    <w:rPr>
                      <w:rFonts w:hint="default" w:ascii="Times New Roman" w:hAnsi="Times New Roman" w:eastAsia="宋体"/>
                      <w:color w:val="000000"/>
                      <w:szCs w:val="21"/>
                      <w:lang w:val="en-US" w:eastAsia="zh-CN"/>
                    </w:rPr>
                  </w:pPr>
                  <w:r>
                    <w:rPr>
                      <w:rFonts w:hint="default" w:ascii="Times New Roman" w:hAnsi="Times New Roman"/>
                      <w:color w:val="000000"/>
                      <w:szCs w:val="21"/>
                    </w:rPr>
                    <w:t>0.0</w:t>
                  </w:r>
                  <w:r>
                    <w:rPr>
                      <w:rFonts w:hint="eastAsia" w:ascii="Times New Roman" w:hAnsi="Times New Roman"/>
                      <w:color w:val="000000"/>
                      <w:szCs w:val="21"/>
                      <w:lang w:val="en-US" w:eastAsia="zh-CN"/>
                    </w:rPr>
                    <w:t>23</w:t>
                  </w:r>
                </w:p>
              </w:tc>
              <w:tc>
                <w:tcPr>
                  <w:tcW w:w="750" w:type="pct"/>
                  <w:noWrap w:val="0"/>
                  <w:vAlign w:val="center"/>
                </w:tcPr>
                <w:p w14:paraId="64711956">
                  <w:pPr>
                    <w:keepNext w:val="0"/>
                    <w:keepLines w:val="0"/>
                    <w:suppressLineNumbers w:val="0"/>
                    <w:spacing w:before="0" w:beforeAutospacing="0" w:after="0" w:afterAutospacing="0"/>
                    <w:ind w:left="0" w:right="0"/>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0.22</w:t>
                  </w:r>
                </w:p>
              </w:tc>
            </w:tr>
          </w:tbl>
          <w:p w14:paraId="344274F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2）搅拌机废气</w:t>
            </w:r>
          </w:p>
          <w:p w14:paraId="33FB817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sz w:val="24"/>
              </w:rPr>
            </w:pPr>
            <w:r>
              <w:rPr>
                <w:rFonts w:hint="default" w:ascii="Times New Roman" w:hAnsi="Times New Roman" w:eastAsia="宋体" w:cs="Times New Roman"/>
                <w:b w:val="0"/>
                <w:color w:val="auto"/>
                <w:kern w:val="2"/>
                <w:sz w:val="24"/>
                <w:szCs w:val="22"/>
                <w:highlight w:val="none"/>
                <w:lang w:val="en-US" w:eastAsia="zh-CN" w:bidi="ar-SA"/>
              </w:rPr>
              <w:t>本项目设有1台搅拌机，</w:t>
            </w:r>
            <w:r>
              <w:rPr>
                <w:rFonts w:hint="eastAsia" w:cs="Times New Roman"/>
                <w:b w:val="0"/>
                <w:color w:val="auto"/>
                <w:kern w:val="2"/>
                <w:sz w:val="24"/>
                <w:szCs w:val="22"/>
                <w:highlight w:val="none"/>
                <w:lang w:val="en-US" w:eastAsia="zh-CN" w:bidi="ar-SA"/>
              </w:rPr>
              <w:t>设置封闭厂房内，本项目搅拌工序在搅拌机进料口上方设置</w:t>
            </w:r>
            <w:r>
              <w:rPr>
                <w:rFonts w:hint="default" w:ascii="Times New Roman" w:hAnsi="Times New Roman" w:eastAsia="宋体" w:cs="Times New Roman"/>
                <w:b w:val="0"/>
                <w:color w:val="auto"/>
                <w:kern w:val="2"/>
                <w:sz w:val="24"/>
                <w:szCs w:val="22"/>
                <w:highlight w:val="none"/>
                <w:lang w:val="en-US" w:eastAsia="zh-CN" w:bidi="ar-SA"/>
              </w:rPr>
              <w:t>集气罩+</w:t>
            </w:r>
            <w:r>
              <w:rPr>
                <w:rFonts w:hint="eastAsia" w:cs="Times New Roman"/>
                <w:b w:val="0"/>
                <w:color w:val="auto"/>
                <w:kern w:val="2"/>
                <w:sz w:val="24"/>
                <w:szCs w:val="22"/>
                <w:highlight w:val="none"/>
                <w:lang w:val="en-US" w:eastAsia="zh-CN" w:bidi="ar-SA"/>
              </w:rPr>
              <w:t>脉冲式</w:t>
            </w:r>
            <w:r>
              <w:rPr>
                <w:rFonts w:hint="default" w:ascii="Times New Roman" w:hAnsi="Times New Roman" w:eastAsia="宋体" w:cs="Times New Roman"/>
                <w:b w:val="0"/>
                <w:color w:val="auto"/>
                <w:kern w:val="2"/>
                <w:sz w:val="24"/>
                <w:szCs w:val="22"/>
                <w:highlight w:val="none"/>
                <w:lang w:val="en-US" w:eastAsia="zh-CN" w:bidi="ar-SA"/>
              </w:rPr>
              <w:t>布袋除尘器</w:t>
            </w:r>
            <w:r>
              <w:rPr>
                <w:rFonts w:hint="eastAsia" w:cs="Times New Roman"/>
                <w:b w:val="0"/>
                <w:color w:val="auto"/>
                <w:kern w:val="2"/>
                <w:sz w:val="24"/>
                <w:szCs w:val="22"/>
                <w:highlight w:val="none"/>
                <w:lang w:val="en-US" w:eastAsia="zh-CN" w:bidi="ar-SA"/>
              </w:rPr>
              <w:t>，经</w:t>
            </w:r>
            <w:r>
              <w:rPr>
                <w:rFonts w:hint="default" w:ascii="Times New Roman" w:hAnsi="Times New Roman" w:eastAsia="宋体" w:cs="Times New Roman"/>
                <w:b w:val="0"/>
                <w:color w:val="auto"/>
                <w:kern w:val="2"/>
                <w:sz w:val="24"/>
                <w:szCs w:val="22"/>
                <w:highlight w:val="none"/>
                <w:lang w:val="en-US" w:eastAsia="zh-CN" w:bidi="ar-SA"/>
              </w:rPr>
              <w:t>处理后通过15m高的排气筒排放。</w:t>
            </w:r>
            <w:r>
              <w:rPr>
                <w:rFonts w:hint="default" w:ascii="Times New Roman" w:hAnsi="Times New Roman"/>
                <w:color w:val="000000"/>
                <w:sz w:val="24"/>
              </w:rPr>
              <w:t>根据《未纳入排污许可管理行业适用的排污系数、物料衡算方法（试行）》中“50、水泥制品制造业产排污系数表”粉尘产生系数为</w:t>
            </w:r>
            <w:r>
              <w:rPr>
                <w:rFonts w:hint="eastAsia"/>
                <w:color w:val="000000"/>
                <w:sz w:val="24"/>
                <w:lang w:val="en-US" w:eastAsia="zh-CN"/>
              </w:rPr>
              <w:t>5.75</w:t>
            </w:r>
            <w:r>
              <w:rPr>
                <w:rFonts w:hint="default" w:ascii="Times New Roman" w:hAnsi="Times New Roman"/>
                <w:color w:val="000000"/>
                <w:sz w:val="24"/>
              </w:rPr>
              <w:t>kg/t</w:t>
            </w:r>
            <w:r>
              <w:rPr>
                <w:rFonts w:hint="eastAsia"/>
                <w:color w:val="000000"/>
                <w:sz w:val="24"/>
                <w:lang w:val="en-US" w:eastAsia="zh-CN"/>
              </w:rPr>
              <w:t>-水泥</w:t>
            </w:r>
            <w:r>
              <w:rPr>
                <w:rFonts w:hint="default" w:ascii="Times New Roman" w:hAnsi="Times New Roman"/>
                <w:color w:val="000000"/>
                <w:sz w:val="24"/>
              </w:rPr>
              <w:t>，粉尘的排放系数为0.0</w:t>
            </w:r>
            <w:r>
              <w:rPr>
                <w:rFonts w:hint="eastAsia"/>
                <w:color w:val="000000"/>
                <w:sz w:val="24"/>
                <w:lang w:val="en-US" w:eastAsia="zh-CN"/>
              </w:rPr>
              <w:t>7</w:t>
            </w:r>
            <w:r>
              <w:rPr>
                <w:rFonts w:hint="default" w:ascii="Times New Roman" w:hAnsi="Times New Roman"/>
                <w:color w:val="000000"/>
                <w:sz w:val="24"/>
              </w:rPr>
              <w:t>kg/t</w:t>
            </w:r>
            <w:r>
              <w:rPr>
                <w:rFonts w:hint="eastAsia"/>
                <w:color w:val="000000"/>
                <w:sz w:val="24"/>
                <w:lang w:val="en-US" w:eastAsia="zh-CN"/>
              </w:rPr>
              <w:t>-水泥</w:t>
            </w:r>
            <w:r>
              <w:rPr>
                <w:rFonts w:hint="default" w:ascii="Times New Roman" w:hAnsi="Times New Roman"/>
                <w:color w:val="000000"/>
                <w:sz w:val="24"/>
              </w:rPr>
              <w:t>，</w:t>
            </w:r>
            <w:r>
              <w:rPr>
                <w:rFonts w:hint="eastAsia" w:ascii="Times New Roman" w:hAnsi="Times New Roman"/>
                <w:color w:val="000000"/>
                <w:sz w:val="24"/>
                <w:lang w:eastAsia="zh-CN"/>
              </w:rPr>
              <w:t>本项目</w:t>
            </w:r>
            <w:r>
              <w:rPr>
                <w:rFonts w:hint="default" w:ascii="Times New Roman" w:hAnsi="Times New Roman"/>
                <w:color w:val="000000"/>
                <w:sz w:val="24"/>
              </w:rPr>
              <w:t>水泥</w:t>
            </w:r>
            <w:r>
              <w:rPr>
                <w:rFonts w:hint="eastAsia" w:ascii="Times New Roman" w:hAnsi="Times New Roman"/>
                <w:color w:val="000000"/>
                <w:sz w:val="24"/>
              </w:rPr>
              <w:t>用量</w:t>
            </w:r>
            <w:r>
              <w:rPr>
                <w:rFonts w:hint="default" w:ascii="Times New Roman" w:hAnsi="Times New Roman"/>
                <w:color w:val="000000"/>
                <w:sz w:val="24"/>
              </w:rPr>
              <w:t>为</w:t>
            </w:r>
            <w:r>
              <w:rPr>
                <w:rFonts w:hint="eastAsia"/>
                <w:color w:val="000000"/>
                <w:sz w:val="24"/>
                <w:lang w:val="en-US" w:eastAsia="zh-CN"/>
              </w:rPr>
              <w:t>7664</w:t>
            </w:r>
            <w:r>
              <w:rPr>
                <w:rFonts w:hint="default" w:ascii="Times New Roman" w:hAnsi="Times New Roman"/>
                <w:color w:val="000000"/>
                <w:sz w:val="24"/>
              </w:rPr>
              <w:t>t/a，则项目</w:t>
            </w:r>
            <w:r>
              <w:rPr>
                <w:rFonts w:hint="eastAsia"/>
                <w:color w:val="000000"/>
                <w:sz w:val="24"/>
                <w:lang w:eastAsia="zh-CN"/>
              </w:rPr>
              <w:t>搅拌机</w:t>
            </w:r>
            <w:r>
              <w:rPr>
                <w:rFonts w:hint="default" w:ascii="Times New Roman" w:hAnsi="Times New Roman"/>
                <w:color w:val="000000"/>
                <w:sz w:val="24"/>
              </w:rPr>
              <w:t>粉尘产生</w:t>
            </w:r>
            <w:r>
              <w:rPr>
                <w:rFonts w:hint="eastAsia"/>
                <w:color w:val="000000"/>
                <w:sz w:val="24"/>
                <w:lang w:eastAsia="zh-CN"/>
              </w:rPr>
              <w:t>量为</w:t>
            </w:r>
            <w:r>
              <w:rPr>
                <w:rFonts w:hint="eastAsia"/>
                <w:color w:val="000000"/>
                <w:sz w:val="24"/>
                <w:lang w:val="en-US" w:eastAsia="zh-CN"/>
              </w:rPr>
              <w:t>44.06</w:t>
            </w:r>
            <w:r>
              <w:rPr>
                <w:rFonts w:hint="default" w:ascii="Times New Roman" w:hAnsi="Times New Roman" w:eastAsia="宋体" w:cs="Times New Roman"/>
                <w:b w:val="0"/>
                <w:color w:val="auto"/>
                <w:kern w:val="2"/>
                <w:sz w:val="24"/>
                <w:szCs w:val="22"/>
                <w:highlight w:val="none"/>
                <w:lang w:val="en-US" w:eastAsia="zh-CN" w:bidi="ar-SA"/>
              </w:rPr>
              <w:t>t/a</w:t>
            </w:r>
            <w:r>
              <w:rPr>
                <w:rFonts w:hint="default" w:ascii="Times New Roman" w:hAnsi="Times New Roman"/>
                <w:color w:val="000000"/>
                <w:sz w:val="24"/>
              </w:rPr>
              <w:t>。</w:t>
            </w:r>
          </w:p>
          <w:p w14:paraId="2AE6E52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eastAsia" w:cs="Times New Roman"/>
                <w:b w:val="0"/>
                <w:color w:val="auto"/>
                <w:kern w:val="2"/>
                <w:sz w:val="24"/>
                <w:szCs w:val="22"/>
                <w:highlight w:val="none"/>
                <w:lang w:val="en-US" w:eastAsia="zh-CN" w:bidi="ar-SA"/>
              </w:rPr>
              <w:t>项目</w:t>
            </w:r>
            <w:r>
              <w:rPr>
                <w:rFonts w:hint="default" w:ascii="Times New Roman" w:hAnsi="Times New Roman" w:eastAsia="宋体" w:cs="Times New Roman"/>
                <w:b w:val="0"/>
                <w:color w:val="auto"/>
                <w:kern w:val="2"/>
                <w:sz w:val="24"/>
                <w:szCs w:val="22"/>
                <w:highlight w:val="none"/>
                <w:lang w:val="en-US" w:eastAsia="zh-CN" w:bidi="ar-SA"/>
              </w:rPr>
              <w:t>集气罩收集效率以90%计，布袋除尘器处理效率以99</w:t>
            </w:r>
            <w:r>
              <w:rPr>
                <w:rFonts w:hint="eastAsia" w:cs="Times New Roman"/>
                <w:b w:val="0"/>
                <w:color w:val="auto"/>
                <w:kern w:val="2"/>
                <w:sz w:val="24"/>
                <w:szCs w:val="22"/>
                <w:highlight w:val="none"/>
                <w:lang w:val="en-US" w:eastAsia="zh-CN" w:bidi="ar-SA"/>
              </w:rPr>
              <w:t>.9</w:t>
            </w:r>
            <w:r>
              <w:rPr>
                <w:rFonts w:hint="default" w:ascii="Times New Roman" w:hAnsi="Times New Roman" w:eastAsia="宋体" w:cs="Times New Roman"/>
                <w:b w:val="0"/>
                <w:color w:val="auto"/>
                <w:kern w:val="2"/>
                <w:sz w:val="24"/>
                <w:szCs w:val="22"/>
                <w:highlight w:val="none"/>
                <w:lang w:val="en-US" w:eastAsia="zh-CN" w:bidi="ar-SA"/>
              </w:rPr>
              <w:t>%计，风机风量为</w:t>
            </w:r>
            <w:r>
              <w:rPr>
                <w:rFonts w:hint="eastAsia" w:cs="Times New Roman"/>
                <w:b w:val="0"/>
                <w:color w:val="auto"/>
                <w:kern w:val="2"/>
                <w:sz w:val="24"/>
                <w:szCs w:val="22"/>
                <w:highlight w:val="none"/>
                <w:lang w:val="en-US" w:eastAsia="zh-CN" w:bidi="ar-SA"/>
              </w:rPr>
              <w:t>5</w:t>
            </w:r>
            <w:r>
              <w:rPr>
                <w:rFonts w:hint="default" w:ascii="Times New Roman" w:hAnsi="Times New Roman" w:eastAsia="宋体" w:cs="Times New Roman"/>
                <w:b w:val="0"/>
                <w:color w:val="auto"/>
                <w:kern w:val="2"/>
                <w:sz w:val="24"/>
                <w:szCs w:val="22"/>
                <w:highlight w:val="none"/>
                <w:lang w:val="en-US" w:eastAsia="zh-CN" w:bidi="ar-SA"/>
              </w:rPr>
              <w:t>000m</w:t>
            </w:r>
            <w:r>
              <w:rPr>
                <w:rFonts w:hint="default" w:ascii="Times New Roman" w:hAnsi="Times New Roman" w:eastAsia="宋体" w:cs="Times New Roman"/>
                <w:b w:val="0"/>
                <w:color w:val="auto"/>
                <w:kern w:val="2"/>
                <w:sz w:val="24"/>
                <w:szCs w:val="22"/>
                <w:highlight w:val="none"/>
                <w:vertAlign w:val="superscript"/>
                <w:lang w:val="en-US" w:eastAsia="zh-CN" w:bidi="ar-SA"/>
              </w:rPr>
              <w:t>3</w:t>
            </w:r>
            <w:r>
              <w:rPr>
                <w:rFonts w:hint="default" w:ascii="Times New Roman" w:hAnsi="Times New Roman" w:eastAsia="宋体" w:cs="Times New Roman"/>
                <w:b w:val="0"/>
                <w:color w:val="auto"/>
                <w:kern w:val="2"/>
                <w:sz w:val="24"/>
                <w:szCs w:val="22"/>
                <w:highlight w:val="none"/>
                <w:lang w:val="en-US" w:eastAsia="zh-CN" w:bidi="ar-SA"/>
              </w:rPr>
              <w:t>/h，则搅拌机粉尘有组织排放量为0.</w:t>
            </w:r>
            <w:r>
              <w:rPr>
                <w:rFonts w:hint="eastAsia" w:cs="Times New Roman"/>
                <w:b w:val="0"/>
                <w:color w:val="auto"/>
                <w:kern w:val="2"/>
                <w:sz w:val="24"/>
                <w:szCs w:val="22"/>
                <w:highlight w:val="none"/>
                <w:lang w:val="en-US" w:eastAsia="zh-CN" w:bidi="ar-SA"/>
              </w:rPr>
              <w:t>04</w:t>
            </w:r>
            <w:r>
              <w:rPr>
                <w:rFonts w:hint="default" w:ascii="Times New Roman" w:hAnsi="Times New Roman" w:eastAsia="宋体" w:cs="Times New Roman"/>
                <w:b w:val="0"/>
                <w:color w:val="auto"/>
                <w:kern w:val="2"/>
                <w:sz w:val="24"/>
                <w:szCs w:val="22"/>
                <w:highlight w:val="none"/>
                <w:lang w:val="en-US" w:eastAsia="zh-CN" w:bidi="ar-SA"/>
              </w:rPr>
              <w:t>t/a，排放速率为0.</w:t>
            </w:r>
            <w:r>
              <w:rPr>
                <w:rFonts w:hint="eastAsia" w:cs="Times New Roman"/>
                <w:b w:val="0"/>
                <w:color w:val="auto"/>
                <w:kern w:val="2"/>
                <w:sz w:val="24"/>
                <w:szCs w:val="22"/>
                <w:highlight w:val="none"/>
                <w:lang w:val="en-US" w:eastAsia="zh-CN" w:bidi="ar-SA"/>
              </w:rPr>
              <w:t>028</w:t>
            </w:r>
            <w:r>
              <w:rPr>
                <w:rFonts w:hint="default" w:ascii="Times New Roman" w:hAnsi="Times New Roman" w:eastAsia="宋体" w:cs="Times New Roman"/>
                <w:b w:val="0"/>
                <w:color w:val="auto"/>
                <w:kern w:val="2"/>
                <w:sz w:val="24"/>
                <w:szCs w:val="22"/>
                <w:highlight w:val="none"/>
                <w:lang w:val="en-US" w:eastAsia="zh-CN" w:bidi="ar-SA"/>
              </w:rPr>
              <w:t>kg/h，排放浓度为</w:t>
            </w:r>
            <w:r>
              <w:rPr>
                <w:rFonts w:hint="eastAsia" w:cs="Times New Roman"/>
                <w:b w:val="0"/>
                <w:color w:val="auto"/>
                <w:kern w:val="2"/>
                <w:sz w:val="24"/>
                <w:szCs w:val="22"/>
                <w:highlight w:val="none"/>
                <w:lang w:val="en-US" w:eastAsia="zh-CN" w:bidi="ar-SA"/>
              </w:rPr>
              <w:t>5.6</w:t>
            </w:r>
            <w:r>
              <w:rPr>
                <w:rFonts w:hint="default" w:ascii="Times New Roman" w:hAnsi="Times New Roman" w:eastAsia="宋体" w:cs="Times New Roman"/>
                <w:b w:val="0"/>
                <w:color w:val="auto"/>
                <w:kern w:val="2"/>
                <w:sz w:val="24"/>
                <w:szCs w:val="22"/>
                <w:highlight w:val="none"/>
                <w:lang w:val="en-US" w:eastAsia="zh-CN" w:bidi="ar-SA"/>
              </w:rPr>
              <w:t>mg/m</w:t>
            </w:r>
            <w:r>
              <w:rPr>
                <w:rFonts w:hint="default" w:ascii="Times New Roman" w:hAnsi="Times New Roman" w:eastAsia="宋体" w:cs="Times New Roman"/>
                <w:b w:val="0"/>
                <w:color w:val="auto"/>
                <w:kern w:val="2"/>
                <w:sz w:val="24"/>
                <w:szCs w:val="22"/>
                <w:highlight w:val="none"/>
                <w:vertAlign w:val="superscript"/>
                <w:lang w:val="en-US" w:eastAsia="zh-CN" w:bidi="ar-SA"/>
              </w:rPr>
              <w:t>3</w:t>
            </w:r>
            <w:r>
              <w:rPr>
                <w:rFonts w:hint="default" w:ascii="Times New Roman" w:hAnsi="Times New Roman" w:eastAsia="宋体" w:cs="Times New Roman"/>
                <w:b w:val="0"/>
                <w:color w:val="auto"/>
                <w:kern w:val="2"/>
                <w:sz w:val="24"/>
                <w:szCs w:val="22"/>
                <w:highlight w:val="none"/>
                <w:lang w:val="en-US" w:eastAsia="zh-CN" w:bidi="ar-SA"/>
              </w:rPr>
              <w:t>。</w:t>
            </w:r>
          </w:p>
          <w:p w14:paraId="3B89EA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未经集气罩收集的搅拌机废气量为</w:t>
            </w:r>
            <w:r>
              <w:rPr>
                <w:rFonts w:hint="eastAsia" w:ascii="Times New Roman" w:hAnsi="Times New Roman" w:eastAsia="宋体" w:cs="Times New Roman"/>
                <w:b w:val="0"/>
                <w:color w:val="auto"/>
                <w:kern w:val="2"/>
                <w:sz w:val="24"/>
                <w:szCs w:val="22"/>
                <w:highlight w:val="none"/>
                <w:lang w:val="en-US" w:eastAsia="zh-CN" w:bidi="ar-SA"/>
              </w:rPr>
              <w:t>4.41</w:t>
            </w:r>
            <w:r>
              <w:rPr>
                <w:rFonts w:hint="default" w:ascii="Times New Roman" w:hAnsi="Times New Roman" w:eastAsia="宋体" w:cs="Times New Roman"/>
                <w:b w:val="0"/>
                <w:color w:val="auto"/>
                <w:kern w:val="2"/>
                <w:sz w:val="24"/>
                <w:szCs w:val="22"/>
                <w:highlight w:val="none"/>
                <w:lang w:val="en-US" w:eastAsia="zh-CN" w:bidi="ar-SA"/>
              </w:rPr>
              <w:t>t/a，其中约70%的粉尘自然沉降于厂房内，则30%的粉尘无组织排放，无组织排放量为</w:t>
            </w:r>
            <w:r>
              <w:rPr>
                <w:rFonts w:hint="eastAsia" w:ascii="Times New Roman" w:hAnsi="Times New Roman" w:eastAsia="宋体" w:cs="Times New Roman"/>
                <w:b w:val="0"/>
                <w:color w:val="auto"/>
                <w:kern w:val="2"/>
                <w:sz w:val="24"/>
                <w:szCs w:val="22"/>
                <w:highlight w:val="none"/>
                <w:lang w:val="en-US" w:eastAsia="zh-CN" w:bidi="ar-SA"/>
              </w:rPr>
              <w:t>1.32</w:t>
            </w:r>
            <w:r>
              <w:rPr>
                <w:rFonts w:hint="default" w:ascii="Times New Roman" w:hAnsi="Times New Roman" w:eastAsia="宋体" w:cs="Times New Roman"/>
                <w:b w:val="0"/>
                <w:color w:val="auto"/>
                <w:kern w:val="2"/>
                <w:sz w:val="24"/>
                <w:szCs w:val="22"/>
                <w:highlight w:val="none"/>
                <w:lang w:val="en-US" w:eastAsia="zh-CN" w:bidi="ar-SA"/>
              </w:rPr>
              <w:t>t/a，排放速率为0.</w:t>
            </w:r>
            <w:r>
              <w:rPr>
                <w:rFonts w:hint="eastAsia" w:cs="Times New Roman"/>
                <w:b w:val="0"/>
                <w:color w:val="auto"/>
                <w:kern w:val="2"/>
                <w:sz w:val="24"/>
                <w:szCs w:val="22"/>
                <w:highlight w:val="none"/>
                <w:lang w:val="en-US" w:eastAsia="zh-CN" w:bidi="ar-SA"/>
              </w:rPr>
              <w:t>92</w:t>
            </w:r>
            <w:r>
              <w:rPr>
                <w:rFonts w:hint="default" w:ascii="Times New Roman" w:hAnsi="Times New Roman" w:eastAsia="宋体" w:cs="Times New Roman"/>
                <w:b w:val="0"/>
                <w:color w:val="auto"/>
                <w:kern w:val="2"/>
                <w:sz w:val="24"/>
                <w:szCs w:val="22"/>
                <w:highlight w:val="none"/>
                <w:lang w:val="en-US" w:eastAsia="zh-CN" w:bidi="ar-SA"/>
              </w:rPr>
              <w:t>kg/h。</w:t>
            </w:r>
          </w:p>
          <w:p w14:paraId="17D709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b/>
                <w:bCs/>
                <w:spacing w:val="6"/>
                <w:sz w:val="24"/>
                <w:szCs w:val="24"/>
              </w:rPr>
              <w:t>表4-</w:t>
            </w:r>
            <w:r>
              <w:rPr>
                <w:rFonts w:hint="eastAsia" w:cs="Times New Roman"/>
                <w:b/>
                <w:bCs/>
                <w:spacing w:val="6"/>
                <w:sz w:val="24"/>
                <w:szCs w:val="24"/>
                <w:lang w:val="en-US" w:eastAsia="zh-CN"/>
              </w:rPr>
              <w:t>3</w:t>
            </w:r>
            <w:r>
              <w:rPr>
                <w:rFonts w:hint="default" w:ascii="Times New Roman" w:hAnsi="Times New Roman" w:eastAsia="宋体" w:cs="Times New Roman"/>
                <w:b/>
                <w:bCs/>
                <w:spacing w:val="6"/>
                <w:sz w:val="24"/>
                <w:szCs w:val="24"/>
              </w:rPr>
              <w:t>项目搅拌机搅拌粉尘排放情况</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917"/>
              <w:gridCol w:w="1006"/>
              <w:gridCol w:w="1007"/>
              <w:gridCol w:w="1006"/>
              <w:gridCol w:w="1007"/>
              <w:gridCol w:w="917"/>
              <w:gridCol w:w="1098"/>
              <w:gridCol w:w="1006"/>
            </w:tblGrid>
            <w:tr w14:paraId="160C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restart"/>
                  <w:noWrap w:val="0"/>
                  <w:vAlign w:val="center"/>
                </w:tcPr>
                <w:p w14:paraId="67F2F8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排放源</w:t>
                  </w:r>
                </w:p>
              </w:tc>
              <w:tc>
                <w:tcPr>
                  <w:tcW w:w="506" w:type="pct"/>
                  <w:vMerge w:val="restart"/>
                  <w:noWrap w:val="0"/>
                  <w:vAlign w:val="center"/>
                </w:tcPr>
                <w:p w14:paraId="0D9A4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污染源</w:t>
                  </w:r>
                </w:p>
              </w:tc>
              <w:tc>
                <w:tcPr>
                  <w:tcW w:w="1111" w:type="pct"/>
                  <w:gridSpan w:val="2"/>
                  <w:noWrap w:val="0"/>
                  <w:vAlign w:val="center"/>
                </w:tcPr>
                <w:p w14:paraId="4DB48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产生情况</w:t>
                  </w:r>
                </w:p>
              </w:tc>
              <w:tc>
                <w:tcPr>
                  <w:tcW w:w="1617" w:type="pct"/>
                  <w:gridSpan w:val="3"/>
                  <w:noWrap w:val="0"/>
                  <w:vAlign w:val="center"/>
                </w:tcPr>
                <w:p w14:paraId="64105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排放情况</w:t>
                  </w:r>
                </w:p>
              </w:tc>
              <w:tc>
                <w:tcPr>
                  <w:tcW w:w="606" w:type="pct"/>
                  <w:noWrap w:val="0"/>
                  <w:vAlign w:val="center"/>
                </w:tcPr>
                <w:p w14:paraId="55B1A9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处理</w:t>
                  </w:r>
                </w:p>
                <w:p w14:paraId="0C9515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措施</w:t>
                  </w:r>
                </w:p>
              </w:tc>
              <w:tc>
                <w:tcPr>
                  <w:tcW w:w="555" w:type="pct"/>
                  <w:noWrap w:val="0"/>
                  <w:vAlign w:val="center"/>
                </w:tcPr>
                <w:p w14:paraId="1CA55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处理</w:t>
                  </w:r>
                </w:p>
                <w:p w14:paraId="14DD0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效率</w:t>
                  </w:r>
                </w:p>
              </w:tc>
            </w:tr>
            <w:tr w14:paraId="0CE4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Merge w:val="continue"/>
                  <w:noWrap w:val="0"/>
                  <w:vAlign w:val="center"/>
                </w:tcPr>
                <w:p w14:paraId="24D9A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c>
                <w:tcPr>
                  <w:tcW w:w="506" w:type="pct"/>
                  <w:vMerge w:val="continue"/>
                  <w:noWrap w:val="0"/>
                  <w:vAlign w:val="center"/>
                </w:tcPr>
                <w:p w14:paraId="2F1E3C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c>
                <w:tcPr>
                  <w:tcW w:w="555" w:type="pct"/>
                  <w:noWrap w:val="0"/>
                  <w:vAlign w:val="center"/>
                </w:tcPr>
                <w:p w14:paraId="42733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val="en-US" w:eastAsia="zh-CN"/>
                    </w:rPr>
                  </w:pPr>
                  <w:r>
                    <w:rPr>
                      <w:rFonts w:hint="default" w:ascii="Times New Roman" w:hAnsi="Times New Roman" w:eastAsia="宋体" w:cs="Times New Roman"/>
                      <w:b/>
                      <w:bCs/>
                      <w:spacing w:val="6"/>
                      <w:sz w:val="21"/>
                      <w:szCs w:val="21"/>
                      <w:vertAlign w:val="baseline"/>
                      <w:lang w:val="en-US" w:eastAsia="zh-CN"/>
                    </w:rPr>
                    <w:t>t/a</w:t>
                  </w:r>
                </w:p>
              </w:tc>
              <w:tc>
                <w:tcPr>
                  <w:tcW w:w="556" w:type="pct"/>
                  <w:noWrap w:val="0"/>
                  <w:vAlign w:val="center"/>
                </w:tcPr>
                <w:p w14:paraId="258243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val="en-US" w:eastAsia="zh-CN"/>
                    </w:rPr>
                  </w:pPr>
                  <w:r>
                    <w:rPr>
                      <w:rFonts w:hint="default" w:ascii="Times New Roman" w:hAnsi="Times New Roman" w:eastAsia="宋体" w:cs="Times New Roman"/>
                      <w:b/>
                      <w:bCs/>
                      <w:spacing w:val="6"/>
                      <w:sz w:val="21"/>
                      <w:szCs w:val="21"/>
                      <w:vertAlign w:val="baseline"/>
                      <w:lang w:val="en-US" w:eastAsia="zh-CN"/>
                    </w:rPr>
                    <w:t>kg/h</w:t>
                  </w:r>
                </w:p>
              </w:tc>
              <w:tc>
                <w:tcPr>
                  <w:tcW w:w="555" w:type="pct"/>
                  <w:noWrap w:val="0"/>
                  <w:vAlign w:val="center"/>
                </w:tcPr>
                <w:p w14:paraId="5DCC5D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r>
                    <w:rPr>
                      <w:rFonts w:hint="default" w:ascii="Times New Roman" w:hAnsi="Times New Roman" w:eastAsia="宋体" w:cs="Times New Roman"/>
                      <w:b/>
                      <w:bCs/>
                      <w:spacing w:val="6"/>
                      <w:sz w:val="21"/>
                      <w:szCs w:val="21"/>
                      <w:vertAlign w:val="baseline"/>
                      <w:lang w:val="en-US" w:eastAsia="zh-CN"/>
                    </w:rPr>
                    <w:t>t/a</w:t>
                  </w:r>
                </w:p>
              </w:tc>
              <w:tc>
                <w:tcPr>
                  <w:tcW w:w="556" w:type="pct"/>
                  <w:noWrap w:val="0"/>
                  <w:vAlign w:val="center"/>
                </w:tcPr>
                <w:p w14:paraId="49051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r>
                    <w:rPr>
                      <w:rFonts w:hint="default" w:ascii="Times New Roman" w:hAnsi="Times New Roman" w:eastAsia="宋体" w:cs="Times New Roman"/>
                      <w:b/>
                      <w:bCs/>
                      <w:spacing w:val="6"/>
                      <w:sz w:val="21"/>
                      <w:szCs w:val="21"/>
                      <w:vertAlign w:val="baseline"/>
                      <w:lang w:val="en-US" w:eastAsia="zh-CN"/>
                    </w:rPr>
                    <w:t>kg/h</w:t>
                  </w:r>
                </w:p>
              </w:tc>
              <w:tc>
                <w:tcPr>
                  <w:tcW w:w="505" w:type="pct"/>
                  <w:noWrap w:val="0"/>
                  <w:vAlign w:val="center"/>
                </w:tcPr>
                <w:p w14:paraId="6C959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SA"/>
                    </w:rPr>
                    <w:t>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606" w:type="pct"/>
                  <w:vMerge w:val="restart"/>
                  <w:noWrap w:val="0"/>
                  <w:vAlign w:val="center"/>
                </w:tcPr>
                <w:p w14:paraId="7A3C15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eastAsia="zh-CN"/>
                    </w:rPr>
                    <w:t>脉冲布袋除尘器</w:t>
                  </w:r>
                </w:p>
              </w:tc>
              <w:tc>
                <w:tcPr>
                  <w:tcW w:w="555" w:type="pct"/>
                  <w:vMerge w:val="restart"/>
                  <w:noWrap w:val="0"/>
                  <w:vAlign w:val="center"/>
                </w:tcPr>
                <w:p w14:paraId="1B39A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val="en-US" w:eastAsia="zh-CN"/>
                    </w:rPr>
                    <w:t>9</w:t>
                  </w:r>
                  <w:r>
                    <w:rPr>
                      <w:rFonts w:hint="eastAsia" w:ascii="Times New Roman" w:hAnsi="Times New Roman" w:eastAsia="宋体" w:cs="Times New Roman"/>
                      <w:b w:val="0"/>
                      <w:bCs w:val="0"/>
                      <w:spacing w:val="6"/>
                      <w:sz w:val="21"/>
                      <w:szCs w:val="21"/>
                      <w:vertAlign w:val="baseline"/>
                      <w:lang w:val="en-US" w:eastAsia="zh-CN"/>
                    </w:rPr>
                    <w:t>9</w:t>
                  </w:r>
                  <w:r>
                    <w:rPr>
                      <w:rFonts w:hint="eastAsia" w:cs="Times New Roman"/>
                      <w:b w:val="0"/>
                      <w:bCs w:val="0"/>
                      <w:spacing w:val="6"/>
                      <w:sz w:val="21"/>
                      <w:szCs w:val="21"/>
                      <w:vertAlign w:val="baseline"/>
                      <w:lang w:val="en-US" w:eastAsia="zh-CN"/>
                    </w:rPr>
                    <w:t>.9</w:t>
                  </w:r>
                  <w:r>
                    <w:rPr>
                      <w:rFonts w:hint="default" w:ascii="Times New Roman" w:hAnsi="Times New Roman" w:eastAsia="宋体" w:cs="Times New Roman"/>
                      <w:b w:val="0"/>
                      <w:bCs w:val="0"/>
                      <w:spacing w:val="6"/>
                      <w:sz w:val="21"/>
                      <w:szCs w:val="21"/>
                      <w:vertAlign w:val="baseline"/>
                      <w:lang w:val="en-US" w:eastAsia="zh-CN"/>
                    </w:rPr>
                    <w:t>%</w:t>
                  </w:r>
                </w:p>
              </w:tc>
            </w:tr>
            <w:tr w14:paraId="2D2C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noWrap w:val="0"/>
                  <w:vAlign w:val="center"/>
                </w:tcPr>
                <w:p w14:paraId="66C94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val="0"/>
                      <w:spacing w:val="6"/>
                      <w:sz w:val="21"/>
                      <w:szCs w:val="21"/>
                      <w:vertAlign w:val="baseline"/>
                      <w:lang w:eastAsia="zh-CN"/>
                    </w:rPr>
                  </w:pPr>
                  <w:r>
                    <w:rPr>
                      <w:rFonts w:hint="default" w:ascii="Times New Roman" w:hAnsi="Times New Roman" w:eastAsia="宋体" w:cs="Times New Roman"/>
                      <w:b w:val="0"/>
                      <w:bCs w:val="0"/>
                      <w:spacing w:val="-4"/>
                      <w:sz w:val="21"/>
                      <w:szCs w:val="21"/>
                    </w:rPr>
                    <w:t>搅拌机搅拌粉尘</w:t>
                  </w:r>
                </w:p>
              </w:tc>
              <w:tc>
                <w:tcPr>
                  <w:tcW w:w="506" w:type="pct"/>
                  <w:noWrap w:val="0"/>
                  <w:vAlign w:val="center"/>
                </w:tcPr>
                <w:p w14:paraId="6C748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eastAsia="zh-CN"/>
                    </w:rPr>
                  </w:pPr>
                  <w:r>
                    <w:rPr>
                      <w:rFonts w:hint="default" w:ascii="Times New Roman" w:hAnsi="Times New Roman" w:eastAsia="宋体" w:cs="Times New Roman"/>
                      <w:b w:val="0"/>
                      <w:bCs w:val="0"/>
                      <w:spacing w:val="6"/>
                      <w:sz w:val="21"/>
                      <w:szCs w:val="21"/>
                      <w:vertAlign w:val="baseline"/>
                      <w:lang w:eastAsia="zh-CN"/>
                    </w:rPr>
                    <w:t>颗粒物</w:t>
                  </w:r>
                </w:p>
              </w:tc>
              <w:tc>
                <w:tcPr>
                  <w:tcW w:w="555" w:type="pct"/>
                  <w:noWrap w:val="0"/>
                  <w:vAlign w:val="center"/>
                </w:tcPr>
                <w:p w14:paraId="4C7582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eastAsia" w:cs="Times New Roman"/>
                      <w:b w:val="0"/>
                      <w:bCs w:val="0"/>
                      <w:spacing w:val="6"/>
                      <w:sz w:val="21"/>
                      <w:szCs w:val="21"/>
                      <w:vertAlign w:val="baseline"/>
                      <w:lang w:val="en-US" w:eastAsia="zh-CN"/>
                    </w:rPr>
                    <w:t>44.06</w:t>
                  </w:r>
                </w:p>
              </w:tc>
              <w:tc>
                <w:tcPr>
                  <w:tcW w:w="556" w:type="pct"/>
                  <w:noWrap w:val="0"/>
                  <w:vAlign w:val="center"/>
                </w:tcPr>
                <w:p w14:paraId="4FBA7F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eastAsia" w:cs="Times New Roman"/>
                      <w:b w:val="0"/>
                      <w:bCs w:val="0"/>
                      <w:spacing w:val="6"/>
                      <w:sz w:val="21"/>
                      <w:szCs w:val="21"/>
                      <w:vertAlign w:val="baseline"/>
                      <w:lang w:val="en-US" w:eastAsia="zh-CN"/>
                    </w:rPr>
                    <w:t>30.59</w:t>
                  </w:r>
                </w:p>
              </w:tc>
              <w:tc>
                <w:tcPr>
                  <w:tcW w:w="555" w:type="pct"/>
                  <w:noWrap w:val="0"/>
                  <w:vAlign w:val="center"/>
                </w:tcPr>
                <w:p w14:paraId="5B4E13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eastAsia" w:ascii="Times New Roman" w:hAnsi="Times New Roman" w:cs="Times New Roman"/>
                      <w:b w:val="0"/>
                      <w:bCs w:val="0"/>
                      <w:spacing w:val="6"/>
                      <w:sz w:val="21"/>
                      <w:szCs w:val="21"/>
                      <w:vertAlign w:val="baseline"/>
                      <w:lang w:val="en-US" w:eastAsia="zh-CN"/>
                    </w:rPr>
                    <w:t>0.0</w:t>
                  </w:r>
                  <w:r>
                    <w:rPr>
                      <w:rFonts w:hint="eastAsia" w:cs="Times New Roman"/>
                      <w:b w:val="0"/>
                      <w:bCs w:val="0"/>
                      <w:spacing w:val="6"/>
                      <w:sz w:val="21"/>
                      <w:szCs w:val="21"/>
                      <w:vertAlign w:val="baseline"/>
                      <w:lang w:val="en-US" w:eastAsia="zh-CN"/>
                    </w:rPr>
                    <w:t>4</w:t>
                  </w:r>
                </w:p>
              </w:tc>
              <w:tc>
                <w:tcPr>
                  <w:tcW w:w="556" w:type="pct"/>
                  <w:noWrap w:val="0"/>
                  <w:vAlign w:val="center"/>
                </w:tcPr>
                <w:p w14:paraId="26CA7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val="en-US" w:eastAsia="zh-CN"/>
                    </w:rPr>
                    <w:t>0.0</w:t>
                  </w:r>
                  <w:r>
                    <w:rPr>
                      <w:rFonts w:hint="eastAsia" w:cs="Times New Roman"/>
                      <w:b w:val="0"/>
                      <w:bCs w:val="0"/>
                      <w:spacing w:val="6"/>
                      <w:sz w:val="21"/>
                      <w:szCs w:val="21"/>
                      <w:vertAlign w:val="baseline"/>
                      <w:lang w:val="en-US" w:eastAsia="zh-CN"/>
                    </w:rPr>
                    <w:t>28</w:t>
                  </w:r>
                </w:p>
              </w:tc>
              <w:tc>
                <w:tcPr>
                  <w:tcW w:w="505" w:type="pct"/>
                  <w:noWrap w:val="0"/>
                  <w:vAlign w:val="center"/>
                </w:tcPr>
                <w:p w14:paraId="4CC4AC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eastAsia" w:cs="Times New Roman"/>
                      <w:b w:val="0"/>
                      <w:bCs w:val="0"/>
                      <w:spacing w:val="6"/>
                      <w:sz w:val="21"/>
                      <w:szCs w:val="21"/>
                      <w:vertAlign w:val="baseline"/>
                      <w:lang w:val="en-US" w:eastAsia="zh-CN"/>
                    </w:rPr>
                    <w:t>5.6</w:t>
                  </w:r>
                </w:p>
              </w:tc>
              <w:tc>
                <w:tcPr>
                  <w:tcW w:w="606" w:type="pct"/>
                  <w:vMerge w:val="continue"/>
                  <w:noWrap w:val="0"/>
                  <w:vAlign w:val="center"/>
                </w:tcPr>
                <w:p w14:paraId="28A37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c>
                <w:tcPr>
                  <w:tcW w:w="555" w:type="pct"/>
                  <w:vMerge w:val="continue"/>
                  <w:noWrap w:val="0"/>
                  <w:vAlign w:val="center"/>
                </w:tcPr>
                <w:p w14:paraId="1664C4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r>
          </w:tbl>
          <w:p w14:paraId="5CC59F5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3）砂料装卸及储存粉尘</w:t>
            </w:r>
          </w:p>
          <w:p w14:paraId="13E9AEF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根据《逸散性工业粉尘控制技术》中混凝土分批搅拌厂逸散尘排放系数，砂和粒料装料过程中产尘系数为0.02kg/t·原料～0.025kg/t·原料，本评价取0.025kg/t。项目粗砂、细砂总用量约为</w:t>
            </w:r>
            <w:r>
              <w:rPr>
                <w:rFonts w:hint="eastAsia" w:cs="Times New Roman"/>
                <w:b w:val="0"/>
                <w:color w:val="auto"/>
                <w:kern w:val="2"/>
                <w:sz w:val="24"/>
                <w:szCs w:val="22"/>
                <w:highlight w:val="none"/>
                <w:lang w:val="en-US" w:eastAsia="zh-CN" w:bidi="ar-SA"/>
              </w:rPr>
              <w:t>50774</w:t>
            </w:r>
            <w:r>
              <w:rPr>
                <w:rFonts w:hint="default" w:ascii="Times New Roman" w:hAnsi="Times New Roman" w:eastAsia="宋体" w:cs="Times New Roman"/>
                <w:b w:val="0"/>
                <w:color w:val="auto"/>
                <w:kern w:val="2"/>
                <w:sz w:val="24"/>
                <w:szCs w:val="22"/>
                <w:highlight w:val="none"/>
                <w:lang w:val="en-US" w:eastAsia="zh-CN" w:bidi="ar-SA"/>
              </w:rPr>
              <w:t>t/a，无组织粉尘产生量为</w:t>
            </w:r>
            <w:r>
              <w:rPr>
                <w:rFonts w:hint="eastAsia" w:cs="Times New Roman"/>
                <w:b w:val="0"/>
                <w:color w:val="auto"/>
                <w:kern w:val="2"/>
                <w:sz w:val="24"/>
                <w:szCs w:val="22"/>
                <w:highlight w:val="none"/>
                <w:lang w:val="en-US" w:eastAsia="zh-CN" w:bidi="ar-SA"/>
              </w:rPr>
              <w:t>1.27</w:t>
            </w:r>
            <w:r>
              <w:rPr>
                <w:rFonts w:hint="default" w:ascii="Times New Roman" w:hAnsi="Times New Roman" w:eastAsia="宋体" w:cs="Times New Roman"/>
                <w:b w:val="0"/>
                <w:color w:val="auto"/>
                <w:kern w:val="2"/>
                <w:sz w:val="24"/>
                <w:szCs w:val="22"/>
                <w:highlight w:val="none"/>
                <w:lang w:val="en-US" w:eastAsia="zh-CN" w:bidi="ar-SA"/>
              </w:rPr>
              <w:t>t/a。通过设置全封闭的原料库，并进行洒水降尘，除尘效率可达85%，则扬尘排放量为</w:t>
            </w:r>
            <w:r>
              <w:rPr>
                <w:rFonts w:hint="eastAsia" w:cs="Times New Roman"/>
                <w:b w:val="0"/>
                <w:color w:val="auto"/>
                <w:kern w:val="2"/>
                <w:sz w:val="24"/>
                <w:szCs w:val="22"/>
                <w:highlight w:val="none"/>
                <w:lang w:val="en-US" w:eastAsia="zh-CN" w:bidi="ar-SA"/>
              </w:rPr>
              <w:t>0.19</w:t>
            </w:r>
            <w:r>
              <w:rPr>
                <w:rFonts w:hint="default" w:ascii="Times New Roman" w:hAnsi="Times New Roman" w:eastAsia="宋体" w:cs="Times New Roman"/>
                <w:b w:val="0"/>
                <w:color w:val="auto"/>
                <w:kern w:val="2"/>
                <w:sz w:val="24"/>
                <w:szCs w:val="22"/>
                <w:highlight w:val="none"/>
                <w:lang w:val="en-US" w:eastAsia="zh-CN" w:bidi="ar-SA"/>
              </w:rPr>
              <w:t>t/a，排放速率为0.</w:t>
            </w:r>
            <w:r>
              <w:rPr>
                <w:rFonts w:hint="eastAsia" w:cs="Times New Roman"/>
                <w:b w:val="0"/>
                <w:color w:val="auto"/>
                <w:kern w:val="2"/>
                <w:sz w:val="24"/>
                <w:szCs w:val="22"/>
                <w:highlight w:val="none"/>
                <w:lang w:val="en-US" w:eastAsia="zh-CN" w:bidi="ar-SA"/>
              </w:rPr>
              <w:t>132</w:t>
            </w:r>
            <w:r>
              <w:rPr>
                <w:rFonts w:hint="default" w:ascii="Times New Roman" w:hAnsi="Times New Roman" w:eastAsia="宋体" w:cs="Times New Roman"/>
                <w:b w:val="0"/>
                <w:color w:val="auto"/>
                <w:kern w:val="2"/>
                <w:sz w:val="24"/>
                <w:szCs w:val="22"/>
                <w:highlight w:val="none"/>
                <w:lang w:val="en-US" w:eastAsia="zh-CN" w:bidi="ar-SA"/>
              </w:rPr>
              <w:t>kg/h。</w:t>
            </w:r>
          </w:p>
          <w:p w14:paraId="47EE2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b/>
                <w:bCs/>
                <w:spacing w:val="6"/>
                <w:sz w:val="24"/>
                <w:szCs w:val="24"/>
              </w:rPr>
              <w:t>表4-</w:t>
            </w:r>
            <w:r>
              <w:rPr>
                <w:rFonts w:hint="eastAsia" w:cs="Times New Roman"/>
                <w:b/>
                <w:bCs/>
                <w:spacing w:val="6"/>
                <w:sz w:val="24"/>
                <w:szCs w:val="24"/>
                <w:lang w:val="en-US" w:eastAsia="zh-CN"/>
              </w:rPr>
              <w:t>4</w:t>
            </w:r>
            <w:r>
              <w:rPr>
                <w:rFonts w:hint="default" w:ascii="Times New Roman" w:hAnsi="Times New Roman" w:eastAsia="宋体" w:cs="Times New Roman"/>
                <w:b/>
                <w:bCs/>
                <w:spacing w:val="6"/>
                <w:sz w:val="24"/>
                <w:szCs w:val="24"/>
              </w:rPr>
              <w:t>项目</w:t>
            </w:r>
            <w:r>
              <w:rPr>
                <w:rFonts w:hint="default" w:ascii="Times New Roman" w:hAnsi="Times New Roman" w:eastAsia="宋体" w:cs="Times New Roman"/>
                <w:b/>
                <w:bCs/>
                <w:color w:val="auto"/>
                <w:kern w:val="2"/>
                <w:sz w:val="24"/>
                <w:szCs w:val="22"/>
                <w:highlight w:val="none"/>
                <w:lang w:val="en-US" w:eastAsia="zh-CN" w:bidi="ar-SA"/>
              </w:rPr>
              <w:t>砂料装卸及储存</w:t>
            </w:r>
            <w:r>
              <w:rPr>
                <w:rFonts w:hint="default" w:ascii="Times New Roman" w:hAnsi="Times New Roman" w:eastAsia="宋体" w:cs="Times New Roman"/>
                <w:b/>
                <w:bCs/>
                <w:spacing w:val="6"/>
                <w:sz w:val="24"/>
                <w:szCs w:val="24"/>
              </w:rPr>
              <w:t>粉尘排放情况</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1082"/>
              <w:gridCol w:w="1131"/>
              <w:gridCol w:w="1009"/>
              <w:gridCol w:w="984"/>
              <w:gridCol w:w="915"/>
              <w:gridCol w:w="1647"/>
              <w:gridCol w:w="1309"/>
            </w:tblGrid>
            <w:tr w14:paraId="65DD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restart"/>
                  <w:noWrap w:val="0"/>
                  <w:vAlign w:val="center"/>
                </w:tcPr>
                <w:p w14:paraId="204BD0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排放源</w:t>
                  </w:r>
                </w:p>
              </w:tc>
              <w:tc>
                <w:tcPr>
                  <w:tcW w:w="597" w:type="pct"/>
                  <w:vMerge w:val="restart"/>
                  <w:noWrap w:val="0"/>
                  <w:vAlign w:val="center"/>
                </w:tcPr>
                <w:p w14:paraId="74821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污染源</w:t>
                  </w:r>
                </w:p>
              </w:tc>
              <w:tc>
                <w:tcPr>
                  <w:tcW w:w="1181" w:type="pct"/>
                  <w:gridSpan w:val="2"/>
                  <w:noWrap w:val="0"/>
                  <w:vAlign w:val="center"/>
                </w:tcPr>
                <w:p w14:paraId="35211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产生情况</w:t>
                  </w:r>
                </w:p>
              </w:tc>
              <w:tc>
                <w:tcPr>
                  <w:tcW w:w="1048" w:type="pct"/>
                  <w:gridSpan w:val="2"/>
                  <w:noWrap w:val="0"/>
                  <w:vAlign w:val="center"/>
                </w:tcPr>
                <w:p w14:paraId="5C292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eastAsia="zh-CN"/>
                    </w:rPr>
                  </w:pPr>
                  <w:r>
                    <w:rPr>
                      <w:rFonts w:hint="default" w:ascii="Times New Roman" w:hAnsi="Times New Roman" w:eastAsia="宋体" w:cs="Times New Roman"/>
                      <w:b/>
                      <w:bCs/>
                      <w:spacing w:val="6"/>
                      <w:sz w:val="21"/>
                      <w:szCs w:val="21"/>
                      <w:vertAlign w:val="baseline"/>
                      <w:lang w:eastAsia="zh-CN"/>
                    </w:rPr>
                    <w:t>排放情况</w:t>
                  </w:r>
                </w:p>
              </w:tc>
              <w:tc>
                <w:tcPr>
                  <w:tcW w:w="909" w:type="pct"/>
                  <w:noWrap w:val="0"/>
                  <w:vAlign w:val="center"/>
                </w:tcPr>
                <w:p w14:paraId="56105E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0"/>
                      <w:szCs w:val="20"/>
                      <w:vertAlign w:val="baseline"/>
                      <w:lang w:eastAsia="zh-CN"/>
                    </w:rPr>
                  </w:pPr>
                  <w:r>
                    <w:rPr>
                      <w:rFonts w:hint="default" w:ascii="Times New Roman" w:hAnsi="Times New Roman" w:eastAsia="宋体" w:cs="Times New Roman"/>
                      <w:b/>
                      <w:bCs/>
                      <w:spacing w:val="6"/>
                      <w:sz w:val="20"/>
                      <w:szCs w:val="20"/>
                      <w:vertAlign w:val="baseline"/>
                      <w:lang w:eastAsia="zh-CN"/>
                    </w:rPr>
                    <w:t>处理措施</w:t>
                  </w:r>
                </w:p>
              </w:tc>
              <w:tc>
                <w:tcPr>
                  <w:tcW w:w="722" w:type="pct"/>
                  <w:noWrap w:val="0"/>
                  <w:vAlign w:val="center"/>
                </w:tcPr>
                <w:p w14:paraId="3DBB60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0"/>
                      <w:szCs w:val="20"/>
                      <w:vertAlign w:val="baseline"/>
                      <w:lang w:eastAsia="zh-CN"/>
                    </w:rPr>
                  </w:pPr>
                  <w:r>
                    <w:rPr>
                      <w:rFonts w:hint="default" w:ascii="Times New Roman" w:hAnsi="Times New Roman" w:eastAsia="宋体" w:cs="Times New Roman"/>
                      <w:b/>
                      <w:bCs/>
                      <w:spacing w:val="6"/>
                      <w:sz w:val="20"/>
                      <w:szCs w:val="20"/>
                      <w:vertAlign w:val="baseline"/>
                      <w:lang w:eastAsia="zh-CN"/>
                    </w:rPr>
                    <w:t>处理效率</w:t>
                  </w:r>
                </w:p>
              </w:tc>
            </w:tr>
            <w:tr w14:paraId="500D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Merge w:val="continue"/>
                  <w:noWrap w:val="0"/>
                  <w:vAlign w:val="center"/>
                </w:tcPr>
                <w:p w14:paraId="39C1B0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c>
                <w:tcPr>
                  <w:tcW w:w="597" w:type="pct"/>
                  <w:vMerge w:val="continue"/>
                  <w:noWrap w:val="0"/>
                  <w:vAlign w:val="center"/>
                </w:tcPr>
                <w:p w14:paraId="7D97B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p>
              </w:tc>
              <w:tc>
                <w:tcPr>
                  <w:tcW w:w="624" w:type="pct"/>
                  <w:noWrap w:val="0"/>
                  <w:vAlign w:val="center"/>
                </w:tcPr>
                <w:p w14:paraId="6070CA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val="en-US" w:eastAsia="zh-CN"/>
                    </w:rPr>
                  </w:pPr>
                  <w:r>
                    <w:rPr>
                      <w:rFonts w:hint="default" w:ascii="Times New Roman" w:hAnsi="Times New Roman" w:eastAsia="宋体" w:cs="Times New Roman"/>
                      <w:b/>
                      <w:bCs/>
                      <w:spacing w:val="6"/>
                      <w:sz w:val="21"/>
                      <w:szCs w:val="21"/>
                      <w:vertAlign w:val="baseline"/>
                      <w:lang w:val="en-US" w:eastAsia="zh-CN"/>
                    </w:rPr>
                    <w:t>t/a</w:t>
                  </w:r>
                </w:p>
              </w:tc>
              <w:tc>
                <w:tcPr>
                  <w:tcW w:w="557" w:type="pct"/>
                  <w:noWrap w:val="0"/>
                  <w:vAlign w:val="center"/>
                </w:tcPr>
                <w:p w14:paraId="40DD8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lang w:val="en-US" w:eastAsia="zh-CN"/>
                    </w:rPr>
                  </w:pPr>
                  <w:r>
                    <w:rPr>
                      <w:rFonts w:hint="default" w:ascii="Times New Roman" w:hAnsi="Times New Roman" w:eastAsia="宋体" w:cs="Times New Roman"/>
                      <w:b/>
                      <w:bCs/>
                      <w:spacing w:val="6"/>
                      <w:sz w:val="21"/>
                      <w:szCs w:val="21"/>
                      <w:vertAlign w:val="baseline"/>
                      <w:lang w:val="en-US" w:eastAsia="zh-CN"/>
                    </w:rPr>
                    <w:t>kg/h</w:t>
                  </w:r>
                </w:p>
              </w:tc>
              <w:tc>
                <w:tcPr>
                  <w:tcW w:w="543" w:type="pct"/>
                  <w:noWrap w:val="0"/>
                  <w:vAlign w:val="center"/>
                </w:tcPr>
                <w:p w14:paraId="18064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r>
                    <w:rPr>
                      <w:rFonts w:hint="default" w:ascii="Times New Roman" w:hAnsi="Times New Roman" w:eastAsia="宋体" w:cs="Times New Roman"/>
                      <w:b/>
                      <w:bCs/>
                      <w:spacing w:val="6"/>
                      <w:sz w:val="21"/>
                      <w:szCs w:val="21"/>
                      <w:vertAlign w:val="baseline"/>
                      <w:lang w:val="en-US" w:eastAsia="zh-CN"/>
                    </w:rPr>
                    <w:t>t/a</w:t>
                  </w:r>
                </w:p>
              </w:tc>
              <w:tc>
                <w:tcPr>
                  <w:tcW w:w="504" w:type="pct"/>
                  <w:noWrap w:val="0"/>
                  <w:vAlign w:val="center"/>
                </w:tcPr>
                <w:p w14:paraId="689CA2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1"/>
                      <w:szCs w:val="21"/>
                      <w:vertAlign w:val="baseline"/>
                    </w:rPr>
                  </w:pPr>
                  <w:r>
                    <w:rPr>
                      <w:rFonts w:hint="default" w:ascii="Times New Roman" w:hAnsi="Times New Roman" w:eastAsia="宋体" w:cs="Times New Roman"/>
                      <w:b/>
                      <w:bCs/>
                      <w:spacing w:val="6"/>
                      <w:sz w:val="21"/>
                      <w:szCs w:val="21"/>
                      <w:vertAlign w:val="baseline"/>
                      <w:lang w:val="en-US" w:eastAsia="zh-CN"/>
                    </w:rPr>
                    <w:t>kg/h</w:t>
                  </w:r>
                </w:p>
              </w:tc>
              <w:tc>
                <w:tcPr>
                  <w:tcW w:w="909" w:type="pct"/>
                  <w:vMerge w:val="restart"/>
                  <w:noWrap w:val="0"/>
                  <w:vAlign w:val="center"/>
                </w:tcPr>
                <w:p w14:paraId="390AE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0"/>
                      <w:szCs w:val="20"/>
                      <w:vertAlign w:val="baseline"/>
                      <w:lang w:val="en-US" w:eastAsia="zh-CN"/>
                    </w:rPr>
                  </w:pPr>
                  <w:r>
                    <w:rPr>
                      <w:rFonts w:hint="default" w:ascii="Times New Roman" w:hAnsi="Times New Roman" w:eastAsia="宋体" w:cs="Times New Roman"/>
                      <w:color w:val="000000"/>
                      <w:sz w:val="21"/>
                      <w:szCs w:val="21"/>
                      <w:lang w:val="en-US" w:eastAsia="zh-CN"/>
                    </w:rPr>
                    <w:t>封闭</w:t>
                  </w:r>
                  <w:r>
                    <w:rPr>
                      <w:rFonts w:hint="eastAsia" w:ascii="Times New Roman" w:hAnsi="Times New Roman" w:cs="Times New Roman"/>
                      <w:color w:val="000000"/>
                      <w:sz w:val="21"/>
                      <w:szCs w:val="21"/>
                      <w:lang w:val="en-US" w:eastAsia="zh-CN"/>
                    </w:rPr>
                    <w:t>库房</w:t>
                  </w:r>
                  <w:r>
                    <w:rPr>
                      <w:rFonts w:hint="default" w:ascii="Times New Roman" w:hAnsi="Times New Roman" w:eastAsia="宋体" w:cs="Times New Roman"/>
                      <w:color w:val="000000"/>
                      <w:sz w:val="21"/>
                      <w:szCs w:val="21"/>
                      <w:lang w:val="en-US" w:eastAsia="zh-CN"/>
                    </w:rPr>
                    <w:t>+喷淋设施</w:t>
                  </w:r>
                </w:p>
              </w:tc>
              <w:tc>
                <w:tcPr>
                  <w:tcW w:w="722" w:type="pct"/>
                  <w:vMerge w:val="restart"/>
                  <w:noWrap w:val="0"/>
                  <w:vAlign w:val="center"/>
                </w:tcPr>
                <w:p w14:paraId="4F224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0"/>
                      <w:szCs w:val="20"/>
                      <w:vertAlign w:val="baseline"/>
                      <w:lang w:val="en-US" w:eastAsia="zh-CN"/>
                    </w:rPr>
                  </w:pPr>
                  <w:r>
                    <w:rPr>
                      <w:rFonts w:hint="eastAsia" w:ascii="Times New Roman" w:hAnsi="Times New Roman" w:cs="Times New Roman"/>
                      <w:b w:val="0"/>
                      <w:bCs w:val="0"/>
                      <w:spacing w:val="6"/>
                      <w:sz w:val="20"/>
                      <w:szCs w:val="20"/>
                      <w:vertAlign w:val="baseline"/>
                      <w:lang w:val="en-US" w:eastAsia="zh-CN"/>
                    </w:rPr>
                    <w:t>8</w:t>
                  </w:r>
                  <w:r>
                    <w:rPr>
                      <w:rFonts w:hint="default" w:ascii="Times New Roman" w:hAnsi="Times New Roman" w:eastAsia="宋体" w:cs="Times New Roman"/>
                      <w:b w:val="0"/>
                      <w:bCs w:val="0"/>
                      <w:spacing w:val="6"/>
                      <w:sz w:val="20"/>
                      <w:szCs w:val="20"/>
                      <w:vertAlign w:val="baseline"/>
                      <w:lang w:val="en-US" w:eastAsia="zh-CN"/>
                    </w:rPr>
                    <w:t>5%</w:t>
                  </w:r>
                </w:p>
              </w:tc>
            </w:tr>
            <w:tr w14:paraId="3626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14:paraId="6C22E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val="0"/>
                      <w:spacing w:val="6"/>
                      <w:sz w:val="21"/>
                      <w:szCs w:val="21"/>
                      <w:vertAlign w:val="baseline"/>
                      <w:lang w:eastAsia="zh-CN"/>
                    </w:rPr>
                  </w:pPr>
                  <w:r>
                    <w:rPr>
                      <w:rFonts w:hint="default" w:ascii="Times New Roman" w:hAnsi="Times New Roman" w:eastAsia="宋体" w:cs="Times New Roman"/>
                      <w:b w:val="0"/>
                      <w:bCs w:val="0"/>
                      <w:spacing w:val="6"/>
                      <w:sz w:val="21"/>
                      <w:szCs w:val="21"/>
                      <w:vertAlign w:val="baseline"/>
                      <w:lang w:val="en-US" w:eastAsia="zh-CN"/>
                    </w:rPr>
                    <w:t>砂料装卸及储存</w:t>
                  </w:r>
                  <w:r>
                    <w:rPr>
                      <w:rFonts w:hint="default" w:ascii="Times New Roman" w:hAnsi="Times New Roman" w:eastAsia="宋体" w:cs="Times New Roman"/>
                      <w:b w:val="0"/>
                      <w:bCs w:val="0"/>
                      <w:spacing w:val="6"/>
                      <w:sz w:val="21"/>
                      <w:szCs w:val="21"/>
                      <w:vertAlign w:val="baseline"/>
                      <w:lang w:eastAsia="zh-CN"/>
                    </w:rPr>
                    <w:t>粉尘</w:t>
                  </w:r>
                </w:p>
              </w:tc>
              <w:tc>
                <w:tcPr>
                  <w:tcW w:w="597" w:type="pct"/>
                  <w:noWrap w:val="0"/>
                  <w:vAlign w:val="center"/>
                </w:tcPr>
                <w:p w14:paraId="1DAA01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eastAsia="zh-CN"/>
                    </w:rPr>
                  </w:pPr>
                  <w:r>
                    <w:rPr>
                      <w:rFonts w:hint="default" w:ascii="Times New Roman" w:hAnsi="Times New Roman" w:eastAsia="宋体" w:cs="Times New Roman"/>
                      <w:b w:val="0"/>
                      <w:bCs w:val="0"/>
                      <w:spacing w:val="6"/>
                      <w:sz w:val="21"/>
                      <w:szCs w:val="21"/>
                      <w:vertAlign w:val="baseline"/>
                      <w:lang w:eastAsia="zh-CN"/>
                    </w:rPr>
                    <w:t>颗粒物</w:t>
                  </w:r>
                </w:p>
              </w:tc>
              <w:tc>
                <w:tcPr>
                  <w:tcW w:w="624" w:type="pct"/>
                  <w:noWrap w:val="0"/>
                  <w:vAlign w:val="center"/>
                </w:tcPr>
                <w:p w14:paraId="059FA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eastAsia" w:ascii="Times New Roman" w:hAnsi="Times New Roman" w:cs="Times New Roman"/>
                      <w:b w:val="0"/>
                      <w:bCs w:val="0"/>
                      <w:spacing w:val="6"/>
                      <w:sz w:val="21"/>
                      <w:szCs w:val="21"/>
                      <w:vertAlign w:val="baseline"/>
                      <w:lang w:val="en-US" w:eastAsia="zh-CN"/>
                    </w:rPr>
                    <w:t>1.27</w:t>
                  </w:r>
                </w:p>
              </w:tc>
              <w:tc>
                <w:tcPr>
                  <w:tcW w:w="557" w:type="pct"/>
                  <w:noWrap w:val="0"/>
                  <w:vAlign w:val="center"/>
                </w:tcPr>
                <w:p w14:paraId="4E072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val="en-US" w:eastAsia="zh-CN"/>
                    </w:rPr>
                    <w:t>0.</w:t>
                  </w:r>
                  <w:r>
                    <w:rPr>
                      <w:rFonts w:hint="eastAsia" w:ascii="Times New Roman" w:hAnsi="Times New Roman" w:cs="Times New Roman"/>
                      <w:b w:val="0"/>
                      <w:bCs w:val="0"/>
                      <w:spacing w:val="6"/>
                      <w:sz w:val="21"/>
                      <w:szCs w:val="21"/>
                      <w:vertAlign w:val="baseline"/>
                      <w:lang w:val="en-US" w:eastAsia="zh-CN"/>
                    </w:rPr>
                    <w:t>88</w:t>
                  </w:r>
                </w:p>
              </w:tc>
              <w:tc>
                <w:tcPr>
                  <w:tcW w:w="543" w:type="pct"/>
                  <w:noWrap w:val="0"/>
                  <w:vAlign w:val="center"/>
                </w:tcPr>
                <w:p w14:paraId="4B144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val="en-US" w:eastAsia="zh-CN"/>
                    </w:rPr>
                    <w:t>0.</w:t>
                  </w:r>
                  <w:r>
                    <w:rPr>
                      <w:rFonts w:hint="eastAsia" w:ascii="Times New Roman" w:hAnsi="Times New Roman" w:cs="Times New Roman"/>
                      <w:b w:val="0"/>
                      <w:bCs w:val="0"/>
                      <w:spacing w:val="6"/>
                      <w:sz w:val="21"/>
                      <w:szCs w:val="21"/>
                      <w:vertAlign w:val="baseline"/>
                      <w:lang w:val="en-US" w:eastAsia="zh-CN"/>
                    </w:rPr>
                    <w:t>19</w:t>
                  </w:r>
                </w:p>
              </w:tc>
              <w:tc>
                <w:tcPr>
                  <w:tcW w:w="504" w:type="pct"/>
                  <w:noWrap w:val="0"/>
                  <w:vAlign w:val="center"/>
                </w:tcPr>
                <w:p w14:paraId="484CF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spacing w:val="6"/>
                      <w:sz w:val="21"/>
                      <w:szCs w:val="21"/>
                      <w:vertAlign w:val="baseline"/>
                      <w:lang w:val="en-US" w:eastAsia="zh-CN"/>
                    </w:rPr>
                  </w:pPr>
                  <w:r>
                    <w:rPr>
                      <w:rFonts w:hint="default" w:ascii="Times New Roman" w:hAnsi="Times New Roman" w:eastAsia="宋体" w:cs="Times New Roman"/>
                      <w:b w:val="0"/>
                      <w:bCs w:val="0"/>
                      <w:spacing w:val="6"/>
                      <w:sz w:val="21"/>
                      <w:szCs w:val="21"/>
                      <w:vertAlign w:val="baseline"/>
                      <w:lang w:val="en-US" w:eastAsia="zh-CN"/>
                    </w:rPr>
                    <w:t>0.</w:t>
                  </w:r>
                  <w:r>
                    <w:rPr>
                      <w:rFonts w:hint="eastAsia" w:ascii="Times New Roman" w:hAnsi="Times New Roman" w:cs="Times New Roman"/>
                      <w:b w:val="0"/>
                      <w:bCs w:val="0"/>
                      <w:spacing w:val="6"/>
                      <w:sz w:val="21"/>
                      <w:szCs w:val="21"/>
                      <w:vertAlign w:val="baseline"/>
                      <w:lang w:val="en-US" w:eastAsia="zh-CN"/>
                    </w:rPr>
                    <w:t>132</w:t>
                  </w:r>
                </w:p>
              </w:tc>
              <w:tc>
                <w:tcPr>
                  <w:tcW w:w="909" w:type="pct"/>
                  <w:vMerge w:val="continue"/>
                  <w:noWrap w:val="0"/>
                  <w:vAlign w:val="top"/>
                </w:tcPr>
                <w:p w14:paraId="68DC7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0"/>
                      <w:szCs w:val="20"/>
                      <w:vertAlign w:val="baseline"/>
                    </w:rPr>
                  </w:pPr>
                </w:p>
              </w:tc>
              <w:tc>
                <w:tcPr>
                  <w:tcW w:w="722" w:type="pct"/>
                  <w:vMerge w:val="continue"/>
                  <w:noWrap w:val="0"/>
                  <w:vAlign w:val="top"/>
                </w:tcPr>
                <w:p w14:paraId="1DF64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pacing w:val="6"/>
                      <w:sz w:val="20"/>
                      <w:szCs w:val="20"/>
                      <w:vertAlign w:val="baseline"/>
                    </w:rPr>
                  </w:pPr>
                </w:p>
              </w:tc>
            </w:tr>
          </w:tbl>
          <w:p w14:paraId="432C46D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4）砂料上料粉尘</w:t>
            </w:r>
          </w:p>
          <w:p w14:paraId="7F63A15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项目上料采用装载机将石料从原料库内运出倒入配料仓中，骨料通过配料仓落入下方的皮带输送机上，由皮带输送机将石料输送到搅拌机。</w:t>
            </w:r>
          </w:p>
          <w:p w14:paraId="5EADE7B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根据《逸散性工业粉尘控制技术》中混凝土分批搅拌厂，上料工序中粉尘的产生系数为0.01kg/t，项目粗砂、细砂总用量约为</w:t>
            </w:r>
            <w:r>
              <w:rPr>
                <w:rFonts w:hint="eastAsia" w:cs="Times New Roman"/>
                <w:b w:val="0"/>
                <w:color w:val="auto"/>
                <w:kern w:val="2"/>
                <w:sz w:val="24"/>
                <w:szCs w:val="22"/>
                <w:highlight w:val="none"/>
                <w:lang w:val="en-US" w:eastAsia="zh-CN" w:bidi="ar-SA"/>
              </w:rPr>
              <w:t>50774</w:t>
            </w:r>
            <w:r>
              <w:rPr>
                <w:rFonts w:hint="default" w:ascii="Times New Roman" w:hAnsi="Times New Roman" w:eastAsia="宋体" w:cs="Times New Roman"/>
                <w:b w:val="0"/>
                <w:color w:val="auto"/>
                <w:kern w:val="2"/>
                <w:sz w:val="24"/>
                <w:szCs w:val="22"/>
                <w:highlight w:val="none"/>
                <w:lang w:val="en-US" w:eastAsia="zh-CN" w:bidi="ar-SA"/>
              </w:rPr>
              <w:t>万t/a，上料工序粉尘总产生量为</w:t>
            </w:r>
            <w:r>
              <w:rPr>
                <w:rFonts w:hint="eastAsia" w:cs="Times New Roman"/>
                <w:b w:val="0"/>
                <w:color w:val="auto"/>
                <w:kern w:val="2"/>
                <w:sz w:val="24"/>
                <w:szCs w:val="22"/>
                <w:highlight w:val="none"/>
                <w:lang w:val="en-US" w:eastAsia="zh-CN" w:bidi="ar-SA"/>
              </w:rPr>
              <w:t>0.51t</w:t>
            </w:r>
            <w:r>
              <w:rPr>
                <w:rFonts w:hint="default" w:ascii="Times New Roman" w:hAnsi="Times New Roman" w:eastAsia="宋体" w:cs="Times New Roman"/>
                <w:b w:val="0"/>
                <w:color w:val="auto"/>
                <w:kern w:val="2"/>
                <w:sz w:val="24"/>
                <w:szCs w:val="22"/>
                <w:highlight w:val="none"/>
                <w:lang w:val="en-US" w:eastAsia="zh-CN" w:bidi="ar-SA"/>
              </w:rPr>
              <w:t>/a，通过设置封闭的配料库，抑尘效率可达75%，则扬尘排放量为0.</w:t>
            </w:r>
            <w:r>
              <w:rPr>
                <w:rFonts w:hint="eastAsia" w:cs="Times New Roman"/>
                <w:b w:val="0"/>
                <w:color w:val="auto"/>
                <w:kern w:val="2"/>
                <w:sz w:val="24"/>
                <w:szCs w:val="22"/>
                <w:highlight w:val="none"/>
                <w:lang w:val="en-US" w:eastAsia="zh-CN" w:bidi="ar-SA"/>
              </w:rPr>
              <w:t>13</w:t>
            </w:r>
            <w:r>
              <w:rPr>
                <w:rFonts w:hint="default" w:ascii="Times New Roman" w:hAnsi="Times New Roman" w:eastAsia="宋体" w:cs="Times New Roman"/>
                <w:b w:val="0"/>
                <w:color w:val="auto"/>
                <w:kern w:val="2"/>
                <w:sz w:val="24"/>
                <w:szCs w:val="22"/>
                <w:highlight w:val="none"/>
                <w:lang w:val="en-US" w:eastAsia="zh-CN" w:bidi="ar-SA"/>
              </w:rPr>
              <w:t>t/a，排放速率为0.</w:t>
            </w:r>
            <w:r>
              <w:rPr>
                <w:rFonts w:hint="eastAsia" w:cs="Times New Roman"/>
                <w:b w:val="0"/>
                <w:color w:val="auto"/>
                <w:kern w:val="2"/>
                <w:sz w:val="24"/>
                <w:szCs w:val="22"/>
                <w:highlight w:val="none"/>
                <w:lang w:val="en-US" w:eastAsia="zh-CN" w:bidi="ar-SA"/>
              </w:rPr>
              <w:t>088</w:t>
            </w:r>
            <w:r>
              <w:rPr>
                <w:rFonts w:hint="default" w:ascii="Times New Roman" w:hAnsi="Times New Roman" w:eastAsia="宋体" w:cs="Times New Roman"/>
                <w:b w:val="0"/>
                <w:color w:val="auto"/>
                <w:kern w:val="2"/>
                <w:sz w:val="24"/>
                <w:szCs w:val="22"/>
                <w:highlight w:val="none"/>
                <w:lang w:val="en-US" w:eastAsia="zh-CN" w:bidi="ar-SA"/>
              </w:rPr>
              <w:t>kg/h。</w:t>
            </w:r>
          </w:p>
          <w:p w14:paraId="5608C0E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5）皮带输送粉尘</w:t>
            </w:r>
          </w:p>
          <w:p w14:paraId="20ACE82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本项目粗砂及细砂等原料的运输，采用密闭输送皮带等方式完成，在运营期间基本不会产生粉尘。</w:t>
            </w:r>
          </w:p>
          <w:p w14:paraId="143C6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cs="Times New Roman"/>
                <w:b/>
                <w:bCs/>
                <w:color w:val="auto"/>
                <w:kern w:val="0"/>
                <w:sz w:val="24"/>
                <w:szCs w:val="24"/>
                <w:highlight w:val="none"/>
                <w:lang w:val="en-US" w:eastAsia="zh-CN" w:bidi="ar-SA"/>
              </w:rPr>
              <w:t>5</w:t>
            </w:r>
            <w:r>
              <w:rPr>
                <w:rFonts w:hint="default" w:ascii="Times New Roman" w:hAnsi="Times New Roman" w:eastAsia="宋体" w:cs="Times New Roman"/>
                <w:b/>
                <w:bCs/>
                <w:color w:val="auto"/>
                <w:kern w:val="0"/>
                <w:sz w:val="24"/>
                <w:szCs w:val="24"/>
                <w:highlight w:val="none"/>
                <w:lang w:val="en-US" w:eastAsia="zh-CN" w:bidi="ar-SA"/>
              </w:rPr>
              <w:t>混凝土拌和站</w:t>
            </w:r>
            <w:r>
              <w:rPr>
                <w:rFonts w:hint="eastAsia" w:cs="Times New Roman"/>
                <w:b/>
                <w:bCs/>
                <w:color w:val="auto"/>
                <w:kern w:val="0"/>
                <w:sz w:val="24"/>
                <w:szCs w:val="24"/>
                <w:highlight w:val="none"/>
                <w:lang w:val="en-US" w:eastAsia="zh-CN" w:bidi="ar-SA"/>
              </w:rPr>
              <w:t>无组织</w:t>
            </w:r>
            <w:r>
              <w:rPr>
                <w:rFonts w:hint="default" w:ascii="Times New Roman" w:hAnsi="Times New Roman" w:eastAsia="宋体" w:cs="Times New Roman"/>
                <w:b/>
                <w:bCs/>
                <w:color w:val="auto"/>
                <w:kern w:val="0"/>
                <w:sz w:val="24"/>
                <w:szCs w:val="24"/>
                <w:highlight w:val="none"/>
                <w:lang w:val="en-US" w:eastAsia="zh-CN" w:bidi="ar-SA"/>
              </w:rPr>
              <w:t>废气污染源强核算结果及相关参数一览表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46"/>
              <w:gridCol w:w="922"/>
              <w:gridCol w:w="955"/>
              <w:gridCol w:w="899"/>
              <w:gridCol w:w="919"/>
              <w:gridCol w:w="1082"/>
              <w:gridCol w:w="935"/>
              <w:gridCol w:w="978"/>
              <w:gridCol w:w="770"/>
            </w:tblGrid>
            <w:tr w14:paraId="50A6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416" w:type="pct"/>
                  <w:vMerge w:val="restart"/>
                  <w:noWrap w:val="0"/>
                  <w:vAlign w:val="center"/>
                </w:tcPr>
                <w:p w14:paraId="34AD58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污染物</w:t>
                  </w:r>
                </w:p>
              </w:tc>
              <w:tc>
                <w:tcPr>
                  <w:tcW w:w="467" w:type="pct"/>
                  <w:vMerge w:val="restart"/>
                  <w:noWrap w:val="0"/>
                  <w:vAlign w:val="center"/>
                </w:tcPr>
                <w:p w14:paraId="17F3BE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产污</w:t>
                  </w:r>
                </w:p>
                <w:p w14:paraId="0DF93E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环节</w:t>
                  </w:r>
                </w:p>
              </w:tc>
              <w:tc>
                <w:tcPr>
                  <w:tcW w:w="1532" w:type="pct"/>
                  <w:gridSpan w:val="3"/>
                  <w:noWrap w:val="0"/>
                  <w:vAlign w:val="center"/>
                </w:tcPr>
                <w:p w14:paraId="03FD6C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污染物产生</w:t>
                  </w:r>
                </w:p>
              </w:tc>
              <w:tc>
                <w:tcPr>
                  <w:tcW w:w="1104" w:type="pct"/>
                  <w:gridSpan w:val="2"/>
                  <w:noWrap w:val="0"/>
                  <w:vAlign w:val="center"/>
                </w:tcPr>
                <w:p w14:paraId="6C4D04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治理措施</w:t>
                  </w:r>
                </w:p>
              </w:tc>
              <w:tc>
                <w:tcPr>
                  <w:tcW w:w="1056" w:type="pct"/>
                  <w:gridSpan w:val="2"/>
                  <w:noWrap w:val="0"/>
                  <w:vAlign w:val="center"/>
                </w:tcPr>
                <w:p w14:paraId="17E0D6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污染物排放</w:t>
                  </w:r>
                </w:p>
              </w:tc>
              <w:tc>
                <w:tcPr>
                  <w:tcW w:w="423" w:type="pct"/>
                  <w:vMerge w:val="restart"/>
                  <w:noWrap w:val="0"/>
                  <w:vAlign w:val="center"/>
                </w:tcPr>
                <w:p w14:paraId="2C2614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排放时间/h</w:t>
                  </w:r>
                </w:p>
              </w:tc>
            </w:tr>
            <w:tr w14:paraId="6D69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416" w:type="pct"/>
                  <w:vMerge w:val="continue"/>
                  <w:noWrap w:val="0"/>
                  <w:vAlign w:val="center"/>
                </w:tcPr>
                <w:p w14:paraId="54DF38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p>
              </w:tc>
              <w:tc>
                <w:tcPr>
                  <w:tcW w:w="467" w:type="pct"/>
                  <w:vMerge w:val="continue"/>
                  <w:noWrap w:val="0"/>
                  <w:vAlign w:val="center"/>
                </w:tcPr>
                <w:p w14:paraId="04EDDF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508" w:type="pct"/>
                  <w:noWrap w:val="0"/>
                  <w:vAlign w:val="center"/>
                </w:tcPr>
                <w:p w14:paraId="16503D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核算</w:t>
                  </w:r>
                </w:p>
                <w:p w14:paraId="1DDE05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方法</w:t>
                  </w:r>
                </w:p>
              </w:tc>
              <w:tc>
                <w:tcPr>
                  <w:tcW w:w="527" w:type="pct"/>
                  <w:noWrap w:val="0"/>
                  <w:vAlign w:val="center"/>
                </w:tcPr>
                <w:p w14:paraId="083520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产生</w:t>
                  </w:r>
                </w:p>
                <w:p w14:paraId="586487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浓度</w:t>
                  </w:r>
                </w:p>
                <w:p w14:paraId="69C8B1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mg/m</w:t>
                  </w:r>
                  <w:r>
                    <w:rPr>
                      <w:rFonts w:hint="default" w:ascii="Times New Roman" w:hAnsi="Times New Roman" w:eastAsia="宋体" w:cs="Times New Roman"/>
                      <w:b/>
                      <w:bCs/>
                      <w:color w:val="auto"/>
                      <w:highlight w:val="none"/>
                      <w:vertAlign w:val="superscript"/>
                      <w:lang w:val="en-US" w:eastAsia="zh-CN"/>
                    </w:rPr>
                    <w:t>3</w:t>
                  </w:r>
                </w:p>
              </w:tc>
              <w:tc>
                <w:tcPr>
                  <w:tcW w:w="496" w:type="pct"/>
                  <w:noWrap w:val="0"/>
                  <w:vAlign w:val="center"/>
                </w:tcPr>
                <w:p w14:paraId="064C2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产生量</w:t>
                  </w:r>
                </w:p>
                <w:p w14:paraId="62C28E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t/a</w:t>
                  </w:r>
                </w:p>
              </w:tc>
              <w:tc>
                <w:tcPr>
                  <w:tcW w:w="507" w:type="pct"/>
                  <w:noWrap w:val="0"/>
                  <w:vAlign w:val="center"/>
                </w:tcPr>
                <w:p w14:paraId="780308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工艺</w:t>
                  </w:r>
                </w:p>
              </w:tc>
              <w:tc>
                <w:tcPr>
                  <w:tcW w:w="596" w:type="pct"/>
                  <w:noWrap w:val="0"/>
                  <w:vAlign w:val="center"/>
                </w:tcPr>
                <w:p w14:paraId="70D885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综合处理效率</w:t>
                  </w:r>
                </w:p>
              </w:tc>
              <w:tc>
                <w:tcPr>
                  <w:tcW w:w="516" w:type="pct"/>
                  <w:noWrap w:val="0"/>
                  <w:vAlign w:val="center"/>
                </w:tcPr>
                <w:p w14:paraId="172BD6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排放</w:t>
                  </w:r>
                </w:p>
                <w:p w14:paraId="600175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浓度</w:t>
                  </w:r>
                </w:p>
                <w:p w14:paraId="6593BE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mg/m</w:t>
                  </w:r>
                  <w:r>
                    <w:rPr>
                      <w:rFonts w:hint="default" w:ascii="Times New Roman" w:hAnsi="Times New Roman" w:eastAsia="宋体" w:cs="Times New Roman"/>
                      <w:b/>
                      <w:bCs/>
                      <w:color w:val="auto"/>
                      <w:highlight w:val="none"/>
                      <w:vertAlign w:val="superscript"/>
                      <w:lang w:val="en-US" w:eastAsia="zh-CN"/>
                    </w:rPr>
                    <w:t>3</w:t>
                  </w:r>
                </w:p>
              </w:tc>
              <w:tc>
                <w:tcPr>
                  <w:tcW w:w="540" w:type="pct"/>
                  <w:noWrap w:val="0"/>
                  <w:vAlign w:val="center"/>
                </w:tcPr>
                <w:p w14:paraId="1FE327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w:t>
                  </w:r>
                  <w:r>
                    <w:rPr>
                      <w:rFonts w:hint="default" w:ascii="Times New Roman" w:hAnsi="Times New Roman" w:eastAsia="宋体" w:cs="Times New Roman"/>
                      <w:b/>
                      <w:bCs/>
                      <w:color w:val="auto"/>
                      <w:highlight w:val="none"/>
                    </w:rPr>
                    <w:t>放量</w:t>
                  </w:r>
                  <w:r>
                    <w:rPr>
                      <w:rFonts w:hint="default" w:ascii="Times New Roman" w:hAnsi="Times New Roman" w:eastAsia="宋体" w:cs="Times New Roman"/>
                      <w:b/>
                      <w:bCs/>
                      <w:color w:val="auto"/>
                      <w:highlight w:val="none"/>
                      <w:lang w:val="en-US" w:eastAsia="zh-CN"/>
                    </w:rPr>
                    <w:t>t/a</w:t>
                  </w:r>
                </w:p>
              </w:tc>
              <w:tc>
                <w:tcPr>
                  <w:tcW w:w="423" w:type="pct"/>
                  <w:vMerge w:val="continue"/>
                  <w:noWrap w:val="0"/>
                  <w:vAlign w:val="center"/>
                </w:tcPr>
                <w:p w14:paraId="29FC44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r>
            <w:tr w14:paraId="26CE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416" w:type="pct"/>
                  <w:vMerge w:val="restart"/>
                  <w:noWrap w:val="0"/>
                  <w:vAlign w:val="center"/>
                </w:tcPr>
                <w:p w14:paraId="436B91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p w14:paraId="1F6265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TSP</w:t>
                  </w:r>
                </w:p>
              </w:tc>
              <w:tc>
                <w:tcPr>
                  <w:tcW w:w="467" w:type="pct"/>
                  <w:noWrap w:val="0"/>
                  <w:vAlign w:val="center"/>
                </w:tcPr>
                <w:p w14:paraId="57E50D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搅拌机废气</w:t>
                  </w:r>
                </w:p>
              </w:tc>
              <w:tc>
                <w:tcPr>
                  <w:tcW w:w="508" w:type="pct"/>
                  <w:noWrap w:val="0"/>
                  <w:vAlign w:val="center"/>
                </w:tcPr>
                <w:p w14:paraId="3171FA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产污系数法</w:t>
                  </w:r>
                </w:p>
              </w:tc>
              <w:tc>
                <w:tcPr>
                  <w:tcW w:w="527" w:type="pct"/>
                  <w:noWrap w:val="0"/>
                  <w:vAlign w:val="center"/>
                </w:tcPr>
                <w:p w14:paraId="2C7BAA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496" w:type="pct"/>
                  <w:noWrap w:val="0"/>
                  <w:vAlign w:val="center"/>
                </w:tcPr>
                <w:p w14:paraId="4E27C5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4.41</w:t>
                  </w:r>
                </w:p>
              </w:tc>
              <w:tc>
                <w:tcPr>
                  <w:tcW w:w="507" w:type="pct"/>
                  <w:noWrap w:val="0"/>
                  <w:vAlign w:val="center"/>
                </w:tcPr>
                <w:p w14:paraId="3F1BBAFF">
                  <w:pPr>
                    <w:keepNext w:val="0"/>
                    <w:keepLines w:val="0"/>
                    <w:suppressLineNumbers w:val="0"/>
                    <w:spacing w:before="0" w:beforeAutospacing="0" w:after="0" w:afterAutospacing="0" w:line="240" w:lineRule="auto"/>
                    <w:ind w:left="0" w:right="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封闭</w:t>
                  </w:r>
                </w:p>
                <w:p w14:paraId="4934D5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车间</w:t>
                  </w:r>
                </w:p>
              </w:tc>
              <w:tc>
                <w:tcPr>
                  <w:tcW w:w="596" w:type="pct"/>
                  <w:noWrap w:val="0"/>
                  <w:vAlign w:val="center"/>
                </w:tcPr>
                <w:p w14:paraId="573FE9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w:t>
                  </w:r>
                </w:p>
              </w:tc>
              <w:tc>
                <w:tcPr>
                  <w:tcW w:w="516" w:type="pct"/>
                  <w:noWrap w:val="0"/>
                  <w:vAlign w:val="center"/>
                </w:tcPr>
                <w:p w14:paraId="5A3C29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540" w:type="pct"/>
                  <w:noWrap w:val="0"/>
                  <w:vAlign w:val="center"/>
                </w:tcPr>
                <w:p w14:paraId="4C166B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1.32</w:t>
                  </w:r>
                </w:p>
              </w:tc>
              <w:tc>
                <w:tcPr>
                  <w:tcW w:w="423" w:type="pct"/>
                  <w:noWrap w:val="0"/>
                  <w:vAlign w:val="center"/>
                </w:tcPr>
                <w:p w14:paraId="1CD6ED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1440</w:t>
                  </w:r>
                </w:p>
              </w:tc>
            </w:tr>
            <w:tr w14:paraId="7C5C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416" w:type="pct"/>
                  <w:vMerge w:val="continue"/>
                  <w:noWrap w:val="0"/>
                  <w:vAlign w:val="center"/>
                </w:tcPr>
                <w:p w14:paraId="041A93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c>
                <w:tcPr>
                  <w:tcW w:w="467" w:type="pct"/>
                  <w:noWrap w:val="0"/>
                  <w:vAlign w:val="center"/>
                </w:tcPr>
                <w:p w14:paraId="1EB228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装卸及储存粉尘</w:t>
                  </w:r>
                </w:p>
              </w:tc>
              <w:tc>
                <w:tcPr>
                  <w:tcW w:w="508" w:type="pct"/>
                  <w:noWrap w:val="0"/>
                  <w:vAlign w:val="center"/>
                </w:tcPr>
                <w:p w14:paraId="7B8043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产污系数法</w:t>
                  </w:r>
                </w:p>
              </w:tc>
              <w:tc>
                <w:tcPr>
                  <w:tcW w:w="527" w:type="pct"/>
                  <w:noWrap w:val="0"/>
                  <w:vAlign w:val="center"/>
                </w:tcPr>
                <w:p w14:paraId="604D8D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96" w:type="pct"/>
                  <w:noWrap w:val="0"/>
                  <w:vAlign w:val="center"/>
                </w:tcPr>
                <w:p w14:paraId="0DA2A2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1.27</w:t>
                  </w:r>
                </w:p>
              </w:tc>
              <w:tc>
                <w:tcPr>
                  <w:tcW w:w="507" w:type="pct"/>
                  <w:noWrap w:val="0"/>
                  <w:vAlign w:val="center"/>
                </w:tcPr>
                <w:p w14:paraId="70F026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eastAsia" w:cs="Times New Roman"/>
                      <w:color w:val="auto"/>
                      <w:highlight w:val="none"/>
                      <w:lang w:val="en-US" w:eastAsia="zh-CN"/>
                    </w:rPr>
                    <w:t>封闭库房+</w:t>
                  </w:r>
                  <w:r>
                    <w:rPr>
                      <w:rFonts w:hint="default" w:ascii="Times New Roman" w:hAnsi="Times New Roman" w:eastAsia="宋体" w:cs="Times New Roman"/>
                      <w:color w:val="auto"/>
                      <w:highlight w:val="none"/>
                      <w:lang w:val="en-US" w:eastAsia="zh-CN"/>
                    </w:rPr>
                    <w:t>洒水降尘</w:t>
                  </w:r>
                </w:p>
              </w:tc>
              <w:tc>
                <w:tcPr>
                  <w:tcW w:w="596" w:type="pct"/>
                  <w:noWrap w:val="0"/>
                  <w:vAlign w:val="center"/>
                </w:tcPr>
                <w:p w14:paraId="21136F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85%</w:t>
                  </w:r>
                </w:p>
              </w:tc>
              <w:tc>
                <w:tcPr>
                  <w:tcW w:w="516" w:type="pct"/>
                  <w:noWrap w:val="0"/>
                  <w:vAlign w:val="center"/>
                </w:tcPr>
                <w:p w14:paraId="61E972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40" w:type="pct"/>
                  <w:noWrap w:val="0"/>
                  <w:vAlign w:val="center"/>
                </w:tcPr>
                <w:p w14:paraId="490CEB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0.19</w:t>
                  </w:r>
                </w:p>
              </w:tc>
              <w:tc>
                <w:tcPr>
                  <w:tcW w:w="423" w:type="pct"/>
                  <w:noWrap w:val="0"/>
                  <w:vAlign w:val="center"/>
                </w:tcPr>
                <w:p w14:paraId="0E41B6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1440</w:t>
                  </w:r>
                </w:p>
              </w:tc>
            </w:tr>
            <w:tr w14:paraId="60B9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416" w:type="pct"/>
                  <w:vMerge w:val="continue"/>
                  <w:noWrap w:val="0"/>
                  <w:vAlign w:val="center"/>
                </w:tcPr>
                <w:p w14:paraId="386CA2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467" w:type="pct"/>
                  <w:noWrap w:val="0"/>
                  <w:vAlign w:val="center"/>
                </w:tcPr>
                <w:p w14:paraId="3EE437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上料</w:t>
                  </w:r>
                </w:p>
                <w:p w14:paraId="4176C7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粉尘</w:t>
                  </w:r>
                </w:p>
              </w:tc>
              <w:tc>
                <w:tcPr>
                  <w:tcW w:w="508" w:type="pct"/>
                  <w:noWrap w:val="0"/>
                  <w:vAlign w:val="center"/>
                </w:tcPr>
                <w:p w14:paraId="18A83B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产污系数法</w:t>
                  </w:r>
                </w:p>
              </w:tc>
              <w:tc>
                <w:tcPr>
                  <w:tcW w:w="527" w:type="pct"/>
                  <w:noWrap w:val="0"/>
                  <w:vAlign w:val="center"/>
                </w:tcPr>
                <w:p w14:paraId="71C128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96" w:type="pct"/>
                  <w:noWrap w:val="0"/>
                  <w:vAlign w:val="center"/>
                </w:tcPr>
                <w:p w14:paraId="36CAFD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0.51</w:t>
                  </w:r>
                </w:p>
              </w:tc>
              <w:tc>
                <w:tcPr>
                  <w:tcW w:w="507" w:type="pct"/>
                  <w:noWrap w:val="0"/>
                  <w:vAlign w:val="center"/>
                </w:tcPr>
                <w:p w14:paraId="541838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设置封闭的配料库</w:t>
                  </w:r>
                </w:p>
              </w:tc>
              <w:tc>
                <w:tcPr>
                  <w:tcW w:w="596" w:type="pct"/>
                  <w:noWrap w:val="0"/>
                  <w:vAlign w:val="center"/>
                </w:tcPr>
                <w:p w14:paraId="4C4156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516" w:type="pct"/>
                  <w:noWrap w:val="0"/>
                  <w:vAlign w:val="center"/>
                </w:tcPr>
                <w:p w14:paraId="0ACDA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40" w:type="pct"/>
                  <w:noWrap w:val="0"/>
                  <w:vAlign w:val="center"/>
                </w:tcPr>
                <w:p w14:paraId="493D62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0.13</w:t>
                  </w:r>
                </w:p>
              </w:tc>
              <w:tc>
                <w:tcPr>
                  <w:tcW w:w="423" w:type="pct"/>
                  <w:noWrap w:val="0"/>
                  <w:vAlign w:val="center"/>
                </w:tcPr>
                <w:p w14:paraId="1E4A4A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1440</w:t>
                  </w:r>
                </w:p>
              </w:tc>
            </w:tr>
            <w:tr w14:paraId="6D82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416" w:type="pct"/>
                  <w:vMerge w:val="continue"/>
                  <w:noWrap w:val="0"/>
                  <w:vAlign w:val="center"/>
                </w:tcPr>
                <w:p w14:paraId="719749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467" w:type="pct"/>
                  <w:noWrap w:val="0"/>
                  <w:vAlign w:val="center"/>
                </w:tcPr>
                <w:p w14:paraId="4396A0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皮带</w:t>
                  </w:r>
                </w:p>
                <w:p w14:paraId="7C1EF9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输送</w:t>
                  </w:r>
                </w:p>
              </w:tc>
              <w:tc>
                <w:tcPr>
                  <w:tcW w:w="4116" w:type="pct"/>
                  <w:gridSpan w:val="8"/>
                  <w:noWrap w:val="0"/>
                  <w:vAlign w:val="center"/>
                </w:tcPr>
                <w:p w14:paraId="3C7170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采用密闭输送皮带等方式完成，在运营期间基本不会产生粉尘</w:t>
                  </w:r>
                </w:p>
              </w:tc>
            </w:tr>
            <w:tr w14:paraId="1FE1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392" w:type="pct"/>
                  <w:gridSpan w:val="3"/>
                  <w:noWrap w:val="0"/>
                  <w:vAlign w:val="center"/>
                </w:tcPr>
                <w:p w14:paraId="5EEFA1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合计</w:t>
                  </w:r>
                </w:p>
              </w:tc>
              <w:tc>
                <w:tcPr>
                  <w:tcW w:w="527" w:type="pct"/>
                  <w:noWrap w:val="0"/>
                  <w:vAlign w:val="center"/>
                </w:tcPr>
                <w:p w14:paraId="164265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96" w:type="pct"/>
                  <w:noWrap w:val="0"/>
                  <w:vAlign w:val="center"/>
                </w:tcPr>
                <w:p w14:paraId="566C36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6.19</w:t>
                  </w:r>
                </w:p>
              </w:tc>
              <w:tc>
                <w:tcPr>
                  <w:tcW w:w="507" w:type="pct"/>
                  <w:noWrap w:val="0"/>
                  <w:vAlign w:val="center"/>
                </w:tcPr>
                <w:p w14:paraId="57550F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96" w:type="pct"/>
                  <w:noWrap w:val="0"/>
                  <w:vAlign w:val="center"/>
                </w:tcPr>
                <w:p w14:paraId="0FBBC2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16" w:type="pct"/>
                  <w:noWrap w:val="0"/>
                  <w:vAlign w:val="center"/>
                </w:tcPr>
                <w:p w14:paraId="1E570A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40" w:type="pct"/>
                  <w:noWrap w:val="0"/>
                  <w:vAlign w:val="center"/>
                </w:tcPr>
                <w:p w14:paraId="0A8A3C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1.64</w:t>
                  </w:r>
                </w:p>
              </w:tc>
              <w:tc>
                <w:tcPr>
                  <w:tcW w:w="423" w:type="pct"/>
                  <w:noWrap w:val="0"/>
                  <w:vAlign w:val="center"/>
                </w:tcPr>
                <w:p w14:paraId="56A9D7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14:paraId="79CAB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表4-3混凝土拌和站有组织废气污染源强核算结果及相关参数一览表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21"/>
              <w:gridCol w:w="915"/>
              <w:gridCol w:w="1002"/>
              <w:gridCol w:w="899"/>
              <w:gridCol w:w="852"/>
              <w:gridCol w:w="1225"/>
              <w:gridCol w:w="962"/>
              <w:gridCol w:w="795"/>
              <w:gridCol w:w="717"/>
            </w:tblGrid>
            <w:tr w14:paraId="43AB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9" w:type="pct"/>
                  <w:vMerge w:val="restart"/>
                  <w:noWrap w:val="0"/>
                  <w:vAlign w:val="center"/>
                </w:tcPr>
                <w:p w14:paraId="4D45D9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污染物</w:t>
                  </w:r>
                </w:p>
              </w:tc>
              <w:tc>
                <w:tcPr>
                  <w:tcW w:w="453" w:type="pct"/>
                  <w:vMerge w:val="restart"/>
                  <w:noWrap w:val="0"/>
                  <w:vAlign w:val="center"/>
                </w:tcPr>
                <w:p w14:paraId="0BC939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产污环节</w:t>
                  </w:r>
                </w:p>
              </w:tc>
              <w:tc>
                <w:tcPr>
                  <w:tcW w:w="1553" w:type="pct"/>
                  <w:gridSpan w:val="3"/>
                  <w:noWrap w:val="0"/>
                  <w:vAlign w:val="center"/>
                </w:tcPr>
                <w:p w14:paraId="51FC49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污染物产生</w:t>
                  </w:r>
                </w:p>
              </w:tc>
              <w:tc>
                <w:tcPr>
                  <w:tcW w:w="1146" w:type="pct"/>
                  <w:gridSpan w:val="2"/>
                  <w:noWrap w:val="0"/>
                  <w:vAlign w:val="center"/>
                </w:tcPr>
                <w:p w14:paraId="26698C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治理措施</w:t>
                  </w:r>
                </w:p>
              </w:tc>
              <w:tc>
                <w:tcPr>
                  <w:tcW w:w="970" w:type="pct"/>
                  <w:gridSpan w:val="2"/>
                  <w:noWrap w:val="0"/>
                  <w:vAlign w:val="center"/>
                </w:tcPr>
                <w:p w14:paraId="25B5DB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污染物排放</w:t>
                  </w:r>
                </w:p>
              </w:tc>
              <w:tc>
                <w:tcPr>
                  <w:tcW w:w="396" w:type="pct"/>
                  <w:vMerge w:val="restart"/>
                  <w:noWrap w:val="0"/>
                  <w:vAlign w:val="center"/>
                </w:tcPr>
                <w:p w14:paraId="60C5D9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排放时间/h</w:t>
                  </w:r>
                </w:p>
              </w:tc>
            </w:tr>
            <w:tr w14:paraId="611B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9" w:type="pct"/>
                  <w:vMerge w:val="continue"/>
                  <w:noWrap w:val="0"/>
                  <w:vAlign w:val="center"/>
                </w:tcPr>
                <w:p w14:paraId="7ECC48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c>
                <w:tcPr>
                  <w:tcW w:w="453" w:type="pct"/>
                  <w:vMerge w:val="continue"/>
                  <w:noWrap w:val="0"/>
                  <w:vAlign w:val="center"/>
                </w:tcPr>
                <w:p w14:paraId="107F3A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504" w:type="pct"/>
                  <w:noWrap w:val="0"/>
                  <w:vAlign w:val="center"/>
                </w:tcPr>
                <w:p w14:paraId="757712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核算方法</w:t>
                  </w:r>
                </w:p>
              </w:tc>
              <w:tc>
                <w:tcPr>
                  <w:tcW w:w="553" w:type="pct"/>
                  <w:noWrap w:val="0"/>
                  <w:vAlign w:val="center"/>
                </w:tcPr>
                <w:p w14:paraId="506850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产生</w:t>
                  </w:r>
                </w:p>
                <w:p w14:paraId="49217A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浓度</w:t>
                  </w:r>
                </w:p>
                <w:p w14:paraId="09EC7D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mg/m</w:t>
                  </w:r>
                  <w:r>
                    <w:rPr>
                      <w:rFonts w:hint="default" w:ascii="Times New Roman" w:hAnsi="Times New Roman" w:eastAsia="宋体" w:cs="Times New Roman"/>
                      <w:b/>
                      <w:bCs/>
                      <w:color w:val="auto"/>
                      <w:highlight w:val="none"/>
                      <w:vertAlign w:val="superscript"/>
                      <w:lang w:val="en-US" w:eastAsia="zh-CN"/>
                    </w:rPr>
                    <w:t>3</w:t>
                  </w:r>
                </w:p>
              </w:tc>
              <w:tc>
                <w:tcPr>
                  <w:tcW w:w="496" w:type="pct"/>
                  <w:noWrap w:val="0"/>
                  <w:vAlign w:val="center"/>
                </w:tcPr>
                <w:p w14:paraId="00F22D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产生量</w:t>
                  </w:r>
                </w:p>
                <w:p w14:paraId="205F9A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t/a</w:t>
                  </w:r>
                </w:p>
              </w:tc>
              <w:tc>
                <w:tcPr>
                  <w:tcW w:w="470" w:type="pct"/>
                  <w:noWrap w:val="0"/>
                  <w:vAlign w:val="center"/>
                </w:tcPr>
                <w:p w14:paraId="165648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工艺</w:t>
                  </w:r>
                </w:p>
              </w:tc>
              <w:tc>
                <w:tcPr>
                  <w:tcW w:w="676" w:type="pct"/>
                  <w:noWrap w:val="0"/>
                  <w:vAlign w:val="center"/>
                </w:tcPr>
                <w:p w14:paraId="64727E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综合处理效率（%）</w:t>
                  </w:r>
                </w:p>
              </w:tc>
              <w:tc>
                <w:tcPr>
                  <w:tcW w:w="531" w:type="pct"/>
                  <w:noWrap w:val="0"/>
                  <w:vAlign w:val="center"/>
                </w:tcPr>
                <w:p w14:paraId="39D71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排放</w:t>
                  </w:r>
                </w:p>
                <w:p w14:paraId="4850AD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浓度</w:t>
                  </w:r>
                </w:p>
                <w:p w14:paraId="79D8FA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mg/m</w:t>
                  </w:r>
                  <w:r>
                    <w:rPr>
                      <w:rFonts w:hint="default" w:ascii="Times New Roman" w:hAnsi="Times New Roman" w:eastAsia="宋体" w:cs="Times New Roman"/>
                      <w:b/>
                      <w:bCs/>
                      <w:color w:val="auto"/>
                      <w:highlight w:val="none"/>
                      <w:vertAlign w:val="superscript"/>
                      <w:lang w:val="en-US" w:eastAsia="zh-CN"/>
                    </w:rPr>
                    <w:t>3</w:t>
                  </w:r>
                </w:p>
              </w:tc>
              <w:tc>
                <w:tcPr>
                  <w:tcW w:w="439" w:type="pct"/>
                  <w:noWrap w:val="0"/>
                  <w:vAlign w:val="center"/>
                </w:tcPr>
                <w:p w14:paraId="318710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w:t>
                  </w:r>
                  <w:r>
                    <w:rPr>
                      <w:rFonts w:hint="default" w:ascii="Times New Roman" w:hAnsi="Times New Roman" w:eastAsia="宋体" w:cs="Times New Roman"/>
                      <w:b/>
                      <w:bCs/>
                      <w:color w:val="auto"/>
                      <w:highlight w:val="none"/>
                    </w:rPr>
                    <w:t>放量</w:t>
                  </w:r>
                  <w:r>
                    <w:rPr>
                      <w:rFonts w:hint="default" w:ascii="Times New Roman" w:hAnsi="Times New Roman" w:eastAsia="宋体" w:cs="Times New Roman"/>
                      <w:b/>
                      <w:bCs/>
                      <w:color w:val="auto"/>
                      <w:highlight w:val="none"/>
                      <w:lang w:val="en-US" w:eastAsia="zh-CN"/>
                    </w:rPr>
                    <w:t>t/a</w:t>
                  </w:r>
                </w:p>
              </w:tc>
              <w:tc>
                <w:tcPr>
                  <w:tcW w:w="396" w:type="pct"/>
                  <w:vMerge w:val="continue"/>
                  <w:noWrap w:val="0"/>
                  <w:vAlign w:val="center"/>
                </w:tcPr>
                <w:p w14:paraId="5BA442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r>
            <w:tr w14:paraId="7647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9" w:type="pct"/>
                  <w:vMerge w:val="restart"/>
                  <w:noWrap w:val="0"/>
                  <w:vAlign w:val="center"/>
                </w:tcPr>
                <w:p w14:paraId="66D0F3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p>
              </w:tc>
              <w:tc>
                <w:tcPr>
                  <w:tcW w:w="453" w:type="pct"/>
                  <w:noWrap w:val="0"/>
                  <w:vAlign w:val="center"/>
                </w:tcPr>
                <w:p w14:paraId="18F026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搅拌机粉尘</w:t>
                  </w:r>
                </w:p>
              </w:tc>
              <w:tc>
                <w:tcPr>
                  <w:tcW w:w="504" w:type="pct"/>
                  <w:noWrap w:val="0"/>
                  <w:vAlign w:val="center"/>
                </w:tcPr>
                <w:p w14:paraId="68D37C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产污系数法</w:t>
                  </w:r>
                </w:p>
              </w:tc>
              <w:tc>
                <w:tcPr>
                  <w:tcW w:w="553" w:type="pct"/>
                  <w:noWrap w:val="0"/>
                  <w:vAlign w:val="center"/>
                </w:tcPr>
                <w:p w14:paraId="13A56B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253</w:t>
                  </w:r>
                </w:p>
              </w:tc>
              <w:tc>
                <w:tcPr>
                  <w:tcW w:w="496" w:type="pct"/>
                  <w:noWrap w:val="0"/>
                  <w:vAlign w:val="center"/>
                </w:tcPr>
                <w:p w14:paraId="3B509B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44.06</w:t>
                  </w:r>
                </w:p>
              </w:tc>
              <w:tc>
                <w:tcPr>
                  <w:tcW w:w="470" w:type="pct"/>
                  <w:noWrap w:val="0"/>
                  <w:vAlign w:val="center"/>
                </w:tcPr>
                <w:p w14:paraId="4DEDD6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集气罩+布袋除尘器+15m高排气筒</w:t>
                  </w:r>
                </w:p>
              </w:tc>
              <w:tc>
                <w:tcPr>
                  <w:tcW w:w="676" w:type="pct"/>
                  <w:noWrap w:val="0"/>
                  <w:vAlign w:val="center"/>
                </w:tcPr>
                <w:p w14:paraId="05BF23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集气罩（</w:t>
                  </w:r>
                  <w:r>
                    <w:rPr>
                      <w:rFonts w:hint="default" w:ascii="Times New Roman" w:hAnsi="Times New Roman" w:eastAsia="宋体" w:cs="Times New Roman"/>
                      <w:color w:val="auto"/>
                      <w:highlight w:val="none"/>
                    </w:rPr>
                    <w:t>收集效率90%</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布袋除尘器</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处理效率99</w:t>
                  </w: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p>
              </w:tc>
              <w:tc>
                <w:tcPr>
                  <w:tcW w:w="531" w:type="pct"/>
                  <w:noWrap w:val="0"/>
                  <w:vAlign w:val="center"/>
                </w:tcPr>
                <w:p w14:paraId="5DE6DB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5.6</w:t>
                  </w:r>
                </w:p>
              </w:tc>
              <w:tc>
                <w:tcPr>
                  <w:tcW w:w="439" w:type="pct"/>
                  <w:noWrap w:val="0"/>
                  <w:vAlign w:val="center"/>
                </w:tcPr>
                <w:p w14:paraId="1EB6A7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4</w:t>
                  </w:r>
                </w:p>
              </w:tc>
              <w:tc>
                <w:tcPr>
                  <w:tcW w:w="396" w:type="pct"/>
                  <w:noWrap w:val="0"/>
                  <w:vAlign w:val="center"/>
                </w:tcPr>
                <w:p w14:paraId="7C5B69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1440</w:t>
                  </w:r>
                </w:p>
              </w:tc>
            </w:tr>
            <w:tr w14:paraId="424C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9" w:type="pct"/>
                  <w:vMerge w:val="continue"/>
                  <w:noWrap w:val="0"/>
                  <w:vAlign w:val="center"/>
                </w:tcPr>
                <w:p w14:paraId="44FD8D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p>
              </w:tc>
              <w:tc>
                <w:tcPr>
                  <w:tcW w:w="453" w:type="pct"/>
                  <w:noWrap w:val="0"/>
                  <w:vAlign w:val="center"/>
                </w:tcPr>
                <w:p w14:paraId="163703E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筒仓呼吸粉尘</w:t>
                  </w:r>
                </w:p>
              </w:tc>
              <w:tc>
                <w:tcPr>
                  <w:tcW w:w="504" w:type="pct"/>
                  <w:noWrap w:val="0"/>
                  <w:vAlign w:val="center"/>
                </w:tcPr>
                <w:p w14:paraId="0305B13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排污系数法</w:t>
                  </w:r>
                </w:p>
              </w:tc>
              <w:tc>
                <w:tcPr>
                  <w:tcW w:w="553" w:type="pct"/>
                  <w:noWrap w:val="0"/>
                  <w:vAlign w:val="center"/>
                </w:tcPr>
                <w:p w14:paraId="78546112">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96" w:type="pct"/>
                  <w:noWrap w:val="0"/>
                  <w:vAlign w:val="center"/>
                </w:tcPr>
                <w:p w14:paraId="0C63773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20.02</w:t>
                  </w:r>
                </w:p>
              </w:tc>
              <w:tc>
                <w:tcPr>
                  <w:tcW w:w="470" w:type="pct"/>
                  <w:noWrap w:val="0"/>
                  <w:vAlign w:val="center"/>
                </w:tcPr>
                <w:p w14:paraId="2CB40DD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spacing w:val="6"/>
                      <w:sz w:val="21"/>
                      <w:szCs w:val="21"/>
                      <w:vertAlign w:val="baseline"/>
                      <w:lang w:eastAsia="zh-CN"/>
                    </w:rPr>
                    <w:t>仓顶</w:t>
                  </w:r>
                  <w:r>
                    <w:rPr>
                      <w:rFonts w:hint="eastAsia" w:cs="Times New Roman"/>
                      <w:b w:val="0"/>
                      <w:bCs w:val="0"/>
                      <w:spacing w:val="6"/>
                      <w:sz w:val="21"/>
                      <w:szCs w:val="21"/>
                      <w:vertAlign w:val="baseline"/>
                      <w:lang w:eastAsia="zh-CN"/>
                    </w:rPr>
                    <w:t>自带</w:t>
                  </w:r>
                  <w:r>
                    <w:rPr>
                      <w:rFonts w:hint="default" w:ascii="Times New Roman" w:hAnsi="Times New Roman"/>
                      <w:color w:val="000000"/>
                      <w:szCs w:val="21"/>
                    </w:rPr>
                    <w:t>滤芯除尘器</w:t>
                  </w:r>
                </w:p>
              </w:tc>
              <w:tc>
                <w:tcPr>
                  <w:tcW w:w="676" w:type="pct"/>
                  <w:noWrap w:val="0"/>
                  <w:vAlign w:val="center"/>
                </w:tcPr>
                <w:p w14:paraId="07F5573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99%</w:t>
                  </w:r>
                </w:p>
              </w:tc>
              <w:tc>
                <w:tcPr>
                  <w:tcW w:w="531" w:type="pct"/>
                  <w:noWrap w:val="0"/>
                  <w:vAlign w:val="center"/>
                </w:tcPr>
                <w:p w14:paraId="3D189201">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39" w:type="pct"/>
                  <w:noWrap w:val="0"/>
                  <w:vAlign w:val="center"/>
                </w:tcPr>
                <w:p w14:paraId="3D63309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22</w:t>
                  </w:r>
                </w:p>
              </w:tc>
              <w:tc>
                <w:tcPr>
                  <w:tcW w:w="396" w:type="pct"/>
                  <w:noWrap w:val="0"/>
                  <w:vAlign w:val="center"/>
                </w:tcPr>
                <w:p w14:paraId="43CAEA91">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1440</w:t>
                  </w:r>
                </w:p>
              </w:tc>
            </w:tr>
            <w:tr w14:paraId="3CC1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37" w:type="pct"/>
                  <w:gridSpan w:val="3"/>
                  <w:noWrap w:val="0"/>
                  <w:vAlign w:val="center"/>
                </w:tcPr>
                <w:p w14:paraId="12F433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合计</w:t>
                  </w:r>
                </w:p>
              </w:tc>
              <w:tc>
                <w:tcPr>
                  <w:tcW w:w="553" w:type="pct"/>
                  <w:noWrap w:val="0"/>
                  <w:vAlign w:val="center"/>
                </w:tcPr>
                <w:p w14:paraId="2643D8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96" w:type="pct"/>
                  <w:noWrap w:val="0"/>
                  <w:vAlign w:val="center"/>
                </w:tcPr>
                <w:p w14:paraId="6FFB7C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64.08</w:t>
                  </w:r>
                </w:p>
              </w:tc>
              <w:tc>
                <w:tcPr>
                  <w:tcW w:w="470" w:type="pct"/>
                  <w:noWrap w:val="0"/>
                  <w:vAlign w:val="center"/>
                </w:tcPr>
                <w:p w14:paraId="250596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676" w:type="pct"/>
                  <w:noWrap w:val="0"/>
                  <w:vAlign w:val="center"/>
                </w:tcPr>
                <w:p w14:paraId="0C2561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531" w:type="pct"/>
                  <w:noWrap w:val="0"/>
                  <w:vAlign w:val="center"/>
                </w:tcPr>
                <w:p w14:paraId="2F1E4F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439" w:type="pct"/>
                  <w:noWrap w:val="0"/>
                  <w:vAlign w:val="center"/>
                </w:tcPr>
                <w:p w14:paraId="02CC62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26</w:t>
                  </w:r>
                </w:p>
              </w:tc>
              <w:tc>
                <w:tcPr>
                  <w:tcW w:w="396" w:type="pct"/>
                  <w:noWrap w:val="0"/>
                  <w:vAlign w:val="center"/>
                </w:tcPr>
                <w:p w14:paraId="40EC7A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14:paraId="520A263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color w:val="auto"/>
                <w:kern w:val="2"/>
                <w:sz w:val="24"/>
                <w:szCs w:val="22"/>
                <w:highlight w:val="none"/>
                <w:lang w:val="en-US" w:eastAsia="zh-CN" w:bidi="ar-SA"/>
              </w:rPr>
              <w:t>总体而言，本工程的施工期较</w:t>
            </w:r>
            <w:r>
              <w:rPr>
                <w:rFonts w:hint="eastAsia" w:cs="Times New Roman"/>
                <w:b w:val="0"/>
                <w:color w:val="auto"/>
                <w:kern w:val="2"/>
                <w:sz w:val="24"/>
                <w:szCs w:val="22"/>
                <w:highlight w:val="none"/>
                <w:lang w:val="en-US" w:eastAsia="zh-CN" w:bidi="ar-SA"/>
              </w:rPr>
              <w:t>短</w:t>
            </w:r>
            <w:r>
              <w:rPr>
                <w:rFonts w:hint="default" w:ascii="Times New Roman" w:hAnsi="Times New Roman" w:eastAsia="宋体" w:cs="Times New Roman"/>
                <w:b w:val="0"/>
                <w:color w:val="auto"/>
                <w:kern w:val="2"/>
                <w:sz w:val="24"/>
                <w:szCs w:val="22"/>
                <w:highlight w:val="none"/>
                <w:lang w:val="en-US" w:eastAsia="zh-CN" w:bidi="ar-SA"/>
              </w:rPr>
              <w:t>，随着施工的结束大气环境的影响也将自动消失，项目施工过程产生的废气对周围环境的影响不大。</w:t>
            </w:r>
          </w:p>
          <w:p w14:paraId="56D89612">
            <w:pPr>
              <w:keepNext/>
              <w:keepLines/>
              <w:widowControl/>
              <w:suppressLineNumbers w:val="0"/>
              <w:spacing w:before="0" w:beforeAutospacing="0" w:after="0" w:afterAutospacing="0" w:line="360" w:lineRule="auto"/>
              <w:ind w:left="0" w:right="0"/>
              <w:jc w:val="lef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3、施工期声环境影响分析</w:t>
            </w:r>
          </w:p>
          <w:p w14:paraId="5D1CD13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期噪声源主要由施工过程设备机械噪声及运输车辆噪声两部分组成，项目机械施工多为分散、轮流间歇性施工，运输车辆噪声主要沿交通路线沿程排放，影响的主要对象为施工人员、施工区周围及运输道路沿线的居民。</w:t>
            </w:r>
          </w:p>
          <w:p w14:paraId="0E86948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（1）施工区点源噪声影响分析</w:t>
            </w:r>
          </w:p>
          <w:p w14:paraId="2FB17A6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施工期机械设备噪声源可近似视为点源，根据点源衰减模式，计算施工期间离声源不同距离离处的噪声值，预测模式如下：</w:t>
            </w:r>
          </w:p>
          <w:p w14:paraId="02E08A65">
            <w:pPr>
              <w:pStyle w:val="53"/>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1534795" cy="4248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34795" cy="424815"/>
                          </a:xfrm>
                          <a:prstGeom prst="rect">
                            <a:avLst/>
                          </a:prstGeom>
                          <a:noFill/>
                          <a:ln>
                            <a:noFill/>
                          </a:ln>
                        </pic:spPr>
                      </pic:pic>
                    </a:graphicData>
                  </a:graphic>
                </wp:inline>
              </w:drawing>
            </w:r>
          </w:p>
          <w:p w14:paraId="51961162">
            <w:pPr>
              <w:pStyle w:val="53"/>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1232535" cy="383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2535" cy="383540"/>
                          </a:xfrm>
                          <a:prstGeom prst="rect">
                            <a:avLst/>
                          </a:prstGeom>
                          <a:noFill/>
                          <a:ln>
                            <a:noFill/>
                          </a:ln>
                        </pic:spPr>
                      </pic:pic>
                    </a:graphicData>
                  </a:graphic>
                </wp:inline>
              </w:drawing>
            </w:r>
          </w:p>
          <w:p w14:paraId="62CD1AA6">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式中：Lri—距i点源r处的噪声值，dB(A)；</w:t>
            </w:r>
          </w:p>
          <w:p w14:paraId="7F1C4706">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Lr</w:t>
            </w:r>
            <w:r>
              <w:rPr>
                <w:rFonts w:hint="default" w:ascii="Times New Roman" w:hAnsi="Times New Roman" w:eastAsia="宋体" w:cs="Times New Roman"/>
                <w:color w:val="auto"/>
                <w:kern w:val="0"/>
                <w:sz w:val="24"/>
                <w:szCs w:val="24"/>
                <w:highlight w:val="none"/>
                <w:vertAlign w:val="subscript"/>
              </w:rPr>
              <w:t>0i</w:t>
            </w:r>
            <w:r>
              <w:rPr>
                <w:rFonts w:hint="default" w:ascii="Times New Roman" w:hAnsi="Times New Roman" w:eastAsia="宋体" w:cs="Times New Roman"/>
                <w:color w:val="auto"/>
                <w:kern w:val="0"/>
                <w:sz w:val="24"/>
                <w:szCs w:val="24"/>
                <w:highlight w:val="none"/>
              </w:rPr>
              <w:t>—距i点源r0(参考点)处的噪声值，dB(A)；</w:t>
            </w:r>
          </w:p>
          <w:p w14:paraId="1588EC87">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△s—各种声屏障引起的衰减量，dB(A)。</w:t>
            </w:r>
          </w:p>
          <w:p w14:paraId="4FBF382B">
            <w:pPr>
              <w:pStyle w:val="53"/>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Ln—n个声源在评价点处叠加的噪声值(dB(A))。</w:t>
            </w:r>
          </w:p>
          <w:p w14:paraId="34B9FEA0">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根据噪声预测模式，利用噪声预测公式，计算出各类施工设施在不同距离处的噪声值，见表4-</w:t>
            </w: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p>
          <w:p w14:paraId="0A09E5F0">
            <w:pPr>
              <w:pStyle w:val="5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表4-</w:t>
            </w:r>
            <w:r>
              <w:rPr>
                <w:rFonts w:hint="default"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rPr>
              <w:t>主要施工机械噪声影响预测结果统计表</w:t>
            </w:r>
          </w:p>
          <w:tbl>
            <w:tblPr>
              <w:tblStyle w:val="28"/>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742"/>
              <w:gridCol w:w="667"/>
              <w:gridCol w:w="811"/>
              <w:gridCol w:w="811"/>
              <w:gridCol w:w="811"/>
              <w:gridCol w:w="811"/>
              <w:gridCol w:w="955"/>
              <w:gridCol w:w="954"/>
            </w:tblGrid>
            <w:tr w14:paraId="1C3A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52" w:type="dxa"/>
                  <w:vMerge w:val="restart"/>
                  <w:tcBorders>
                    <w:tl2br w:val="nil"/>
                    <w:tr2bl w:val="nil"/>
                  </w:tcBorders>
                  <w:shd w:val="clear" w:color="auto" w:fill="auto"/>
                  <w:vAlign w:val="center"/>
                </w:tcPr>
                <w:p w14:paraId="5D2BDB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color w:val="auto"/>
                      <w:highlight w:val="none"/>
                    </w:rPr>
                    <w:t>施工阶段</w:t>
                  </w:r>
                </w:p>
              </w:tc>
              <w:tc>
                <w:tcPr>
                  <w:tcW w:w="1742" w:type="dxa"/>
                  <w:vMerge w:val="restart"/>
                  <w:tcBorders>
                    <w:tl2br w:val="nil"/>
                    <w:tr2bl w:val="nil"/>
                  </w:tcBorders>
                  <w:shd w:val="clear" w:color="auto" w:fill="auto"/>
                  <w:vAlign w:val="center"/>
                </w:tcPr>
                <w:p w14:paraId="2709C0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color w:val="auto"/>
                      <w:highlight w:val="none"/>
                    </w:rPr>
                    <w:t>设备名称</w:t>
                  </w:r>
                </w:p>
              </w:tc>
              <w:tc>
                <w:tcPr>
                  <w:tcW w:w="5820" w:type="dxa"/>
                  <w:gridSpan w:val="7"/>
                  <w:tcBorders>
                    <w:tl2br w:val="nil"/>
                    <w:tr2bl w:val="nil"/>
                  </w:tcBorders>
                  <w:shd w:val="clear" w:color="auto" w:fill="auto"/>
                  <w:vAlign w:val="center"/>
                </w:tcPr>
                <w:p w14:paraId="31D14C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highlight w:val="none"/>
                    </w:rPr>
                  </w:pPr>
                  <w:r>
                    <w:rPr>
                      <w:rFonts w:hint="default" w:ascii="Times New Roman" w:hAnsi="Times New Roman" w:eastAsia="宋体" w:cs="Times New Roman"/>
                      <w:b/>
                      <w:bCs/>
                      <w:caps/>
                      <w:color w:val="auto"/>
                      <w:highlight w:val="none"/>
                    </w:rPr>
                    <w:t>噪声预测值</w:t>
                  </w:r>
                </w:p>
              </w:tc>
            </w:tr>
            <w:tr w14:paraId="1C3E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52" w:type="dxa"/>
                  <w:vMerge w:val="continue"/>
                  <w:tcBorders>
                    <w:tl2br w:val="nil"/>
                    <w:tr2bl w:val="nil"/>
                  </w:tcBorders>
                  <w:shd w:val="clear" w:color="auto" w:fill="auto"/>
                  <w:vAlign w:val="center"/>
                </w:tcPr>
                <w:p w14:paraId="4F4C0D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1742" w:type="dxa"/>
                  <w:vMerge w:val="continue"/>
                  <w:tcBorders>
                    <w:tl2br w:val="nil"/>
                    <w:tr2bl w:val="nil"/>
                  </w:tcBorders>
                  <w:shd w:val="clear" w:color="auto" w:fill="auto"/>
                  <w:vAlign w:val="center"/>
                </w:tcPr>
                <w:p w14:paraId="5DD9DE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667" w:type="dxa"/>
                  <w:tcBorders>
                    <w:tl2br w:val="nil"/>
                    <w:tr2bl w:val="nil"/>
                  </w:tcBorders>
                  <w:shd w:val="clear" w:color="auto" w:fill="auto"/>
                  <w:vAlign w:val="center"/>
                </w:tcPr>
                <w:p w14:paraId="697CC6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5m</w:t>
                  </w:r>
                </w:p>
              </w:tc>
              <w:tc>
                <w:tcPr>
                  <w:tcW w:w="811" w:type="dxa"/>
                  <w:tcBorders>
                    <w:tl2br w:val="nil"/>
                    <w:tr2bl w:val="nil"/>
                  </w:tcBorders>
                  <w:shd w:val="clear" w:color="auto" w:fill="auto"/>
                  <w:vAlign w:val="center"/>
                </w:tcPr>
                <w:p w14:paraId="593E9D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10m</w:t>
                  </w:r>
                </w:p>
              </w:tc>
              <w:tc>
                <w:tcPr>
                  <w:tcW w:w="811" w:type="dxa"/>
                  <w:tcBorders>
                    <w:tl2br w:val="nil"/>
                    <w:tr2bl w:val="nil"/>
                  </w:tcBorders>
                  <w:shd w:val="clear" w:color="auto" w:fill="auto"/>
                  <w:vAlign w:val="center"/>
                </w:tcPr>
                <w:p w14:paraId="6D6654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20m</w:t>
                  </w:r>
                </w:p>
              </w:tc>
              <w:tc>
                <w:tcPr>
                  <w:tcW w:w="811" w:type="dxa"/>
                  <w:tcBorders>
                    <w:tl2br w:val="nil"/>
                    <w:tr2bl w:val="nil"/>
                  </w:tcBorders>
                  <w:shd w:val="clear" w:color="auto" w:fill="auto"/>
                  <w:vAlign w:val="center"/>
                </w:tcPr>
                <w:p w14:paraId="2DD822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40m</w:t>
                  </w:r>
                </w:p>
              </w:tc>
              <w:tc>
                <w:tcPr>
                  <w:tcW w:w="811" w:type="dxa"/>
                  <w:tcBorders>
                    <w:tl2br w:val="nil"/>
                    <w:tr2bl w:val="nil"/>
                  </w:tcBorders>
                  <w:shd w:val="clear" w:color="auto" w:fill="auto"/>
                  <w:vAlign w:val="center"/>
                </w:tcPr>
                <w:p w14:paraId="2E32CA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50m</w:t>
                  </w:r>
                </w:p>
              </w:tc>
              <w:tc>
                <w:tcPr>
                  <w:tcW w:w="955" w:type="dxa"/>
                  <w:tcBorders>
                    <w:tl2br w:val="nil"/>
                    <w:tr2bl w:val="nil"/>
                  </w:tcBorders>
                  <w:shd w:val="clear" w:color="auto" w:fill="auto"/>
                  <w:vAlign w:val="center"/>
                </w:tcPr>
                <w:p w14:paraId="5AF776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100m</w:t>
                  </w:r>
                </w:p>
              </w:tc>
              <w:tc>
                <w:tcPr>
                  <w:tcW w:w="954" w:type="dxa"/>
                  <w:tcBorders>
                    <w:tl2br w:val="nil"/>
                    <w:tr2bl w:val="nil"/>
                  </w:tcBorders>
                  <w:shd w:val="clear" w:color="auto" w:fill="auto"/>
                  <w:vAlign w:val="center"/>
                </w:tcPr>
                <w:p w14:paraId="15A293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200m</w:t>
                  </w:r>
                </w:p>
              </w:tc>
            </w:tr>
            <w:tr w14:paraId="1E9E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Merge w:val="restart"/>
                  <w:tcBorders>
                    <w:tl2br w:val="nil"/>
                    <w:tr2bl w:val="nil"/>
                  </w:tcBorders>
                  <w:shd w:val="clear" w:color="auto" w:fill="auto"/>
                  <w:vAlign w:val="center"/>
                </w:tcPr>
                <w:p w14:paraId="5D02EA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主要用于</w:t>
                  </w:r>
                  <w:r>
                    <w:rPr>
                      <w:rFonts w:hint="eastAsia" w:ascii="Times New Roman" w:hAnsi="Times New Roman" w:eastAsia="宋体" w:cs="Times New Roman"/>
                      <w:color w:val="auto"/>
                      <w:highlight w:val="none"/>
                      <w:lang w:val="en-US" w:eastAsia="zh-CN"/>
                    </w:rPr>
                    <w:t>调蓄水池、水厂泵站</w:t>
                  </w:r>
                  <w:r>
                    <w:rPr>
                      <w:rFonts w:hint="default" w:ascii="Times New Roman" w:hAnsi="Times New Roman" w:eastAsia="宋体" w:cs="Times New Roman"/>
                      <w:color w:val="auto"/>
                      <w:highlight w:val="none"/>
                    </w:rPr>
                    <w:t>的建设过程</w:t>
                  </w:r>
                </w:p>
              </w:tc>
              <w:tc>
                <w:tcPr>
                  <w:tcW w:w="1742" w:type="dxa"/>
                  <w:tcBorders>
                    <w:tl2br w:val="nil"/>
                    <w:tr2bl w:val="nil"/>
                  </w:tcBorders>
                  <w:shd w:val="clear" w:color="auto" w:fill="auto"/>
                  <w:vAlign w:val="center"/>
                </w:tcPr>
                <w:p w14:paraId="086A6A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推土机</w:t>
                  </w:r>
                </w:p>
              </w:tc>
              <w:tc>
                <w:tcPr>
                  <w:tcW w:w="667" w:type="dxa"/>
                  <w:tcBorders>
                    <w:tl2br w:val="nil"/>
                    <w:tr2bl w:val="nil"/>
                  </w:tcBorders>
                  <w:shd w:val="clear" w:color="auto" w:fill="auto"/>
                  <w:vAlign w:val="center"/>
                </w:tcPr>
                <w:p w14:paraId="1C3D7B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11" w:type="dxa"/>
                  <w:tcBorders>
                    <w:tl2br w:val="nil"/>
                    <w:tr2bl w:val="nil"/>
                  </w:tcBorders>
                  <w:shd w:val="clear" w:color="auto" w:fill="auto"/>
                  <w:vAlign w:val="center"/>
                </w:tcPr>
                <w:p w14:paraId="7586D6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74</w:t>
                  </w:r>
                </w:p>
              </w:tc>
              <w:tc>
                <w:tcPr>
                  <w:tcW w:w="811" w:type="dxa"/>
                  <w:tcBorders>
                    <w:tl2br w:val="nil"/>
                    <w:tr2bl w:val="nil"/>
                  </w:tcBorders>
                  <w:shd w:val="clear" w:color="auto" w:fill="auto"/>
                  <w:vAlign w:val="center"/>
                </w:tcPr>
                <w:p w14:paraId="6F211D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68</w:t>
                  </w:r>
                </w:p>
              </w:tc>
              <w:tc>
                <w:tcPr>
                  <w:tcW w:w="811" w:type="dxa"/>
                  <w:tcBorders>
                    <w:tl2br w:val="nil"/>
                    <w:tr2bl w:val="nil"/>
                  </w:tcBorders>
                  <w:shd w:val="clear" w:color="auto" w:fill="auto"/>
                  <w:vAlign w:val="center"/>
                </w:tcPr>
                <w:p w14:paraId="2D9774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62</w:t>
                  </w:r>
                </w:p>
              </w:tc>
              <w:tc>
                <w:tcPr>
                  <w:tcW w:w="811" w:type="dxa"/>
                  <w:tcBorders>
                    <w:tl2br w:val="nil"/>
                    <w:tr2bl w:val="nil"/>
                  </w:tcBorders>
                  <w:shd w:val="clear" w:color="auto" w:fill="auto"/>
                  <w:vAlign w:val="center"/>
                </w:tcPr>
                <w:p w14:paraId="49AB3F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955" w:type="dxa"/>
                  <w:tcBorders>
                    <w:tl2br w:val="nil"/>
                    <w:tr2bl w:val="nil"/>
                  </w:tcBorders>
                  <w:shd w:val="clear" w:color="auto" w:fill="auto"/>
                  <w:vAlign w:val="center"/>
                </w:tcPr>
                <w:p w14:paraId="0DBBDE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54</w:t>
                  </w:r>
                </w:p>
              </w:tc>
              <w:tc>
                <w:tcPr>
                  <w:tcW w:w="954" w:type="dxa"/>
                  <w:tcBorders>
                    <w:tl2br w:val="nil"/>
                    <w:tr2bl w:val="nil"/>
                  </w:tcBorders>
                  <w:shd w:val="clear" w:color="auto" w:fill="auto"/>
                  <w:vAlign w:val="center"/>
                </w:tcPr>
                <w:p w14:paraId="29AC81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49</w:t>
                  </w:r>
                </w:p>
              </w:tc>
            </w:tr>
            <w:tr w14:paraId="62CE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Merge w:val="continue"/>
                  <w:tcBorders>
                    <w:tl2br w:val="nil"/>
                    <w:tr2bl w:val="nil"/>
                  </w:tcBorders>
                  <w:shd w:val="clear" w:color="auto" w:fill="auto"/>
                  <w:vAlign w:val="center"/>
                </w:tcPr>
                <w:p w14:paraId="0E837DA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1742" w:type="dxa"/>
                  <w:tcBorders>
                    <w:tl2br w:val="nil"/>
                    <w:tr2bl w:val="nil"/>
                  </w:tcBorders>
                  <w:shd w:val="clear" w:color="auto" w:fill="auto"/>
                  <w:vAlign w:val="center"/>
                </w:tcPr>
                <w:p w14:paraId="6C8A64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夯实机</w:t>
                  </w:r>
                </w:p>
              </w:tc>
              <w:tc>
                <w:tcPr>
                  <w:tcW w:w="667" w:type="dxa"/>
                  <w:tcBorders>
                    <w:tl2br w:val="nil"/>
                    <w:tr2bl w:val="nil"/>
                  </w:tcBorders>
                  <w:shd w:val="clear" w:color="auto" w:fill="auto"/>
                  <w:vAlign w:val="center"/>
                </w:tcPr>
                <w:p w14:paraId="6E9FB6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79</w:t>
                  </w:r>
                </w:p>
              </w:tc>
              <w:tc>
                <w:tcPr>
                  <w:tcW w:w="811" w:type="dxa"/>
                  <w:tcBorders>
                    <w:tl2br w:val="nil"/>
                    <w:tr2bl w:val="nil"/>
                  </w:tcBorders>
                  <w:shd w:val="clear" w:color="auto" w:fill="auto"/>
                  <w:vAlign w:val="center"/>
                </w:tcPr>
                <w:p w14:paraId="634C99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73</w:t>
                  </w:r>
                </w:p>
              </w:tc>
              <w:tc>
                <w:tcPr>
                  <w:tcW w:w="811" w:type="dxa"/>
                  <w:tcBorders>
                    <w:tl2br w:val="nil"/>
                    <w:tr2bl w:val="nil"/>
                  </w:tcBorders>
                  <w:shd w:val="clear" w:color="auto" w:fill="auto"/>
                  <w:vAlign w:val="center"/>
                </w:tcPr>
                <w:p w14:paraId="1A96F9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67</w:t>
                  </w:r>
                </w:p>
              </w:tc>
              <w:tc>
                <w:tcPr>
                  <w:tcW w:w="811" w:type="dxa"/>
                  <w:tcBorders>
                    <w:tl2br w:val="nil"/>
                    <w:tr2bl w:val="nil"/>
                  </w:tcBorders>
                  <w:shd w:val="clear" w:color="auto" w:fill="auto"/>
                  <w:vAlign w:val="center"/>
                </w:tcPr>
                <w:p w14:paraId="046FB3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11" w:type="dxa"/>
                  <w:tcBorders>
                    <w:tl2br w:val="nil"/>
                    <w:tr2bl w:val="nil"/>
                  </w:tcBorders>
                  <w:shd w:val="clear" w:color="auto" w:fill="auto"/>
                  <w:vAlign w:val="center"/>
                </w:tcPr>
                <w:p w14:paraId="2C5D3D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59</w:t>
                  </w:r>
                </w:p>
              </w:tc>
              <w:tc>
                <w:tcPr>
                  <w:tcW w:w="955" w:type="dxa"/>
                  <w:tcBorders>
                    <w:tl2br w:val="nil"/>
                    <w:tr2bl w:val="nil"/>
                  </w:tcBorders>
                  <w:shd w:val="clear" w:color="auto" w:fill="auto"/>
                  <w:vAlign w:val="center"/>
                </w:tcPr>
                <w:p w14:paraId="1B2703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w:t>
                  </w:r>
                </w:p>
              </w:tc>
              <w:tc>
                <w:tcPr>
                  <w:tcW w:w="954" w:type="dxa"/>
                  <w:tcBorders>
                    <w:tl2br w:val="nil"/>
                    <w:tr2bl w:val="nil"/>
                  </w:tcBorders>
                  <w:shd w:val="clear" w:color="auto" w:fill="auto"/>
                  <w:vAlign w:val="center"/>
                </w:tcPr>
                <w:p w14:paraId="483261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48</w:t>
                  </w:r>
                </w:p>
              </w:tc>
            </w:tr>
            <w:tr w14:paraId="177C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Merge w:val="continue"/>
                  <w:tcBorders>
                    <w:tl2br w:val="nil"/>
                    <w:tr2bl w:val="nil"/>
                  </w:tcBorders>
                  <w:shd w:val="clear" w:color="auto" w:fill="auto"/>
                  <w:vAlign w:val="center"/>
                </w:tcPr>
                <w:p w14:paraId="3401B7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1742" w:type="dxa"/>
                  <w:tcBorders>
                    <w:tl2br w:val="nil"/>
                    <w:tr2bl w:val="nil"/>
                  </w:tcBorders>
                  <w:shd w:val="clear" w:color="auto" w:fill="auto"/>
                  <w:vAlign w:val="center"/>
                </w:tcPr>
                <w:p w14:paraId="283CCC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挖掘机</w:t>
                  </w:r>
                </w:p>
              </w:tc>
              <w:tc>
                <w:tcPr>
                  <w:tcW w:w="667" w:type="dxa"/>
                  <w:tcBorders>
                    <w:tl2br w:val="nil"/>
                    <w:tr2bl w:val="nil"/>
                  </w:tcBorders>
                  <w:shd w:val="clear" w:color="auto" w:fill="auto"/>
                  <w:vAlign w:val="center"/>
                </w:tcPr>
                <w:p w14:paraId="12FDBE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78</w:t>
                  </w:r>
                </w:p>
              </w:tc>
              <w:tc>
                <w:tcPr>
                  <w:tcW w:w="811" w:type="dxa"/>
                  <w:tcBorders>
                    <w:tl2br w:val="nil"/>
                    <w:tr2bl w:val="nil"/>
                  </w:tcBorders>
                  <w:shd w:val="clear" w:color="auto" w:fill="auto"/>
                  <w:vAlign w:val="center"/>
                </w:tcPr>
                <w:p w14:paraId="629FBC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72</w:t>
                  </w:r>
                </w:p>
              </w:tc>
              <w:tc>
                <w:tcPr>
                  <w:tcW w:w="811" w:type="dxa"/>
                  <w:tcBorders>
                    <w:tl2br w:val="nil"/>
                    <w:tr2bl w:val="nil"/>
                  </w:tcBorders>
                  <w:shd w:val="clear" w:color="auto" w:fill="auto"/>
                  <w:vAlign w:val="center"/>
                </w:tcPr>
                <w:p w14:paraId="75A129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66</w:t>
                  </w:r>
                </w:p>
              </w:tc>
              <w:tc>
                <w:tcPr>
                  <w:tcW w:w="811" w:type="dxa"/>
                  <w:tcBorders>
                    <w:tl2br w:val="nil"/>
                    <w:tr2bl w:val="nil"/>
                  </w:tcBorders>
                  <w:shd w:val="clear" w:color="auto" w:fill="auto"/>
                  <w:vAlign w:val="center"/>
                </w:tcPr>
                <w:p w14:paraId="687DA1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59</w:t>
                  </w:r>
                </w:p>
              </w:tc>
              <w:tc>
                <w:tcPr>
                  <w:tcW w:w="811" w:type="dxa"/>
                  <w:tcBorders>
                    <w:tl2br w:val="nil"/>
                    <w:tr2bl w:val="nil"/>
                  </w:tcBorders>
                  <w:shd w:val="clear" w:color="auto" w:fill="auto"/>
                  <w:vAlign w:val="center"/>
                </w:tcPr>
                <w:p w14:paraId="449C6E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58</w:t>
                  </w:r>
                </w:p>
              </w:tc>
              <w:tc>
                <w:tcPr>
                  <w:tcW w:w="955" w:type="dxa"/>
                  <w:tcBorders>
                    <w:tl2br w:val="nil"/>
                    <w:tr2bl w:val="nil"/>
                  </w:tcBorders>
                  <w:shd w:val="clear" w:color="auto" w:fill="auto"/>
                  <w:vAlign w:val="center"/>
                </w:tcPr>
                <w:p w14:paraId="425B66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954" w:type="dxa"/>
                  <w:tcBorders>
                    <w:tl2br w:val="nil"/>
                    <w:tr2bl w:val="nil"/>
                  </w:tcBorders>
                  <w:shd w:val="clear" w:color="auto" w:fill="auto"/>
                  <w:vAlign w:val="center"/>
                </w:tcPr>
                <w:p w14:paraId="21303F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w:t>
                  </w:r>
                </w:p>
              </w:tc>
            </w:tr>
            <w:tr w14:paraId="0E58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52" w:type="dxa"/>
                  <w:vMerge w:val="continue"/>
                  <w:tcBorders>
                    <w:tl2br w:val="nil"/>
                    <w:tr2bl w:val="nil"/>
                  </w:tcBorders>
                  <w:shd w:val="clear" w:color="auto" w:fill="auto"/>
                  <w:vAlign w:val="center"/>
                </w:tcPr>
                <w:p w14:paraId="7CE3CAA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1742" w:type="dxa"/>
                  <w:tcBorders>
                    <w:tl2br w:val="nil"/>
                    <w:tr2bl w:val="nil"/>
                  </w:tcBorders>
                  <w:shd w:val="clear" w:color="auto" w:fill="auto"/>
                  <w:vAlign w:val="center"/>
                </w:tcPr>
                <w:p w14:paraId="683449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自卸汽车</w:t>
                  </w:r>
                </w:p>
              </w:tc>
              <w:tc>
                <w:tcPr>
                  <w:tcW w:w="667" w:type="dxa"/>
                  <w:tcBorders>
                    <w:tl2br w:val="nil"/>
                    <w:tr2bl w:val="nil"/>
                  </w:tcBorders>
                  <w:shd w:val="clear" w:color="auto" w:fill="auto"/>
                  <w:vAlign w:val="center"/>
                </w:tcPr>
                <w:p w14:paraId="3F85AF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76</w:t>
                  </w:r>
                </w:p>
              </w:tc>
              <w:tc>
                <w:tcPr>
                  <w:tcW w:w="811" w:type="dxa"/>
                  <w:tcBorders>
                    <w:tl2br w:val="nil"/>
                    <w:tr2bl w:val="nil"/>
                  </w:tcBorders>
                  <w:shd w:val="clear" w:color="auto" w:fill="auto"/>
                  <w:vAlign w:val="center"/>
                </w:tcPr>
                <w:p w14:paraId="2CF35B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11" w:type="dxa"/>
                  <w:tcBorders>
                    <w:tl2br w:val="nil"/>
                    <w:tr2bl w:val="nil"/>
                  </w:tcBorders>
                  <w:shd w:val="clear" w:color="auto" w:fill="auto"/>
                  <w:vAlign w:val="center"/>
                </w:tcPr>
                <w:p w14:paraId="1E3560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64</w:t>
                  </w:r>
                </w:p>
              </w:tc>
              <w:tc>
                <w:tcPr>
                  <w:tcW w:w="811" w:type="dxa"/>
                  <w:tcBorders>
                    <w:tl2br w:val="nil"/>
                    <w:tr2bl w:val="nil"/>
                  </w:tcBorders>
                  <w:shd w:val="clear" w:color="auto" w:fill="auto"/>
                  <w:vAlign w:val="center"/>
                </w:tcPr>
                <w:p w14:paraId="67701C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58</w:t>
                  </w:r>
                </w:p>
              </w:tc>
              <w:tc>
                <w:tcPr>
                  <w:tcW w:w="811" w:type="dxa"/>
                  <w:tcBorders>
                    <w:tl2br w:val="nil"/>
                    <w:tr2bl w:val="nil"/>
                  </w:tcBorders>
                  <w:shd w:val="clear" w:color="auto" w:fill="auto"/>
                  <w:vAlign w:val="center"/>
                </w:tcPr>
                <w:p w14:paraId="3FC7E0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w:t>
                  </w:r>
                </w:p>
              </w:tc>
              <w:tc>
                <w:tcPr>
                  <w:tcW w:w="955" w:type="dxa"/>
                  <w:tcBorders>
                    <w:tl2br w:val="nil"/>
                    <w:tr2bl w:val="nil"/>
                  </w:tcBorders>
                  <w:shd w:val="clear" w:color="auto" w:fill="auto"/>
                  <w:vAlign w:val="center"/>
                </w:tcPr>
                <w:p w14:paraId="4E6682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c>
                <w:tcPr>
                  <w:tcW w:w="954" w:type="dxa"/>
                  <w:tcBorders>
                    <w:tl2br w:val="nil"/>
                    <w:tr2bl w:val="nil"/>
                  </w:tcBorders>
                  <w:shd w:val="clear" w:color="auto" w:fill="auto"/>
                  <w:vAlign w:val="center"/>
                </w:tcPr>
                <w:p w14:paraId="057246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w:t>
                  </w:r>
                </w:p>
              </w:tc>
            </w:tr>
            <w:tr w14:paraId="0FAA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52" w:type="dxa"/>
                  <w:vMerge w:val="continue"/>
                  <w:tcBorders>
                    <w:tl2br w:val="nil"/>
                    <w:tr2bl w:val="nil"/>
                  </w:tcBorders>
                  <w:shd w:val="clear" w:color="auto" w:fill="auto"/>
                  <w:vAlign w:val="center"/>
                </w:tcPr>
                <w:p w14:paraId="241E54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p>
              </w:tc>
              <w:tc>
                <w:tcPr>
                  <w:tcW w:w="1742" w:type="dxa"/>
                  <w:tcBorders>
                    <w:tl2br w:val="nil"/>
                    <w:tr2bl w:val="nil"/>
                  </w:tcBorders>
                  <w:shd w:val="clear" w:color="auto" w:fill="auto"/>
                  <w:vAlign w:val="center"/>
                </w:tcPr>
                <w:p w14:paraId="74F945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载重汽车</w:t>
                  </w:r>
                </w:p>
              </w:tc>
              <w:tc>
                <w:tcPr>
                  <w:tcW w:w="667" w:type="dxa"/>
                  <w:tcBorders>
                    <w:tl2br w:val="nil"/>
                    <w:tr2bl w:val="nil"/>
                  </w:tcBorders>
                  <w:shd w:val="clear" w:color="auto" w:fill="auto"/>
                  <w:vAlign w:val="center"/>
                </w:tcPr>
                <w:p w14:paraId="30153A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811" w:type="dxa"/>
                  <w:tcBorders>
                    <w:tl2br w:val="nil"/>
                    <w:tr2bl w:val="nil"/>
                  </w:tcBorders>
                  <w:shd w:val="clear" w:color="auto" w:fill="auto"/>
                  <w:vAlign w:val="center"/>
                </w:tcPr>
                <w:p w14:paraId="243586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66</w:t>
                  </w:r>
                </w:p>
              </w:tc>
              <w:tc>
                <w:tcPr>
                  <w:tcW w:w="811" w:type="dxa"/>
                  <w:tcBorders>
                    <w:tl2br w:val="nil"/>
                    <w:tr2bl w:val="nil"/>
                  </w:tcBorders>
                  <w:shd w:val="clear" w:color="auto" w:fill="auto"/>
                  <w:vAlign w:val="center"/>
                </w:tcPr>
                <w:p w14:paraId="7165D5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57</w:t>
                  </w:r>
                </w:p>
              </w:tc>
              <w:tc>
                <w:tcPr>
                  <w:tcW w:w="811" w:type="dxa"/>
                  <w:tcBorders>
                    <w:tl2br w:val="nil"/>
                    <w:tr2bl w:val="nil"/>
                  </w:tcBorders>
                  <w:shd w:val="clear" w:color="auto" w:fill="auto"/>
                  <w:vAlign w:val="center"/>
                </w:tcPr>
                <w:p w14:paraId="48D5CA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49</w:t>
                  </w:r>
                </w:p>
              </w:tc>
              <w:tc>
                <w:tcPr>
                  <w:tcW w:w="811" w:type="dxa"/>
                  <w:tcBorders>
                    <w:tl2br w:val="nil"/>
                    <w:tr2bl w:val="nil"/>
                  </w:tcBorders>
                  <w:shd w:val="clear" w:color="auto" w:fill="auto"/>
                  <w:vAlign w:val="center"/>
                </w:tcPr>
                <w:p w14:paraId="3C42D1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w:t>
                  </w:r>
                </w:p>
              </w:tc>
              <w:tc>
                <w:tcPr>
                  <w:tcW w:w="955" w:type="dxa"/>
                  <w:tcBorders>
                    <w:tl2br w:val="nil"/>
                    <w:tr2bl w:val="nil"/>
                  </w:tcBorders>
                  <w:shd w:val="clear" w:color="auto" w:fill="auto"/>
                  <w:vAlign w:val="center"/>
                </w:tcPr>
                <w:p w14:paraId="5055C9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p>
              </w:tc>
              <w:tc>
                <w:tcPr>
                  <w:tcW w:w="954" w:type="dxa"/>
                  <w:tcBorders>
                    <w:tl2br w:val="nil"/>
                    <w:tr2bl w:val="nil"/>
                  </w:tcBorders>
                  <w:shd w:val="clear" w:color="auto" w:fill="auto"/>
                  <w:vAlign w:val="center"/>
                </w:tcPr>
                <w:p w14:paraId="40D495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w:t>
                  </w:r>
                </w:p>
              </w:tc>
            </w:tr>
          </w:tbl>
          <w:p w14:paraId="6FF7894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由预测结果可知，如果使用单台施工机械，在无遮挡的情况下，昼间在距施工场地边界100m以外可达到《建筑施工场界环境噪声排放标准》（GB12523-20</w:t>
            </w:r>
            <w:r>
              <w:rPr>
                <w:rFonts w:hint="eastAsia" w:cs="Times New Roman"/>
                <w:b w:val="0"/>
                <w:color w:val="auto"/>
                <w:kern w:val="2"/>
                <w:sz w:val="24"/>
                <w:szCs w:val="22"/>
                <w:highlight w:val="none"/>
                <w:lang w:val="en-US" w:eastAsia="zh-CN" w:bidi="ar-SA"/>
              </w:rPr>
              <w:t>25</w:t>
            </w:r>
            <w:r>
              <w:rPr>
                <w:rFonts w:hint="default" w:ascii="Times New Roman" w:hAnsi="Times New Roman" w:eastAsia="宋体" w:cs="Times New Roman"/>
                <w:b w:val="0"/>
                <w:color w:val="auto"/>
                <w:kern w:val="2"/>
                <w:sz w:val="24"/>
                <w:szCs w:val="22"/>
                <w:highlight w:val="none"/>
                <w:lang w:val="en-US" w:eastAsia="zh-CN" w:bidi="ar-SA"/>
              </w:rPr>
              <w:t>）的要求，夜间在200m处可达到标准限值。但在实际施工过程中，往往是多种机械同时使用，其噪声影响范围会更大。</w:t>
            </w:r>
          </w:p>
          <w:p w14:paraId="695498C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结合上表，施工期施工机械的使用会对周边声环境质量带来一定的不利影响，可通过选用低噪声设备、合理安排施工机械布置、加强管理，禁止在午休、夜间等休息时段施工等措施减缓对周围环境的影响。随着施工的结束其影响将随着施工期的结束而消失。</w:t>
            </w:r>
          </w:p>
          <w:p w14:paraId="7727049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综上，本项目施工期产生的噪声对周围环境的影响不大。</w:t>
            </w:r>
          </w:p>
          <w:p w14:paraId="541A93CB">
            <w:pPr>
              <w:keepNext/>
              <w:keepLines/>
              <w:widowControl/>
              <w:suppressLineNumbers w:val="0"/>
              <w:spacing w:before="0" w:beforeAutospacing="0" w:after="0" w:afterAutospacing="0" w:line="360" w:lineRule="auto"/>
              <w:ind w:left="0" w:right="0"/>
              <w:jc w:val="lef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4、施工期水环境影响分析</w:t>
            </w:r>
          </w:p>
          <w:p w14:paraId="37E7131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项目施工期废水主要为施工废水和施工人员生活污水。</w:t>
            </w:r>
          </w:p>
          <w:p w14:paraId="3CB6561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（1）施工废水</w:t>
            </w:r>
          </w:p>
          <w:p w14:paraId="19729B0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施工期机械与车辆冲洗水经沉淀池沉淀后循环使用不外排，对周围环境影响很小。</w:t>
            </w:r>
          </w:p>
          <w:p w14:paraId="0BCDAA3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（2）生活污水</w:t>
            </w:r>
          </w:p>
          <w:p w14:paraId="217B2DAB">
            <w:pPr>
              <w:pStyle w:val="36"/>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sz w:val="20"/>
              </w:rPr>
            </w:pPr>
            <w:r>
              <w:rPr>
                <w:rFonts w:hint="default" w:ascii="Times New Roman" w:hAnsi="Times New Roman" w:eastAsia="宋体" w:cs="Times New Roman"/>
                <w:color w:val="auto"/>
                <w:kern w:val="0"/>
                <w:sz w:val="24"/>
                <w:szCs w:val="24"/>
                <w:highlight w:val="none"/>
              </w:rPr>
              <w:t>施工人员排放的生活污水主要为</w:t>
            </w:r>
            <w:r>
              <w:rPr>
                <w:rFonts w:hint="default" w:ascii="Times New Roman" w:hAnsi="Times New Roman" w:eastAsia="宋体" w:cs="Times New Roman"/>
                <w:color w:val="auto"/>
                <w:kern w:val="0"/>
                <w:sz w:val="24"/>
                <w:szCs w:val="24"/>
                <w:highlight w:val="none"/>
                <w:lang w:val="en-US" w:eastAsia="zh-CN"/>
              </w:rPr>
              <w:t>洗漱废</w:t>
            </w:r>
            <w:r>
              <w:rPr>
                <w:rFonts w:hint="default" w:ascii="Times New Roman" w:hAnsi="Times New Roman" w:eastAsia="宋体" w:cs="Times New Roman"/>
                <w:color w:val="auto"/>
                <w:kern w:val="0"/>
                <w:sz w:val="24"/>
                <w:szCs w:val="24"/>
                <w:highlight w:val="none"/>
              </w:rPr>
              <w:t>水</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施工人员高峰期按</w:t>
            </w:r>
            <w:r>
              <w:rPr>
                <w:rFonts w:hint="eastAsia" w:ascii="Times New Roman" w:hAnsi="Times New Roman"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人计，按60L/人·d生活用水计，则日生活用水量为</w:t>
            </w:r>
            <w:r>
              <w:rPr>
                <w:rFonts w:hint="default" w:ascii="Times New Roman" w:hAnsi="Times New Roman" w:eastAsia="宋体"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/d，排污系数0.8计，生活污水产生量约</w:t>
            </w:r>
            <w:r>
              <w:rPr>
                <w:rFonts w:hint="eastAsia" w:ascii="Times New Roman" w:hAnsi="Times New Roman" w:cs="Times New Roman"/>
                <w:color w:val="auto"/>
                <w:kern w:val="0"/>
                <w:sz w:val="24"/>
                <w:szCs w:val="24"/>
                <w:highlight w:val="none"/>
                <w:lang w:val="en-US" w:eastAsia="zh-CN"/>
              </w:rPr>
              <w:t>2.88</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/d，施工期在施工场地建设1座10m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玻璃钢化粪池，</w:t>
            </w:r>
            <w:r>
              <w:rPr>
                <w:rFonts w:hint="eastAsia" w:ascii="Times New Roman" w:hAnsi="Times New Roman" w:cs="Times New Roman"/>
                <w:color w:val="auto"/>
                <w:kern w:val="0"/>
                <w:sz w:val="24"/>
                <w:szCs w:val="24"/>
                <w:highlight w:val="none"/>
                <w:lang w:eastAsia="zh-CN"/>
              </w:rPr>
              <w:t>经</w:t>
            </w:r>
            <w:r>
              <w:rPr>
                <w:rFonts w:hint="default"/>
                <w:spacing w:val="8"/>
                <w:sz w:val="24"/>
                <w:szCs w:val="24"/>
              </w:rPr>
              <w:t>化粪池处理后排入园区污水管网进</w:t>
            </w:r>
            <w:r>
              <w:rPr>
                <w:rFonts w:hint="default"/>
                <w:spacing w:val="7"/>
                <w:sz w:val="24"/>
                <w:szCs w:val="24"/>
              </w:rPr>
              <w:t>入张掖经济技术开发区循</w:t>
            </w:r>
            <w:r>
              <w:rPr>
                <w:rFonts w:hint="default"/>
                <w:spacing w:val="6"/>
                <w:sz w:val="24"/>
                <w:szCs w:val="24"/>
              </w:rPr>
              <w:t>环经济示范园污水处理厂处理。</w:t>
            </w:r>
          </w:p>
          <w:p w14:paraId="28187EF9">
            <w:pPr>
              <w:keepNext/>
              <w:keepLines/>
              <w:widowControl/>
              <w:suppressLineNumbers w:val="0"/>
              <w:spacing w:before="0" w:beforeAutospacing="0" w:after="0" w:afterAutospacing="0" w:line="360" w:lineRule="auto"/>
              <w:ind w:left="0" w:right="0"/>
              <w:jc w:val="lef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5、施工期固体废物影响分析</w:t>
            </w:r>
          </w:p>
          <w:p w14:paraId="61EBEF9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本项目施工期产生的固体废物主要为施工人员产生的生活垃圾、土石方、建筑垃圾和混凝土拌合站固废。</w:t>
            </w:r>
          </w:p>
          <w:p w14:paraId="4F879BA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（1）生活垃圾</w:t>
            </w:r>
          </w:p>
          <w:p w14:paraId="5E82315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施工人员每人每天产生生活垃圾按0.5kg计，工程施工高峰日施工人数</w:t>
            </w:r>
            <w:r>
              <w:rPr>
                <w:rFonts w:hint="eastAsia" w:cs="Times New Roman"/>
                <w:b w:val="0"/>
                <w:color w:val="auto"/>
                <w:kern w:val="2"/>
                <w:sz w:val="24"/>
                <w:szCs w:val="22"/>
                <w:highlight w:val="none"/>
                <w:lang w:val="en-US" w:eastAsia="zh-CN" w:bidi="ar-SA"/>
              </w:rPr>
              <w:t>6</w:t>
            </w:r>
            <w:r>
              <w:rPr>
                <w:rFonts w:hint="default" w:ascii="Times New Roman" w:hAnsi="Times New Roman" w:eastAsia="宋体" w:cs="Times New Roman"/>
                <w:b w:val="0"/>
                <w:color w:val="auto"/>
                <w:kern w:val="2"/>
                <w:sz w:val="24"/>
                <w:szCs w:val="22"/>
                <w:highlight w:val="none"/>
                <w:lang w:val="en-US" w:eastAsia="zh-CN" w:bidi="ar-SA"/>
              </w:rPr>
              <w:t>0人，则生活垃圾产生量约为</w:t>
            </w:r>
            <w:r>
              <w:rPr>
                <w:rFonts w:hint="eastAsia" w:cs="Times New Roman"/>
                <w:b w:val="0"/>
                <w:color w:val="auto"/>
                <w:kern w:val="2"/>
                <w:sz w:val="24"/>
                <w:szCs w:val="22"/>
                <w:highlight w:val="none"/>
                <w:lang w:val="en-US" w:eastAsia="zh-CN" w:bidi="ar-SA"/>
              </w:rPr>
              <w:t>30</w:t>
            </w:r>
            <w:r>
              <w:rPr>
                <w:rFonts w:hint="default" w:ascii="Times New Roman" w:hAnsi="Times New Roman" w:eastAsia="宋体" w:cs="Times New Roman"/>
                <w:b w:val="0"/>
                <w:color w:val="auto"/>
                <w:kern w:val="2"/>
                <w:sz w:val="24"/>
                <w:szCs w:val="22"/>
                <w:highlight w:val="none"/>
                <w:lang w:val="en-US" w:eastAsia="zh-CN" w:bidi="ar-SA"/>
              </w:rPr>
              <w:t>kg/d，禁止随意丢弃，施工区内设置垃圾桶，集中拉运至园区垃圾堆存点统一清运处置，对周围环境影响较小。</w:t>
            </w:r>
          </w:p>
          <w:p w14:paraId="2FE9D96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（2）建筑垃圾</w:t>
            </w:r>
          </w:p>
          <w:p w14:paraId="44EFC89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本项目施工期间产生的建筑垃圾主要为对施工建设过程中产生的建筑垃圾。项目施工期建筑垃圾产生量约为5t，收集后拉运至城建部门指定的建筑垃圾填埋场，对周围环境影响较小。</w:t>
            </w:r>
          </w:p>
          <w:p w14:paraId="3D3BEEF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（3）土石方</w:t>
            </w:r>
          </w:p>
          <w:p w14:paraId="551828F2">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根据项目设计资料，项目土石方总开挖量为</w:t>
            </w:r>
            <w:r>
              <w:rPr>
                <w:rFonts w:hint="eastAsia" w:ascii="Times New Roman" w:hAnsi="Times New Roman" w:eastAsia="宋体" w:cs="Times New Roman"/>
                <w:b w:val="0"/>
                <w:color w:val="auto"/>
                <w:kern w:val="2"/>
                <w:sz w:val="24"/>
                <w:szCs w:val="22"/>
                <w:highlight w:val="none"/>
                <w:lang w:val="en-US" w:eastAsia="zh-CN" w:bidi="ar-SA"/>
              </w:rPr>
              <w:t>34.3</w:t>
            </w:r>
            <w:r>
              <w:rPr>
                <w:rFonts w:hint="eastAsia" w:ascii="Times New Roman" w:hAnsi="Times New Roman" w:cs="Times New Roman"/>
                <w:b w:val="0"/>
                <w:color w:val="auto"/>
                <w:kern w:val="2"/>
                <w:sz w:val="24"/>
                <w:szCs w:val="22"/>
                <w:highlight w:val="none"/>
                <w:lang w:val="en-US" w:eastAsia="zh-CN" w:bidi="ar-SA"/>
              </w:rPr>
              <w:t>9</w:t>
            </w:r>
            <w:r>
              <w:rPr>
                <w:rFonts w:hint="default" w:ascii="Times New Roman" w:hAnsi="Times New Roman" w:eastAsia="宋体" w:cs="Times New Roman"/>
                <w:b w:val="0"/>
                <w:color w:val="auto"/>
                <w:kern w:val="2"/>
                <w:sz w:val="24"/>
                <w:szCs w:val="22"/>
                <w:highlight w:val="none"/>
                <w:lang w:val="en-US" w:eastAsia="zh-CN" w:bidi="ar-SA"/>
              </w:rPr>
              <w:t>万m</w:t>
            </w:r>
            <w:r>
              <w:rPr>
                <w:rFonts w:hint="default" w:ascii="Times New Roman" w:hAnsi="Times New Roman" w:eastAsia="宋体" w:cs="Times New Roman"/>
                <w:b w:val="0"/>
                <w:color w:val="auto"/>
                <w:kern w:val="2"/>
                <w:sz w:val="24"/>
                <w:szCs w:val="22"/>
                <w:highlight w:val="none"/>
                <w:vertAlign w:val="superscript"/>
                <w:lang w:val="en-US" w:eastAsia="zh-CN" w:bidi="ar-SA"/>
              </w:rPr>
              <w:t>3</w:t>
            </w:r>
            <w:r>
              <w:rPr>
                <w:rFonts w:hint="default" w:ascii="Times New Roman" w:hAnsi="Times New Roman" w:eastAsia="宋体" w:cs="Times New Roman"/>
                <w:b w:val="0"/>
                <w:color w:val="auto"/>
                <w:kern w:val="2"/>
                <w:sz w:val="24"/>
                <w:szCs w:val="22"/>
                <w:highlight w:val="none"/>
                <w:lang w:val="en-US" w:eastAsia="zh-CN" w:bidi="ar-SA"/>
              </w:rPr>
              <w:t>，总回填量</w:t>
            </w:r>
            <w:r>
              <w:rPr>
                <w:rFonts w:hint="eastAsia" w:ascii="Times New Roman" w:hAnsi="Times New Roman" w:eastAsia="宋体" w:cs="Times New Roman"/>
                <w:b w:val="0"/>
                <w:color w:val="auto"/>
                <w:kern w:val="2"/>
                <w:sz w:val="24"/>
                <w:szCs w:val="22"/>
                <w:highlight w:val="none"/>
                <w:lang w:val="en-US" w:eastAsia="zh-CN" w:bidi="ar-SA"/>
              </w:rPr>
              <w:t>34.3</w:t>
            </w:r>
            <w:r>
              <w:rPr>
                <w:rFonts w:hint="eastAsia" w:ascii="Times New Roman" w:hAnsi="Times New Roman" w:cs="Times New Roman"/>
                <w:b w:val="0"/>
                <w:color w:val="auto"/>
                <w:kern w:val="2"/>
                <w:sz w:val="24"/>
                <w:szCs w:val="22"/>
                <w:highlight w:val="none"/>
                <w:lang w:val="en-US" w:eastAsia="zh-CN" w:bidi="ar-SA"/>
              </w:rPr>
              <w:t>9</w:t>
            </w:r>
            <w:r>
              <w:rPr>
                <w:rFonts w:hint="default" w:ascii="Times New Roman" w:hAnsi="Times New Roman" w:eastAsia="宋体" w:cs="Times New Roman"/>
                <w:b w:val="0"/>
                <w:color w:val="auto"/>
                <w:kern w:val="2"/>
                <w:sz w:val="24"/>
                <w:szCs w:val="22"/>
                <w:highlight w:val="none"/>
                <w:lang w:val="en-US" w:eastAsia="zh-CN" w:bidi="ar-SA"/>
              </w:rPr>
              <w:t>万m</w:t>
            </w:r>
            <w:r>
              <w:rPr>
                <w:rFonts w:hint="default" w:ascii="Times New Roman" w:hAnsi="Times New Roman" w:eastAsia="宋体" w:cs="Times New Roman"/>
                <w:b w:val="0"/>
                <w:color w:val="auto"/>
                <w:kern w:val="2"/>
                <w:sz w:val="24"/>
                <w:szCs w:val="22"/>
                <w:highlight w:val="none"/>
                <w:vertAlign w:val="superscript"/>
                <w:lang w:val="en-US" w:eastAsia="zh-CN" w:bidi="ar-SA"/>
              </w:rPr>
              <w:t>3</w:t>
            </w:r>
            <w:r>
              <w:rPr>
                <w:rFonts w:hint="default" w:ascii="Times New Roman" w:hAnsi="Times New Roman" w:eastAsia="宋体" w:cs="Times New Roman"/>
                <w:b w:val="0"/>
                <w:color w:val="auto"/>
                <w:kern w:val="2"/>
                <w:sz w:val="24"/>
                <w:szCs w:val="22"/>
                <w:highlight w:val="none"/>
                <w:lang w:val="en-US" w:eastAsia="zh-CN" w:bidi="ar-SA"/>
              </w:rPr>
              <w:t>，无弃方产生，不设弃土场。</w:t>
            </w:r>
          </w:p>
          <w:p w14:paraId="6475BC3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（4）混凝土临时拌合站</w:t>
            </w:r>
          </w:p>
          <w:p w14:paraId="1A907BD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1）罐车及搅拌机废料</w:t>
            </w:r>
          </w:p>
          <w:p w14:paraId="5CA2A1F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罐车残留混凝土的产生量直接取决于生产管理等因素，单车产生量2~4kg/车，取中间值3kg，每天约需运输12车次，产生量约0.036t/d，13.14t/a，搅拌机每天清理一次废料，本项目有1台搅拌机，每次产生废料150kg/次，产生量0.15t/d，</w:t>
            </w:r>
            <w:r>
              <w:rPr>
                <w:rFonts w:hint="eastAsia" w:cs="Times New Roman"/>
                <w:b w:val="0"/>
                <w:color w:val="auto"/>
                <w:kern w:val="2"/>
                <w:sz w:val="24"/>
                <w:szCs w:val="22"/>
                <w:highlight w:val="none"/>
                <w:lang w:val="en-US" w:eastAsia="zh-CN" w:bidi="ar-SA"/>
              </w:rPr>
              <w:t>27</w:t>
            </w:r>
            <w:r>
              <w:rPr>
                <w:rFonts w:hint="default" w:ascii="Times New Roman" w:hAnsi="Times New Roman" w:eastAsia="宋体" w:cs="Times New Roman"/>
                <w:b w:val="0"/>
                <w:color w:val="auto"/>
                <w:kern w:val="2"/>
                <w:sz w:val="24"/>
                <w:szCs w:val="22"/>
                <w:highlight w:val="none"/>
                <w:lang w:val="en-US" w:eastAsia="zh-CN" w:bidi="ar-SA"/>
              </w:rPr>
              <w:t>t/a，罐车、搅拌机废料总产生量为0.186t/d，</w:t>
            </w:r>
            <w:r>
              <w:rPr>
                <w:rFonts w:hint="eastAsia" w:cs="Times New Roman"/>
                <w:b w:val="0"/>
                <w:color w:val="auto"/>
                <w:kern w:val="2"/>
                <w:sz w:val="24"/>
                <w:szCs w:val="22"/>
                <w:highlight w:val="none"/>
                <w:lang w:val="en-US" w:eastAsia="zh-CN" w:bidi="ar-SA"/>
              </w:rPr>
              <w:t>33.48</w:t>
            </w:r>
            <w:r>
              <w:rPr>
                <w:rFonts w:hint="default" w:ascii="Times New Roman" w:hAnsi="Times New Roman" w:eastAsia="宋体" w:cs="Times New Roman"/>
                <w:b w:val="0"/>
                <w:color w:val="auto"/>
                <w:kern w:val="2"/>
                <w:sz w:val="24"/>
                <w:szCs w:val="22"/>
                <w:highlight w:val="none"/>
                <w:lang w:val="en-US" w:eastAsia="zh-CN" w:bidi="ar-SA"/>
              </w:rPr>
              <w:t>t/a，废料均为成品混凝土，回收利用不会影响产品的质量，因此废料集中收集后作为原料生产。</w:t>
            </w:r>
          </w:p>
          <w:p w14:paraId="1B3365B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2）沉淀池泥渣</w:t>
            </w:r>
          </w:p>
          <w:p w14:paraId="54981A2C">
            <w:pPr>
              <w:pStyle w:val="3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水泥搅拌站固废一般为设备、车辆冲洗水沉淀后的泥渣，本项目沉淀池泥渣的产生量为1.5t/a，泥渣回用作生产原料。</w:t>
            </w:r>
          </w:p>
          <w:p w14:paraId="4FDEF836">
            <w:pPr>
              <w:keepNext w:val="0"/>
              <w:keepLines w:val="0"/>
              <w:pageBreakBefore w:val="0"/>
              <w:widowControl w:val="0"/>
              <w:suppressLineNumbers w:val="0"/>
              <w:tabs>
                <w:tab w:val="left" w:pos="294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3）除尘灰</w:t>
            </w:r>
          </w:p>
          <w:p w14:paraId="176C12FE">
            <w:pPr>
              <w:pStyle w:val="60"/>
              <w:keepNext w:val="0"/>
              <w:keepLines w:val="0"/>
              <w:widowControl/>
              <w:suppressLineNumbers w:val="0"/>
              <w:spacing w:before="0" w:beforeAutospacing="0" w:after="0" w:afterAutospacing="0"/>
              <w:ind w:left="0" w:right="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本项目收集的除尘灰主要为筒仓和搅拌机收集的粉尘，搅拌机及筒仓粉尘收集的粉尘量为</w:t>
            </w:r>
            <w:r>
              <w:rPr>
                <w:rFonts w:hint="eastAsia" w:ascii="Times New Roman" w:hAnsi="Times New Roman" w:cs="Times New Roman"/>
                <w:b w:val="0"/>
                <w:color w:val="auto"/>
                <w:kern w:val="2"/>
                <w:sz w:val="24"/>
                <w:szCs w:val="22"/>
                <w:highlight w:val="none"/>
                <w:lang w:val="en-US" w:eastAsia="zh-CN" w:bidi="ar-SA"/>
              </w:rPr>
              <w:t>44.02</w:t>
            </w:r>
            <w:r>
              <w:rPr>
                <w:rFonts w:hint="default" w:ascii="Times New Roman" w:hAnsi="Times New Roman" w:eastAsia="宋体" w:cs="Times New Roman"/>
                <w:b w:val="0"/>
                <w:color w:val="auto"/>
                <w:kern w:val="2"/>
                <w:sz w:val="24"/>
                <w:szCs w:val="22"/>
                <w:highlight w:val="none"/>
                <w:lang w:val="en-US" w:eastAsia="zh-CN" w:bidi="ar-SA"/>
              </w:rPr>
              <w:t>t/a，收集后回用于生产。</w:t>
            </w:r>
          </w:p>
          <w:p w14:paraId="58EB2D29">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val="0"/>
                <w:color w:val="auto"/>
                <w:kern w:val="2"/>
                <w:sz w:val="24"/>
                <w:szCs w:val="22"/>
                <w:highlight w:val="none"/>
                <w:lang w:val="en-US" w:eastAsia="zh-CN" w:bidi="ar-SA"/>
              </w:rPr>
              <w:t>综上，经采取有效防治措施后，施工期固体废物均得到妥善处置，对周围环境影响较小。</w:t>
            </w:r>
          </w:p>
        </w:tc>
      </w:tr>
      <w:tr w14:paraId="27A20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5" w:type="pct"/>
            <w:tcMar>
              <w:left w:w="28" w:type="dxa"/>
              <w:right w:w="28" w:type="dxa"/>
            </w:tcMar>
            <w:vAlign w:val="center"/>
          </w:tcPr>
          <w:p w14:paraId="3D9CF619">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spacing w:val="10"/>
                <w:kern w:val="2"/>
                <w:highlight w:val="none"/>
              </w:rPr>
              <w:t>运营期生态环境影响分析</w:t>
            </w:r>
          </w:p>
        </w:tc>
        <w:tc>
          <w:tcPr>
            <w:tcW w:w="4674" w:type="pct"/>
            <w:vAlign w:val="center"/>
          </w:tcPr>
          <w:p w14:paraId="5F0F4C42">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sz w:val="28"/>
                <w:szCs w:val="28"/>
                <w:highlight w:val="none"/>
              </w:rPr>
              <w:t>1、运营期生态环境影响分析</w:t>
            </w:r>
          </w:p>
          <w:p w14:paraId="498A95BF">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（1）运营期占地环境影响分析</w:t>
            </w:r>
          </w:p>
          <w:p w14:paraId="22580C5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本项目建设完成后，项目永久占地占用的土地性质将由其他草地改变为建设用地，土地利用发生变化，对于项目所在区域的土地利用类型产生影响。</w:t>
            </w:r>
          </w:p>
          <w:p w14:paraId="4C6F2E47">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（2）运营期对地表植被影响分析</w:t>
            </w:r>
          </w:p>
          <w:p w14:paraId="111A7D5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项目的建设使项目区内的生产能力和稳定状况发生改变。本项目施工结束后，仍有部分土壤不可恢复而成为永久占地，主要为调蓄水池</w:t>
            </w:r>
            <w:r>
              <w:rPr>
                <w:rFonts w:hint="eastAsia" w:ascii="Times New Roman" w:hAnsi="Times New Roman" w:eastAsia="宋体" w:cs="Times New Roman"/>
                <w:b w:val="0"/>
                <w:color w:val="auto"/>
                <w:kern w:val="2"/>
                <w:sz w:val="24"/>
                <w:szCs w:val="22"/>
                <w:highlight w:val="none"/>
                <w:lang w:val="en-US" w:eastAsia="zh-CN" w:bidi="ar-SA"/>
              </w:rPr>
              <w:t>和水厂泵站</w:t>
            </w:r>
            <w:r>
              <w:rPr>
                <w:rFonts w:hint="default" w:ascii="Times New Roman" w:hAnsi="Times New Roman" w:eastAsia="宋体" w:cs="Times New Roman"/>
                <w:b w:val="0"/>
                <w:color w:val="auto"/>
                <w:kern w:val="2"/>
                <w:sz w:val="24"/>
                <w:szCs w:val="22"/>
                <w:highlight w:val="none"/>
                <w:lang w:val="en-US" w:eastAsia="zh-CN" w:bidi="ar-SA"/>
              </w:rPr>
              <w:t>等，因此，会减少地表植被的生物量。评价建议就近或在场区植树和种草，合理绿化，增加场地及周边绿化率，3年后生态可以得到恢复，并会在一定程度上改善原有生态。因此本项目只在短期内对区域的生态环境产生较小的影响，植树种草措施完成后，区域生物量减少很少。因此，本项目建成后对区域生态环境质量不会造成明显的不利影响。</w:t>
            </w:r>
          </w:p>
          <w:p w14:paraId="59C12E1A">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241" w:firstLineChars="100"/>
              <w:jc w:val="left"/>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（3）运营期对野生动物的影响分析</w:t>
            </w:r>
          </w:p>
          <w:p w14:paraId="77B57E7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调查，项目所在地动物主要有灰鹊、猫头鹰以及野兔等，新景观的出现可能对本区野生动物的活动有一定的影响，可能会对附近动物的繁殖、栖息和觅食有干扰。随着项目建成后生态的恢复，以及动物们对该区域环境的逐渐适应，运营期对野生动物的繁殖、栖息、觅食等的影响将逐渐减小。</w:t>
            </w:r>
          </w:p>
          <w:p w14:paraId="7085FBB7">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2、运营期环境空气影响分析</w:t>
            </w:r>
          </w:p>
          <w:p w14:paraId="5F66D23E">
            <w:pPr>
              <w:pStyle w:val="5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本项目为水库工程，设置水厂泵站值班室，泵站日常运行、维护及值班人员管理均由相邻自来水厂统一负责，人员隶属于自来水厂，水库工程仅开展定期巡检工作，不单独设置常驻运维人员。</w:t>
            </w:r>
          </w:p>
          <w:p w14:paraId="214AA33D">
            <w:pPr>
              <w:pStyle w:val="5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项目运营期无生产工艺废气产生，泵站仅为机电设备运行，无燃煤、燃油、燃气等锅炉及其他废气排放设施，无废气污染物产生与排放。</w:t>
            </w:r>
          </w:p>
          <w:p w14:paraId="4E8F3366">
            <w:pPr>
              <w:pStyle w:val="53"/>
              <w:keepNext w:val="0"/>
              <w:keepLines w:val="0"/>
              <w:numPr>
                <w:ilvl w:val="0"/>
                <w:numId w:val="0"/>
              </w:numPr>
              <w:suppressLineNumbers w:val="0"/>
              <w:spacing w:before="0" w:beforeAutospacing="0" w:after="0" w:afterAutospacing="0" w:line="360" w:lineRule="auto"/>
              <w:ind w:left="0" w:right="0" w:rightChars="0"/>
              <w:rPr>
                <w:rFonts w:hint="default" w:ascii="Times New Roman" w:hAnsi="Times New Roman" w:eastAsia="宋体" w:cs="Times New Roman"/>
                <w:b/>
                <w:bCs/>
                <w:color w:val="auto"/>
                <w:sz w:val="28"/>
                <w:szCs w:val="28"/>
                <w:highlight w:val="none"/>
              </w:rPr>
            </w:pPr>
            <w:r>
              <w:rPr>
                <w:rFonts w:hint="eastAsia" w:ascii="Times New Roman" w:hAnsi="Times New Roman"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rPr>
              <w:t>运营期水环境影响分析</w:t>
            </w:r>
          </w:p>
          <w:p w14:paraId="0B47F3F9">
            <w:pPr>
              <w:pStyle w:val="53"/>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详见地表水专项评价。</w:t>
            </w:r>
          </w:p>
          <w:p w14:paraId="75B02396">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4、运营期噪声环境影响分析</w:t>
            </w:r>
          </w:p>
          <w:p w14:paraId="284CCB5C">
            <w:pPr>
              <w:pStyle w:val="10"/>
              <w:keepNext w:val="0"/>
              <w:keepLines w:val="0"/>
              <w:pageBreakBefore w:val="0"/>
              <w:suppressLineNumbers w:val="0"/>
              <w:kinsoku w:val="0"/>
              <w:wordWrap/>
              <w:overflowPunct w:val="0"/>
              <w:topLinePunct w:val="0"/>
              <w:autoSpaceDE/>
              <w:autoSpaceDN/>
              <w:bidi w:val="0"/>
              <w:adjustRightIn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（1）噪声源强</w:t>
            </w:r>
          </w:p>
          <w:p w14:paraId="0BAE1762">
            <w:pPr>
              <w:pStyle w:val="10"/>
              <w:keepNext w:val="0"/>
              <w:keepLines w:val="0"/>
              <w:pageBreakBefore w:val="0"/>
              <w:suppressLineNumbers w:val="0"/>
              <w:kinsoku w:val="0"/>
              <w:wordWrap/>
              <w:overflowPunct w:val="0"/>
              <w:topLinePunct w:val="0"/>
              <w:autoSpaceDE/>
              <w:autoSpaceDN/>
              <w:bidi w:val="0"/>
              <w:adjustRightIn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color w:val="auto"/>
                <w:kern w:val="2"/>
                <w:sz w:val="24"/>
                <w:szCs w:val="22"/>
                <w:highlight w:val="none"/>
                <w:lang w:val="en-US" w:eastAsia="zh-CN" w:bidi="ar-SA"/>
              </w:rPr>
              <w:t>本项目运营期</w:t>
            </w:r>
            <w:r>
              <w:rPr>
                <w:rFonts w:hint="default" w:ascii="Times New Roman" w:hAnsi="Times New Roman" w:eastAsia="宋体" w:cs="Times New Roman"/>
                <w:b w:val="0"/>
                <w:color w:val="auto"/>
                <w:kern w:val="2"/>
                <w:sz w:val="24"/>
                <w:szCs w:val="22"/>
                <w:highlight w:val="none"/>
                <w:lang w:val="en-US" w:eastAsia="zh-CN" w:bidi="ar-SA"/>
              </w:rPr>
              <w:t>噪声源主要为泵站水泵产生的机械噪声，根据设计，泵房</w:t>
            </w:r>
            <w:r>
              <w:rPr>
                <w:rFonts w:hint="eastAsia" w:ascii="Times New Roman" w:hAnsi="Times New Roman" w:eastAsia="宋体" w:cs="Times New Roman"/>
                <w:b w:val="0"/>
                <w:color w:val="auto"/>
                <w:kern w:val="2"/>
                <w:sz w:val="24"/>
                <w:szCs w:val="22"/>
                <w:highlight w:val="none"/>
                <w:lang w:val="en-US" w:eastAsia="zh-CN" w:bidi="ar-SA"/>
              </w:rPr>
              <w:t>内</w:t>
            </w:r>
            <w:r>
              <w:rPr>
                <w:rFonts w:hint="default" w:ascii="Times New Roman" w:hAnsi="Times New Roman" w:eastAsia="宋体" w:cs="Times New Roman"/>
                <w:b w:val="0"/>
                <w:color w:val="auto"/>
                <w:kern w:val="2"/>
                <w:sz w:val="24"/>
                <w:szCs w:val="22"/>
                <w:highlight w:val="none"/>
                <w:lang w:val="en-US" w:eastAsia="zh-CN" w:bidi="ar-SA"/>
              </w:rPr>
              <w:t>配套</w:t>
            </w:r>
            <w:r>
              <w:rPr>
                <w:rFonts w:hint="default" w:ascii="宋体" w:hAnsi="宋体" w:eastAsia="宋体" w:cs="宋体"/>
                <w:color w:val="auto"/>
                <w:spacing w:val="-1"/>
                <w:sz w:val="24"/>
                <w:szCs w:val="24"/>
              </w:rPr>
              <w:t>两台水泵机组</w:t>
            </w:r>
            <w:r>
              <w:rPr>
                <w:rFonts w:hint="eastAsia" w:ascii="Times New Roman" w:hAnsi="Times New Roman" w:eastAsia="宋体" w:cs="Times New Roman"/>
                <w:b w:val="0"/>
                <w:color w:val="auto"/>
                <w:kern w:val="2"/>
                <w:sz w:val="24"/>
                <w:szCs w:val="22"/>
                <w:highlight w:val="none"/>
                <w:lang w:val="en-US" w:eastAsia="zh-CN" w:bidi="ar-SA"/>
              </w:rPr>
              <w:t>，</w:t>
            </w:r>
            <w:r>
              <w:rPr>
                <w:rFonts w:hint="default" w:ascii="宋体" w:hAnsi="宋体" w:eastAsia="宋体" w:cs="宋体"/>
                <w:color w:val="auto"/>
                <w:sz w:val="24"/>
                <w:szCs w:val="24"/>
              </w:rPr>
              <w:t>为卧式中开单级双</w:t>
            </w:r>
            <w:r>
              <w:rPr>
                <w:rFonts w:hint="default" w:ascii="宋体" w:hAnsi="宋体" w:eastAsia="宋体" w:cs="宋体"/>
                <w:color w:val="auto"/>
                <w:spacing w:val="-1"/>
                <w:sz w:val="24"/>
                <w:szCs w:val="24"/>
              </w:rPr>
              <w:t>吸离心泵</w:t>
            </w:r>
            <w:r>
              <w:rPr>
                <w:rFonts w:hint="eastAsia" w:ascii="宋体" w:hAnsi="宋体" w:eastAsia="宋体" w:cs="宋体"/>
                <w:color w:val="auto"/>
                <w:spacing w:val="-1"/>
                <w:sz w:val="24"/>
                <w:szCs w:val="24"/>
                <w:lang w:eastAsia="zh-CN"/>
              </w:rPr>
              <w:t>，</w:t>
            </w:r>
            <w:r>
              <w:rPr>
                <w:rFonts w:hint="default" w:ascii="宋体" w:hAnsi="宋体" w:eastAsia="宋体" w:cs="宋体"/>
                <w:color w:val="auto"/>
                <w:spacing w:val="-5"/>
                <w:sz w:val="24"/>
                <w:szCs w:val="24"/>
              </w:rPr>
              <w:t>配套电</w:t>
            </w:r>
            <w:r>
              <w:rPr>
                <w:rFonts w:hint="default" w:ascii="宋体" w:hAnsi="宋体" w:eastAsia="宋体" w:cs="宋体"/>
                <w:color w:val="auto"/>
                <w:spacing w:val="-6"/>
                <w:sz w:val="24"/>
                <w:szCs w:val="24"/>
              </w:rPr>
              <w:t>机功率</w:t>
            </w:r>
            <w:r>
              <w:rPr>
                <w:rFonts w:hint="default" w:ascii="宋体" w:hAnsi="宋体" w:eastAsia="宋体" w:cs="宋体"/>
                <w:color w:val="auto"/>
                <w:spacing w:val="-50"/>
                <w:sz w:val="24"/>
                <w:szCs w:val="24"/>
              </w:rPr>
              <w:t xml:space="preserve"> </w:t>
            </w:r>
            <w:r>
              <w:rPr>
                <w:rFonts w:hint="default" w:ascii="Times New Roman" w:hAnsi="Times New Roman" w:eastAsia="Times New Roman" w:cs="Times New Roman"/>
                <w:color w:val="auto"/>
                <w:spacing w:val="-6"/>
                <w:sz w:val="24"/>
                <w:szCs w:val="24"/>
              </w:rPr>
              <w:t>37kW</w:t>
            </w:r>
            <w:r>
              <w:rPr>
                <w:rFonts w:hint="default" w:ascii="Times New Roman" w:hAnsi="Times New Roman" w:eastAsia="Times New Roman" w:cs="Times New Roman"/>
                <w:color w:val="auto"/>
                <w:spacing w:val="-32"/>
                <w:sz w:val="24"/>
                <w:szCs w:val="24"/>
              </w:rPr>
              <w:t xml:space="preserve"> </w:t>
            </w:r>
            <w:r>
              <w:rPr>
                <w:rFonts w:hint="default" w:ascii="宋体" w:hAnsi="宋体" w:eastAsia="宋体" w:cs="宋体"/>
                <w:color w:val="auto"/>
                <w:spacing w:val="-6"/>
                <w:sz w:val="24"/>
                <w:szCs w:val="24"/>
              </w:rPr>
              <w:t>，</w:t>
            </w:r>
            <w:r>
              <w:rPr>
                <w:rFonts w:hint="default" w:ascii="Times New Roman" w:hAnsi="Times New Roman" w:eastAsia="宋体" w:cs="Times New Roman"/>
                <w:b w:val="0"/>
                <w:color w:val="auto"/>
                <w:kern w:val="2"/>
                <w:sz w:val="24"/>
                <w:szCs w:val="22"/>
                <w:highlight w:val="none"/>
                <w:lang w:val="en-US" w:eastAsia="zh-CN" w:bidi="ar-SA"/>
              </w:rPr>
              <w:t>通过类比同类型相似功率的水泵，单台设备源强在80～9</w:t>
            </w:r>
            <w:r>
              <w:rPr>
                <w:rFonts w:hint="eastAsia" w:ascii="Times New Roman" w:hAnsi="Times New Roman" w:eastAsia="宋体" w:cs="Times New Roman"/>
                <w:b w:val="0"/>
                <w:color w:val="auto"/>
                <w:kern w:val="2"/>
                <w:sz w:val="24"/>
                <w:szCs w:val="22"/>
                <w:highlight w:val="none"/>
                <w:lang w:val="en-US" w:eastAsia="zh-CN" w:bidi="ar-SA"/>
              </w:rPr>
              <w:t>0</w:t>
            </w:r>
            <w:r>
              <w:rPr>
                <w:rFonts w:hint="default" w:ascii="Times New Roman" w:hAnsi="Times New Roman" w:eastAsia="宋体" w:cs="Times New Roman"/>
                <w:b w:val="0"/>
                <w:color w:val="auto"/>
                <w:kern w:val="2"/>
                <w:sz w:val="24"/>
                <w:szCs w:val="22"/>
                <w:highlight w:val="none"/>
                <w:lang w:val="en-US" w:eastAsia="zh-CN" w:bidi="ar-SA"/>
              </w:rPr>
              <w:t>dB（A）之间</w:t>
            </w:r>
            <w:r>
              <w:rPr>
                <w:rFonts w:hint="eastAsia" w:ascii="Times New Roman" w:hAnsi="Times New Roman" w:eastAsia="宋体" w:cs="Times New Roman"/>
                <w:b w:val="0"/>
                <w:color w:val="auto"/>
                <w:kern w:val="2"/>
                <w:sz w:val="24"/>
                <w:szCs w:val="22"/>
                <w:highlight w:val="none"/>
                <w:lang w:val="en-US" w:eastAsia="zh-CN" w:bidi="ar-SA"/>
              </w:rPr>
              <w:t>，</w:t>
            </w:r>
            <w:r>
              <w:rPr>
                <w:rFonts w:hint="default" w:ascii="Times New Roman" w:hAnsi="Times New Roman" w:eastAsia="宋体" w:cs="Times New Roman"/>
                <w:color w:val="auto"/>
                <w:kern w:val="0"/>
                <w:sz w:val="24"/>
                <w:szCs w:val="24"/>
                <w:lang w:val="en-US" w:eastAsia="zh-CN" w:bidi="ar"/>
              </w:rPr>
              <w:t>根据《环境影响评价技术导则 声环境（HJ2.4-2021）》，主要噪声源排放源强统计见表</w:t>
            </w:r>
            <w:r>
              <w:rPr>
                <w:rFonts w:hint="eastAsia" w:ascii="Times New Roman" w:hAnsi="Times New Roman" w:eastAsia="宋体" w:cs="Times New Roman"/>
                <w:color w:val="auto"/>
                <w:kern w:val="0"/>
                <w:sz w:val="24"/>
                <w:szCs w:val="24"/>
                <w:lang w:val="en-US" w:eastAsia="zh-CN" w:bidi="ar"/>
              </w:rPr>
              <w:t>4-</w:t>
            </w:r>
            <w:r>
              <w:rPr>
                <w:rFonts w:hint="eastAsia" w:eastAsia="宋体" w:cs="Times New Roman"/>
                <w:color w:val="auto"/>
                <w:kern w:val="0"/>
                <w:sz w:val="24"/>
                <w:szCs w:val="24"/>
                <w:lang w:val="en-US" w:eastAsia="zh-CN" w:bidi="ar"/>
              </w:rPr>
              <w:t>13</w:t>
            </w:r>
            <w:r>
              <w:rPr>
                <w:rFonts w:hint="eastAsia" w:ascii="Times New Roman" w:hAnsi="Times New Roman" w:eastAsia="宋体" w:cs="Times New Roman"/>
                <w:color w:val="auto"/>
                <w:kern w:val="0"/>
                <w:sz w:val="24"/>
                <w:szCs w:val="24"/>
                <w:lang w:val="en-US" w:eastAsia="zh-CN" w:bidi="ar"/>
              </w:rPr>
              <w:t>。</w:t>
            </w:r>
          </w:p>
          <w:p w14:paraId="268D0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表4-</w:t>
            </w:r>
            <w:r>
              <w:rPr>
                <w:rFonts w:hint="eastAsia" w:eastAsia="宋体" w:cs="Times New Roman"/>
                <w:b/>
                <w:color w:val="auto"/>
                <w:sz w:val="24"/>
                <w:szCs w:val="24"/>
                <w:lang w:val="en-US" w:eastAsia="zh-CN"/>
              </w:rPr>
              <w:t>13</w:t>
            </w:r>
            <w:r>
              <w:rPr>
                <w:rFonts w:hint="eastAsia" w:ascii="Times New Roman" w:hAnsi="Times New Roman" w:eastAsia="宋体" w:cs="Times New Roman"/>
                <w:b/>
                <w:color w:val="auto"/>
                <w:sz w:val="24"/>
                <w:szCs w:val="24"/>
                <w:lang w:val="en-US" w:eastAsia="zh-CN"/>
              </w:rPr>
              <w:t xml:space="preserve">  工业企业噪声源强调查清单（室内声源） 单位：</w:t>
            </w:r>
            <w:r>
              <w:rPr>
                <w:rFonts w:hint="default" w:ascii="Times New Roman" w:hAnsi="Times New Roman" w:eastAsia="宋体" w:cs="Times New Roman"/>
                <w:b/>
                <w:color w:val="auto"/>
                <w:sz w:val="24"/>
                <w:szCs w:val="24"/>
                <w:lang w:val="en-US" w:eastAsia="zh-CN"/>
              </w:rPr>
              <w:t>dB</w:t>
            </w:r>
            <w:r>
              <w:rPr>
                <w:rFonts w:hint="eastAsia"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val="en-US" w:eastAsia="zh-CN"/>
              </w:rPr>
              <w:t>A</w:t>
            </w:r>
            <w:r>
              <w:rPr>
                <w:rFonts w:hint="eastAsia" w:ascii="Times New Roman" w:hAnsi="Times New Roman" w:eastAsia="宋体" w:cs="Times New Roman"/>
                <w:b/>
                <w:color w:val="auto"/>
                <w:sz w:val="24"/>
                <w:szCs w:val="24"/>
                <w:lang w:val="en-US" w:eastAsia="zh-CN"/>
              </w:rPr>
              <w:t>）</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47"/>
              <w:gridCol w:w="455"/>
              <w:gridCol w:w="427"/>
              <w:gridCol w:w="465"/>
              <w:gridCol w:w="636"/>
              <w:gridCol w:w="737"/>
              <w:gridCol w:w="726"/>
              <w:gridCol w:w="568"/>
              <w:gridCol w:w="648"/>
              <w:gridCol w:w="823"/>
              <w:gridCol w:w="436"/>
              <w:gridCol w:w="765"/>
              <w:gridCol w:w="823"/>
              <w:gridCol w:w="677"/>
            </w:tblGrid>
            <w:tr w14:paraId="6F5C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8" w:type="pct"/>
                  <w:vMerge w:val="restart"/>
                  <w:noWrap w:val="0"/>
                  <w:vAlign w:val="center"/>
                </w:tcPr>
                <w:p w14:paraId="08CE3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256" w:type="pct"/>
                  <w:vMerge w:val="restart"/>
                  <w:noWrap w:val="0"/>
                  <w:vAlign w:val="center"/>
                </w:tcPr>
                <w:p w14:paraId="14FD9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257" w:type="pct"/>
                  <w:vMerge w:val="restart"/>
                  <w:noWrap w:val="0"/>
                  <w:vAlign w:val="center"/>
                </w:tcPr>
                <w:p w14:paraId="16351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声源名称</w:t>
                  </w:r>
                </w:p>
              </w:tc>
              <w:tc>
                <w:tcPr>
                  <w:tcW w:w="240" w:type="pct"/>
                  <w:vMerge w:val="restart"/>
                  <w:noWrap w:val="0"/>
                  <w:vAlign w:val="center"/>
                </w:tcPr>
                <w:p w14:paraId="486F6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264" w:type="pct"/>
                  <w:vMerge w:val="restart"/>
                  <w:noWrap w:val="0"/>
                  <w:vAlign w:val="center"/>
                </w:tcPr>
                <w:p w14:paraId="49AFB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声功率级</w:t>
                  </w:r>
                </w:p>
              </w:tc>
              <w:tc>
                <w:tcPr>
                  <w:tcW w:w="350" w:type="pct"/>
                  <w:vMerge w:val="restart"/>
                  <w:noWrap w:val="0"/>
                  <w:vAlign w:val="center"/>
                </w:tcPr>
                <w:p w14:paraId="69CBB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1137" w:type="pct"/>
                  <w:gridSpan w:val="3"/>
                  <w:noWrap w:val="0"/>
                  <w:vAlign w:val="center"/>
                </w:tcPr>
                <w:p w14:paraId="648B9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空间相对位置/m</w:t>
                  </w:r>
                </w:p>
              </w:tc>
              <w:tc>
                <w:tcPr>
                  <w:tcW w:w="363" w:type="pct"/>
                  <w:vMerge w:val="restart"/>
                  <w:noWrap w:val="0"/>
                  <w:vAlign w:val="center"/>
                </w:tcPr>
                <w:p w14:paraId="07C40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距室内边界距离/m</w:t>
                  </w:r>
                </w:p>
              </w:tc>
              <w:tc>
                <w:tcPr>
                  <w:tcW w:w="405" w:type="pct"/>
                  <w:vMerge w:val="restart"/>
                  <w:noWrap w:val="0"/>
                  <w:vAlign w:val="center"/>
                </w:tcPr>
                <w:p w14:paraId="4FFE0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室内边界声级/dB(A)</w:t>
                  </w:r>
                </w:p>
              </w:tc>
              <w:tc>
                <w:tcPr>
                  <w:tcW w:w="246" w:type="pct"/>
                  <w:vMerge w:val="restart"/>
                  <w:noWrap w:val="0"/>
                  <w:vAlign w:val="center"/>
                </w:tcPr>
                <w:p w14:paraId="461DE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运行时段</w:t>
                  </w:r>
                </w:p>
              </w:tc>
              <w:tc>
                <w:tcPr>
                  <w:tcW w:w="418" w:type="pct"/>
                  <w:vMerge w:val="restart"/>
                  <w:noWrap w:val="0"/>
                  <w:vAlign w:val="center"/>
                </w:tcPr>
                <w:p w14:paraId="12BBD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 / dB(A)</w:t>
                  </w:r>
                </w:p>
              </w:tc>
              <w:tc>
                <w:tcPr>
                  <w:tcW w:w="822" w:type="pct"/>
                  <w:gridSpan w:val="2"/>
                  <w:noWrap w:val="0"/>
                  <w:vAlign w:val="center"/>
                </w:tcPr>
                <w:p w14:paraId="6A36F832">
                  <w:pPr>
                    <w:keepNext w:val="0"/>
                    <w:keepLines w:val="0"/>
                    <w:widowControl/>
                    <w:suppressLineNumbers w:val="0"/>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w:t>
                  </w:r>
                </w:p>
                <w:p w14:paraId="72A7881A">
                  <w:pPr>
                    <w:keepNext w:val="0"/>
                    <w:keepLines w:val="0"/>
                    <w:widowControl/>
                    <w:suppressLineNumbers w:val="0"/>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噪声</w:t>
                  </w:r>
                </w:p>
              </w:tc>
            </w:tr>
            <w:tr w14:paraId="24C7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238" w:type="pct"/>
                  <w:vMerge w:val="continue"/>
                  <w:shd w:val="clear" w:color="auto" w:fill="auto"/>
                  <w:noWrap w:val="0"/>
                  <w:vAlign w:val="center"/>
                </w:tcPr>
                <w:p w14:paraId="77348B6A">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256" w:type="pct"/>
                  <w:vMerge w:val="continue"/>
                  <w:shd w:val="clear" w:color="auto" w:fill="auto"/>
                  <w:noWrap w:val="0"/>
                  <w:vAlign w:val="center"/>
                </w:tcPr>
                <w:p w14:paraId="6F795C25">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257" w:type="pct"/>
                  <w:vMerge w:val="continue"/>
                  <w:shd w:val="clear" w:color="auto" w:fill="auto"/>
                  <w:noWrap w:val="0"/>
                  <w:vAlign w:val="center"/>
                </w:tcPr>
                <w:p w14:paraId="67B2FF25">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240" w:type="pct"/>
                  <w:vMerge w:val="continue"/>
                  <w:shd w:val="clear" w:color="auto" w:fill="auto"/>
                  <w:noWrap w:val="0"/>
                  <w:vAlign w:val="center"/>
                </w:tcPr>
                <w:p w14:paraId="629E9817">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264" w:type="pct"/>
                  <w:vMerge w:val="continue"/>
                  <w:shd w:val="clear" w:color="auto" w:fill="FFFFFF"/>
                  <w:noWrap w:val="0"/>
                  <w:vAlign w:val="center"/>
                </w:tcPr>
                <w:p w14:paraId="510285BB">
                  <w:pPr>
                    <w:keepNext w:val="0"/>
                    <w:keepLines w:val="0"/>
                    <w:widowControl/>
                    <w:suppressLineNumbers w:val="0"/>
                    <w:adjustRightIn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350" w:type="pct"/>
                  <w:vMerge w:val="continue"/>
                  <w:noWrap w:val="0"/>
                  <w:vAlign w:val="center"/>
                </w:tcPr>
                <w:p w14:paraId="390FF0F1">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412" w:type="pct"/>
                  <w:noWrap w:val="0"/>
                  <w:vAlign w:val="center"/>
                </w:tcPr>
                <w:p w14:paraId="6F35D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406" w:type="pct"/>
                  <w:noWrap w:val="0"/>
                  <w:vAlign w:val="center"/>
                </w:tcPr>
                <w:p w14:paraId="1F60E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318" w:type="pct"/>
                  <w:noWrap w:val="0"/>
                  <w:vAlign w:val="center"/>
                </w:tcPr>
                <w:p w14:paraId="33018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363" w:type="pct"/>
                  <w:vMerge w:val="continue"/>
                  <w:noWrap w:val="0"/>
                  <w:vAlign w:val="center"/>
                </w:tcPr>
                <w:p w14:paraId="06DB84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405" w:type="pct"/>
                  <w:vMerge w:val="continue"/>
                  <w:noWrap w:val="0"/>
                  <w:vAlign w:val="center"/>
                </w:tcPr>
                <w:p w14:paraId="749246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246" w:type="pct"/>
                  <w:vMerge w:val="continue"/>
                  <w:noWrap w:val="0"/>
                  <w:vAlign w:val="center"/>
                </w:tcPr>
                <w:p w14:paraId="0A37BB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418" w:type="pct"/>
                  <w:vMerge w:val="continue"/>
                  <w:noWrap w:val="0"/>
                  <w:vAlign w:val="center"/>
                </w:tcPr>
                <w:p w14:paraId="61C75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i w:val="0"/>
                      <w:iCs w:val="0"/>
                      <w:color w:val="auto"/>
                      <w:sz w:val="21"/>
                      <w:szCs w:val="21"/>
                      <w:highlight w:val="none"/>
                      <w:u w:val="none"/>
                    </w:rPr>
                  </w:pPr>
                </w:p>
              </w:tc>
              <w:tc>
                <w:tcPr>
                  <w:tcW w:w="447" w:type="pct"/>
                  <w:noWrap w:val="0"/>
                  <w:vAlign w:val="center"/>
                </w:tcPr>
                <w:p w14:paraId="63B4A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声压级/dB(A)</w:t>
                  </w:r>
                </w:p>
              </w:tc>
              <w:tc>
                <w:tcPr>
                  <w:tcW w:w="374" w:type="pct"/>
                  <w:noWrap w:val="0"/>
                  <w:vAlign w:val="center"/>
                </w:tcPr>
                <w:p w14:paraId="2B144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建筑物外距离/m</w:t>
                  </w:r>
                </w:p>
              </w:tc>
            </w:tr>
            <w:tr w14:paraId="04B2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38" w:type="pct"/>
                  <w:noWrap w:val="0"/>
                  <w:vAlign w:val="center"/>
                </w:tcPr>
                <w:p w14:paraId="64E16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256" w:type="pct"/>
                  <w:vMerge w:val="restart"/>
                  <w:noWrap w:val="0"/>
                  <w:vAlign w:val="center"/>
                </w:tcPr>
                <w:p w14:paraId="2DFF4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水厂泵站</w:t>
                  </w:r>
                </w:p>
              </w:tc>
              <w:tc>
                <w:tcPr>
                  <w:tcW w:w="257" w:type="pct"/>
                  <w:noWrap w:val="0"/>
                  <w:vAlign w:val="center"/>
                </w:tcPr>
                <w:p w14:paraId="7ABC4E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离心泵1#</w:t>
                  </w:r>
                </w:p>
              </w:tc>
              <w:tc>
                <w:tcPr>
                  <w:tcW w:w="240" w:type="pct"/>
                  <w:noWrap w:val="0"/>
                  <w:vAlign w:val="center"/>
                </w:tcPr>
                <w:p w14:paraId="38CD4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264" w:type="pct"/>
                  <w:noWrap w:val="0"/>
                  <w:vAlign w:val="center"/>
                </w:tcPr>
                <w:p w14:paraId="138E6036">
                  <w:pPr>
                    <w:keepNext w:val="0"/>
                    <w:keepLines w:val="0"/>
                    <w:suppressLineNumbers w:val="0"/>
                    <w:spacing w:before="0" w:beforeAutospacing="0" w:after="0" w:afterAutospacing="0"/>
                    <w:ind w:left="0" w:right="0"/>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8</w:t>
                  </w:r>
                  <w:r>
                    <w:rPr>
                      <w:rFonts w:hint="default" w:ascii="Times New Roman" w:hAnsi="Times New Roman" w:eastAsia="Arial" w:cs="Times New Roman"/>
                      <w:color w:val="auto"/>
                      <w:sz w:val="21"/>
                      <w:szCs w:val="21"/>
                    </w:rPr>
                    <w:t>5</w:t>
                  </w:r>
                </w:p>
              </w:tc>
              <w:tc>
                <w:tcPr>
                  <w:tcW w:w="350" w:type="pct"/>
                  <w:vMerge w:val="restart"/>
                  <w:noWrap w:val="0"/>
                  <w:vAlign w:val="center"/>
                </w:tcPr>
                <w:p w14:paraId="2C0BB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基础减振、室内隔声</w:t>
                  </w:r>
                </w:p>
                <w:p w14:paraId="4E5E9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、维护保养</w:t>
                  </w:r>
                </w:p>
              </w:tc>
              <w:tc>
                <w:tcPr>
                  <w:tcW w:w="412" w:type="pct"/>
                  <w:noWrap w:val="0"/>
                  <w:vAlign w:val="center"/>
                </w:tcPr>
                <w:p w14:paraId="0EC9569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-133</w:t>
                  </w:r>
                </w:p>
              </w:tc>
              <w:tc>
                <w:tcPr>
                  <w:tcW w:w="406" w:type="pct"/>
                  <w:noWrap w:val="0"/>
                  <w:vAlign w:val="center"/>
                </w:tcPr>
                <w:p w14:paraId="206C00A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295</w:t>
                  </w:r>
                </w:p>
              </w:tc>
              <w:tc>
                <w:tcPr>
                  <w:tcW w:w="318" w:type="pct"/>
                  <w:noWrap w:val="0"/>
                  <w:vAlign w:val="center"/>
                </w:tcPr>
                <w:p w14:paraId="37B96A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Arial" w:cs="Times New Roman"/>
                      <w:color w:val="auto"/>
                      <w:sz w:val="21"/>
                      <w:szCs w:val="21"/>
                    </w:rPr>
                    <w:t>1.</w:t>
                  </w:r>
                  <w:r>
                    <w:rPr>
                      <w:rFonts w:hint="default" w:ascii="Times New Roman" w:hAnsi="Times New Roman" w:eastAsia="宋体" w:cs="Times New Roman"/>
                      <w:color w:val="auto"/>
                      <w:sz w:val="21"/>
                      <w:szCs w:val="21"/>
                      <w:lang w:val="en-US" w:eastAsia="zh-CN"/>
                    </w:rPr>
                    <w:t>2</w:t>
                  </w:r>
                </w:p>
              </w:tc>
              <w:tc>
                <w:tcPr>
                  <w:tcW w:w="363" w:type="pct"/>
                  <w:noWrap w:val="0"/>
                  <w:vAlign w:val="center"/>
                </w:tcPr>
                <w:p w14:paraId="38A53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2.1</w:t>
                  </w:r>
                </w:p>
              </w:tc>
              <w:tc>
                <w:tcPr>
                  <w:tcW w:w="405" w:type="pct"/>
                  <w:noWrap w:val="0"/>
                  <w:vAlign w:val="center"/>
                </w:tcPr>
                <w:p w14:paraId="0A06C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81.0</w:t>
                  </w:r>
                </w:p>
              </w:tc>
              <w:tc>
                <w:tcPr>
                  <w:tcW w:w="246" w:type="pct"/>
                  <w:noWrap w:val="0"/>
                  <w:vAlign w:val="center"/>
                </w:tcPr>
                <w:p w14:paraId="1B019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昼夜</w:t>
                  </w:r>
                </w:p>
              </w:tc>
              <w:tc>
                <w:tcPr>
                  <w:tcW w:w="418" w:type="pct"/>
                  <w:noWrap w:val="0"/>
                  <w:vAlign w:val="center"/>
                </w:tcPr>
                <w:p w14:paraId="6BBC2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26</w:t>
                  </w:r>
                </w:p>
              </w:tc>
              <w:tc>
                <w:tcPr>
                  <w:tcW w:w="447" w:type="pct"/>
                  <w:noWrap w:val="0"/>
                  <w:vAlign w:val="center"/>
                </w:tcPr>
                <w:p w14:paraId="471575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u w:val="none"/>
                      <w:lang w:val="en-US" w:eastAsia="zh-CN" w:bidi="ar"/>
                    </w:rPr>
                    <w:t>55.0</w:t>
                  </w:r>
                </w:p>
              </w:tc>
              <w:tc>
                <w:tcPr>
                  <w:tcW w:w="374" w:type="pct"/>
                  <w:noWrap w:val="0"/>
                  <w:vAlign w:val="center"/>
                </w:tcPr>
                <w:p w14:paraId="54221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r>
            <w:tr w14:paraId="534A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38" w:type="pct"/>
                  <w:noWrap w:val="0"/>
                  <w:vAlign w:val="center"/>
                </w:tcPr>
                <w:p w14:paraId="6742E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256" w:type="pct"/>
                  <w:vMerge w:val="continue"/>
                  <w:noWrap w:val="0"/>
                  <w:vAlign w:val="center"/>
                </w:tcPr>
                <w:p w14:paraId="6A1499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257" w:type="pct"/>
                  <w:noWrap w:val="0"/>
                  <w:vAlign w:val="center"/>
                </w:tcPr>
                <w:p w14:paraId="7DDA99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离心泵2#</w:t>
                  </w:r>
                </w:p>
              </w:tc>
              <w:tc>
                <w:tcPr>
                  <w:tcW w:w="240" w:type="pct"/>
                  <w:noWrap w:val="0"/>
                  <w:vAlign w:val="center"/>
                </w:tcPr>
                <w:p w14:paraId="2BCC9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264" w:type="pct"/>
                  <w:noWrap w:val="0"/>
                  <w:vAlign w:val="center"/>
                </w:tcPr>
                <w:p w14:paraId="662F6809">
                  <w:pPr>
                    <w:keepNext w:val="0"/>
                    <w:keepLines w:val="0"/>
                    <w:suppressLineNumbers w:val="0"/>
                    <w:spacing w:before="0" w:beforeAutospacing="0" w:after="0" w:afterAutospacing="0"/>
                    <w:ind w:left="0" w:right="0"/>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8</w:t>
                  </w:r>
                  <w:r>
                    <w:rPr>
                      <w:rFonts w:hint="default" w:ascii="Times New Roman" w:hAnsi="Times New Roman" w:eastAsia="Arial" w:cs="Times New Roman"/>
                      <w:color w:val="auto"/>
                      <w:sz w:val="21"/>
                      <w:szCs w:val="21"/>
                    </w:rPr>
                    <w:t>5</w:t>
                  </w:r>
                </w:p>
              </w:tc>
              <w:tc>
                <w:tcPr>
                  <w:tcW w:w="350" w:type="pct"/>
                  <w:vMerge w:val="continue"/>
                  <w:noWrap w:val="0"/>
                  <w:vAlign w:val="center"/>
                </w:tcPr>
                <w:p w14:paraId="6FA74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412" w:type="pct"/>
                  <w:noWrap w:val="0"/>
                  <w:vAlign w:val="center"/>
                </w:tcPr>
                <w:p w14:paraId="327696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-136</w:t>
                  </w:r>
                </w:p>
              </w:tc>
              <w:tc>
                <w:tcPr>
                  <w:tcW w:w="406" w:type="pct"/>
                  <w:noWrap w:val="0"/>
                  <w:vAlign w:val="center"/>
                </w:tcPr>
                <w:p w14:paraId="2ECB3E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295</w:t>
                  </w:r>
                </w:p>
              </w:tc>
              <w:tc>
                <w:tcPr>
                  <w:tcW w:w="318" w:type="pct"/>
                  <w:noWrap w:val="0"/>
                  <w:vAlign w:val="center"/>
                </w:tcPr>
                <w:p w14:paraId="2380D65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Arial" w:cs="Times New Roman"/>
                      <w:color w:val="auto"/>
                      <w:sz w:val="21"/>
                      <w:szCs w:val="21"/>
                    </w:rPr>
                    <w:t>1.</w:t>
                  </w:r>
                  <w:r>
                    <w:rPr>
                      <w:rFonts w:hint="default" w:ascii="Times New Roman" w:hAnsi="Times New Roman" w:eastAsia="宋体" w:cs="Times New Roman"/>
                      <w:color w:val="auto"/>
                      <w:sz w:val="21"/>
                      <w:szCs w:val="21"/>
                      <w:lang w:val="en-US" w:eastAsia="zh-CN"/>
                    </w:rPr>
                    <w:t>2</w:t>
                  </w:r>
                </w:p>
              </w:tc>
              <w:tc>
                <w:tcPr>
                  <w:tcW w:w="363" w:type="pct"/>
                  <w:noWrap w:val="0"/>
                  <w:vAlign w:val="center"/>
                </w:tcPr>
                <w:p w14:paraId="0D9A5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405" w:type="pct"/>
                  <w:noWrap w:val="0"/>
                  <w:vAlign w:val="center"/>
                </w:tcPr>
                <w:p w14:paraId="111A6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8</w:t>
                  </w:r>
                </w:p>
              </w:tc>
              <w:tc>
                <w:tcPr>
                  <w:tcW w:w="246" w:type="pct"/>
                  <w:noWrap w:val="0"/>
                  <w:vAlign w:val="center"/>
                </w:tcPr>
                <w:p w14:paraId="6A0CF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昼夜</w:t>
                  </w:r>
                </w:p>
              </w:tc>
              <w:tc>
                <w:tcPr>
                  <w:tcW w:w="418" w:type="pct"/>
                  <w:noWrap w:val="0"/>
                  <w:vAlign w:val="center"/>
                </w:tcPr>
                <w:p w14:paraId="5F698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26</w:t>
                  </w:r>
                </w:p>
              </w:tc>
              <w:tc>
                <w:tcPr>
                  <w:tcW w:w="447" w:type="pct"/>
                  <w:noWrap w:val="0"/>
                  <w:vAlign w:val="center"/>
                </w:tcPr>
                <w:p w14:paraId="3FAC06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u w:val="none"/>
                      <w:lang w:val="en-US" w:eastAsia="zh-CN" w:bidi="ar"/>
                    </w:rPr>
                    <w:t>45.8</w:t>
                  </w:r>
                </w:p>
              </w:tc>
              <w:tc>
                <w:tcPr>
                  <w:tcW w:w="374" w:type="pct"/>
                  <w:noWrap w:val="0"/>
                  <w:vAlign w:val="center"/>
                </w:tcPr>
                <w:p w14:paraId="11701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r>
            <w:tr w14:paraId="56D3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000" w:type="pct"/>
                  <w:gridSpan w:val="15"/>
                  <w:noWrap w:val="0"/>
                  <w:vAlign w:val="center"/>
                </w:tcPr>
                <w:p w14:paraId="6607C203">
                  <w:pPr>
                    <w:keepNext w:val="0"/>
                    <w:keepLines w:val="0"/>
                    <w:suppressLineNumbers w:val="0"/>
                    <w:spacing w:before="0" w:beforeAutospacing="0" w:after="0" w:afterAutospacing="0"/>
                    <w:ind w:left="0" w:right="0"/>
                    <w:jc w:val="both"/>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color w:val="auto"/>
                      <w:sz w:val="21"/>
                      <w:szCs w:val="21"/>
                      <w:lang w:val="en-US" w:eastAsia="zh-CN"/>
                    </w:rPr>
                    <w:t>注：以厂址中心为坐标原点（0，0，0）</w:t>
                  </w:r>
                </w:p>
              </w:tc>
            </w:tr>
          </w:tbl>
          <w:p w14:paraId="543C0782">
            <w:pPr>
              <w:pStyle w:val="71"/>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lang w:val="en-US" w:eastAsia="zh-CN"/>
              </w:rPr>
            </w:pPr>
            <w:r>
              <w:rPr>
                <w:rFonts w:hint="eastAsia" w:eastAsia="宋体" w:cs="Times New Roman"/>
                <w:b w:val="0"/>
                <w:bCs w:val="0"/>
                <w:color w:val="auto"/>
                <w:lang w:val="en-US" w:eastAsia="zh-CN"/>
              </w:rPr>
              <w:t>（2）</w:t>
            </w:r>
            <w:r>
              <w:rPr>
                <w:rFonts w:hint="eastAsia" w:ascii="Times New Roman" w:hAnsi="Times New Roman" w:eastAsia="宋体" w:cs="Times New Roman"/>
                <w:b w:val="0"/>
                <w:bCs w:val="0"/>
                <w:color w:val="auto"/>
                <w:lang w:val="en-US" w:eastAsia="zh-CN"/>
              </w:rPr>
              <w:t>厂界噪声预测</w:t>
            </w:r>
          </w:p>
          <w:p w14:paraId="55998D9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根据《环境影响评价技术导则声环境》（HJ2.4-2021）的技术要求，本次评价采用导则上的推荐模式。</w:t>
            </w:r>
          </w:p>
          <w:p w14:paraId="1EF5FE5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项目的噪声源均为工业噪声源，可以按点声源处理，预测室内声源对环境影响程度可按下列步骤进行：</w:t>
            </w:r>
          </w:p>
          <w:p w14:paraId="0AFFC55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①</w:t>
            </w:r>
            <w:r>
              <w:rPr>
                <w:rFonts w:hint="default"/>
                <w:color w:val="auto"/>
                <w:sz w:val="24"/>
              </w:rPr>
              <w:t>计算某个设备在车间内靠近围护结构处的声压级：</w:t>
            </w:r>
          </w:p>
          <w:p w14:paraId="44E910BD">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40"/>
                <w:sz w:val="24"/>
              </w:rPr>
              <w:object>
                <v:shape id="_x0000_i1026" o:spt="75" type="#_x0000_t75" style="height:43.85pt;width:168.5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7030F985">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sz w:val="24"/>
              </w:rPr>
            </w:pPr>
            <w:r>
              <w:rPr>
                <w:rFonts w:hint="default"/>
                <w:color w:val="auto"/>
                <w:sz w:val="24"/>
              </w:rPr>
              <w:t>式中：</w:t>
            </w:r>
          </w:p>
          <w:p w14:paraId="37D694D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L</w:t>
            </w:r>
            <w:r>
              <w:rPr>
                <w:rFonts w:hint="default"/>
                <w:color w:val="auto"/>
                <w:sz w:val="24"/>
                <w:vertAlign w:val="subscript"/>
              </w:rPr>
              <w:t>oct,.1</w:t>
            </w:r>
            <w:r>
              <w:rPr>
                <w:rFonts w:hint="default"/>
                <w:color w:val="auto"/>
                <w:sz w:val="24"/>
              </w:rPr>
              <w:t>—某声源在靠近围护结构处的声压级，dB（A）；</w:t>
            </w:r>
          </w:p>
          <w:p w14:paraId="505DDDD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L</w:t>
            </w:r>
            <w:r>
              <w:rPr>
                <w:rFonts w:hint="default"/>
                <w:color w:val="auto"/>
                <w:sz w:val="24"/>
                <w:vertAlign w:val="subscript"/>
              </w:rPr>
              <w:t>woct</w:t>
            </w:r>
            <w:r>
              <w:rPr>
                <w:rFonts w:hint="default"/>
                <w:color w:val="auto"/>
                <w:sz w:val="24"/>
              </w:rPr>
              <w:t>—该声源的声功率级，dB（A）；</w:t>
            </w:r>
          </w:p>
          <w:p w14:paraId="7E0CE4A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r</w:t>
            </w:r>
            <w:r>
              <w:rPr>
                <w:rFonts w:hint="default"/>
                <w:color w:val="auto"/>
                <w:sz w:val="24"/>
                <w:vertAlign w:val="subscript"/>
              </w:rPr>
              <w:t>1</w:t>
            </w:r>
            <w:r>
              <w:rPr>
                <w:rFonts w:hint="default"/>
                <w:color w:val="auto"/>
                <w:sz w:val="24"/>
              </w:rPr>
              <w:t>—该声源与围护结构处的距离，m；</w:t>
            </w:r>
          </w:p>
          <w:p w14:paraId="4F7AEE1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R—房间常数；</w:t>
            </w:r>
          </w:p>
          <w:p w14:paraId="6894E64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Q—方向性因子。</w:t>
            </w:r>
          </w:p>
          <w:p w14:paraId="7C79B24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②</w:t>
            </w:r>
            <w:r>
              <w:rPr>
                <w:rFonts w:hint="default"/>
                <w:color w:val="auto"/>
                <w:sz w:val="24"/>
              </w:rPr>
              <w:t>计算某个车间内所有声源靠近围护结构处的总声压级：</w:t>
            </w:r>
          </w:p>
          <w:p w14:paraId="6FCDD934">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34"/>
                <w:sz w:val="24"/>
              </w:rPr>
              <w:object>
                <v:shape id="_x0000_i1027" o:spt="75" type="#_x0000_t75" style="height:39.45pt;width:159.0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p>
          <w:p w14:paraId="1084640D">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③</w:t>
            </w:r>
            <w:r>
              <w:rPr>
                <w:rFonts w:hint="default"/>
                <w:color w:val="auto"/>
                <w:sz w:val="24"/>
              </w:rPr>
              <w:t>室外靠近围护结构处的声压级：</w:t>
            </w:r>
          </w:p>
          <w:p w14:paraId="1CA2E7E2">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10"/>
                <w:sz w:val="24"/>
              </w:rPr>
              <w:object>
                <v:shape id="_x0000_i1028" o:spt="75" type="#_x0000_t75" style="height:18.8pt;width:193.4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p>
          <w:p w14:paraId="4F153BC6">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color w:val="auto"/>
                <w:sz w:val="24"/>
              </w:rPr>
            </w:pPr>
            <w:r>
              <w:rPr>
                <w:rFonts w:hint="default"/>
                <w:color w:val="auto"/>
                <w:sz w:val="24"/>
              </w:rPr>
              <w:t>式中：</w:t>
            </w:r>
          </w:p>
          <w:p w14:paraId="56FA7B3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TL</w:t>
            </w:r>
            <w:r>
              <w:rPr>
                <w:rFonts w:hint="default"/>
                <w:color w:val="auto"/>
                <w:sz w:val="24"/>
                <w:vertAlign w:val="subscript"/>
              </w:rPr>
              <w:t>oct</w:t>
            </w:r>
            <w:r>
              <w:rPr>
                <w:rFonts w:hint="default"/>
                <w:color w:val="auto"/>
                <w:sz w:val="24"/>
              </w:rPr>
              <w:t>—围护结构的传声损失，dB（A）。</w:t>
            </w:r>
          </w:p>
          <w:p w14:paraId="0AE8E4D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④</w:t>
            </w:r>
            <w:r>
              <w:rPr>
                <w:rFonts w:hint="default"/>
                <w:color w:val="auto"/>
                <w:sz w:val="24"/>
              </w:rPr>
              <w:t>将室外声级L</w:t>
            </w:r>
            <w:r>
              <w:rPr>
                <w:rFonts w:hint="default"/>
                <w:color w:val="auto"/>
                <w:sz w:val="24"/>
                <w:vertAlign w:val="subscript"/>
              </w:rPr>
              <w:t>oct,2</w:t>
            </w:r>
            <w:r>
              <w:rPr>
                <w:rFonts w:hint="default"/>
                <w:color w:val="auto"/>
                <w:sz w:val="24"/>
              </w:rPr>
              <w:t>（T）和透声面积换算成室外等效声源，计算等效声源的声功率级：</w:t>
            </w:r>
          </w:p>
          <w:p w14:paraId="43543F76">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12"/>
                <w:sz w:val="24"/>
              </w:rPr>
              <w:object>
                <v:shape id="_x0000_i1029" o:spt="75" type="#_x0000_t75" style="height:18.8pt;width:137.75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p>
          <w:p w14:paraId="3DAB055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w:t>
            </w:r>
          </w:p>
          <w:p w14:paraId="1F32953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L</w:t>
            </w:r>
            <w:r>
              <w:rPr>
                <w:rFonts w:hint="default"/>
                <w:color w:val="auto"/>
                <w:sz w:val="24"/>
                <w:vertAlign w:val="subscript"/>
              </w:rPr>
              <w:t>woctout</w:t>
            </w:r>
            <w:r>
              <w:rPr>
                <w:rFonts w:hint="default"/>
                <w:color w:val="auto"/>
                <w:sz w:val="24"/>
              </w:rPr>
              <w:t>—室外等效声源的声功率级，dB（A）；</w:t>
            </w:r>
          </w:p>
          <w:p w14:paraId="5D24817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S—透声面积，m</w:t>
            </w:r>
            <w:r>
              <w:rPr>
                <w:rFonts w:hint="default"/>
                <w:color w:val="auto"/>
                <w:sz w:val="24"/>
                <w:vertAlign w:val="superscript"/>
              </w:rPr>
              <w:t>2</w:t>
            </w:r>
            <w:r>
              <w:rPr>
                <w:rFonts w:hint="default"/>
                <w:color w:val="auto"/>
                <w:sz w:val="24"/>
              </w:rPr>
              <w:t>。</w:t>
            </w:r>
          </w:p>
          <w:p w14:paraId="1E4B282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⑤</w:t>
            </w:r>
            <w:r>
              <w:rPr>
                <w:rFonts w:hint="default"/>
                <w:color w:val="auto"/>
                <w:sz w:val="24"/>
              </w:rPr>
              <w:t>计算室外等效声源在预测点的声级：</w:t>
            </w:r>
          </w:p>
          <w:p w14:paraId="0B31A024">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10"/>
                <w:sz w:val="24"/>
              </w:rPr>
              <w:object>
                <v:shape id="_x0000_i1030" o:spt="75" type="#_x0000_t75" style="height:18.8pt;width:145.25pt;" o:ole="t" filled="f" o:preferrelative="t" stroked="f" coordsize="21600,21600">
                  <v:path/>
                  <v:fill on="f" focussize="0,0"/>
                  <v:stroke on="f" joinstyle="miter"/>
                  <v:imagedata r:id="rId34" o:title=""/>
                  <o:lock v:ext="edit" aspectratio="t"/>
                  <w10:wrap type="none"/>
                  <w10:anchorlock/>
                </v:shape>
                <o:OLEObject Type="Embed" ProgID="Equation.3" ShapeID="_x0000_i1030" DrawAspect="Content" ObjectID="_1468075730" r:id="rId33">
                  <o:LockedField>false</o:LockedField>
                </o:OLEObject>
              </w:object>
            </w:r>
          </w:p>
          <w:p w14:paraId="33E46E5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w:t>
            </w:r>
          </w:p>
          <w:p w14:paraId="6AF119B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Loct（r）—点声源在预测点产生的声压级，dB（A）；</w:t>
            </w:r>
          </w:p>
          <w:p w14:paraId="6BF77B5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r—预测点距点声源的距离，m。</w:t>
            </w:r>
          </w:p>
          <w:p w14:paraId="4242EDF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eastAsia" w:ascii="宋体" w:hAnsi="宋体" w:cs="宋体"/>
                <w:color w:val="auto"/>
                <w:sz w:val="24"/>
              </w:rPr>
              <w:t>⑥</w:t>
            </w:r>
            <w:r>
              <w:rPr>
                <w:rFonts w:hint="default"/>
                <w:color w:val="auto"/>
                <w:sz w:val="24"/>
              </w:rPr>
              <w:t>预测点的总声压级：</w:t>
            </w:r>
          </w:p>
          <w:p w14:paraId="17D85848">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position w:val="-8"/>
                <w:sz w:val="24"/>
              </w:rPr>
              <w:object>
                <v:shape id="_x0000_i1031" o:spt="75" type="#_x0000_t75" style="height:18.15pt;width:10.65pt;" o:ole="t" filled="f" o:preferrelative="t" stroked="f" coordsize="21600,21600">
                  <v:path/>
                  <v:fill on="f" focussize="0,0"/>
                  <v:stroke on="f" joinstyle="miter"/>
                  <v:imagedata r:id="rId36" o:title=""/>
                  <o:lock v:ext="edit" aspectratio="t"/>
                  <w10:wrap type="none"/>
                  <w10:anchorlock/>
                </v:shape>
                <o:OLEObject Type="Embed" ProgID="Equation.3" ShapeID="_x0000_i1031" DrawAspect="Content" ObjectID="_1468075731" r:id="rId35">
                  <o:LockedField>false</o:LockedField>
                </o:OLEObject>
              </w:object>
            </w:r>
            <w:r>
              <w:rPr>
                <w:rFonts w:hint="default"/>
                <w:color w:val="auto"/>
                <w:position w:val="-32"/>
                <w:sz w:val="24"/>
              </w:rPr>
              <w:object>
                <v:shape id="_x0000_i1032" o:spt="75" type="#_x0000_t75" style="height:45.7pt;width:226.6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p>
          <w:p w14:paraId="0558873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式中：LAout,i—声源在预测点产生的A声级，dB（A）；</w:t>
            </w:r>
          </w:p>
          <w:p w14:paraId="54FE0E1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t—在T时间内该声源工作的时间；</w:t>
            </w:r>
          </w:p>
          <w:p w14:paraId="0F04DAA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 xml:space="preserve">      M—等效室外声源数，个。</w:t>
            </w:r>
          </w:p>
          <w:p w14:paraId="5E48E48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根据上述各式计算得到</w:t>
            </w:r>
            <w:r>
              <w:rPr>
                <w:rFonts w:hint="eastAsia"/>
                <w:color w:val="auto"/>
                <w:sz w:val="24"/>
                <w:lang w:eastAsia="zh-CN"/>
              </w:rPr>
              <w:t>运行</w:t>
            </w:r>
            <w:r>
              <w:rPr>
                <w:rFonts w:hint="default"/>
                <w:color w:val="auto"/>
                <w:sz w:val="24"/>
              </w:rPr>
              <w:t>后设备噪声对厂界各预测点贡献值。</w:t>
            </w:r>
          </w:p>
          <w:p w14:paraId="08A3CF4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噪声源对各测点的影响预测结果见表4-</w:t>
            </w:r>
            <w:r>
              <w:rPr>
                <w:rFonts w:hint="eastAsia"/>
                <w:color w:val="auto"/>
                <w:sz w:val="24"/>
                <w:lang w:val="en-US" w:eastAsia="zh-CN"/>
              </w:rPr>
              <w:t>14</w:t>
            </w:r>
            <w:r>
              <w:rPr>
                <w:rFonts w:hint="default"/>
                <w:color w:val="auto"/>
                <w:sz w:val="24"/>
              </w:rPr>
              <w:t>。</w:t>
            </w:r>
          </w:p>
          <w:p w14:paraId="7EF1BE20">
            <w:pPr>
              <w:pStyle w:val="72"/>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0"/>
              </w:rPr>
            </w:pPr>
            <w:r>
              <w:rPr>
                <w:rFonts w:hint="default" w:ascii="Times New Roman" w:hAnsi="Times New Roman" w:eastAsia="宋体" w:cs="Times New Roman"/>
                <w:color w:val="000000"/>
                <w:szCs w:val="20"/>
              </w:rPr>
              <w:t>表4-</w:t>
            </w:r>
            <w:r>
              <w:rPr>
                <w:rFonts w:hint="eastAsia" w:eastAsia="宋体" w:cs="Times New Roman"/>
                <w:color w:val="000000"/>
                <w:szCs w:val="20"/>
                <w:lang w:val="en-US" w:eastAsia="zh-CN"/>
              </w:rPr>
              <w:t>14</w:t>
            </w:r>
            <w:r>
              <w:rPr>
                <w:rFonts w:hint="default" w:ascii="Times New Roman" w:hAnsi="Times New Roman" w:eastAsia="宋体" w:cs="Times New Roman"/>
                <w:color w:val="000000"/>
                <w:szCs w:val="20"/>
              </w:rPr>
              <w:t xml:space="preserve"> 项目厂界噪声预测值一览表    LAeq:dB(A)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687"/>
              <w:gridCol w:w="1310"/>
              <w:gridCol w:w="1323"/>
              <w:gridCol w:w="1082"/>
              <w:gridCol w:w="1147"/>
              <w:gridCol w:w="1586"/>
            </w:tblGrid>
            <w:tr w14:paraId="7B36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Merge w:val="restart"/>
                  <w:noWrap w:val="0"/>
                  <w:vAlign w:val="center"/>
                </w:tcPr>
                <w:p w14:paraId="6233BB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序号</w:t>
                  </w:r>
                </w:p>
              </w:tc>
              <w:tc>
                <w:tcPr>
                  <w:tcW w:w="931" w:type="pct"/>
                  <w:vMerge w:val="restart"/>
                  <w:noWrap w:val="0"/>
                  <w:vAlign w:val="center"/>
                </w:tcPr>
                <w:p w14:paraId="3FDC4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预测</w:t>
                  </w:r>
                </w:p>
                <w:p w14:paraId="512D3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点位</w:t>
                  </w:r>
                </w:p>
              </w:tc>
              <w:tc>
                <w:tcPr>
                  <w:tcW w:w="1453" w:type="pct"/>
                  <w:gridSpan w:val="2"/>
                  <w:noWrap w:val="0"/>
                  <w:vAlign w:val="top"/>
                </w:tcPr>
                <w:p w14:paraId="69E211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贡献值dB（A）</w:t>
                  </w:r>
                </w:p>
              </w:tc>
              <w:tc>
                <w:tcPr>
                  <w:tcW w:w="1230" w:type="pct"/>
                  <w:gridSpan w:val="2"/>
                  <w:tcBorders>
                    <w:top w:val="single" w:color="auto" w:sz="4" w:space="0"/>
                  </w:tcBorders>
                  <w:noWrap w:val="0"/>
                  <w:vAlign w:val="center"/>
                </w:tcPr>
                <w:p w14:paraId="4CFF2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标准限值dB（A）</w:t>
                  </w:r>
                </w:p>
              </w:tc>
              <w:tc>
                <w:tcPr>
                  <w:tcW w:w="875" w:type="pct"/>
                  <w:vMerge w:val="restart"/>
                  <w:tcBorders>
                    <w:top w:val="single" w:color="auto" w:sz="4" w:space="0"/>
                  </w:tcBorders>
                  <w:noWrap w:val="0"/>
                  <w:vAlign w:val="center"/>
                </w:tcPr>
                <w:p w14:paraId="3D153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达标</w:t>
                  </w:r>
                </w:p>
                <w:p w14:paraId="09866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
                      <w:bCs/>
                      <w:color w:val="000000"/>
                      <w:szCs w:val="21"/>
                    </w:rPr>
                    <w:t>情况</w:t>
                  </w:r>
                </w:p>
              </w:tc>
            </w:tr>
            <w:tr w14:paraId="0170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09" w:type="pct"/>
                  <w:vMerge w:val="continue"/>
                  <w:noWrap w:val="0"/>
                  <w:vAlign w:val="center"/>
                </w:tcPr>
                <w:p w14:paraId="2AEDA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p>
              </w:tc>
              <w:tc>
                <w:tcPr>
                  <w:tcW w:w="931" w:type="pct"/>
                  <w:vMerge w:val="continue"/>
                  <w:noWrap w:val="0"/>
                  <w:vAlign w:val="center"/>
                </w:tcPr>
                <w:p w14:paraId="4DD0A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p>
              </w:tc>
              <w:tc>
                <w:tcPr>
                  <w:tcW w:w="723" w:type="pct"/>
                  <w:noWrap w:val="0"/>
                  <w:vAlign w:val="center"/>
                </w:tcPr>
                <w:p w14:paraId="15253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昼间</w:t>
                  </w:r>
                </w:p>
              </w:tc>
              <w:tc>
                <w:tcPr>
                  <w:tcW w:w="729" w:type="pct"/>
                  <w:noWrap w:val="0"/>
                  <w:vAlign w:val="center"/>
                </w:tcPr>
                <w:p w14:paraId="3F567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夜间</w:t>
                  </w:r>
                </w:p>
              </w:tc>
              <w:tc>
                <w:tcPr>
                  <w:tcW w:w="597" w:type="pct"/>
                  <w:noWrap w:val="0"/>
                  <w:vAlign w:val="top"/>
                </w:tcPr>
                <w:p w14:paraId="580288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昼间</w:t>
                  </w:r>
                </w:p>
              </w:tc>
              <w:tc>
                <w:tcPr>
                  <w:tcW w:w="633" w:type="pct"/>
                  <w:noWrap w:val="0"/>
                  <w:vAlign w:val="top"/>
                </w:tcPr>
                <w:p w14:paraId="0E2EA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夜间</w:t>
                  </w:r>
                </w:p>
              </w:tc>
              <w:tc>
                <w:tcPr>
                  <w:tcW w:w="875" w:type="pct"/>
                  <w:vMerge w:val="continue"/>
                  <w:noWrap w:val="0"/>
                  <w:vAlign w:val="center"/>
                </w:tcPr>
                <w:p w14:paraId="79E5EB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szCs w:val="21"/>
                    </w:rPr>
                  </w:pPr>
                </w:p>
              </w:tc>
            </w:tr>
            <w:tr w14:paraId="5CE4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0C2DC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w:t>
                  </w:r>
                </w:p>
              </w:tc>
              <w:tc>
                <w:tcPr>
                  <w:tcW w:w="931" w:type="pct"/>
                  <w:noWrap w:val="0"/>
                  <w:vAlign w:val="center"/>
                </w:tcPr>
                <w:p w14:paraId="20046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厂界</w:t>
                  </w:r>
                  <w:r>
                    <w:rPr>
                      <w:rFonts w:hint="eastAsia" w:eastAsia="宋体" w:cs="Times New Roman"/>
                      <w:color w:val="000000"/>
                      <w:szCs w:val="21"/>
                      <w:lang w:eastAsia="zh-CN"/>
                    </w:rPr>
                    <w:t>东</w:t>
                  </w:r>
                  <w:r>
                    <w:rPr>
                      <w:rFonts w:hint="default" w:ascii="Times New Roman" w:hAnsi="Times New Roman" w:eastAsia="宋体" w:cs="Times New Roman"/>
                      <w:color w:val="000000"/>
                      <w:szCs w:val="21"/>
                    </w:rPr>
                    <w:t>侧</w:t>
                  </w:r>
                </w:p>
              </w:tc>
              <w:tc>
                <w:tcPr>
                  <w:tcW w:w="723" w:type="pct"/>
                  <w:noWrap w:val="0"/>
                  <w:vAlign w:val="top"/>
                </w:tcPr>
                <w:p w14:paraId="46F2B9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15.2</w:t>
                  </w:r>
                </w:p>
              </w:tc>
              <w:tc>
                <w:tcPr>
                  <w:tcW w:w="1172" w:type="dxa"/>
                  <w:noWrap w:val="0"/>
                  <w:vAlign w:val="top"/>
                </w:tcPr>
                <w:p w14:paraId="43F151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15.2</w:t>
                  </w:r>
                </w:p>
              </w:tc>
              <w:tc>
                <w:tcPr>
                  <w:tcW w:w="597" w:type="pct"/>
                  <w:vMerge w:val="restart"/>
                  <w:noWrap w:val="0"/>
                  <w:vAlign w:val="center"/>
                </w:tcPr>
                <w:p w14:paraId="202CC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6</w:t>
                  </w:r>
                  <w:r>
                    <w:rPr>
                      <w:rFonts w:hint="eastAsia" w:ascii="Times New Roman" w:hAnsi="Times New Roman" w:eastAsia="宋体" w:cs="Times New Roman"/>
                      <w:color w:val="000000"/>
                      <w:szCs w:val="21"/>
                      <w:lang w:val="en-US" w:eastAsia="zh-CN"/>
                    </w:rPr>
                    <w:t>5</w:t>
                  </w:r>
                </w:p>
              </w:tc>
              <w:tc>
                <w:tcPr>
                  <w:tcW w:w="633" w:type="pct"/>
                  <w:vMerge w:val="restart"/>
                  <w:noWrap w:val="0"/>
                  <w:vAlign w:val="center"/>
                </w:tcPr>
                <w:p w14:paraId="54174E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5</w:t>
                  </w:r>
                  <w:r>
                    <w:rPr>
                      <w:rFonts w:hint="eastAsia" w:ascii="Times New Roman" w:hAnsi="Times New Roman" w:eastAsia="宋体" w:cs="Times New Roman"/>
                      <w:color w:val="000000"/>
                      <w:szCs w:val="21"/>
                      <w:lang w:val="en-US" w:eastAsia="zh-CN"/>
                    </w:rPr>
                    <w:t>5</w:t>
                  </w:r>
                </w:p>
              </w:tc>
              <w:tc>
                <w:tcPr>
                  <w:tcW w:w="875" w:type="pct"/>
                  <w:noWrap w:val="0"/>
                  <w:vAlign w:val="center"/>
                </w:tcPr>
                <w:p w14:paraId="3447A5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6300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385675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w:t>
                  </w:r>
                </w:p>
              </w:tc>
              <w:tc>
                <w:tcPr>
                  <w:tcW w:w="931" w:type="pct"/>
                  <w:noWrap w:val="0"/>
                  <w:vAlign w:val="center"/>
                </w:tcPr>
                <w:p w14:paraId="055DD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厂界</w:t>
                  </w:r>
                  <w:r>
                    <w:rPr>
                      <w:rFonts w:hint="eastAsia" w:eastAsia="宋体" w:cs="Times New Roman"/>
                      <w:color w:val="000000"/>
                      <w:szCs w:val="21"/>
                      <w:lang w:eastAsia="zh-CN"/>
                    </w:rPr>
                    <w:t>南</w:t>
                  </w:r>
                  <w:r>
                    <w:rPr>
                      <w:rFonts w:hint="default" w:ascii="Times New Roman" w:hAnsi="Times New Roman" w:eastAsia="宋体" w:cs="Times New Roman"/>
                      <w:color w:val="000000"/>
                      <w:szCs w:val="21"/>
                    </w:rPr>
                    <w:t>侧</w:t>
                  </w:r>
                </w:p>
              </w:tc>
              <w:tc>
                <w:tcPr>
                  <w:tcW w:w="723" w:type="pct"/>
                  <w:noWrap w:val="0"/>
                  <w:vAlign w:val="center"/>
                </w:tcPr>
                <w:p w14:paraId="04530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33.2</w:t>
                  </w:r>
                </w:p>
              </w:tc>
              <w:tc>
                <w:tcPr>
                  <w:tcW w:w="1172" w:type="dxa"/>
                  <w:noWrap w:val="0"/>
                  <w:vAlign w:val="center"/>
                </w:tcPr>
                <w:p w14:paraId="5AF40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33.2</w:t>
                  </w:r>
                </w:p>
              </w:tc>
              <w:tc>
                <w:tcPr>
                  <w:tcW w:w="597" w:type="pct"/>
                  <w:vMerge w:val="continue"/>
                  <w:noWrap w:val="0"/>
                  <w:vAlign w:val="center"/>
                </w:tcPr>
                <w:p w14:paraId="0A773E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p>
              </w:tc>
              <w:tc>
                <w:tcPr>
                  <w:tcW w:w="633" w:type="pct"/>
                  <w:vMerge w:val="continue"/>
                  <w:noWrap w:val="0"/>
                  <w:vAlign w:val="center"/>
                </w:tcPr>
                <w:p w14:paraId="3FA616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p>
              </w:tc>
              <w:tc>
                <w:tcPr>
                  <w:tcW w:w="875" w:type="pct"/>
                  <w:noWrap w:val="0"/>
                  <w:vAlign w:val="center"/>
                </w:tcPr>
                <w:p w14:paraId="0F4C0F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07D9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509" w:type="pct"/>
                  <w:noWrap w:val="0"/>
                  <w:vAlign w:val="center"/>
                </w:tcPr>
                <w:p w14:paraId="6C9DA4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w:t>
                  </w:r>
                </w:p>
              </w:tc>
              <w:tc>
                <w:tcPr>
                  <w:tcW w:w="931" w:type="pct"/>
                  <w:noWrap w:val="0"/>
                  <w:vAlign w:val="center"/>
                </w:tcPr>
                <w:p w14:paraId="6EC5D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厂界</w:t>
                  </w:r>
                  <w:r>
                    <w:rPr>
                      <w:rFonts w:hint="eastAsia" w:eastAsia="宋体" w:cs="Times New Roman"/>
                      <w:color w:val="000000"/>
                      <w:szCs w:val="21"/>
                      <w:lang w:eastAsia="zh-CN"/>
                    </w:rPr>
                    <w:t>西</w:t>
                  </w:r>
                  <w:r>
                    <w:rPr>
                      <w:rFonts w:hint="default" w:ascii="Times New Roman" w:hAnsi="Times New Roman" w:eastAsia="宋体" w:cs="Times New Roman"/>
                      <w:color w:val="000000"/>
                      <w:szCs w:val="21"/>
                    </w:rPr>
                    <w:t>侧</w:t>
                  </w:r>
                </w:p>
              </w:tc>
              <w:tc>
                <w:tcPr>
                  <w:tcW w:w="1163" w:type="dxa"/>
                  <w:noWrap w:val="0"/>
                  <w:vAlign w:val="top"/>
                </w:tcPr>
                <w:p w14:paraId="6AD167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22.3</w:t>
                  </w:r>
                </w:p>
              </w:tc>
              <w:tc>
                <w:tcPr>
                  <w:tcW w:w="1172" w:type="dxa"/>
                  <w:noWrap w:val="0"/>
                  <w:vAlign w:val="top"/>
                </w:tcPr>
                <w:p w14:paraId="199B4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22.3</w:t>
                  </w:r>
                </w:p>
              </w:tc>
              <w:tc>
                <w:tcPr>
                  <w:tcW w:w="597" w:type="pct"/>
                  <w:vMerge w:val="continue"/>
                  <w:noWrap w:val="0"/>
                  <w:vAlign w:val="center"/>
                </w:tcPr>
                <w:p w14:paraId="0D7A53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p>
              </w:tc>
              <w:tc>
                <w:tcPr>
                  <w:tcW w:w="633" w:type="pct"/>
                  <w:vMerge w:val="continue"/>
                  <w:noWrap w:val="0"/>
                  <w:vAlign w:val="center"/>
                </w:tcPr>
                <w:p w14:paraId="73C485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p>
              </w:tc>
              <w:tc>
                <w:tcPr>
                  <w:tcW w:w="875" w:type="pct"/>
                  <w:noWrap w:val="0"/>
                  <w:vAlign w:val="center"/>
                </w:tcPr>
                <w:p w14:paraId="3EA7A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14:paraId="5332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509" w:type="pct"/>
                  <w:noWrap w:val="0"/>
                  <w:vAlign w:val="center"/>
                </w:tcPr>
                <w:p w14:paraId="23A44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w:t>
                  </w:r>
                </w:p>
              </w:tc>
              <w:tc>
                <w:tcPr>
                  <w:tcW w:w="931" w:type="pct"/>
                  <w:noWrap w:val="0"/>
                  <w:vAlign w:val="center"/>
                </w:tcPr>
                <w:p w14:paraId="565673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厂界</w:t>
                  </w:r>
                  <w:r>
                    <w:rPr>
                      <w:rFonts w:hint="eastAsia" w:eastAsia="宋体" w:cs="Times New Roman"/>
                      <w:color w:val="000000"/>
                      <w:szCs w:val="21"/>
                      <w:lang w:eastAsia="zh-CN"/>
                    </w:rPr>
                    <w:t>北</w:t>
                  </w:r>
                  <w:r>
                    <w:rPr>
                      <w:rFonts w:hint="default" w:ascii="Times New Roman" w:hAnsi="Times New Roman" w:eastAsia="宋体" w:cs="Times New Roman"/>
                      <w:color w:val="000000"/>
                      <w:szCs w:val="21"/>
                    </w:rPr>
                    <w:t>侧</w:t>
                  </w:r>
                </w:p>
              </w:tc>
              <w:tc>
                <w:tcPr>
                  <w:tcW w:w="723" w:type="pct"/>
                  <w:noWrap w:val="0"/>
                  <w:vAlign w:val="top"/>
                </w:tcPr>
                <w:p w14:paraId="792776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15.5</w:t>
                  </w:r>
                </w:p>
              </w:tc>
              <w:tc>
                <w:tcPr>
                  <w:tcW w:w="1172" w:type="dxa"/>
                  <w:noWrap w:val="0"/>
                  <w:vAlign w:val="top"/>
                </w:tcPr>
                <w:p w14:paraId="63080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15.5</w:t>
                  </w:r>
                </w:p>
              </w:tc>
              <w:tc>
                <w:tcPr>
                  <w:tcW w:w="597" w:type="pct"/>
                  <w:vMerge w:val="continue"/>
                  <w:noWrap w:val="0"/>
                  <w:vAlign w:val="center"/>
                </w:tcPr>
                <w:p w14:paraId="134EA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p>
              </w:tc>
              <w:tc>
                <w:tcPr>
                  <w:tcW w:w="633" w:type="pct"/>
                  <w:vMerge w:val="continue"/>
                  <w:noWrap w:val="0"/>
                  <w:vAlign w:val="center"/>
                </w:tcPr>
                <w:p w14:paraId="32248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p>
              </w:tc>
              <w:tc>
                <w:tcPr>
                  <w:tcW w:w="875" w:type="pct"/>
                  <w:noWrap w:val="0"/>
                  <w:vAlign w:val="center"/>
                </w:tcPr>
                <w:p w14:paraId="4BF0A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bl>
          <w:p w14:paraId="433C6328">
            <w:pPr>
              <w:pStyle w:val="71"/>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根据厂界噪声预测结果可知，项目设备噪声经建筑物隔声、基础减振和距离衰减后，厂界昼</w:t>
            </w:r>
            <w:r>
              <w:rPr>
                <w:rFonts w:hint="eastAsia" w:ascii="Times New Roman" w:hAnsi="Times New Roman" w:eastAsia="宋体" w:cs="Times New Roman"/>
                <w:color w:val="000000"/>
                <w:lang w:eastAsia="zh-CN"/>
              </w:rPr>
              <w:t>、夜</w:t>
            </w:r>
            <w:r>
              <w:rPr>
                <w:rFonts w:hint="default" w:ascii="Times New Roman" w:hAnsi="Times New Roman" w:eastAsia="宋体" w:cs="Times New Roman"/>
                <w:color w:val="000000"/>
              </w:rPr>
              <w:t>间噪声值均可满足《工业企业厂界环境噪声排放标准》（GB12348-2008）中</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rPr>
              <w:t>类标准要求</w:t>
            </w:r>
            <w:r>
              <w:rPr>
                <w:rFonts w:hint="eastAsia" w:ascii="Times New Roman" w:hAnsi="Times New Roman" w:eastAsia="宋体" w:cs="Times New Roman"/>
                <w:color w:val="000000"/>
                <w:lang w:eastAsia="zh-CN"/>
              </w:rPr>
              <w:t>，</w:t>
            </w:r>
            <w:r>
              <w:rPr>
                <w:rFonts w:hint="default" w:ascii="Times New Roman" w:hAnsi="Times New Roman" w:eastAsia="宋体" w:cs="Times New Roman"/>
                <w:color w:val="000000"/>
              </w:rPr>
              <w:t>项目运营噪声对外环境的影响较小。</w:t>
            </w:r>
          </w:p>
          <w:p w14:paraId="5BA8CA28">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5、运营期固体废物影响分析</w:t>
            </w:r>
          </w:p>
          <w:p w14:paraId="05DDF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项目运营期仅开展定期巡检工作，不单独设置常驻运维人员</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无生活垃圾</w:t>
            </w:r>
            <w:r>
              <w:rPr>
                <w:rFonts w:hint="eastAsia" w:ascii="Times New Roman" w:hAnsi="Times New Roman" w:cs="Times New Roman"/>
                <w:color w:val="auto"/>
                <w:sz w:val="24"/>
                <w:szCs w:val="24"/>
                <w:highlight w:val="none"/>
                <w:lang w:eastAsia="zh-CN"/>
              </w:rPr>
              <w:t>产生</w:t>
            </w:r>
            <w:r>
              <w:rPr>
                <w:rFonts w:hint="eastAsia" w:ascii="Times New Roman" w:hAnsi="Times New Roman" w:eastAsia="宋体" w:cs="Times New Roman"/>
                <w:color w:val="auto"/>
                <w:sz w:val="24"/>
                <w:szCs w:val="24"/>
                <w:highlight w:val="none"/>
                <w:lang w:eastAsia="zh-CN"/>
              </w:rPr>
              <w:t>。泵站运营期仅进行日常巡检及简单维护，不产生危险废物。</w:t>
            </w:r>
          </w:p>
          <w:p w14:paraId="173E9206">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6、环境风险分析</w:t>
            </w:r>
          </w:p>
          <w:p w14:paraId="779AD43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对照《建设项目环境风险评价技术导则》(HJ169-2018)，本项目不涉及有毒有害和易燃易爆危险物质生产、使用、储存，项目不开展环境风险分析。</w:t>
            </w:r>
          </w:p>
          <w:p w14:paraId="6BC09C6E">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7、</w:t>
            </w:r>
            <w:r>
              <w:rPr>
                <w:rFonts w:hint="default" w:ascii="Times New Roman" w:hAnsi="Times New Roman" w:eastAsia="宋体" w:cs="Times New Roman"/>
                <w:b/>
                <w:bCs/>
                <w:color w:val="0000FF"/>
                <w:sz w:val="28"/>
                <w:szCs w:val="28"/>
                <w:highlight w:val="none"/>
              </w:rPr>
              <w:t>水资源配置及供需平衡分析</w:t>
            </w:r>
          </w:p>
          <w:p w14:paraId="54BD86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bdr w:val="none" w:color="auto" w:sz="0" w:space="0"/>
                <w:lang w:val="en-US" w:eastAsia="zh-CN"/>
              </w:rPr>
              <w:t>7.1</w:t>
            </w:r>
            <w:r>
              <w:rPr>
                <w:rFonts w:hint="default" w:ascii="Times New Roman" w:hAnsi="Times New Roman" w:eastAsia="宋体" w:cs="Times New Roman"/>
                <w:b/>
                <w:bCs/>
                <w:color w:val="0000FF"/>
                <w:sz w:val="24"/>
                <w:szCs w:val="24"/>
                <w:bdr w:val="none" w:color="auto" w:sz="0" w:space="0"/>
              </w:rPr>
              <w:t>水资源配置方案</w:t>
            </w:r>
          </w:p>
          <w:p w14:paraId="149297A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（1）水源与取水方案</w:t>
            </w:r>
          </w:p>
          <w:p w14:paraId="7051DE6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本项目以黑河干流地表水为供水水源，取水口位于黑河干流山丹河汇口下游约 500m 处，由临河泵站加压取水，经 3.35km 输水管线进入兔儿坝滩水库调蓄，再通过 0.29km 管线送至园区净水厂，最终供给工业用户。项目取水纳入黑河流域水量统一调度，严格执行年度水量分配方案与调度指令，不挤占生态基流。</w:t>
            </w:r>
          </w:p>
          <w:p w14:paraId="3D812E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（2）工程调蓄功能</w:t>
            </w:r>
          </w:p>
          <w:p w14:paraId="734637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解决黑河河道闭口期、枯水期、检修期供水缺口；实现错峰蓄水、稳定供水，提高园区供水保证率；构建“地表水取水—水库调蓄—净化处理—管网配送”完整供水体系。</w:t>
            </w:r>
          </w:p>
          <w:p w14:paraId="744A3A6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FF"/>
                <w:kern w:val="2"/>
                <w:sz w:val="24"/>
                <w:szCs w:val="24"/>
                <w:highlight w:val="none"/>
                <w:lang w:val="en-US" w:eastAsia="zh-CN" w:bidi="ar-SA"/>
              </w:rPr>
            </w:pPr>
            <w:r>
              <w:rPr>
                <w:rFonts w:hint="default" w:ascii="Times New Roman" w:hAnsi="Times New Roman" w:eastAsia="宋体" w:cs="Times New Roman"/>
                <w:b/>
                <w:bCs/>
                <w:color w:val="0000FF"/>
                <w:kern w:val="2"/>
                <w:sz w:val="24"/>
                <w:szCs w:val="24"/>
                <w:highlight w:val="none"/>
                <w:lang w:val="en-US" w:eastAsia="zh-CN" w:bidi="ar-SA"/>
              </w:rPr>
              <w:t>7.2需水量分析</w:t>
            </w:r>
          </w:p>
          <w:p w14:paraId="68819B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（1）供水范围</w:t>
            </w:r>
          </w:p>
          <w:p w14:paraId="7EDD8D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FF"/>
                <w:kern w:val="2"/>
                <w:sz w:val="24"/>
                <w:szCs w:val="24"/>
                <w:highlight w:val="none"/>
                <w:lang w:val="en-US" w:eastAsia="zh-CN" w:bidi="ar-SA"/>
              </w:rPr>
            </w:pPr>
            <w:r>
              <w:rPr>
                <w:rFonts w:hint="default" w:ascii="Times New Roman" w:hAnsi="Times New Roman" w:eastAsia="宋体" w:cs="Times New Roman"/>
                <w:color w:val="0000FF"/>
                <w:kern w:val="2"/>
                <w:sz w:val="24"/>
                <w:szCs w:val="24"/>
                <w:highlight w:val="none"/>
                <w:lang w:val="en-US" w:eastAsia="zh-CN" w:bidi="ar-SA"/>
              </w:rPr>
              <w:t>张掖经济技术开发区循环经济示范园工业生产用水。</w:t>
            </w:r>
          </w:p>
          <w:p w14:paraId="347CC4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FF"/>
                <w:kern w:val="0"/>
                <w:sz w:val="24"/>
                <w:szCs w:val="24"/>
                <w:bdr w:val="none" w:color="auto" w:sz="0" w:space="0"/>
                <w:lang w:val="en-US" w:eastAsia="zh-CN" w:bidi="ar"/>
              </w:rPr>
            </w:pPr>
            <w:r>
              <w:rPr>
                <w:rFonts w:hint="default" w:ascii="Times New Roman" w:hAnsi="Times New Roman" w:eastAsia="宋体" w:cs="Times New Roman"/>
                <w:color w:val="0000FF"/>
                <w:kern w:val="0"/>
                <w:sz w:val="24"/>
                <w:szCs w:val="24"/>
                <w:bdr w:val="none" w:color="auto" w:sz="0" w:space="0"/>
                <w:lang w:val="en-US" w:eastAsia="zh-CN" w:bidi="ar"/>
              </w:rPr>
              <w:t xml:space="preserve"> </w:t>
            </w:r>
            <w:r>
              <w:rPr>
                <w:rFonts w:hint="default" w:ascii="Times New Roman" w:hAnsi="Times New Roman" w:eastAsia="宋体" w:cs="Times New Roman"/>
                <w:b/>
                <w:bCs/>
                <w:color w:val="0000FF"/>
                <w:kern w:val="0"/>
                <w:sz w:val="24"/>
                <w:szCs w:val="24"/>
                <w:bdr w:val="none" w:color="auto" w:sz="0" w:space="0"/>
                <w:lang w:val="en-US" w:eastAsia="zh-CN" w:bidi="ar"/>
              </w:rPr>
              <w:t>表4-15  园区用水量一览表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20"/>
              <w:gridCol w:w="3020"/>
              <w:gridCol w:w="3020"/>
            </w:tblGrid>
            <w:tr w14:paraId="2086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3DFCF92B">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用水项目</w:t>
                  </w:r>
                </w:p>
              </w:tc>
              <w:tc>
                <w:tcPr>
                  <w:tcW w:w="3020" w:type="dxa"/>
                  <w:vAlign w:val="center"/>
                </w:tcPr>
                <w:p w14:paraId="7D70BAB8">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用水量（万m³/a）</w:t>
                  </w:r>
                </w:p>
              </w:tc>
              <w:tc>
                <w:tcPr>
                  <w:tcW w:w="3020" w:type="dxa"/>
                  <w:vAlign w:val="center"/>
                </w:tcPr>
                <w:p w14:paraId="73713293">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占比</w:t>
                  </w:r>
                </w:p>
              </w:tc>
            </w:tr>
            <w:tr w14:paraId="6AF3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2EFF14B1">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园区工业生产用水</w:t>
                  </w:r>
                </w:p>
              </w:tc>
              <w:tc>
                <w:tcPr>
                  <w:tcW w:w="3020" w:type="dxa"/>
                  <w:vAlign w:val="center"/>
                </w:tcPr>
                <w:p w14:paraId="0132B059">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179.25</w:t>
                  </w:r>
                </w:p>
              </w:tc>
              <w:tc>
                <w:tcPr>
                  <w:tcW w:w="3020" w:type="dxa"/>
                  <w:vAlign w:val="center"/>
                </w:tcPr>
                <w:p w14:paraId="75AEE83C">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86.4%</w:t>
                  </w:r>
                </w:p>
              </w:tc>
            </w:tr>
            <w:tr w14:paraId="6E97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477288AE">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水厂自用水</w:t>
                  </w:r>
                </w:p>
              </w:tc>
              <w:tc>
                <w:tcPr>
                  <w:tcW w:w="3020" w:type="dxa"/>
                  <w:vAlign w:val="center"/>
                </w:tcPr>
                <w:p w14:paraId="59E40EF1">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9.68</w:t>
                  </w:r>
                </w:p>
              </w:tc>
              <w:tc>
                <w:tcPr>
                  <w:tcW w:w="3020" w:type="dxa"/>
                  <w:vAlign w:val="center"/>
                </w:tcPr>
                <w:p w14:paraId="1160C7B3">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4.7%</w:t>
                  </w:r>
                </w:p>
              </w:tc>
            </w:tr>
            <w:tr w14:paraId="145D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742BB00D">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管网漏损水量</w:t>
                  </w:r>
                </w:p>
              </w:tc>
              <w:tc>
                <w:tcPr>
                  <w:tcW w:w="3020" w:type="dxa"/>
                  <w:vAlign w:val="center"/>
                </w:tcPr>
                <w:p w14:paraId="655F6CB2">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14.34</w:t>
                  </w:r>
                </w:p>
              </w:tc>
              <w:tc>
                <w:tcPr>
                  <w:tcW w:w="3020" w:type="dxa"/>
                  <w:vAlign w:val="center"/>
                </w:tcPr>
                <w:p w14:paraId="2FE63830">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6.9%</w:t>
                  </w:r>
                </w:p>
              </w:tc>
            </w:tr>
            <w:tr w14:paraId="5F76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775C9390">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水库蒸发渗漏损失</w:t>
                  </w:r>
                </w:p>
              </w:tc>
              <w:tc>
                <w:tcPr>
                  <w:tcW w:w="3020" w:type="dxa"/>
                  <w:vAlign w:val="center"/>
                </w:tcPr>
                <w:p w14:paraId="6A1F1AF7">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4.21</w:t>
                  </w:r>
                </w:p>
              </w:tc>
              <w:tc>
                <w:tcPr>
                  <w:tcW w:w="3020" w:type="dxa"/>
                  <w:vAlign w:val="center"/>
                </w:tcPr>
                <w:p w14:paraId="51356650">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2.0%</w:t>
                  </w:r>
                </w:p>
              </w:tc>
            </w:tr>
            <w:tr w14:paraId="6B11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3020" w:type="dxa"/>
                  <w:vAlign w:val="center"/>
                </w:tcPr>
                <w:p w14:paraId="521659E2">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园区总需水量</w:t>
                  </w:r>
                </w:p>
              </w:tc>
              <w:tc>
                <w:tcPr>
                  <w:tcW w:w="3020" w:type="dxa"/>
                  <w:vAlign w:val="center"/>
                </w:tcPr>
                <w:p w14:paraId="4A065E3C">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207.48</w:t>
                  </w:r>
                </w:p>
              </w:tc>
              <w:tc>
                <w:tcPr>
                  <w:tcW w:w="3020" w:type="dxa"/>
                  <w:vAlign w:val="center"/>
                </w:tcPr>
                <w:p w14:paraId="7BB5B82F">
                  <w:pPr>
                    <w:keepNext w:val="0"/>
                    <w:keepLines w:val="0"/>
                    <w:pageBreakBefore w:val="0"/>
                    <w:widowControl/>
                    <w:suppressLineNumbers w:val="0"/>
                    <w:kinsoku/>
                    <w:wordWrap/>
                    <w:overflowPunct/>
                    <w:topLinePunct w:val="0"/>
                    <w:autoSpaceDE/>
                    <w:autoSpaceDN/>
                    <w:bidi w:val="0"/>
                    <w:adjustRightInd/>
                    <w:snapToGrid/>
                    <w:spacing w:line="100" w:lineRule="atLeast"/>
                    <w:jc w:val="center"/>
                    <w:textAlignment w:val="auto"/>
                    <w:rPr>
                      <w:rFonts w:hint="default" w:ascii="Times New Roman" w:hAnsi="Times New Roman" w:eastAsia="宋体" w:cs="Times New Roman"/>
                      <w:b/>
                      <w:bCs/>
                      <w:color w:val="0000FF"/>
                      <w:kern w:val="0"/>
                      <w:sz w:val="24"/>
                      <w:szCs w:val="24"/>
                      <w:bdr w:val="none" w:color="auto" w:sz="0" w:space="0"/>
                      <w:vertAlign w:val="baseline"/>
                      <w:lang w:val="en-US" w:eastAsia="zh-CN" w:bidi="ar"/>
                    </w:rPr>
                  </w:pPr>
                  <w:r>
                    <w:rPr>
                      <w:rFonts w:hint="default" w:ascii="Times New Roman" w:hAnsi="Times New Roman" w:eastAsia="宋体" w:cs="Times New Roman"/>
                      <w:color w:val="0000FF"/>
                      <w:kern w:val="0"/>
                      <w:sz w:val="21"/>
                      <w:szCs w:val="21"/>
                      <w:lang w:val="en-US" w:eastAsia="zh-CN" w:bidi="ar"/>
                    </w:rPr>
                    <w:t>100%</w:t>
                  </w:r>
                </w:p>
              </w:tc>
            </w:tr>
          </w:tbl>
          <w:p w14:paraId="5791ACD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（2）供水量分析</w:t>
            </w:r>
          </w:p>
          <w:p w14:paraId="229D562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FF"/>
                <w:kern w:val="2"/>
                <w:sz w:val="24"/>
                <w:szCs w:val="24"/>
                <w:highlight w:val="none"/>
                <w:lang w:val="en-US" w:eastAsia="zh-CN" w:bidi="ar-SA"/>
              </w:rPr>
            </w:pPr>
            <w:r>
              <w:rPr>
                <w:rFonts w:hint="eastAsia" w:ascii="Times New Roman" w:hAnsi="Times New Roman" w:eastAsia="宋体" w:cs="Times New Roman"/>
                <w:color w:val="0000FF"/>
                <w:kern w:val="2"/>
                <w:sz w:val="24"/>
                <w:szCs w:val="24"/>
                <w:highlight w:val="none"/>
                <w:lang w:val="en-US" w:eastAsia="zh-CN" w:bidi="ar-SA"/>
              </w:rPr>
              <w:t xml:space="preserve"> 工程供水能力</w:t>
            </w:r>
          </w:p>
          <w:p w14:paraId="64ADE9B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 xml:space="preserve"> </w:t>
            </w:r>
            <w:r>
              <w:rPr>
                <w:rFonts w:hint="default" w:ascii="Times New Roman" w:hAnsi="Times New Roman" w:eastAsia="宋体" w:cs="Times New Roman"/>
                <w:b/>
                <w:bCs/>
                <w:color w:val="0000FF"/>
                <w:kern w:val="0"/>
                <w:sz w:val="24"/>
                <w:szCs w:val="24"/>
                <w:lang w:val="en-US" w:eastAsia="zh-CN" w:bidi="ar"/>
              </w:rPr>
              <w:t>表4-1</w:t>
            </w:r>
            <w:r>
              <w:rPr>
                <w:rFonts w:hint="eastAsia" w:cs="Times New Roman"/>
                <w:b/>
                <w:bCs/>
                <w:color w:val="0000FF"/>
                <w:kern w:val="0"/>
                <w:sz w:val="24"/>
                <w:szCs w:val="24"/>
                <w:lang w:val="en-US" w:eastAsia="zh-CN" w:bidi="ar"/>
              </w:rPr>
              <w:t>6</w:t>
            </w:r>
            <w:r>
              <w:rPr>
                <w:rFonts w:hint="default" w:ascii="Times New Roman" w:hAnsi="Times New Roman" w:eastAsia="宋体" w:cs="Times New Roman"/>
                <w:b/>
                <w:bCs/>
                <w:color w:val="0000FF"/>
                <w:kern w:val="0"/>
                <w:sz w:val="24"/>
                <w:szCs w:val="24"/>
                <w:lang w:val="en-US" w:eastAsia="zh-CN" w:bidi="ar"/>
              </w:rPr>
              <w:t xml:space="preserve">  </w:t>
            </w:r>
            <w:r>
              <w:rPr>
                <w:rFonts w:hint="eastAsia" w:cs="Times New Roman"/>
                <w:b/>
                <w:bCs/>
                <w:color w:val="0000FF"/>
                <w:kern w:val="0"/>
                <w:sz w:val="24"/>
                <w:szCs w:val="24"/>
                <w:lang w:val="en-US" w:eastAsia="zh-CN" w:bidi="ar"/>
              </w:rPr>
              <w:t>本工程供水能力</w:t>
            </w:r>
            <w:r>
              <w:rPr>
                <w:rFonts w:hint="default" w:ascii="Times New Roman" w:hAnsi="Times New Roman" w:eastAsia="宋体" w:cs="Times New Roman"/>
                <w:b/>
                <w:bCs/>
                <w:color w:val="0000FF"/>
                <w:kern w:val="0"/>
                <w:sz w:val="24"/>
                <w:szCs w:val="24"/>
                <w:lang w:val="en-US" w:eastAsia="zh-CN" w:bidi="ar"/>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530"/>
              <w:gridCol w:w="4530"/>
            </w:tblGrid>
            <w:tr w14:paraId="24DE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393F80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项目</w:t>
                  </w:r>
                </w:p>
              </w:tc>
              <w:tc>
                <w:tcPr>
                  <w:tcW w:w="4535" w:type="dxa"/>
                  <w:vAlign w:val="center"/>
                </w:tcPr>
                <w:p w14:paraId="5FAD08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参数</w:t>
                  </w:r>
                </w:p>
              </w:tc>
            </w:tr>
            <w:tr w14:paraId="3448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52056C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水库总库容</w:t>
                  </w:r>
                </w:p>
              </w:tc>
              <w:tc>
                <w:tcPr>
                  <w:tcW w:w="4535" w:type="dxa"/>
                  <w:vAlign w:val="center"/>
                </w:tcPr>
                <w:p w14:paraId="5913BA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156万m³</w:t>
                  </w:r>
                </w:p>
              </w:tc>
            </w:tr>
            <w:tr w14:paraId="1634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1727E5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设计引水流量</w:t>
                  </w:r>
                </w:p>
              </w:tc>
              <w:tc>
                <w:tcPr>
                  <w:tcW w:w="4535" w:type="dxa"/>
                  <w:vAlign w:val="center"/>
                </w:tcPr>
                <w:p w14:paraId="650325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0.29m³/s</w:t>
                  </w:r>
                </w:p>
              </w:tc>
            </w:tr>
            <w:tr w14:paraId="549D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1F7D6C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泵站设计流量</w:t>
                  </w:r>
                </w:p>
              </w:tc>
              <w:tc>
                <w:tcPr>
                  <w:tcW w:w="4535" w:type="dxa"/>
                  <w:vAlign w:val="center"/>
                </w:tcPr>
                <w:p w14:paraId="4A2EE4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0.36m³/s</w:t>
                  </w:r>
                </w:p>
              </w:tc>
            </w:tr>
            <w:tr w14:paraId="4CF9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58DF95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年可供水量</w:t>
                  </w:r>
                </w:p>
              </w:tc>
              <w:tc>
                <w:tcPr>
                  <w:tcW w:w="4535" w:type="dxa"/>
                  <w:vAlign w:val="center"/>
                </w:tcPr>
                <w:p w14:paraId="0B3BDB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207.48万m³</w:t>
                  </w:r>
                </w:p>
              </w:tc>
            </w:tr>
            <w:tr w14:paraId="747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35DE67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设计供水保证率</w:t>
                  </w:r>
                </w:p>
              </w:tc>
              <w:tc>
                <w:tcPr>
                  <w:tcW w:w="4535" w:type="dxa"/>
                  <w:vAlign w:val="center"/>
                </w:tcPr>
                <w:p w14:paraId="0822D5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95%</w:t>
                  </w:r>
                </w:p>
              </w:tc>
            </w:tr>
          </w:tbl>
          <w:p w14:paraId="217158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FF"/>
                <w:kern w:val="2"/>
                <w:sz w:val="24"/>
                <w:szCs w:val="22"/>
                <w:highlight w:val="none"/>
                <w:lang w:val="en-US" w:eastAsia="zh-CN" w:bidi="ar-SA"/>
              </w:rPr>
            </w:pPr>
            <w:r>
              <w:rPr>
                <w:rFonts w:hint="eastAsia" w:ascii="Times New Roman" w:hAnsi="Times New Roman" w:eastAsia="宋体" w:cs="Times New Roman"/>
                <w:b/>
                <w:bCs/>
                <w:color w:val="0000FF"/>
                <w:kern w:val="2"/>
                <w:sz w:val="24"/>
                <w:szCs w:val="22"/>
                <w:highlight w:val="none"/>
                <w:lang w:val="en-US" w:eastAsia="zh-CN" w:bidi="ar-SA"/>
              </w:rPr>
              <w:t>7.3</w:t>
            </w:r>
            <w:r>
              <w:rPr>
                <w:rFonts w:hint="default" w:ascii="Times New Roman" w:hAnsi="Times New Roman" w:eastAsia="宋体" w:cs="Times New Roman"/>
                <w:b/>
                <w:bCs/>
                <w:color w:val="0000FF"/>
                <w:kern w:val="2"/>
                <w:sz w:val="24"/>
                <w:szCs w:val="22"/>
                <w:highlight w:val="none"/>
                <w:lang w:val="en-US" w:eastAsia="zh-CN" w:bidi="ar-SA"/>
              </w:rPr>
              <w:t>水源可靠性</w:t>
            </w:r>
          </w:p>
          <w:p w14:paraId="1C11B09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FF"/>
                <w:kern w:val="0"/>
                <w:sz w:val="24"/>
                <w:szCs w:val="24"/>
                <w:lang w:val="en-US" w:eastAsia="zh-CN" w:bidi="ar"/>
              </w:rPr>
            </w:pPr>
            <w:r>
              <w:rPr>
                <w:rFonts w:hint="default" w:ascii="Times New Roman" w:hAnsi="Times New Roman" w:eastAsia="宋体" w:cs="Times New Roman"/>
                <w:b w:val="0"/>
                <w:color w:val="0000FF"/>
                <w:kern w:val="2"/>
                <w:sz w:val="24"/>
                <w:szCs w:val="22"/>
                <w:highlight w:val="none"/>
                <w:lang w:val="en-US" w:eastAsia="zh-CN" w:bidi="ar-SA"/>
              </w:rPr>
              <w:t>黑河干流多年平均径流量10.81亿m³，本项目年取水量仅占0.27%，水源稳定、保障程度高。</w:t>
            </w:r>
            <w:r>
              <w:rPr>
                <w:rFonts w:hint="eastAsia" w:ascii="Times New Roman" w:hAnsi="Times New Roman" w:eastAsia="宋体" w:cs="Times New Roman"/>
                <w:b w:val="0"/>
                <w:color w:val="0000FF"/>
                <w:kern w:val="2"/>
                <w:sz w:val="24"/>
                <w:szCs w:val="22"/>
                <w:highlight w:val="none"/>
                <w:lang w:val="en-US" w:eastAsia="zh-CN" w:bidi="ar-SA"/>
              </w:rPr>
              <w:t>且项目水源工程已取得《张掖</w:t>
            </w:r>
            <w:r>
              <w:rPr>
                <w:rFonts w:hint="eastAsia" w:ascii="宋体" w:hAnsi="宋体" w:eastAsia="宋体" w:cs="宋体"/>
                <w:color w:val="0000FF"/>
                <w:kern w:val="0"/>
                <w:sz w:val="24"/>
                <w:szCs w:val="24"/>
                <w:lang w:val="en-US" w:eastAsia="zh-CN" w:bidi="ar"/>
              </w:rPr>
              <w:t>市水务局关于张掖经济技术开发区循环经济示范</w:t>
            </w:r>
            <w:r>
              <w:rPr>
                <w:rFonts w:hint="eastAsia" w:ascii="宋体" w:hAnsi="宋体" w:eastAsia="宋体" w:cs="宋体"/>
                <w:color w:val="0000FF"/>
                <w:kern w:val="0"/>
                <w:sz w:val="24"/>
                <w:szCs w:val="24"/>
                <w:lang w:val="en-US" w:eastAsia="zh-CN" w:bidi="ar"/>
              </w:rPr>
              <w:t>园供水工程取水许可的批复》（张水发（〔</w:t>
            </w:r>
            <w:r>
              <w:rPr>
                <w:rFonts w:hint="default" w:ascii="宋体" w:hAnsi="宋体" w:eastAsia="宋体" w:cs="宋体"/>
                <w:color w:val="0000FF"/>
                <w:kern w:val="0"/>
                <w:sz w:val="24"/>
                <w:szCs w:val="24"/>
                <w:lang w:val="en-US" w:eastAsia="zh-CN" w:bidi="ar"/>
              </w:rPr>
              <w:t>2024</w:t>
            </w:r>
            <w:r>
              <w:rPr>
                <w:rFonts w:hint="eastAsia" w:ascii="宋体" w:hAnsi="宋体" w:eastAsia="宋体" w:cs="宋体"/>
                <w:color w:val="0000FF"/>
                <w:kern w:val="0"/>
                <w:sz w:val="24"/>
                <w:szCs w:val="24"/>
                <w:lang w:val="en-US" w:eastAsia="zh-CN" w:bidi="ar"/>
              </w:rPr>
              <w:t>〕</w:t>
            </w:r>
            <w:r>
              <w:rPr>
                <w:rFonts w:hint="default" w:ascii="宋体" w:hAnsi="宋体" w:eastAsia="宋体" w:cs="宋体"/>
                <w:color w:val="0000FF"/>
                <w:kern w:val="0"/>
                <w:sz w:val="24"/>
                <w:szCs w:val="24"/>
                <w:lang w:val="en-US" w:eastAsia="zh-CN" w:bidi="ar"/>
              </w:rPr>
              <w:t>104</w:t>
            </w:r>
            <w:r>
              <w:rPr>
                <w:rFonts w:hint="eastAsia" w:ascii="宋体" w:hAnsi="宋体" w:eastAsia="宋体" w:cs="宋体"/>
                <w:color w:val="0000FF"/>
                <w:kern w:val="0"/>
                <w:sz w:val="24"/>
                <w:szCs w:val="24"/>
                <w:lang w:val="en-US" w:eastAsia="zh-CN" w:bidi="ar"/>
              </w:rPr>
              <w:t>号），详见附件。</w:t>
            </w:r>
          </w:p>
          <w:p w14:paraId="2EF0D89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FF"/>
                <w:kern w:val="0"/>
                <w:sz w:val="24"/>
                <w:szCs w:val="24"/>
                <w:lang w:val="en-US" w:eastAsia="zh-CN" w:bidi="ar"/>
              </w:rPr>
            </w:pPr>
            <w:r>
              <w:rPr>
                <w:rFonts w:hint="eastAsia" w:ascii="宋体" w:hAnsi="宋体" w:eastAsia="宋体" w:cs="宋体"/>
                <w:color w:val="0000FF"/>
                <w:kern w:val="0"/>
                <w:sz w:val="24"/>
                <w:szCs w:val="24"/>
                <w:lang w:val="en-US" w:eastAsia="zh-CN" w:bidi="ar"/>
              </w:rPr>
              <w:t>目前工程已完成水权交易论证并取批复（甘区水务发〔</w:t>
            </w:r>
            <w:r>
              <w:rPr>
                <w:rFonts w:hint="default" w:ascii="宋体" w:hAnsi="宋体" w:eastAsia="宋体" w:cs="宋体"/>
                <w:color w:val="0000FF"/>
                <w:kern w:val="0"/>
                <w:sz w:val="24"/>
                <w:szCs w:val="24"/>
                <w:lang w:val="en-US" w:eastAsia="zh-CN" w:bidi="ar"/>
              </w:rPr>
              <w:t>2023</w:t>
            </w:r>
            <w:r>
              <w:rPr>
                <w:rFonts w:hint="eastAsia" w:ascii="宋体" w:hAnsi="宋体" w:eastAsia="宋体" w:cs="宋体"/>
                <w:color w:val="0000FF"/>
                <w:kern w:val="0"/>
                <w:sz w:val="24"/>
                <w:szCs w:val="24"/>
                <w:lang w:val="en-US" w:eastAsia="zh-CN" w:bidi="ar"/>
              </w:rPr>
              <w:t>〕</w:t>
            </w:r>
            <w:r>
              <w:rPr>
                <w:rFonts w:hint="default" w:ascii="宋体" w:hAnsi="宋体" w:eastAsia="宋体" w:cs="宋体"/>
                <w:color w:val="0000FF"/>
                <w:kern w:val="0"/>
                <w:sz w:val="24"/>
                <w:szCs w:val="24"/>
                <w:lang w:val="en-US" w:eastAsia="zh-CN" w:bidi="ar"/>
              </w:rPr>
              <w:t xml:space="preserve">394 </w:t>
            </w:r>
            <w:r>
              <w:rPr>
                <w:rFonts w:hint="eastAsia" w:ascii="宋体" w:hAnsi="宋体" w:eastAsia="宋体" w:cs="宋体"/>
                <w:color w:val="0000FF"/>
                <w:kern w:val="0"/>
                <w:sz w:val="24"/>
                <w:szCs w:val="24"/>
                <w:lang w:val="en-US" w:eastAsia="zh-CN" w:bidi="ar"/>
              </w:rPr>
              <w:t xml:space="preserve">号），并在 </w:t>
            </w:r>
            <w:r>
              <w:rPr>
                <w:rFonts w:hint="default" w:ascii="宋体" w:hAnsi="宋体" w:eastAsia="宋体" w:cs="宋体"/>
                <w:color w:val="0000FF"/>
                <w:kern w:val="0"/>
                <w:sz w:val="24"/>
                <w:szCs w:val="24"/>
                <w:lang w:val="en-US" w:eastAsia="zh-CN" w:bidi="ar"/>
              </w:rPr>
              <w:t xml:space="preserve">2023 </w:t>
            </w:r>
            <w:r>
              <w:rPr>
                <w:rFonts w:hint="eastAsia" w:ascii="宋体" w:hAnsi="宋体" w:eastAsia="宋体" w:cs="宋体"/>
                <w:color w:val="0000FF"/>
                <w:kern w:val="0"/>
                <w:sz w:val="24"/>
                <w:szCs w:val="24"/>
                <w:lang w:val="en-US" w:eastAsia="zh-CN" w:bidi="ar"/>
              </w:rPr>
              <w:t>年</w:t>
            </w:r>
            <w:r>
              <w:rPr>
                <w:rFonts w:hint="default" w:ascii="宋体" w:hAnsi="宋体" w:eastAsia="宋体" w:cs="宋体"/>
                <w:color w:val="0000FF"/>
                <w:kern w:val="0"/>
                <w:sz w:val="24"/>
                <w:szCs w:val="24"/>
                <w:lang w:val="en-US" w:eastAsia="zh-CN" w:bidi="ar"/>
              </w:rPr>
              <w:t>7</w:t>
            </w:r>
            <w:r>
              <w:rPr>
                <w:rFonts w:hint="eastAsia" w:ascii="宋体" w:hAnsi="宋体" w:eastAsia="宋体" w:cs="宋体"/>
                <w:color w:val="0000FF"/>
                <w:kern w:val="0"/>
                <w:sz w:val="24"/>
                <w:szCs w:val="24"/>
                <w:lang w:val="en-US" w:eastAsia="zh-CN" w:bidi="ar"/>
              </w:rPr>
              <w:t>月甘州区乌江水利管理所与张掖市黑河水务投资有限责任公司签署张掖经济开发区循环经济示范园水权转让协议书，明确水权转让甘州区乌江水利管理所将</w:t>
            </w:r>
            <w:r>
              <w:rPr>
                <w:rFonts w:hint="default" w:ascii="宋体" w:hAnsi="宋体" w:eastAsia="宋体" w:cs="宋体"/>
                <w:color w:val="0000FF"/>
                <w:kern w:val="0"/>
                <w:sz w:val="24"/>
                <w:szCs w:val="24"/>
                <w:lang w:val="en-US" w:eastAsia="zh-CN" w:bidi="ar"/>
              </w:rPr>
              <w:t>705.6</w:t>
            </w:r>
            <w:r>
              <w:rPr>
                <w:rFonts w:hint="eastAsia" w:ascii="宋体" w:hAnsi="宋体" w:eastAsia="宋体" w:cs="宋体"/>
                <w:color w:val="0000FF"/>
                <w:kern w:val="0"/>
                <w:sz w:val="24"/>
                <w:szCs w:val="24"/>
                <w:lang w:val="en-US" w:eastAsia="zh-CN" w:bidi="ar"/>
              </w:rPr>
              <w:t>万</w:t>
            </w:r>
            <w:r>
              <w:rPr>
                <w:rFonts w:hint="default" w:ascii="宋体" w:hAnsi="宋体" w:eastAsia="宋体" w:cs="宋体"/>
                <w:color w:val="0000FF"/>
                <w:kern w:val="0"/>
                <w:sz w:val="24"/>
                <w:szCs w:val="24"/>
                <w:lang w:val="en-US" w:eastAsia="zh-CN" w:bidi="ar"/>
              </w:rPr>
              <w:t>m³</w:t>
            </w:r>
            <w:r>
              <w:rPr>
                <w:rFonts w:hint="eastAsia" w:ascii="宋体" w:hAnsi="宋体" w:eastAsia="宋体" w:cs="宋体"/>
                <w:color w:val="0000FF"/>
                <w:kern w:val="0"/>
                <w:sz w:val="24"/>
                <w:szCs w:val="24"/>
                <w:lang w:val="en-US" w:eastAsia="zh-CN" w:bidi="ar"/>
              </w:rPr>
              <w:t>（农业）的可支配黑河干流地表水取水权有偿转让给张掖市黑河水务投资有限责任公司，满足张掖经济技术开发区循环经济示范园水源保障工程年</w:t>
            </w:r>
            <w:r>
              <w:rPr>
                <w:rFonts w:hint="default" w:ascii="宋体" w:hAnsi="宋体" w:eastAsia="宋体" w:cs="宋体"/>
                <w:color w:val="0000FF"/>
                <w:kern w:val="0"/>
                <w:sz w:val="24"/>
                <w:szCs w:val="24"/>
                <w:lang w:val="en-US" w:eastAsia="zh-CN" w:bidi="ar"/>
              </w:rPr>
              <w:t>588</w:t>
            </w:r>
            <w:r>
              <w:rPr>
                <w:rFonts w:hint="eastAsia" w:ascii="宋体" w:hAnsi="宋体" w:eastAsia="宋体" w:cs="宋体"/>
                <w:color w:val="0000FF"/>
                <w:kern w:val="0"/>
                <w:sz w:val="24"/>
                <w:szCs w:val="24"/>
                <w:lang w:val="en-US" w:eastAsia="zh-CN" w:bidi="ar"/>
              </w:rPr>
              <w:t>万</w:t>
            </w:r>
            <w:r>
              <w:rPr>
                <w:rFonts w:hint="default" w:ascii="宋体" w:hAnsi="宋体" w:eastAsia="宋体" w:cs="宋体"/>
                <w:color w:val="0000FF"/>
                <w:kern w:val="0"/>
                <w:sz w:val="24"/>
                <w:szCs w:val="24"/>
                <w:lang w:val="en-US" w:eastAsia="zh-CN" w:bidi="ar"/>
              </w:rPr>
              <w:t>m³</w:t>
            </w:r>
            <w:r>
              <w:rPr>
                <w:rFonts w:hint="eastAsia" w:ascii="宋体" w:hAnsi="宋体" w:eastAsia="宋体" w:cs="宋体"/>
                <w:color w:val="0000FF"/>
                <w:kern w:val="0"/>
                <w:sz w:val="24"/>
                <w:szCs w:val="24"/>
                <w:lang w:val="en-US" w:eastAsia="zh-CN" w:bidi="ar"/>
              </w:rPr>
              <w:t>（工业）的用水量，水权转让期限为</w:t>
            </w:r>
            <w:r>
              <w:rPr>
                <w:rFonts w:hint="default" w:ascii="宋体" w:hAnsi="宋体" w:eastAsia="宋体" w:cs="宋体"/>
                <w:color w:val="0000FF"/>
                <w:kern w:val="0"/>
                <w:sz w:val="24"/>
                <w:szCs w:val="24"/>
                <w:lang w:val="en-US" w:eastAsia="zh-CN" w:bidi="ar"/>
              </w:rPr>
              <w:t>25</w:t>
            </w:r>
            <w:r>
              <w:rPr>
                <w:rFonts w:hint="eastAsia" w:ascii="宋体" w:hAnsi="宋体" w:eastAsia="宋体" w:cs="宋体"/>
                <w:color w:val="0000FF"/>
                <w:kern w:val="0"/>
                <w:sz w:val="24"/>
                <w:szCs w:val="24"/>
                <w:lang w:val="en-US" w:eastAsia="zh-CN" w:bidi="ar"/>
              </w:rPr>
              <w:t>年。该水量可满足近期园区工业用水需求，当园区工业发展用水需求突破该水量时，应相应增加水权转让的取水量。相关协议见附件。</w:t>
            </w:r>
          </w:p>
          <w:p w14:paraId="7CE20E9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FF"/>
                <w:kern w:val="2"/>
                <w:sz w:val="24"/>
                <w:szCs w:val="22"/>
                <w:highlight w:val="none"/>
                <w:lang w:val="en-US" w:eastAsia="zh-CN" w:bidi="ar-SA"/>
              </w:rPr>
            </w:pPr>
            <w:r>
              <w:rPr>
                <w:rFonts w:hint="eastAsia" w:ascii="Times New Roman" w:hAnsi="Times New Roman" w:eastAsia="宋体" w:cs="Times New Roman"/>
                <w:b/>
                <w:bCs/>
                <w:color w:val="0000FF"/>
                <w:kern w:val="2"/>
                <w:sz w:val="24"/>
                <w:szCs w:val="22"/>
                <w:highlight w:val="none"/>
                <w:lang w:val="en-US" w:eastAsia="zh-CN" w:bidi="ar-SA"/>
              </w:rPr>
              <w:t>7.4</w:t>
            </w:r>
            <w:r>
              <w:rPr>
                <w:rFonts w:hint="default" w:ascii="Times New Roman" w:hAnsi="Times New Roman" w:eastAsia="宋体" w:cs="Times New Roman"/>
                <w:b/>
                <w:bCs/>
                <w:color w:val="0000FF"/>
                <w:kern w:val="2"/>
                <w:sz w:val="24"/>
                <w:szCs w:val="22"/>
                <w:highlight w:val="none"/>
                <w:lang w:val="en-US" w:eastAsia="zh-CN" w:bidi="ar-SA"/>
              </w:rPr>
              <w:t>水资源供需平衡分析</w:t>
            </w:r>
          </w:p>
          <w:p w14:paraId="1BF81BD7">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color w:val="0000FF"/>
                <w:kern w:val="2"/>
                <w:sz w:val="24"/>
                <w:szCs w:val="22"/>
                <w:highlight w:val="none"/>
                <w:lang w:val="en-US" w:eastAsia="zh-CN" w:bidi="ar-SA"/>
              </w:rPr>
            </w:pPr>
            <w:r>
              <w:rPr>
                <w:rFonts w:hint="default" w:ascii="Times New Roman" w:hAnsi="Times New Roman" w:eastAsia="宋体" w:cs="Times New Roman"/>
                <w:b w:val="0"/>
                <w:color w:val="0000FF"/>
                <w:kern w:val="2"/>
                <w:sz w:val="24"/>
                <w:szCs w:val="22"/>
                <w:highlight w:val="none"/>
                <w:lang w:val="en-US" w:eastAsia="zh-CN" w:bidi="ar-SA"/>
              </w:rPr>
              <w:t>优先保障生态用水、生活用水；工业用水以地表水为主，严禁超采地下水；服从流域调度，闭口期由水库调蓄保障供水。</w:t>
            </w:r>
          </w:p>
          <w:p w14:paraId="7E572B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FF"/>
                <w:kern w:val="0"/>
                <w:sz w:val="24"/>
                <w:szCs w:val="24"/>
                <w:lang w:val="en-US" w:eastAsia="zh-CN" w:bidi="ar"/>
              </w:rPr>
            </w:pPr>
            <w:r>
              <w:rPr>
                <w:rFonts w:hint="default" w:ascii="Times New Roman" w:hAnsi="Times New Roman" w:eastAsia="宋体" w:cs="Times New Roman"/>
                <w:b/>
                <w:bCs/>
                <w:color w:val="0000FF"/>
                <w:kern w:val="0"/>
                <w:sz w:val="24"/>
                <w:szCs w:val="24"/>
                <w:lang w:val="en-US" w:eastAsia="zh-CN" w:bidi="ar"/>
              </w:rPr>
              <w:t>表4-1</w:t>
            </w:r>
            <w:r>
              <w:rPr>
                <w:rFonts w:hint="eastAsia" w:cs="Times New Roman"/>
                <w:b/>
                <w:bCs/>
                <w:color w:val="0000FF"/>
                <w:kern w:val="0"/>
                <w:sz w:val="24"/>
                <w:szCs w:val="24"/>
                <w:lang w:val="en-US" w:eastAsia="zh-CN" w:bidi="ar"/>
              </w:rPr>
              <w:t>7</w:t>
            </w:r>
            <w:r>
              <w:rPr>
                <w:rFonts w:hint="default" w:ascii="Times New Roman" w:hAnsi="Times New Roman" w:eastAsia="宋体" w:cs="Times New Roman"/>
                <w:b/>
                <w:bCs/>
                <w:color w:val="0000FF"/>
                <w:kern w:val="0"/>
                <w:sz w:val="24"/>
                <w:szCs w:val="24"/>
                <w:lang w:val="en-US" w:eastAsia="zh-CN" w:bidi="ar"/>
              </w:rPr>
              <w:t xml:space="preserve">  </w:t>
            </w:r>
            <w:r>
              <w:rPr>
                <w:rFonts w:hint="eastAsia" w:cs="Times New Roman"/>
                <w:b/>
                <w:bCs/>
                <w:color w:val="0000FF"/>
                <w:kern w:val="0"/>
                <w:sz w:val="24"/>
                <w:szCs w:val="24"/>
                <w:lang w:val="en-US" w:eastAsia="zh-CN" w:bidi="ar"/>
              </w:rPr>
              <w:t>水资源供需平衡</w:t>
            </w:r>
            <w:r>
              <w:rPr>
                <w:rFonts w:hint="default" w:ascii="Times New Roman" w:hAnsi="Times New Roman" w:eastAsia="宋体" w:cs="Times New Roman"/>
                <w:b/>
                <w:bCs/>
                <w:color w:val="0000FF"/>
                <w:kern w:val="0"/>
                <w:sz w:val="24"/>
                <w:szCs w:val="24"/>
                <w:lang w:val="en-US" w:eastAsia="zh-CN" w:bidi="ar"/>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530"/>
              <w:gridCol w:w="4530"/>
            </w:tblGrid>
            <w:tr w14:paraId="277B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116D4D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2"/>
                      <w:sz w:val="24"/>
                      <w:szCs w:val="22"/>
                      <w:highlight w:val="none"/>
                      <w:vertAlign w:val="baseline"/>
                      <w:lang w:val="en-US" w:eastAsia="zh-CN" w:bidi="ar-SA"/>
                    </w:rPr>
                  </w:pPr>
                  <w:r>
                    <w:rPr>
                      <w:rFonts w:hint="default" w:ascii="Times New Roman" w:hAnsi="Times New Roman" w:eastAsia="宋体" w:cs="Times New Roman"/>
                      <w:b/>
                      <w:bCs/>
                      <w:color w:val="0000FF"/>
                      <w:kern w:val="0"/>
                      <w:sz w:val="21"/>
                      <w:szCs w:val="21"/>
                      <w:lang w:val="en-US" w:eastAsia="zh-CN" w:bidi="ar"/>
                    </w:rPr>
                    <w:t>项目</w:t>
                  </w:r>
                </w:p>
              </w:tc>
              <w:tc>
                <w:tcPr>
                  <w:tcW w:w="4535" w:type="dxa"/>
                  <w:vAlign w:val="center"/>
                </w:tcPr>
                <w:p w14:paraId="790A844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2"/>
                      <w:sz w:val="24"/>
                      <w:szCs w:val="22"/>
                      <w:highlight w:val="none"/>
                      <w:vertAlign w:val="baseline"/>
                      <w:lang w:val="en-US" w:eastAsia="zh-CN" w:bidi="ar-SA"/>
                    </w:rPr>
                  </w:pPr>
                  <w:r>
                    <w:rPr>
                      <w:rFonts w:hint="default" w:ascii="Times New Roman" w:hAnsi="Times New Roman" w:eastAsia="宋体" w:cs="Times New Roman"/>
                      <w:b/>
                      <w:bCs/>
                      <w:color w:val="0000FF"/>
                      <w:kern w:val="0"/>
                      <w:sz w:val="21"/>
                      <w:szCs w:val="21"/>
                      <w:lang w:val="en-US" w:eastAsia="zh-CN" w:bidi="ar"/>
                    </w:rPr>
                    <w:t>水量（万m³/a）</w:t>
                  </w:r>
                </w:p>
              </w:tc>
            </w:tr>
            <w:tr w14:paraId="7CDE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36DC5B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园区总需水量</w:t>
                  </w:r>
                </w:p>
              </w:tc>
              <w:tc>
                <w:tcPr>
                  <w:tcW w:w="4535" w:type="dxa"/>
                  <w:vAlign w:val="center"/>
                </w:tcPr>
                <w:p w14:paraId="3752C6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207.48</w:t>
                  </w:r>
                </w:p>
              </w:tc>
            </w:tr>
            <w:tr w14:paraId="1738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35CFD9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项目年可供水量</w:t>
                  </w:r>
                </w:p>
              </w:tc>
              <w:tc>
                <w:tcPr>
                  <w:tcW w:w="4535" w:type="dxa"/>
                  <w:vAlign w:val="center"/>
                </w:tcPr>
                <w:p w14:paraId="533266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207.48</w:t>
                  </w:r>
                </w:p>
              </w:tc>
            </w:tr>
            <w:tr w14:paraId="7D1F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0" w:hRule="atLeast"/>
              </w:trPr>
              <w:tc>
                <w:tcPr>
                  <w:tcW w:w="4535" w:type="dxa"/>
                  <w:vAlign w:val="center"/>
                </w:tcPr>
                <w:p w14:paraId="4B69A6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供需平衡结果</w:t>
                  </w:r>
                </w:p>
              </w:tc>
              <w:tc>
                <w:tcPr>
                  <w:tcW w:w="4535" w:type="dxa"/>
                  <w:vAlign w:val="center"/>
                </w:tcPr>
                <w:p w14:paraId="3E50D7A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FF"/>
                      <w:kern w:val="2"/>
                      <w:sz w:val="24"/>
                      <w:szCs w:val="22"/>
                      <w:highlight w:val="none"/>
                      <w:vertAlign w:val="baseline"/>
                      <w:lang w:val="en-US" w:eastAsia="zh-CN" w:bidi="ar-SA"/>
                    </w:rPr>
                  </w:pPr>
                  <w:r>
                    <w:rPr>
                      <w:rFonts w:hint="default" w:ascii="Times New Roman" w:hAnsi="Times New Roman" w:eastAsia="宋体" w:cs="Times New Roman"/>
                      <w:color w:val="0000FF"/>
                      <w:kern w:val="0"/>
                      <w:sz w:val="21"/>
                      <w:szCs w:val="21"/>
                      <w:lang w:val="en-US" w:eastAsia="zh-CN" w:bidi="ar"/>
                    </w:rPr>
                    <w:t>供需平衡，无缺水、无弃水</w:t>
                  </w:r>
                </w:p>
              </w:tc>
            </w:tr>
          </w:tbl>
          <w:p w14:paraId="4E18F1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2" w:firstLineChars="200"/>
              <w:jc w:val="both"/>
              <w:textAlignment w:val="auto"/>
              <w:rPr>
                <w:rFonts w:hint="default"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lang w:val="en-US" w:eastAsia="zh-CN"/>
              </w:rPr>
              <w:t>7.5</w:t>
            </w:r>
            <w:r>
              <w:rPr>
                <w:rFonts w:hint="default" w:ascii="Times New Roman" w:hAnsi="Times New Roman" w:eastAsia="宋体" w:cs="Times New Roman"/>
                <w:b/>
                <w:bCs/>
                <w:color w:val="0000FF"/>
                <w:sz w:val="24"/>
                <w:szCs w:val="24"/>
              </w:rPr>
              <w:t>平衡结论</w:t>
            </w:r>
          </w:p>
          <w:p w14:paraId="43268B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rPr>
              <w:t>供水量与需水量完全匹配；水库调蓄可保障闭口期、枯水期连续供水；无弃水，水资源利用效率高；不突破区域水资源利用上线。</w:t>
            </w:r>
          </w:p>
          <w:p w14:paraId="22167F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2" w:firstLineChars="200"/>
              <w:jc w:val="both"/>
              <w:textAlignment w:val="auto"/>
              <w:rPr>
                <w:rFonts w:hint="default"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lang w:val="en-US" w:eastAsia="zh-CN"/>
              </w:rPr>
              <w:t>7.6</w:t>
            </w:r>
            <w:r>
              <w:rPr>
                <w:rFonts w:hint="default" w:ascii="Times New Roman" w:hAnsi="Times New Roman" w:eastAsia="宋体" w:cs="Times New Roman"/>
                <w:b/>
                <w:bCs/>
                <w:color w:val="0000FF"/>
                <w:sz w:val="24"/>
                <w:szCs w:val="24"/>
              </w:rPr>
              <w:t>地下水置换与超采区治理</w:t>
            </w:r>
          </w:p>
          <w:p w14:paraId="79C445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bCs w:val="0"/>
                <w:color w:val="0000FF"/>
                <w:sz w:val="24"/>
                <w:szCs w:val="24"/>
              </w:rPr>
            </w:pPr>
            <w:r>
              <w:rPr>
                <w:rFonts w:hint="eastAsia" w:cs="Times New Roman"/>
                <w:b w:val="0"/>
                <w:bCs w:val="0"/>
                <w:color w:val="0000FF"/>
                <w:sz w:val="24"/>
                <w:szCs w:val="24"/>
                <w:lang w:eastAsia="zh-CN"/>
              </w:rPr>
              <w:t>（</w:t>
            </w:r>
            <w:r>
              <w:rPr>
                <w:rFonts w:hint="eastAsia" w:cs="Times New Roman"/>
                <w:b w:val="0"/>
                <w:bCs w:val="0"/>
                <w:color w:val="0000FF"/>
                <w:sz w:val="24"/>
                <w:szCs w:val="24"/>
                <w:lang w:val="en-US" w:eastAsia="zh-CN"/>
              </w:rPr>
              <w:t>1</w:t>
            </w:r>
            <w:r>
              <w:rPr>
                <w:rFonts w:hint="eastAsia" w:cs="Times New Roman"/>
                <w:b w:val="0"/>
                <w:bCs w:val="0"/>
                <w:color w:val="0000FF"/>
                <w:sz w:val="24"/>
                <w:szCs w:val="24"/>
                <w:lang w:eastAsia="zh-CN"/>
              </w:rPr>
              <w:t>）</w:t>
            </w:r>
            <w:r>
              <w:rPr>
                <w:rFonts w:hint="default" w:ascii="Times New Roman" w:hAnsi="Times New Roman" w:eastAsia="宋体" w:cs="Times New Roman"/>
                <w:b w:val="0"/>
                <w:bCs w:val="0"/>
                <w:color w:val="0000FF"/>
                <w:sz w:val="24"/>
                <w:szCs w:val="24"/>
              </w:rPr>
              <w:t xml:space="preserve">现状问题 </w:t>
            </w:r>
          </w:p>
          <w:p w14:paraId="5FB2D1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rPr>
              <w:t xml:space="preserve">园区现状依赖自备井开采地下水，年开采量约735万m³，处于甘州区浅层地下水超采区。 </w:t>
            </w:r>
          </w:p>
          <w:p w14:paraId="58ECDEFB">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rPr>
              <w:t>置换效益</w:t>
            </w:r>
          </w:p>
          <w:p w14:paraId="7DFFA2F9">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eastAsia" w:cs="Times New Roman"/>
                <w:b w:val="0"/>
                <w:bCs w:val="0"/>
                <w:color w:val="0000FF"/>
                <w:sz w:val="24"/>
                <w:szCs w:val="24"/>
                <w:lang w:eastAsia="zh-CN"/>
              </w:rPr>
            </w:pPr>
            <w:r>
              <w:rPr>
                <w:rFonts w:hint="eastAsia" w:cs="Times New Roman"/>
                <w:b w:val="0"/>
                <w:bCs w:val="0"/>
                <w:color w:val="0000FF"/>
                <w:sz w:val="24"/>
                <w:szCs w:val="24"/>
                <w:lang w:eastAsia="zh-CN"/>
              </w:rPr>
              <w:t>本项目运行后，地下水置换效益见下表：</w:t>
            </w:r>
          </w:p>
          <w:p w14:paraId="310D4B7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FF"/>
                <w:kern w:val="0"/>
                <w:sz w:val="24"/>
                <w:szCs w:val="24"/>
                <w:lang w:val="en-US" w:eastAsia="zh-CN" w:bidi="ar"/>
              </w:rPr>
            </w:pPr>
            <w:r>
              <w:rPr>
                <w:rFonts w:hint="default" w:ascii="Times New Roman" w:hAnsi="Times New Roman" w:eastAsia="宋体" w:cs="Times New Roman"/>
                <w:b/>
                <w:bCs/>
                <w:color w:val="0000FF"/>
                <w:kern w:val="0"/>
                <w:sz w:val="24"/>
                <w:szCs w:val="24"/>
                <w:lang w:val="en-US" w:eastAsia="zh-CN" w:bidi="ar"/>
              </w:rPr>
              <w:t>表4-1</w:t>
            </w:r>
            <w:r>
              <w:rPr>
                <w:rFonts w:hint="eastAsia" w:cs="Times New Roman"/>
                <w:b/>
                <w:bCs/>
                <w:color w:val="0000FF"/>
                <w:kern w:val="0"/>
                <w:sz w:val="24"/>
                <w:szCs w:val="24"/>
                <w:lang w:val="en-US" w:eastAsia="zh-CN" w:bidi="ar"/>
              </w:rPr>
              <w:t>8</w:t>
            </w:r>
            <w:r>
              <w:rPr>
                <w:rFonts w:hint="default" w:ascii="Times New Roman" w:hAnsi="Times New Roman" w:eastAsia="宋体" w:cs="Times New Roman"/>
                <w:b/>
                <w:bCs/>
                <w:color w:val="0000FF"/>
                <w:kern w:val="0"/>
                <w:sz w:val="24"/>
                <w:szCs w:val="24"/>
                <w:lang w:val="en-US" w:eastAsia="zh-CN" w:bidi="ar"/>
              </w:rPr>
              <w:t xml:space="preserve"> </w:t>
            </w:r>
            <w:r>
              <w:rPr>
                <w:rFonts w:hint="eastAsia" w:cs="Times New Roman"/>
                <w:b/>
                <w:bCs/>
                <w:color w:val="0000FF"/>
                <w:kern w:val="0"/>
                <w:sz w:val="24"/>
                <w:szCs w:val="24"/>
                <w:lang w:val="en-US" w:eastAsia="zh-CN" w:bidi="ar"/>
              </w:rPr>
              <w:t>水资源置换效益</w:t>
            </w:r>
            <w:r>
              <w:rPr>
                <w:rFonts w:hint="default" w:ascii="Times New Roman" w:hAnsi="Times New Roman" w:eastAsia="宋体" w:cs="Times New Roman"/>
                <w:b/>
                <w:bCs/>
                <w:color w:val="0000FF"/>
                <w:kern w:val="0"/>
                <w:sz w:val="24"/>
                <w:szCs w:val="24"/>
                <w:lang w:val="en-US" w:eastAsia="zh-CN" w:bidi="ar"/>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2E55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14:paraId="7DDE75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项目</w:t>
                  </w:r>
                </w:p>
              </w:tc>
              <w:tc>
                <w:tcPr>
                  <w:tcW w:w="4530" w:type="dxa"/>
                  <w:vAlign w:val="center"/>
                </w:tcPr>
                <w:p w14:paraId="1AAA49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b/>
                      <w:bCs/>
                      <w:color w:val="0000FF"/>
                      <w:kern w:val="0"/>
                      <w:sz w:val="21"/>
                      <w:szCs w:val="21"/>
                      <w:lang w:val="en-US" w:eastAsia="zh-CN" w:bidi="ar"/>
                    </w:rPr>
                    <w:t>指标</w:t>
                  </w:r>
                </w:p>
              </w:tc>
            </w:tr>
            <w:tr w14:paraId="05F0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14:paraId="64CDFB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替代水源</w:t>
                  </w:r>
                </w:p>
              </w:tc>
              <w:tc>
                <w:tcPr>
                  <w:tcW w:w="4530" w:type="dxa"/>
                  <w:vAlign w:val="center"/>
                </w:tcPr>
                <w:p w14:paraId="1EC60B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黑河地表水</w:t>
                  </w:r>
                </w:p>
              </w:tc>
            </w:tr>
            <w:tr w14:paraId="1871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14:paraId="4290CE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年压减地下水开采量</w:t>
                  </w:r>
                </w:p>
              </w:tc>
              <w:tc>
                <w:tcPr>
                  <w:tcW w:w="4530" w:type="dxa"/>
                  <w:vAlign w:val="center"/>
                </w:tcPr>
                <w:p w14:paraId="47B3AF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约600万m³</w:t>
                  </w:r>
                </w:p>
              </w:tc>
            </w:tr>
            <w:tr w14:paraId="138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14:paraId="2FF5A6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自备井处置</w:t>
                  </w:r>
                </w:p>
              </w:tc>
              <w:tc>
                <w:tcPr>
                  <w:tcW w:w="4530" w:type="dxa"/>
                  <w:vAlign w:val="center"/>
                </w:tcPr>
                <w:p w14:paraId="678E12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全部关停</w:t>
                  </w:r>
                </w:p>
              </w:tc>
            </w:tr>
            <w:tr w14:paraId="5BF5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14:paraId="3B5526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地下水环境影响</w:t>
                  </w:r>
                </w:p>
              </w:tc>
              <w:tc>
                <w:tcPr>
                  <w:tcW w:w="4530" w:type="dxa"/>
                  <w:vAlign w:val="center"/>
                </w:tcPr>
                <w:p w14:paraId="6A337A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FF"/>
                      <w:kern w:val="0"/>
                      <w:sz w:val="24"/>
                      <w:szCs w:val="24"/>
                      <w:vertAlign w:val="baseline"/>
                      <w:lang w:val="en-US" w:eastAsia="zh-CN" w:bidi="ar"/>
                    </w:rPr>
                  </w:pPr>
                  <w:r>
                    <w:rPr>
                      <w:rFonts w:hint="default" w:ascii="Times New Roman" w:hAnsi="Times New Roman" w:eastAsia="宋体" w:cs="Times New Roman"/>
                      <w:color w:val="0000FF"/>
                      <w:kern w:val="0"/>
                      <w:sz w:val="21"/>
                      <w:szCs w:val="21"/>
                      <w:lang w:val="en-US" w:eastAsia="zh-CN" w:bidi="ar"/>
                    </w:rPr>
                    <w:t>促进水位回升，实现采补平衡</w:t>
                  </w:r>
                </w:p>
              </w:tc>
            </w:tr>
          </w:tbl>
          <w:p w14:paraId="596F19B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bdr w:val="none" w:color="auto" w:sz="0" w:space="0"/>
                <w:lang w:val="en-US" w:eastAsia="zh-CN"/>
              </w:rPr>
              <w:t>7.7</w:t>
            </w:r>
            <w:r>
              <w:rPr>
                <w:rFonts w:hint="default" w:ascii="Times New Roman" w:hAnsi="Times New Roman" w:eastAsia="宋体" w:cs="Times New Roman"/>
                <w:b/>
                <w:bCs/>
                <w:color w:val="0000FF"/>
                <w:sz w:val="24"/>
                <w:szCs w:val="24"/>
                <w:bdr w:val="none" w:color="auto" w:sz="0" w:space="0"/>
              </w:rPr>
              <w:t>生态流量保障</w:t>
            </w:r>
          </w:p>
          <w:p w14:paraId="400A1EA1">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bdr w:val="none" w:color="auto" w:sz="0" w:space="0"/>
              </w:rPr>
              <w:t>严格执行</w:t>
            </w:r>
            <w:r>
              <w:rPr>
                <w:rStyle w:val="30"/>
                <w:rFonts w:hint="default" w:ascii="Times New Roman" w:hAnsi="Times New Roman" w:eastAsia="宋体" w:cs="Times New Roman"/>
                <w:b w:val="0"/>
                <w:bCs w:val="0"/>
                <w:color w:val="0000FF"/>
                <w:sz w:val="24"/>
                <w:szCs w:val="24"/>
                <w:bdr w:val="none" w:color="auto" w:sz="0" w:space="0"/>
              </w:rPr>
              <w:t>黑河干流水量统一调度</w:t>
            </w:r>
            <w:r>
              <w:rPr>
                <w:rFonts w:hint="default" w:ascii="Times New Roman" w:hAnsi="Times New Roman" w:eastAsia="宋体" w:cs="Times New Roman"/>
                <w:b w:val="0"/>
                <w:bCs w:val="0"/>
                <w:color w:val="0000FF"/>
                <w:sz w:val="24"/>
                <w:szCs w:val="24"/>
                <w:bdr w:val="none" w:color="auto" w:sz="0" w:space="0"/>
              </w:rPr>
              <w:t>；调水闭口期</w:t>
            </w:r>
            <w:r>
              <w:rPr>
                <w:rStyle w:val="30"/>
                <w:rFonts w:hint="default" w:ascii="Times New Roman" w:hAnsi="Times New Roman" w:eastAsia="宋体" w:cs="Times New Roman"/>
                <w:b w:val="0"/>
                <w:bCs w:val="0"/>
                <w:color w:val="0000FF"/>
                <w:sz w:val="24"/>
                <w:szCs w:val="24"/>
                <w:bdr w:val="none" w:color="auto" w:sz="0" w:space="0"/>
              </w:rPr>
              <w:t>停止河道取水</w:t>
            </w:r>
            <w:r>
              <w:rPr>
                <w:rFonts w:hint="default" w:ascii="Times New Roman" w:hAnsi="Times New Roman" w:eastAsia="宋体" w:cs="Times New Roman"/>
                <w:b w:val="0"/>
                <w:bCs w:val="0"/>
                <w:color w:val="0000FF"/>
                <w:sz w:val="24"/>
                <w:szCs w:val="24"/>
                <w:bdr w:val="none" w:color="auto" w:sz="0" w:space="0"/>
              </w:rPr>
              <w:t>，由水库调蓄保障园区用水；不改变河道天然径流过程，</w:t>
            </w:r>
            <w:r>
              <w:rPr>
                <w:rStyle w:val="30"/>
                <w:rFonts w:hint="default" w:ascii="Times New Roman" w:hAnsi="Times New Roman" w:eastAsia="宋体" w:cs="Times New Roman"/>
                <w:b w:val="0"/>
                <w:bCs w:val="0"/>
                <w:color w:val="0000FF"/>
                <w:sz w:val="24"/>
                <w:szCs w:val="24"/>
                <w:bdr w:val="none" w:color="auto" w:sz="0" w:space="0"/>
              </w:rPr>
              <w:t>不挤占、不削减下游生态流量</w:t>
            </w:r>
            <w:r>
              <w:rPr>
                <w:rFonts w:hint="default" w:ascii="Times New Roman" w:hAnsi="Times New Roman" w:eastAsia="宋体" w:cs="Times New Roman"/>
                <w:b w:val="0"/>
                <w:bCs w:val="0"/>
                <w:color w:val="0000FF"/>
                <w:sz w:val="24"/>
                <w:szCs w:val="24"/>
                <w:bdr w:val="none" w:color="auto" w:sz="0" w:space="0"/>
              </w:rPr>
              <w:t>；满足流域生态流量管控要求。</w:t>
            </w:r>
          </w:p>
          <w:p w14:paraId="03D59B06">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2" w:firstLineChars="200"/>
              <w:jc w:val="left"/>
              <w:textAlignment w:val="auto"/>
              <w:rPr>
                <w:rFonts w:hint="default" w:ascii="Times New Roman" w:hAnsi="Times New Roman" w:eastAsia="宋体" w:cs="Times New Roman"/>
                <w:b/>
                <w:bCs/>
                <w:color w:val="0000FF"/>
                <w:sz w:val="24"/>
                <w:szCs w:val="24"/>
              </w:rPr>
            </w:pPr>
            <w:r>
              <w:rPr>
                <w:rFonts w:hint="default" w:ascii="Times New Roman" w:hAnsi="Times New Roman" w:eastAsia="宋体" w:cs="Times New Roman"/>
                <w:b/>
                <w:bCs/>
                <w:color w:val="0000FF"/>
                <w:sz w:val="24"/>
                <w:szCs w:val="24"/>
                <w:bdr w:val="none" w:color="auto" w:sz="0" w:space="0"/>
                <w:lang w:val="en-US" w:eastAsia="zh-CN"/>
              </w:rPr>
              <w:t>7.8总体结论</w:t>
            </w:r>
          </w:p>
          <w:p w14:paraId="2C919648">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rPr>
                <w:rFonts w:hint="default" w:ascii="Times New Roman" w:hAnsi="Times New Roman" w:eastAsia="宋体" w:cs="Times New Roman"/>
                <w:b w:val="0"/>
                <w:bCs w:val="0"/>
                <w:color w:val="0000FF"/>
                <w:sz w:val="24"/>
                <w:szCs w:val="24"/>
              </w:rPr>
            </w:pPr>
            <w:r>
              <w:rPr>
                <w:rFonts w:hint="default" w:ascii="Times New Roman" w:hAnsi="Times New Roman" w:eastAsia="宋体" w:cs="Times New Roman"/>
                <w:b w:val="0"/>
                <w:bCs w:val="0"/>
                <w:color w:val="0000FF"/>
                <w:sz w:val="24"/>
                <w:szCs w:val="24"/>
                <w:bdr w:val="none" w:color="auto" w:sz="0" w:space="0"/>
              </w:rPr>
              <w:t>本项目以</w:t>
            </w:r>
            <w:r>
              <w:rPr>
                <w:rStyle w:val="30"/>
                <w:rFonts w:hint="default" w:ascii="Times New Roman" w:hAnsi="Times New Roman" w:eastAsia="宋体" w:cs="Times New Roman"/>
                <w:b w:val="0"/>
                <w:bCs w:val="0"/>
                <w:color w:val="0000FF"/>
                <w:sz w:val="24"/>
                <w:szCs w:val="24"/>
                <w:bdr w:val="none" w:color="auto" w:sz="0" w:space="0"/>
              </w:rPr>
              <w:t>黑河地表水</w:t>
            </w:r>
            <w:r>
              <w:rPr>
                <w:rFonts w:hint="default" w:ascii="Times New Roman" w:hAnsi="Times New Roman" w:eastAsia="宋体" w:cs="Times New Roman"/>
                <w:b w:val="0"/>
                <w:bCs w:val="0"/>
                <w:color w:val="0000FF"/>
                <w:sz w:val="24"/>
                <w:szCs w:val="24"/>
                <w:bdr w:val="none" w:color="auto" w:sz="0" w:space="0"/>
              </w:rPr>
              <w:t>为水源，取水合法、调度规范、水源可靠；年供水量</w:t>
            </w:r>
            <w:r>
              <w:rPr>
                <w:rStyle w:val="30"/>
                <w:rFonts w:hint="default" w:ascii="Times New Roman" w:hAnsi="Times New Roman" w:eastAsia="宋体" w:cs="Times New Roman"/>
                <w:b w:val="0"/>
                <w:bCs w:val="0"/>
                <w:color w:val="0000FF"/>
                <w:sz w:val="24"/>
                <w:szCs w:val="24"/>
                <w:bdr w:val="none" w:color="auto" w:sz="0" w:space="0"/>
              </w:rPr>
              <w:t>207.48万m³</w:t>
            </w:r>
            <w:r>
              <w:rPr>
                <w:rFonts w:hint="default" w:ascii="Times New Roman" w:hAnsi="Times New Roman" w:eastAsia="宋体" w:cs="Times New Roman"/>
                <w:b w:val="0"/>
                <w:bCs w:val="0"/>
                <w:color w:val="0000FF"/>
                <w:sz w:val="24"/>
                <w:szCs w:val="24"/>
                <w:bdr w:val="none" w:color="auto" w:sz="0" w:space="0"/>
              </w:rPr>
              <w:t>，与园区需水完全匹配，</w:t>
            </w:r>
            <w:r>
              <w:rPr>
                <w:rStyle w:val="30"/>
                <w:rFonts w:hint="default" w:ascii="Times New Roman" w:hAnsi="Times New Roman" w:eastAsia="宋体" w:cs="Times New Roman"/>
                <w:b w:val="0"/>
                <w:bCs w:val="0"/>
                <w:color w:val="0000FF"/>
                <w:sz w:val="24"/>
                <w:szCs w:val="24"/>
                <w:bdr w:val="none" w:color="auto" w:sz="0" w:space="0"/>
              </w:rPr>
              <w:t>供需平衡</w:t>
            </w:r>
            <w:r>
              <w:rPr>
                <w:rFonts w:hint="default" w:ascii="Times New Roman" w:hAnsi="Times New Roman" w:eastAsia="宋体" w:cs="Times New Roman"/>
                <w:b w:val="0"/>
                <w:bCs w:val="0"/>
                <w:color w:val="0000FF"/>
                <w:sz w:val="24"/>
                <w:szCs w:val="24"/>
                <w:bdr w:val="none" w:color="auto" w:sz="0" w:space="0"/>
              </w:rPr>
              <w:t>；供水保证率</w:t>
            </w:r>
            <w:r>
              <w:rPr>
                <w:rStyle w:val="30"/>
                <w:rFonts w:hint="default" w:ascii="Times New Roman" w:hAnsi="Times New Roman" w:eastAsia="宋体" w:cs="Times New Roman"/>
                <w:b w:val="0"/>
                <w:bCs w:val="0"/>
                <w:color w:val="0000FF"/>
                <w:sz w:val="24"/>
                <w:szCs w:val="24"/>
                <w:bdr w:val="none" w:color="auto" w:sz="0" w:space="0"/>
              </w:rPr>
              <w:t>95%</w:t>
            </w:r>
            <w:r>
              <w:rPr>
                <w:rFonts w:hint="default" w:ascii="Times New Roman" w:hAnsi="Times New Roman" w:eastAsia="宋体" w:cs="Times New Roman"/>
                <w:b w:val="0"/>
                <w:bCs w:val="0"/>
                <w:color w:val="0000FF"/>
                <w:sz w:val="24"/>
                <w:szCs w:val="24"/>
                <w:bdr w:val="none" w:color="auto" w:sz="0" w:space="0"/>
              </w:rPr>
              <w:t>，可稳定保障闭口期、枯水期用水需求；可年压采地下水约</w:t>
            </w:r>
            <w:r>
              <w:rPr>
                <w:rStyle w:val="30"/>
                <w:rFonts w:hint="default" w:ascii="Times New Roman" w:hAnsi="Times New Roman" w:eastAsia="宋体" w:cs="Times New Roman"/>
                <w:b w:val="0"/>
                <w:bCs w:val="0"/>
                <w:color w:val="0000FF"/>
                <w:sz w:val="24"/>
                <w:szCs w:val="24"/>
                <w:bdr w:val="none" w:color="auto" w:sz="0" w:space="0"/>
              </w:rPr>
              <w:t>600万m³</w:t>
            </w:r>
            <w:r>
              <w:rPr>
                <w:rFonts w:hint="default" w:ascii="Times New Roman" w:hAnsi="Times New Roman" w:eastAsia="宋体" w:cs="Times New Roman"/>
                <w:b w:val="0"/>
                <w:bCs w:val="0"/>
                <w:color w:val="0000FF"/>
                <w:sz w:val="24"/>
                <w:szCs w:val="24"/>
                <w:bdr w:val="none" w:color="auto" w:sz="0" w:space="0"/>
              </w:rPr>
              <w:t>，推动超采区治理，优化区域水资源配置；严格保障生态流量，</w:t>
            </w:r>
            <w:r>
              <w:rPr>
                <w:rStyle w:val="30"/>
                <w:rFonts w:hint="default" w:ascii="Times New Roman" w:hAnsi="Times New Roman" w:eastAsia="宋体" w:cs="Times New Roman"/>
                <w:b w:val="0"/>
                <w:bCs w:val="0"/>
                <w:color w:val="0000FF"/>
                <w:sz w:val="24"/>
                <w:szCs w:val="24"/>
                <w:bdr w:val="none" w:color="auto" w:sz="0" w:space="0"/>
              </w:rPr>
              <w:t>不突破水资源利用上线</w:t>
            </w:r>
            <w:r>
              <w:rPr>
                <w:rFonts w:hint="default" w:ascii="Times New Roman" w:hAnsi="Times New Roman" w:eastAsia="宋体" w:cs="Times New Roman"/>
                <w:b w:val="0"/>
                <w:bCs w:val="0"/>
                <w:color w:val="0000FF"/>
                <w:sz w:val="24"/>
                <w:szCs w:val="24"/>
                <w:bdr w:val="none" w:color="auto" w:sz="0" w:space="0"/>
              </w:rPr>
              <w:t>，符合最严格水资源管理制度要求。</w:t>
            </w:r>
          </w:p>
          <w:p w14:paraId="226AA2F6">
            <w:pPr>
              <w:pStyle w:val="63"/>
              <w:keepNext w:val="0"/>
              <w:keepLines w:val="0"/>
              <w:pageBreakBefore w:val="0"/>
              <w:widowControl w:val="0"/>
              <w:numPr>
                <w:ilvl w:val="0"/>
                <w:numId w:val="0"/>
              </w:numPr>
              <w:suppressLineNumbers w:val="0"/>
              <w:tabs>
                <w:tab w:val="center" w:pos="4479"/>
                <w:tab w:val="right" w:pos="8866"/>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Segoe UI Symbol" w:hAnsi="Segoe UI Symbol" w:eastAsia="Segoe UI Symbol" w:cs="Segoe UI Symbol"/>
                <w:i w:val="0"/>
                <w:iCs w:val="0"/>
                <w:caps w:val="0"/>
                <w:color w:val="000000"/>
                <w:spacing w:val="0"/>
                <w:sz w:val="24"/>
                <w:szCs w:val="24"/>
              </w:rPr>
            </w:pPr>
          </w:p>
          <w:p w14:paraId="67EC6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1F2329"/>
                <w:spacing w:val="0"/>
                <w:sz w:val="24"/>
                <w:szCs w:val="24"/>
                <w:shd w:val="clear" w:fill="FFFFFF"/>
              </w:rPr>
            </w:pPr>
          </w:p>
          <w:p w14:paraId="02A98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tc>
      </w:tr>
      <w:tr w14:paraId="7B734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5" w:type="pct"/>
            <w:vAlign w:val="center"/>
          </w:tcPr>
          <w:p w14:paraId="007C1062">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highlight w:val="none"/>
              </w:rPr>
            </w:pPr>
            <w:r>
              <w:rPr>
                <w:rFonts w:hint="default" w:ascii="Times New Roman" w:hAnsi="Times New Roman" w:eastAsia="宋体" w:cs="Times New Roman"/>
                <w:b/>
                <w:color w:val="auto"/>
                <w:kern w:val="2"/>
                <w:highlight w:val="none"/>
              </w:rPr>
              <w:t>选址选线环境合理性分析</w:t>
            </w:r>
          </w:p>
        </w:tc>
        <w:tc>
          <w:tcPr>
            <w:tcW w:w="4674" w:type="pct"/>
            <w:vAlign w:val="center"/>
          </w:tcPr>
          <w:p w14:paraId="66C01837">
            <w:pPr>
              <w:pStyle w:val="63"/>
              <w:keepNext w:val="0"/>
              <w:keepLines w:val="0"/>
              <w:pageBreakBefore w:val="0"/>
              <w:widowControl w:val="0"/>
              <w:numPr>
                <w:ilvl w:val="0"/>
                <w:numId w:val="4"/>
              </w:numPr>
              <w:suppressLineNumbers w:val="0"/>
              <w:tabs>
                <w:tab w:val="center" w:pos="4479"/>
                <w:tab w:val="right" w:pos="8866"/>
              </w:tabs>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cs="Times New Roman"/>
                <w:b/>
                <w:bCs/>
                <w:color w:val="000000"/>
                <w:lang w:val="en-US" w:eastAsia="zh-CN"/>
              </w:rPr>
              <w:t>方</w:t>
            </w:r>
            <w:r>
              <w:rPr>
                <w:rFonts w:hint="default" w:ascii="Times New Roman" w:hAnsi="Times New Roman" w:eastAsia="宋体" w:cs="Times New Roman"/>
                <w:b/>
                <w:bCs/>
                <w:color w:val="000000"/>
                <w:sz w:val="24"/>
                <w:szCs w:val="24"/>
                <w:lang w:val="en-US" w:eastAsia="zh-CN"/>
              </w:rPr>
              <w:t>案确定</w:t>
            </w:r>
          </w:p>
          <w:p w14:paraId="11E7DFE7">
            <w:pPr>
              <w:pStyle w:val="63"/>
              <w:keepNext w:val="0"/>
              <w:keepLines w:val="0"/>
              <w:pageBreakBefore w:val="0"/>
              <w:widowControl w:val="0"/>
              <w:numPr>
                <w:ilvl w:val="0"/>
                <w:numId w:val="0"/>
              </w:numPr>
              <w:suppressLineNumbers w:val="0"/>
              <w:tabs>
                <w:tab w:val="center" w:pos="4479"/>
                <w:tab w:val="right" w:pos="8866"/>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w:t>
            </w:r>
            <w:r>
              <w:rPr>
                <w:rFonts w:hint="default" w:ascii="Segoe UI Symbol" w:hAnsi="Segoe UI Symbol" w:eastAsia="Segoe UI Symbol" w:cs="Segoe UI Symbol"/>
                <w:i w:val="0"/>
                <w:iCs w:val="0"/>
                <w:caps w:val="0"/>
                <w:color w:val="1F2329"/>
                <w:spacing w:val="0"/>
                <w:sz w:val="24"/>
                <w:szCs w:val="24"/>
                <w:shd w:val="clear" w:fill="FFFFFF"/>
              </w:rPr>
              <w:t>张掖经济技术开发区兔儿坝滩水库工程</w:t>
            </w:r>
            <w:r>
              <w:rPr>
                <w:rFonts w:hint="default" w:ascii="Times New Roman" w:hAnsi="Times New Roman" w:eastAsia="宋体" w:cs="Times New Roman"/>
                <w:color w:val="000000"/>
                <w:sz w:val="24"/>
                <w:szCs w:val="24"/>
                <w:lang w:val="en-US" w:eastAsia="zh-CN"/>
              </w:rPr>
              <w:t>初步设计报告可知，</w:t>
            </w:r>
            <w:r>
              <w:rPr>
                <w:rFonts w:hint="eastAsia" w:ascii="Times New Roman" w:hAnsi="Times New Roman" w:eastAsia="宋体" w:cs="Times New Roman"/>
                <w:color w:val="000000"/>
                <w:sz w:val="24"/>
                <w:szCs w:val="24"/>
                <w:lang w:val="en-US" w:eastAsia="zh-CN"/>
              </w:rPr>
              <w:t>本项目</w:t>
            </w:r>
            <w:r>
              <w:rPr>
                <w:rFonts w:hint="default" w:ascii="Segoe UI Symbol" w:hAnsi="Segoe UI Symbol" w:eastAsia="Segoe UI Symbol" w:cs="Segoe UI Symbol"/>
                <w:i w:val="0"/>
                <w:iCs w:val="0"/>
                <w:caps w:val="0"/>
                <w:color w:val="1F2329"/>
                <w:spacing w:val="0"/>
                <w:sz w:val="24"/>
                <w:szCs w:val="24"/>
                <w:shd w:val="clear" w:fill="FFFFFF"/>
              </w:rPr>
              <w:t>选址为项目建设最优且唯一方案</w:t>
            </w:r>
            <w:r>
              <w:rPr>
                <w:rFonts w:hint="default" w:ascii="Times New Roman" w:hAnsi="Times New Roman" w:eastAsia="宋体" w:cs="Times New Roman"/>
                <w:color w:val="000000"/>
                <w:sz w:val="24"/>
                <w:szCs w:val="24"/>
                <w:lang w:val="en-US" w:eastAsia="zh-CN"/>
              </w:rPr>
              <w:t>。</w:t>
            </w:r>
          </w:p>
          <w:p w14:paraId="6ED306B0">
            <w:pPr>
              <w:pStyle w:val="63"/>
              <w:keepNext w:val="0"/>
              <w:keepLines w:val="0"/>
              <w:pageBreakBefore w:val="0"/>
              <w:widowControl w:val="0"/>
              <w:numPr>
                <w:ilvl w:val="0"/>
                <w:numId w:val="0"/>
              </w:numPr>
              <w:suppressLineNumbers w:val="0"/>
              <w:tabs>
                <w:tab w:val="center" w:pos="4479"/>
                <w:tab w:val="right" w:pos="8866"/>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兔儿坝滩水库工程建设项目位于经开区循环经济示范园内，北临纬三路、南临张阿公路，东、西两侧均为国有未利用滩地，建设项目南侧距甘平公路与S301公路交叉路口约600</w:t>
            </w:r>
            <w:r>
              <w:rPr>
                <w:rFonts w:hint="eastAsia" w:ascii="Times New Roman" w:hAnsi="Times New Roman" w:eastAsia="宋体" w:cs="Times New Roman"/>
                <w:color w:val="000000"/>
                <w:sz w:val="24"/>
                <w:szCs w:val="24"/>
                <w:lang w:val="en-US" w:eastAsia="zh-CN"/>
              </w:rPr>
              <w:t>m。</w:t>
            </w:r>
          </w:p>
          <w:p w14:paraId="22DB28F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主体工程选址合理性</w:t>
            </w:r>
          </w:p>
          <w:p w14:paraId="4B1B6B43">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（1）环境制约</w:t>
            </w:r>
          </w:p>
          <w:p w14:paraId="0391E8F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宋体" w:hAnsi="宋体" w:eastAsia="宋体" w:cs="宋体"/>
                <w:sz w:val="24"/>
                <w:szCs w:val="24"/>
              </w:rPr>
              <w:t>本项目选址</w:t>
            </w:r>
            <w:r>
              <w:rPr>
                <w:rFonts w:hint="eastAsia" w:ascii="宋体" w:hAnsi="宋体" w:eastAsia="宋体" w:cs="宋体"/>
                <w:sz w:val="24"/>
                <w:szCs w:val="24"/>
                <w:lang w:eastAsia="zh-CN"/>
              </w:rPr>
              <w:t>位于</w:t>
            </w:r>
            <w:r>
              <w:rPr>
                <w:rFonts w:hint="default" w:ascii="宋体" w:hAnsi="宋体" w:eastAsia="宋体" w:cs="宋体"/>
                <w:sz w:val="24"/>
                <w:szCs w:val="24"/>
              </w:rPr>
              <w:t>张掖市甘州区经开区循环经济示范园，各主管部门已出具专项征询复函，项目选址未触碰核心生态、土地管控红线，整体符合区域管控要求，具体符合性分析如下：</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039"/>
              <w:gridCol w:w="3151"/>
              <w:gridCol w:w="2283"/>
              <w:gridCol w:w="935"/>
            </w:tblGrid>
            <w:tr w14:paraId="5D78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2A7BABA2">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序号</w:t>
                  </w:r>
                </w:p>
              </w:tc>
              <w:tc>
                <w:tcPr>
                  <w:tcW w:w="1125" w:type="pct"/>
                  <w:noWrap w:val="0"/>
                  <w:vAlign w:val="center"/>
                </w:tcPr>
                <w:p w14:paraId="27F5D449">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相关部门文件</w:t>
                  </w:r>
                </w:p>
              </w:tc>
              <w:tc>
                <w:tcPr>
                  <w:tcW w:w="1739" w:type="pct"/>
                  <w:noWrap w:val="0"/>
                  <w:vAlign w:val="center"/>
                </w:tcPr>
                <w:p w14:paraId="72A03022">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部门意见</w:t>
                  </w:r>
                </w:p>
              </w:tc>
              <w:tc>
                <w:tcPr>
                  <w:tcW w:w="1260" w:type="pct"/>
                  <w:noWrap w:val="0"/>
                  <w:vAlign w:val="center"/>
                </w:tcPr>
                <w:p w14:paraId="391F0FD4">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本项目情况</w:t>
                  </w:r>
                </w:p>
              </w:tc>
              <w:tc>
                <w:tcPr>
                  <w:tcW w:w="516" w:type="pct"/>
                  <w:noWrap w:val="0"/>
                  <w:vAlign w:val="center"/>
                </w:tcPr>
                <w:p w14:paraId="0D86900D">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符合性分析</w:t>
                  </w:r>
                </w:p>
              </w:tc>
            </w:tr>
            <w:tr w14:paraId="5020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35E68E3C">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1</w:t>
                  </w:r>
                </w:p>
              </w:tc>
              <w:tc>
                <w:tcPr>
                  <w:tcW w:w="1125" w:type="pct"/>
                  <w:noWrap w:val="0"/>
                  <w:vAlign w:val="center"/>
                </w:tcPr>
                <w:p w14:paraId="29F9CAD7">
                  <w:pPr>
                    <w:pStyle w:val="23"/>
                    <w:keepNext w:val="0"/>
                    <w:keepLines w:val="0"/>
                    <w:widowControl/>
                    <w:suppressLineNumbers w:val="0"/>
                    <w:ind w:left="0" w:right="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张掖市自然资源局甘州分局《关于兔儿坝滩水库工程建设项目和甘州区靖安乡上堡村水库工程泵站是否占用生态保护红线、耕地、永久基本农田、耕地后备资源征询意见的复函》（甘州自然资源函[2025]82号）</w:t>
                  </w:r>
                </w:p>
              </w:tc>
              <w:tc>
                <w:tcPr>
                  <w:tcW w:w="1739" w:type="pct"/>
                  <w:noWrap w:val="0"/>
                  <w:vAlign w:val="center"/>
                </w:tcPr>
                <w:p w14:paraId="154B688F">
                  <w:pPr>
                    <w:pStyle w:val="23"/>
                    <w:keepNext w:val="0"/>
                    <w:keepLines w:val="0"/>
                    <w:widowControl/>
                    <w:numPr>
                      <w:ilvl w:val="0"/>
                      <w:numId w:val="5"/>
                    </w:numPr>
                    <w:suppressLineNumbers w:val="0"/>
                    <w:spacing w:before="0" w:beforeAutospacing="0" w:after="0" w:afterAutospacing="0"/>
                    <w:ind w:left="0" w:right="0" w:firstLine="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兔儿坝滩水库工程拟用地不在生态保护红线、耕地、永久基本农田、耕地后备资源范围内；2.泵站拟用地不在生态保护红线、永久基本农田范围内，占用一般耕地且紧邻永久基本农田，是否占用高标准农田需进一步征询农业农村部门；</w:t>
                  </w:r>
                </w:p>
                <w:p w14:paraId="5734AA42">
                  <w:pPr>
                    <w:pStyle w:val="23"/>
                    <w:keepNext w:val="0"/>
                    <w:keepLines w:val="0"/>
                    <w:widowControl/>
                    <w:numPr>
                      <w:ilvl w:val="0"/>
                      <w:numId w:val="0"/>
                    </w:numPr>
                    <w:suppressLineNumbers w:val="0"/>
                    <w:spacing w:before="0" w:beforeAutospacing="0" w:after="0" w:afterAutospacing="0"/>
                    <w:ind w:left="0" w:leftChars="0" w:right="0" w:right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3.需落实耕地用途管制相关规定，做好耕地占补平衡。</w:t>
                  </w:r>
                </w:p>
                <w:p w14:paraId="34FC2A0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260" w:type="pct"/>
                  <w:noWrap w:val="0"/>
                  <w:vAlign w:val="center"/>
                </w:tcPr>
                <w:p w14:paraId="3304098F">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default" w:ascii="宋体" w:hAnsi="宋体" w:eastAsia="宋体" w:cs="宋体"/>
                      <w:sz w:val="21"/>
                      <w:szCs w:val="21"/>
                    </w:rPr>
                    <w:t>本项目选址</w:t>
                  </w:r>
                  <w:r>
                    <w:rPr>
                      <w:rFonts w:hint="eastAsia" w:ascii="宋体" w:hAnsi="宋体" w:eastAsia="宋体" w:cs="宋体"/>
                      <w:sz w:val="21"/>
                      <w:szCs w:val="21"/>
                      <w:lang w:eastAsia="zh-CN"/>
                    </w:rPr>
                    <w:t>位于</w:t>
                  </w:r>
                  <w:r>
                    <w:rPr>
                      <w:rFonts w:hint="default" w:ascii="宋体" w:hAnsi="宋体" w:eastAsia="宋体" w:cs="宋体"/>
                      <w:sz w:val="21"/>
                      <w:szCs w:val="21"/>
                    </w:rPr>
                    <w:t>张掖市甘州区经开区循环经济示范园</w:t>
                  </w:r>
                  <w:r>
                    <w:rPr>
                      <w:rFonts w:hint="eastAsia" w:ascii="宋体" w:hAnsi="宋体" w:eastAsia="宋体" w:cs="宋体"/>
                      <w:sz w:val="21"/>
                      <w:szCs w:val="21"/>
                      <w:lang w:eastAsia="zh-CN"/>
                    </w:rPr>
                    <w:t>内，不占用耕地，且</w:t>
                  </w:r>
                  <w:r>
                    <w:rPr>
                      <w:rFonts w:hint="default" w:ascii="Times New Roman" w:hAnsi="Times New Roman" w:eastAsia="宋体" w:cs="Times New Roman"/>
                      <w:sz w:val="21"/>
                      <w:szCs w:val="21"/>
                    </w:rPr>
                    <w:t>项目已取得甘州区农业农村局专项复函，确认拟用地未占用已建成高标准农田</w:t>
                  </w:r>
                  <w:r>
                    <w:rPr>
                      <w:rFonts w:hint="eastAsia" w:ascii="Times New Roman" w:hAnsi="Times New Roman" w:eastAsia="宋体" w:cs="Times New Roman"/>
                      <w:sz w:val="21"/>
                      <w:szCs w:val="21"/>
                      <w:lang w:eastAsia="zh-CN"/>
                    </w:rPr>
                    <w:t>。</w:t>
                  </w:r>
                </w:p>
              </w:tc>
              <w:tc>
                <w:tcPr>
                  <w:tcW w:w="516" w:type="pct"/>
                  <w:noWrap w:val="0"/>
                  <w:vAlign w:val="center"/>
                </w:tcPr>
                <w:p w14:paraId="074A63D8">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193D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7D54A399">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p>
              </w:tc>
              <w:tc>
                <w:tcPr>
                  <w:tcW w:w="1125" w:type="pct"/>
                  <w:noWrap w:val="0"/>
                  <w:vAlign w:val="center"/>
                </w:tcPr>
                <w:p w14:paraId="48DBB74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张掖市生态环境局甘州分局《关于拟选项目用地征询函的复函》（张环甘函2025]43号）</w:t>
                  </w:r>
                </w:p>
              </w:tc>
              <w:tc>
                <w:tcPr>
                  <w:tcW w:w="1739" w:type="pct"/>
                  <w:noWrap w:val="0"/>
                  <w:vAlign w:val="center"/>
                </w:tcPr>
                <w:p w14:paraId="6220F6E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兔儿坝滩水库工程调蓄水池、靖安乡上堡村水库工程泵站拟用地均不在甘州区水源地保护区范围内</w:t>
                  </w:r>
                </w:p>
              </w:tc>
              <w:tc>
                <w:tcPr>
                  <w:tcW w:w="1260" w:type="pct"/>
                  <w:noWrap w:val="0"/>
                  <w:vAlign w:val="center"/>
                </w:tcPr>
                <w:p w14:paraId="4BEE3BF4">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项目</w:t>
                  </w:r>
                  <w:r>
                    <w:rPr>
                      <w:rFonts w:hint="eastAsia" w:ascii="Times New Roman" w:hAnsi="Times New Roman" w:eastAsia="宋体" w:cs="Times New Roman"/>
                      <w:i w:val="0"/>
                      <w:iCs w:val="0"/>
                      <w:caps w:val="0"/>
                      <w:color w:val="1F2329"/>
                      <w:spacing w:val="0"/>
                      <w:sz w:val="21"/>
                      <w:szCs w:val="21"/>
                      <w:shd w:val="clear" w:fill="FFFFFF"/>
                      <w:lang w:eastAsia="zh-CN"/>
                    </w:rPr>
                    <w:t>占地已</w:t>
                  </w:r>
                  <w:r>
                    <w:rPr>
                      <w:rFonts w:hint="default" w:ascii="Times New Roman" w:hAnsi="Times New Roman" w:eastAsia="宋体" w:cs="Times New Roman"/>
                      <w:i w:val="0"/>
                      <w:iCs w:val="0"/>
                      <w:caps w:val="0"/>
                      <w:color w:val="1F2329"/>
                      <w:spacing w:val="0"/>
                      <w:sz w:val="21"/>
                      <w:szCs w:val="21"/>
                      <w:shd w:val="clear" w:fill="FFFFFF"/>
                    </w:rPr>
                    <w:t>完成水源地保护区范围复核，未占用相关区域。</w:t>
                  </w:r>
                </w:p>
              </w:tc>
              <w:tc>
                <w:tcPr>
                  <w:tcW w:w="516" w:type="pct"/>
                  <w:noWrap w:val="0"/>
                  <w:vAlign w:val="center"/>
                </w:tcPr>
                <w:p w14:paraId="7280DC3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7CF6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541FACCB">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3</w:t>
                  </w:r>
                </w:p>
              </w:tc>
              <w:tc>
                <w:tcPr>
                  <w:tcW w:w="1125" w:type="pct"/>
                  <w:noWrap w:val="0"/>
                  <w:vAlign w:val="center"/>
                </w:tcPr>
                <w:p w14:paraId="19B7E317">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甘州区林业和草原局《关于对兔儿坝滩水库工程建设项目用地征询意见的复函》</w:t>
                  </w:r>
                </w:p>
              </w:tc>
              <w:tc>
                <w:tcPr>
                  <w:tcW w:w="1739" w:type="pct"/>
                  <w:noWrap w:val="0"/>
                  <w:vAlign w:val="center"/>
                </w:tcPr>
                <w:p w14:paraId="6D8B935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兔儿坝滩水库工程拟用地不在甘州区林地、草地范围内，也未涉及风景名胜区和国家地质公园。</w:t>
                  </w:r>
                </w:p>
              </w:tc>
              <w:tc>
                <w:tcPr>
                  <w:tcW w:w="1260" w:type="pct"/>
                  <w:noWrap w:val="0"/>
                  <w:vAlign w:val="center"/>
                </w:tcPr>
                <w:p w14:paraId="510C7E4E">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1F2329"/>
                      <w:spacing w:val="0"/>
                      <w:sz w:val="21"/>
                      <w:szCs w:val="21"/>
                      <w:shd w:val="clear" w:fill="FFFFFF"/>
                    </w:rPr>
                    <w:t>项目选址完成林草地、风景名胜区及地质公园范围核查，无重叠区域。</w:t>
                  </w:r>
                </w:p>
              </w:tc>
              <w:tc>
                <w:tcPr>
                  <w:tcW w:w="516" w:type="pct"/>
                  <w:noWrap w:val="0"/>
                  <w:vAlign w:val="center"/>
                </w:tcPr>
                <w:p w14:paraId="00E18428">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64E1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357" w:type="pct"/>
                  <w:noWrap w:val="0"/>
                  <w:vAlign w:val="center"/>
                </w:tcPr>
                <w:p w14:paraId="162A9418">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4</w:t>
                  </w:r>
                </w:p>
              </w:tc>
              <w:tc>
                <w:tcPr>
                  <w:tcW w:w="1125" w:type="pct"/>
                  <w:noWrap w:val="0"/>
                  <w:vAlign w:val="center"/>
                </w:tcPr>
                <w:p w14:paraId="34796831">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甘州区黑河湿地国家级自然保护区管理局《关于张掖经开区兔儿坝滩水库工程建设项目用地征询函的复函》（甘区湿勘函[2025]34号）</w:t>
                  </w:r>
                </w:p>
              </w:tc>
              <w:tc>
                <w:tcPr>
                  <w:tcW w:w="1739" w:type="pct"/>
                  <w:noWrap w:val="0"/>
                  <w:vAlign w:val="center"/>
                </w:tcPr>
                <w:p w14:paraId="3D0D2EFB">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1.水库及泵站拟用地均不在张掖黑河湿地国家级自然保护区和甘州区国土“三调”湿地范围；2.泵站选址距湿地范围较近，需强化湿地保护，严控施工范围，不得扰动破坏湿地。</w:t>
                  </w:r>
                </w:p>
              </w:tc>
              <w:tc>
                <w:tcPr>
                  <w:tcW w:w="1260" w:type="pct"/>
                  <w:noWrap w:val="0"/>
                  <w:vAlign w:val="center"/>
                </w:tcPr>
                <w:p w14:paraId="312CE23F">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i w:val="0"/>
                      <w:iCs w:val="0"/>
                      <w:caps w:val="0"/>
                      <w:color w:val="1F2329"/>
                      <w:spacing w:val="0"/>
                      <w:sz w:val="21"/>
                      <w:szCs w:val="21"/>
                      <w:shd w:val="clear" w:fill="FFFFFF"/>
                      <w:lang w:eastAsia="zh-CN"/>
                    </w:rPr>
                    <w:t>该文件中所指泵站为水源保障工程临河泵站，不属于本项目建设内容</w:t>
                  </w:r>
                  <w:r>
                    <w:rPr>
                      <w:rFonts w:hint="default" w:ascii="Times New Roman" w:hAnsi="Times New Roman" w:eastAsia="宋体" w:cs="Times New Roman"/>
                      <w:i w:val="0"/>
                      <w:iCs w:val="0"/>
                      <w:caps w:val="0"/>
                      <w:color w:val="1F2329"/>
                      <w:spacing w:val="0"/>
                      <w:sz w:val="21"/>
                      <w:szCs w:val="21"/>
                      <w:shd w:val="clear" w:fill="FFFFFF"/>
                    </w:rPr>
                    <w:t>。</w:t>
                  </w:r>
                </w:p>
              </w:tc>
              <w:tc>
                <w:tcPr>
                  <w:tcW w:w="516" w:type="pct"/>
                  <w:noWrap w:val="0"/>
                  <w:vAlign w:val="center"/>
                </w:tcPr>
                <w:p w14:paraId="702AE2EE">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446C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4B44D541">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5</w:t>
                  </w:r>
                </w:p>
              </w:tc>
              <w:tc>
                <w:tcPr>
                  <w:tcW w:w="1125" w:type="pct"/>
                  <w:noWrap w:val="0"/>
                  <w:vAlign w:val="center"/>
                </w:tcPr>
                <w:p w14:paraId="0126E07E">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甘州区文物保护中心《关于张掖经济技术开发区兔儿坝滩水库工程建设项目用地初审意见的函》（甘区文物函2025]42号）</w:t>
                  </w:r>
                </w:p>
              </w:tc>
              <w:tc>
                <w:tcPr>
                  <w:tcW w:w="1739" w:type="pct"/>
                  <w:noWrap w:val="0"/>
                  <w:vAlign w:val="center"/>
                </w:tcPr>
                <w:p w14:paraId="7D911B90">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1.项目拟用地不涉及已公布文物保护单位保护范围和建设控制地带；2.施工中若发现地下文物，需立即停工并上报，委托专业机构开展考古工作，相关费用列入工程预算。</w:t>
                  </w:r>
                </w:p>
              </w:tc>
              <w:tc>
                <w:tcPr>
                  <w:tcW w:w="1260" w:type="pct"/>
                  <w:noWrap w:val="0"/>
                  <w:vAlign w:val="center"/>
                </w:tcPr>
                <w:p w14:paraId="4FAC388E">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项目选址范围内无已公布文物保护单位，后期施工将制定文物保护预案，发现文物按要求停工并上报处理。</w:t>
                  </w:r>
                </w:p>
              </w:tc>
              <w:tc>
                <w:tcPr>
                  <w:tcW w:w="516" w:type="pct"/>
                  <w:noWrap w:val="0"/>
                  <w:vAlign w:val="center"/>
                </w:tcPr>
                <w:p w14:paraId="5E69BA7D">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49A5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78DB920C">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6</w:t>
                  </w:r>
                </w:p>
              </w:tc>
              <w:tc>
                <w:tcPr>
                  <w:tcW w:w="1125" w:type="pct"/>
                  <w:noWrap w:val="0"/>
                  <w:vAlign w:val="center"/>
                </w:tcPr>
                <w:p w14:paraId="7BE6B4B8">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1F2329"/>
                      <w:spacing w:val="0"/>
                      <w:sz w:val="21"/>
                      <w:szCs w:val="21"/>
                      <w:shd w:val="clear" w:fill="FFFFFF"/>
                    </w:rPr>
                  </w:pPr>
                  <w:r>
                    <w:rPr>
                      <w:rFonts w:hint="default" w:ascii="Times New Roman" w:hAnsi="Times New Roman" w:eastAsia="宋体" w:cs="Times New Roman"/>
                      <w:i w:val="0"/>
                      <w:iCs w:val="0"/>
                      <w:caps w:val="0"/>
                      <w:color w:val="1F2329"/>
                      <w:spacing w:val="0"/>
                      <w:sz w:val="21"/>
                      <w:szCs w:val="21"/>
                      <w:shd w:val="clear" w:fill="FFFFFF"/>
                    </w:rPr>
                    <w:t>甘州区农业农村局《关于张掖经济技术开发区自然和规划局拟选项目是否占用高标准农田征询意见的复函》</w:t>
                  </w:r>
                </w:p>
              </w:tc>
              <w:tc>
                <w:tcPr>
                  <w:tcW w:w="1739" w:type="pct"/>
                  <w:noWrap w:val="0"/>
                  <w:vAlign w:val="center"/>
                </w:tcPr>
                <w:p w14:paraId="6DD5B220">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项目拟用地不在甘州区已建成的高标准农田范围内。</w:t>
                  </w:r>
                </w:p>
              </w:tc>
              <w:tc>
                <w:tcPr>
                  <w:tcW w:w="1260" w:type="pct"/>
                  <w:noWrap w:val="0"/>
                  <w:vAlign w:val="center"/>
                </w:tcPr>
                <w:p w14:paraId="1A55DEF1">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完成高标准农田范围比对，无占用情况。</w:t>
                  </w:r>
                </w:p>
              </w:tc>
              <w:tc>
                <w:tcPr>
                  <w:tcW w:w="516" w:type="pct"/>
                  <w:noWrap w:val="0"/>
                  <w:vAlign w:val="center"/>
                </w:tcPr>
                <w:p w14:paraId="0DB96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0068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noWrap w:val="0"/>
                  <w:vAlign w:val="center"/>
                </w:tcPr>
                <w:p w14:paraId="4E3DB025">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7</w:t>
                  </w:r>
                </w:p>
              </w:tc>
              <w:tc>
                <w:tcPr>
                  <w:tcW w:w="1125" w:type="pct"/>
                  <w:noWrap w:val="0"/>
                  <w:vAlign w:val="center"/>
                </w:tcPr>
                <w:p w14:paraId="14B28F3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aps w:val="0"/>
                      <w:color w:val="1F2329"/>
                      <w:spacing w:val="0"/>
                      <w:sz w:val="21"/>
                      <w:szCs w:val="21"/>
                      <w:shd w:val="clear" w:fill="FFFFFF"/>
                    </w:rPr>
                  </w:pPr>
                  <w:r>
                    <w:rPr>
                      <w:rFonts w:hint="default" w:ascii="Times New Roman" w:hAnsi="Times New Roman" w:eastAsia="宋体" w:cs="Times New Roman"/>
                      <w:i w:val="0"/>
                      <w:iCs w:val="0"/>
                      <w:caps w:val="0"/>
                      <w:color w:val="1F2329"/>
                      <w:spacing w:val="0"/>
                      <w:sz w:val="21"/>
                      <w:szCs w:val="21"/>
                      <w:shd w:val="clear" w:fill="FFFFFF"/>
                    </w:rPr>
                    <w:t>甘州区水务局《关于张掖经济技术开发区兔儿坝滩水库工程建设项目征询意见的复函》（[2025]184）</w:t>
                  </w:r>
                </w:p>
              </w:tc>
              <w:tc>
                <w:tcPr>
                  <w:tcW w:w="1739" w:type="pct"/>
                  <w:noWrap w:val="0"/>
                  <w:vAlign w:val="center"/>
                </w:tcPr>
                <w:p w14:paraId="28230036">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1.水库选址未占用灌溉水渠、输水管道等建设区；2.泵站位于黑河右岸保护范围内，需办理涉河审批及备案手续；3.项目需编制防洪影响评价、施工度汛方案、水土保持方案并完成审批；4.施工中严禁污染河道、私自取水，做好生态保护。</w:t>
                  </w:r>
                </w:p>
              </w:tc>
              <w:tc>
                <w:tcPr>
                  <w:tcW w:w="1260" w:type="pct"/>
                  <w:noWrap w:val="0"/>
                  <w:vAlign w:val="center"/>
                </w:tcPr>
                <w:p w14:paraId="182BE72A">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aps w:val="0"/>
                      <w:color w:val="1F2329"/>
                      <w:spacing w:val="0"/>
                      <w:sz w:val="21"/>
                      <w:szCs w:val="21"/>
                      <w:shd w:val="clear" w:fill="FFFFFF"/>
                    </w:rPr>
                    <w:t>1.</w:t>
                  </w:r>
                  <w:r>
                    <w:rPr>
                      <w:rFonts w:hint="eastAsia" w:ascii="Times New Roman" w:hAnsi="Times New Roman" w:eastAsia="宋体" w:cs="Times New Roman"/>
                      <w:i w:val="0"/>
                      <w:iCs w:val="0"/>
                      <w:caps w:val="0"/>
                      <w:color w:val="1F2329"/>
                      <w:spacing w:val="0"/>
                      <w:sz w:val="21"/>
                      <w:szCs w:val="21"/>
                      <w:shd w:val="clear" w:fill="FFFFFF"/>
                      <w:lang w:eastAsia="zh-CN"/>
                    </w:rPr>
                    <w:t>该文件中所指泵站为水源保障工程临河泵站，不属于本项目建设内容</w:t>
                  </w:r>
                  <w:r>
                    <w:rPr>
                      <w:rFonts w:hint="default" w:ascii="Times New Roman" w:hAnsi="Times New Roman" w:eastAsia="宋体" w:cs="Times New Roman"/>
                      <w:i w:val="0"/>
                      <w:iCs w:val="0"/>
                      <w:caps w:val="0"/>
                      <w:color w:val="1F2329"/>
                      <w:spacing w:val="0"/>
                      <w:sz w:val="21"/>
                      <w:szCs w:val="21"/>
                      <w:shd w:val="clear" w:fill="FFFFFF"/>
                    </w:rPr>
                    <w:t>2.</w:t>
                  </w:r>
                  <w:r>
                    <w:rPr>
                      <w:rFonts w:hint="eastAsia" w:ascii="Times New Roman" w:hAnsi="Times New Roman" w:eastAsia="宋体" w:cs="Times New Roman"/>
                      <w:i w:val="0"/>
                      <w:iCs w:val="0"/>
                      <w:caps w:val="0"/>
                      <w:color w:val="1F2329"/>
                      <w:spacing w:val="0"/>
                      <w:sz w:val="21"/>
                      <w:szCs w:val="21"/>
                      <w:shd w:val="clear" w:fill="FFFFFF"/>
                      <w:lang w:eastAsia="zh-CN"/>
                    </w:rPr>
                    <w:t>本项目已完成</w:t>
                  </w:r>
                  <w:r>
                    <w:rPr>
                      <w:rFonts w:hint="default" w:ascii="Times New Roman" w:hAnsi="Times New Roman" w:eastAsia="宋体" w:cs="Times New Roman"/>
                      <w:i w:val="0"/>
                      <w:iCs w:val="0"/>
                      <w:caps w:val="0"/>
                      <w:color w:val="1F2329"/>
                      <w:spacing w:val="0"/>
                      <w:sz w:val="21"/>
                      <w:szCs w:val="21"/>
                      <w:shd w:val="clear" w:fill="FFFFFF"/>
                    </w:rPr>
                    <w:t>水土保持方案</w:t>
                  </w:r>
                  <w:r>
                    <w:rPr>
                      <w:rFonts w:hint="eastAsia" w:ascii="Times New Roman" w:hAnsi="Times New Roman" w:eastAsia="宋体" w:cs="Times New Roman"/>
                      <w:i w:val="0"/>
                      <w:iCs w:val="0"/>
                      <w:caps w:val="0"/>
                      <w:color w:val="1F2329"/>
                      <w:spacing w:val="0"/>
                      <w:sz w:val="21"/>
                      <w:szCs w:val="21"/>
                      <w:shd w:val="clear" w:fill="FFFFFF"/>
                      <w:lang w:eastAsia="zh-CN"/>
                    </w:rPr>
                    <w:t>及</w:t>
                  </w:r>
                  <w:r>
                    <w:rPr>
                      <w:rFonts w:hint="default" w:ascii="Times New Roman" w:hAnsi="Times New Roman" w:eastAsia="宋体" w:cs="Times New Roman"/>
                      <w:i w:val="0"/>
                      <w:iCs w:val="0"/>
                      <w:caps w:val="0"/>
                      <w:color w:val="1F2329"/>
                      <w:spacing w:val="0"/>
                      <w:sz w:val="21"/>
                      <w:szCs w:val="21"/>
                      <w:shd w:val="clear" w:fill="FFFFFF"/>
                    </w:rPr>
                    <w:t>相关审批手续</w:t>
                  </w:r>
                  <w:r>
                    <w:rPr>
                      <w:rFonts w:hint="eastAsia" w:ascii="Times New Roman" w:hAnsi="Times New Roman" w:eastAsia="宋体" w:cs="Times New Roman"/>
                      <w:i w:val="0"/>
                      <w:iCs w:val="0"/>
                      <w:caps w:val="0"/>
                      <w:color w:val="1F2329"/>
                      <w:spacing w:val="0"/>
                      <w:sz w:val="21"/>
                      <w:szCs w:val="21"/>
                      <w:shd w:val="clear" w:fill="FFFFFF"/>
                      <w:lang w:eastAsia="zh-CN"/>
                    </w:rPr>
                    <w:t>。</w:t>
                  </w:r>
                </w:p>
              </w:tc>
              <w:tc>
                <w:tcPr>
                  <w:tcW w:w="516" w:type="pct"/>
                  <w:noWrap w:val="0"/>
                  <w:vAlign w:val="center"/>
                </w:tcPr>
                <w:p w14:paraId="7931A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bl>
          <w:p w14:paraId="284DBDA2">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i w:val="0"/>
                <w:iCs w:val="0"/>
                <w:caps w:val="0"/>
                <w:color w:val="1F2329"/>
                <w:spacing w:val="0"/>
                <w:sz w:val="24"/>
                <w:szCs w:val="24"/>
                <w:shd w:val="clear" w:fill="FFFFFF"/>
              </w:rPr>
              <w:t>综上，本项目选址未涉及生态保护红线、永久基本农田、水源地保护区、文物保护单位、林草地、湿地保护区等核心环境敏感区域，从环境制约角度分析，选址具备合理性。</w:t>
            </w:r>
          </w:p>
          <w:p w14:paraId="7B7C4843">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r>
              <w:rPr>
                <w:rFonts w:hint="default" w:ascii="Times New Roman" w:hAnsi="Times New Roman" w:eastAsia="宋体" w:cs="Times New Roman"/>
                <w:i w:val="0"/>
                <w:iCs w:val="0"/>
                <w:caps w:val="0"/>
                <w:color w:val="1F2329"/>
                <w:spacing w:val="0"/>
                <w:sz w:val="24"/>
                <w:szCs w:val="24"/>
                <w:shd w:val="clear" w:fill="FFFFFF"/>
                <w:lang w:eastAsia="zh-CN"/>
              </w:rPr>
              <w:t>⑵环境影响程度方面</w:t>
            </w:r>
          </w:p>
          <w:p w14:paraId="617761D6">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①选址选线概况</w:t>
            </w:r>
          </w:p>
          <w:p w14:paraId="63174A33">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val="en-US" w:eastAsia="zh-CN"/>
              </w:rPr>
              <w:t>项目位于园区装备制造及新材料产业区，为规划预留基础设施用地；供水管线长 0.29km，沿水库至净水厂就近敷设，线路最短、扰动最小。</w:t>
            </w:r>
          </w:p>
          <w:p w14:paraId="5C82F826">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②规划与管控符合性</w:t>
            </w:r>
          </w:p>
          <w:p w14:paraId="702D09FC">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符合园区“一带、两轴、多区”空间布局与“3+1” 产业体系；符合规划环评及张环函〔2025〕183号审查意见，落实以水定产、地表水优先、关停自备井、远离保护区要求；符合甘肃省、张掖市 “三线一单”，位于重点管控单元，不占生态红线、不突破资源上线；符合主体功能区划，支撑产业集聚与生态安全。</w:t>
            </w:r>
          </w:p>
          <w:p w14:paraId="2D205C1A">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③生态环境合理性</w:t>
            </w:r>
          </w:p>
          <w:p w14:paraId="091BC7AD">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占地为国有未利用滩地/裸土地，不占耕地、基本农田、林地、湿地；地表水置换地下水，年压采地下水约600万m³，助力超采区治理，生态效益显著。</w:t>
            </w:r>
          </w:p>
          <w:p w14:paraId="72C3491B">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④水环境合理性</w:t>
            </w:r>
          </w:p>
          <w:p w14:paraId="7CAF92C5">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取水来自黑河，纳入流域统一调度，不挤占生态基流；运营期无废水排放；库区全防渗，不污染土壤与地下水。</w:t>
            </w:r>
          </w:p>
          <w:p w14:paraId="7D4D0FFE">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⑤其他要素合理性</w:t>
            </w:r>
          </w:p>
          <w:p w14:paraId="6318498F">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大气、声环境：</w:t>
            </w:r>
            <w:r>
              <w:rPr>
                <w:rFonts w:hint="eastAsia" w:ascii="Times New Roman" w:hAnsi="Times New Roman" w:eastAsia="宋体" w:cs="Times New Roman"/>
                <w:i w:val="0"/>
                <w:iCs w:val="0"/>
                <w:caps w:val="0"/>
                <w:color w:val="0000FF"/>
                <w:spacing w:val="0"/>
                <w:sz w:val="24"/>
                <w:szCs w:val="24"/>
                <w:shd w:val="clear" w:fill="FFFFFF"/>
                <w:lang w:val="en-US" w:eastAsia="zh-CN"/>
              </w:rPr>
              <w:t>5</w:t>
            </w:r>
            <w:r>
              <w:rPr>
                <w:rFonts w:hint="eastAsia" w:ascii="Times New Roman" w:hAnsi="Times New Roman" w:eastAsia="宋体" w:cs="Times New Roman"/>
                <w:i w:val="0"/>
                <w:iCs w:val="0"/>
                <w:caps w:val="0"/>
                <w:color w:val="0000FF"/>
                <w:spacing w:val="0"/>
                <w:sz w:val="24"/>
                <w:szCs w:val="24"/>
                <w:shd w:val="clear" w:fill="FFFFFF"/>
                <w:lang w:eastAsia="zh-CN"/>
              </w:rPr>
              <w:t>00m 内无敏感目标，施工影响短暂可控；</w:t>
            </w:r>
          </w:p>
          <w:p w14:paraId="35032C03">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土壤环境：不产生有毒有害物质，不造成污染与盐渍化；</w:t>
            </w:r>
          </w:p>
          <w:p w14:paraId="2A80976A">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eastAsia="zh-CN"/>
              </w:rPr>
              <w:t>环境风险：不涉及危化品，无重大环境风险。</w:t>
            </w:r>
          </w:p>
          <w:p w14:paraId="6863D93C">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0000FF"/>
                <w:spacing w:val="0"/>
                <w:sz w:val="24"/>
                <w:szCs w:val="24"/>
                <w:shd w:val="clear" w:fill="FFFFFF"/>
                <w:lang w:eastAsia="zh-CN"/>
              </w:rPr>
            </w:pPr>
            <w:r>
              <w:rPr>
                <w:rFonts w:hint="eastAsia" w:ascii="Times New Roman" w:hAnsi="Times New Roman" w:eastAsia="宋体" w:cs="Times New Roman"/>
                <w:i w:val="0"/>
                <w:iCs w:val="0"/>
                <w:caps w:val="0"/>
                <w:color w:val="0000FF"/>
                <w:spacing w:val="0"/>
                <w:sz w:val="24"/>
                <w:szCs w:val="24"/>
                <w:shd w:val="clear" w:fill="FFFFFF"/>
                <w:lang w:val="en-US" w:eastAsia="zh-CN"/>
              </w:rPr>
              <w:t>综上：本项目选址选线符合规划、政策、导则及生态环境分区管控要求，无环境制约因素，生态影响可控，环境风险低，环境效益显著，从环境保护角度，选址选线合理、可行。</w:t>
            </w:r>
          </w:p>
          <w:p w14:paraId="36B7BD9B">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i w:val="0"/>
                <w:iCs w:val="0"/>
                <w:caps w:val="0"/>
                <w:color w:val="1F2329"/>
                <w:spacing w:val="0"/>
                <w:sz w:val="24"/>
                <w:szCs w:val="24"/>
                <w:shd w:val="clear" w:fill="FFFFFF"/>
              </w:rPr>
            </w:pPr>
            <w:r>
              <w:rPr>
                <w:rFonts w:hint="default" w:ascii="Times New Roman" w:hAnsi="Times New Roman" w:eastAsia="宋体" w:cs="Times New Roman"/>
                <w:b/>
                <w:bCs/>
                <w:i w:val="0"/>
                <w:iCs w:val="0"/>
                <w:caps w:val="0"/>
                <w:color w:val="1F2329"/>
                <w:spacing w:val="0"/>
                <w:sz w:val="24"/>
                <w:szCs w:val="24"/>
                <w:shd w:val="clear" w:fill="FFFFFF"/>
                <w:lang w:val="en-US" w:eastAsia="zh-CN"/>
              </w:rPr>
              <w:t>2.</w:t>
            </w:r>
            <w:r>
              <w:rPr>
                <w:rFonts w:hint="default" w:ascii="Times New Roman" w:hAnsi="Times New Roman" w:eastAsia="宋体" w:cs="Times New Roman"/>
                <w:b/>
                <w:bCs/>
                <w:i w:val="0"/>
                <w:iCs w:val="0"/>
                <w:caps w:val="0"/>
                <w:color w:val="1F2329"/>
                <w:spacing w:val="0"/>
                <w:sz w:val="24"/>
                <w:szCs w:val="24"/>
                <w:shd w:val="clear" w:fill="FFFFFF"/>
              </w:rPr>
              <w:t>工程施工场地平面布置合理性分析</w:t>
            </w:r>
          </w:p>
          <w:p w14:paraId="7A94980A">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rPr>
            </w:pPr>
            <w:r>
              <w:rPr>
                <w:rFonts w:hint="eastAsia" w:ascii="Times New Roman" w:hAnsi="Times New Roman" w:eastAsia="宋体" w:cs="Times New Roman"/>
                <w:i w:val="0"/>
                <w:iCs w:val="0"/>
                <w:caps w:val="0"/>
                <w:color w:val="1F2329"/>
                <w:spacing w:val="0"/>
                <w:sz w:val="24"/>
                <w:szCs w:val="24"/>
                <w:shd w:val="clear" w:fill="FFFFFF"/>
                <w:lang w:eastAsia="zh-CN"/>
              </w:rPr>
              <w:t>本项目施工场地</w:t>
            </w:r>
            <w:r>
              <w:rPr>
                <w:rFonts w:hint="default" w:ascii="Times New Roman" w:hAnsi="Times New Roman" w:eastAsia="宋体" w:cs="Times New Roman"/>
                <w:i w:val="0"/>
                <w:iCs w:val="0"/>
                <w:caps w:val="0"/>
                <w:color w:val="1F2329"/>
                <w:spacing w:val="0"/>
                <w:sz w:val="24"/>
                <w:szCs w:val="24"/>
                <w:shd w:val="clear" w:fill="FFFFFF"/>
              </w:rPr>
              <w:t>分区清晰，作业高效：生产生活区、临时堆土场均紧邻</w:t>
            </w:r>
            <w:r>
              <w:rPr>
                <w:rFonts w:hint="eastAsia" w:ascii="Times New Roman" w:hAnsi="Times New Roman" w:eastAsia="宋体" w:cs="Times New Roman"/>
                <w:i w:val="0"/>
                <w:iCs w:val="0"/>
                <w:caps w:val="0"/>
                <w:color w:val="1F2329"/>
                <w:spacing w:val="0"/>
                <w:sz w:val="24"/>
                <w:szCs w:val="24"/>
                <w:shd w:val="clear" w:fill="FFFFFF"/>
                <w:lang w:eastAsia="zh-CN"/>
              </w:rPr>
              <w:t>工程</w:t>
            </w:r>
            <w:r>
              <w:rPr>
                <w:rFonts w:hint="default" w:ascii="Times New Roman" w:hAnsi="Times New Roman" w:eastAsia="宋体" w:cs="Times New Roman"/>
                <w:i w:val="0"/>
                <w:iCs w:val="0"/>
                <w:caps w:val="0"/>
                <w:color w:val="1F2329"/>
                <w:spacing w:val="0"/>
                <w:sz w:val="24"/>
                <w:szCs w:val="24"/>
                <w:shd w:val="clear" w:fill="FFFFFF"/>
              </w:rPr>
              <w:t>施工区，可最大限度缩短物料运输、人员通勤及土方转运的距离，提升施工效率</w:t>
            </w:r>
            <w:r>
              <w:rPr>
                <w:rFonts w:hint="eastAsia" w:ascii="Times New Roman" w:hAnsi="Times New Roman" w:eastAsia="宋体" w:cs="Times New Roman"/>
                <w:i w:val="0"/>
                <w:iCs w:val="0"/>
                <w:caps w:val="0"/>
                <w:color w:val="1F2329"/>
                <w:spacing w:val="0"/>
                <w:sz w:val="24"/>
                <w:szCs w:val="24"/>
                <w:shd w:val="clear" w:fill="FFFFFF"/>
                <w:lang w:eastAsia="zh-CN"/>
              </w:rPr>
              <w:t>，缩短施工时间</w:t>
            </w:r>
            <w:r>
              <w:rPr>
                <w:rFonts w:hint="default" w:ascii="Times New Roman" w:hAnsi="Times New Roman" w:eastAsia="宋体" w:cs="Times New Roman"/>
                <w:i w:val="0"/>
                <w:iCs w:val="0"/>
                <w:caps w:val="0"/>
                <w:color w:val="1F2329"/>
                <w:spacing w:val="0"/>
                <w:sz w:val="24"/>
                <w:szCs w:val="24"/>
                <w:shd w:val="clear" w:fill="FFFFFF"/>
              </w:rPr>
              <w:t>。 场地南侧、东侧依托甘平公路（S237），北侧依托纬三路，西侧既有道路可接入外部路网，对外交通条件优越，便于施工机械、建筑材料及人员的进出。临时堆土场位于生产生活区的东北侧，处于主导风向</w:t>
            </w:r>
            <w:r>
              <w:rPr>
                <w:rFonts w:hint="eastAsia" w:ascii="Times New Roman" w:hAnsi="Times New Roman" w:eastAsia="宋体" w:cs="Times New Roman"/>
                <w:i w:val="0"/>
                <w:iCs w:val="0"/>
                <w:caps w:val="0"/>
                <w:color w:val="1F2329"/>
                <w:spacing w:val="0"/>
                <w:sz w:val="24"/>
                <w:szCs w:val="24"/>
                <w:shd w:val="clear" w:fill="FFFFFF"/>
                <w:lang w:eastAsia="zh-CN"/>
              </w:rPr>
              <w:t>侧</w:t>
            </w:r>
            <w:r>
              <w:rPr>
                <w:rFonts w:hint="default" w:ascii="Times New Roman" w:hAnsi="Times New Roman" w:eastAsia="宋体" w:cs="Times New Roman"/>
                <w:i w:val="0"/>
                <w:iCs w:val="0"/>
                <w:caps w:val="0"/>
                <w:color w:val="1F2329"/>
                <w:spacing w:val="0"/>
                <w:sz w:val="24"/>
                <w:szCs w:val="24"/>
                <w:shd w:val="clear" w:fill="FFFFFF"/>
              </w:rPr>
              <w:t>风向，可有效降低施工扬尘对生活区的环境影响。</w:t>
            </w:r>
          </w:p>
          <w:p w14:paraId="69B69F1B">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i w:val="0"/>
                <w:iCs w:val="0"/>
                <w:caps w:val="0"/>
                <w:color w:val="1F2329"/>
                <w:spacing w:val="0"/>
                <w:sz w:val="24"/>
                <w:szCs w:val="24"/>
                <w:shd w:val="clear" w:fill="FFFFFF"/>
                <w:lang w:eastAsia="zh-CN"/>
              </w:rPr>
            </w:pPr>
            <w:r>
              <w:rPr>
                <w:rFonts w:hint="eastAsia" w:ascii="Times New Roman" w:hAnsi="Times New Roman" w:eastAsia="宋体" w:cs="Times New Roman"/>
                <w:i w:val="0"/>
                <w:iCs w:val="0"/>
                <w:caps w:val="0"/>
                <w:color w:val="1F2329"/>
                <w:spacing w:val="0"/>
                <w:sz w:val="24"/>
                <w:szCs w:val="24"/>
                <w:shd w:val="clear" w:fill="FFFFFF"/>
                <w:lang w:eastAsia="zh-CN"/>
              </w:rPr>
              <w:t>因此，本项</w:t>
            </w:r>
            <w:r>
              <w:rPr>
                <w:rFonts w:hint="eastAsia" w:ascii="Times New Roman" w:hAnsi="Times New Roman" w:eastAsia="宋体" w:cs="Times New Roman"/>
                <w:b w:val="0"/>
                <w:bCs w:val="0"/>
                <w:i w:val="0"/>
                <w:iCs w:val="0"/>
                <w:caps w:val="0"/>
                <w:color w:val="1F2329"/>
                <w:spacing w:val="0"/>
                <w:sz w:val="24"/>
                <w:szCs w:val="24"/>
                <w:shd w:val="clear" w:fill="FFFFFF"/>
                <w:lang w:eastAsia="zh-CN"/>
              </w:rPr>
              <w:t>目</w:t>
            </w:r>
            <w:r>
              <w:rPr>
                <w:rFonts w:hint="default" w:ascii="Times New Roman" w:hAnsi="Times New Roman" w:eastAsia="宋体" w:cs="Times New Roman"/>
                <w:b w:val="0"/>
                <w:bCs w:val="0"/>
                <w:i w:val="0"/>
                <w:iCs w:val="0"/>
                <w:caps w:val="0"/>
                <w:color w:val="auto"/>
                <w:spacing w:val="0"/>
                <w:sz w:val="24"/>
                <w:szCs w:val="24"/>
                <w:shd w:val="clear" w:fill="FFFFFF"/>
              </w:rPr>
              <w:t>施工场地平面布置合理</w:t>
            </w:r>
            <w:r>
              <w:rPr>
                <w:rFonts w:hint="eastAsia" w:ascii="Times New Roman" w:hAnsi="Times New Roman" w:eastAsia="宋体" w:cs="Times New Roman"/>
                <w:b w:val="0"/>
                <w:bCs w:val="0"/>
                <w:i w:val="0"/>
                <w:iCs w:val="0"/>
                <w:caps w:val="0"/>
                <w:color w:val="auto"/>
                <w:spacing w:val="0"/>
                <w:sz w:val="24"/>
                <w:szCs w:val="24"/>
                <w:shd w:val="clear" w:fill="FFFFFF"/>
                <w:lang w:eastAsia="zh-CN"/>
              </w:rPr>
              <w:t>。</w:t>
            </w:r>
          </w:p>
          <w:p w14:paraId="23955F28">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73838105">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42F0571D">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1EFCB94B">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47D5B782">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1FD1102B">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44D0696E">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4709CC49">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3E1E5D89">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5FE08EFF">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1FC877C8">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p w14:paraId="1EFDBC46">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bookmarkStart w:id="33" w:name="_GoBack"/>
            <w:bookmarkEnd w:id="33"/>
          </w:p>
          <w:p w14:paraId="2D1EFD43">
            <w:pPr>
              <w:pStyle w:val="63"/>
              <w:keepNext w:val="0"/>
              <w:keepLines w:val="0"/>
              <w:pageBreakBefore w:val="0"/>
              <w:suppressLineNumbers w:val="0"/>
              <w:tabs>
                <w:tab w:val="center" w:pos="4479"/>
                <w:tab w:val="right" w:pos="8866"/>
              </w:tabs>
              <w:wordWrap/>
              <w:topLinePunct w:val="0"/>
              <w:autoSpaceDE/>
              <w:autoSpaceDN/>
              <w:bidi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i w:val="0"/>
                <w:iCs w:val="0"/>
                <w:caps w:val="0"/>
                <w:color w:val="1F2329"/>
                <w:spacing w:val="0"/>
                <w:sz w:val="24"/>
                <w:szCs w:val="24"/>
                <w:shd w:val="clear" w:fill="FFFFFF"/>
                <w:lang w:eastAsia="zh-CN"/>
              </w:rPr>
            </w:pPr>
          </w:p>
        </w:tc>
      </w:tr>
    </w:tbl>
    <w:p w14:paraId="303828C5">
      <w:pPr>
        <w:pStyle w:val="23"/>
        <w:jc w:val="center"/>
        <w:rPr>
          <w:rFonts w:hint="default" w:ascii="Times New Roman" w:hAnsi="Times New Roman" w:eastAsia="仿宋" w:cs="Times New Roman"/>
          <w:snapToGrid w:val="0"/>
          <w:color w:val="auto"/>
          <w:sz w:val="36"/>
          <w:szCs w:val="36"/>
          <w:highlight w:val="none"/>
        </w:rPr>
        <w:sectPr>
          <w:pgSz w:w="11906" w:h="16838"/>
          <w:pgMar w:top="1134" w:right="1134" w:bottom="1134" w:left="1134" w:header="851" w:footer="1077" w:gutter="0"/>
          <w:pgBorders>
            <w:top w:val="none" w:sz="0" w:space="0"/>
            <w:left w:val="none" w:sz="0" w:space="0"/>
            <w:bottom w:val="none" w:sz="0" w:space="0"/>
            <w:right w:val="none" w:sz="0" w:space="0"/>
          </w:pgBorders>
          <w:cols w:space="425" w:num="1"/>
          <w:docGrid w:linePitch="312" w:charSpace="0"/>
        </w:sectPr>
      </w:pPr>
    </w:p>
    <w:p w14:paraId="3E32A77D">
      <w:pPr>
        <w:pStyle w:val="23"/>
        <w:spacing w:before="0" w:beforeAutospacing="0" w:after="0" w:afterAutospacing="0"/>
        <w:jc w:val="center"/>
        <w:outlineLvl w:val="0"/>
        <w:rPr>
          <w:rFonts w:hint="default" w:ascii="Times New Roman" w:hAnsi="Times New Roman" w:eastAsia="仿宋" w:cs="Times New Roman"/>
          <w:snapToGrid w:val="0"/>
          <w:color w:val="auto"/>
          <w:sz w:val="30"/>
          <w:szCs w:val="30"/>
          <w:highlight w:val="none"/>
        </w:rPr>
      </w:pPr>
      <w:bookmarkStart w:id="15" w:name="_Toc28285"/>
      <w:r>
        <w:rPr>
          <w:rFonts w:hint="default" w:ascii="Times New Roman" w:hAnsi="Times New Roman" w:eastAsia="仿宋" w:cs="Times New Roman"/>
          <w:b/>
          <w:bCs/>
          <w:snapToGrid w:val="0"/>
          <w:color w:val="auto"/>
          <w:sz w:val="30"/>
          <w:szCs w:val="30"/>
          <w:highlight w:val="none"/>
        </w:rPr>
        <w:t>五、主要生态环境保护措施</w:t>
      </w:r>
      <w:bookmarkEnd w:id="15"/>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8976"/>
      </w:tblGrid>
      <w:tr w14:paraId="3A4CE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408" w:type="pct"/>
            <w:tcMar>
              <w:left w:w="28" w:type="dxa"/>
              <w:right w:w="28" w:type="dxa"/>
            </w:tcMar>
            <w:vAlign w:val="center"/>
          </w:tcPr>
          <w:p w14:paraId="688D1F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pacing w:val="10"/>
                <w:sz w:val="24"/>
                <w:highlight w:val="none"/>
              </w:rPr>
              <w:t>施工期生态环境保护措施</w:t>
            </w:r>
          </w:p>
        </w:tc>
        <w:tc>
          <w:tcPr>
            <w:tcW w:w="4591" w:type="pct"/>
          </w:tcPr>
          <w:p w14:paraId="236F4601">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bookmarkStart w:id="16" w:name="_Toc22240"/>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lang w:val="en-US" w:eastAsia="zh-CN"/>
              </w:rPr>
              <w:t>生态环境</w:t>
            </w:r>
            <w:r>
              <w:rPr>
                <w:rFonts w:hint="default" w:ascii="Times New Roman" w:hAnsi="Times New Roman" w:eastAsia="宋体" w:cs="Times New Roman"/>
                <w:b/>
                <w:bCs/>
                <w:color w:val="auto"/>
                <w:sz w:val="28"/>
                <w:szCs w:val="28"/>
                <w:highlight w:val="none"/>
              </w:rPr>
              <w:t>防治措施</w:t>
            </w:r>
            <w:bookmarkEnd w:id="16"/>
          </w:p>
          <w:p w14:paraId="63B7807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bookmarkStart w:id="17" w:name="_Toc8235"/>
            <w:r>
              <w:rPr>
                <w:rFonts w:hint="default" w:ascii="Times New Roman" w:hAnsi="Times New Roman" w:eastAsia="宋体" w:cs="Times New Roman"/>
                <w:b w:val="0"/>
                <w:color w:val="auto"/>
                <w:kern w:val="2"/>
                <w:sz w:val="24"/>
                <w:szCs w:val="22"/>
                <w:highlight w:val="none"/>
                <w:lang w:val="en-US" w:eastAsia="zh-CN" w:bidi="ar-SA"/>
              </w:rPr>
              <w:t>根据工程建设特点，结合区域自然环境特征，可采取以下生态保护措施：</w:t>
            </w:r>
          </w:p>
          <w:p w14:paraId="0035EB3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1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①</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工程施工前对进场的施工人员进行环保教育，并定期开展例会，努力增强施工人员的环境保护意识，让施工人员熟悉施工要求和有关环境保护的具体操作规定，严禁施工人员未经许可砍伐树木；禁止捕杀鸟类、兽类等野生动物，在施工河段进行捕鱼活动或从事其它有碍生态环境保护的活动，以减轻施工活动对当地野生动植物的影响。保护好森林植被和野生动物栖息环境。对于非法捕猎、销售野生动物及其标本的犯罪人员应严厉制裁，坚决打击。</w:t>
            </w:r>
          </w:p>
          <w:p w14:paraId="15BCE9B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2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②</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在施工场地和营地设置动植物保护警示牌；在施工区标桩划界，根据工程施工的特点和范围，划定施工人员活动范围和施工界限，严格控制施工人员和施工机械等的活动范围，尽量缩小施工作业面。</w:t>
            </w:r>
          </w:p>
          <w:p w14:paraId="5377CCD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3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③</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施工期强化施工管理，优化施工组织，合理安排施工工序和施工时间，尽量不要在大风大雨天气进行土方工程施工；根据天气情况对施工场地不定期洒水，固化施工活动区域的松散地表，尽量缩短起尘操作时间。</w:t>
            </w:r>
          </w:p>
          <w:p w14:paraId="09DBC80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4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④</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施工道路应充分利用现有的道路、严禁在未征用的空地上随意碾压；</w:t>
            </w:r>
          </w:p>
          <w:p w14:paraId="26C36C5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5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⑤</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工程施工结束后及时对施工场地进行平整修缮，恢复其原有的使用功能，尽量减少对地表原有植被和土壤结构的破坏和扰动，促进植被的自然恢复。</w:t>
            </w:r>
          </w:p>
          <w:p w14:paraId="2F5FBC1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6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⑥</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由于工程区域生态环境较为脆弱，本工程将结合水环境保护、水土保持和生态保护措施，保护工程建设区域和周围环境，重点保护工程区内植被。水土保持措施是本工程重要的生态环境保护措施，其中水保措施中的植物措施对区内因工程建设造成的景观生态破坏可起到良好的恢复作用。</w:t>
            </w:r>
          </w:p>
          <w:p w14:paraId="796A4C9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fldChar w:fldCharType="begin"/>
            </w:r>
            <w:r>
              <w:rPr>
                <w:rFonts w:hint="default" w:ascii="Times New Roman" w:hAnsi="Times New Roman" w:eastAsia="宋体" w:cs="Times New Roman"/>
                <w:b w:val="0"/>
                <w:color w:val="auto"/>
                <w:kern w:val="2"/>
                <w:sz w:val="24"/>
                <w:szCs w:val="22"/>
                <w:highlight w:val="none"/>
                <w:lang w:val="en-US" w:eastAsia="zh-CN" w:bidi="ar-SA"/>
              </w:rPr>
              <w:instrText xml:space="preserve"> = 7 \* GB3 </w:instrText>
            </w:r>
            <w:r>
              <w:rPr>
                <w:rFonts w:hint="default" w:ascii="Times New Roman" w:hAnsi="Times New Roman" w:eastAsia="宋体" w:cs="Times New Roman"/>
                <w:b w:val="0"/>
                <w:color w:val="auto"/>
                <w:kern w:val="2"/>
                <w:sz w:val="24"/>
                <w:szCs w:val="22"/>
                <w:highlight w:val="none"/>
                <w:lang w:val="en-US" w:eastAsia="zh-CN" w:bidi="ar-SA"/>
              </w:rPr>
              <w:fldChar w:fldCharType="separate"/>
            </w:r>
            <w:r>
              <w:rPr>
                <w:rFonts w:hint="default" w:ascii="Times New Roman" w:hAnsi="Times New Roman" w:eastAsia="宋体" w:cs="Times New Roman"/>
                <w:b w:val="0"/>
                <w:color w:val="auto"/>
                <w:kern w:val="2"/>
                <w:sz w:val="24"/>
                <w:szCs w:val="22"/>
                <w:highlight w:val="none"/>
                <w:lang w:val="en-US" w:eastAsia="zh-CN" w:bidi="ar-SA"/>
              </w:rPr>
              <w:t>⑦</w:t>
            </w:r>
            <w:r>
              <w:rPr>
                <w:rFonts w:hint="default" w:ascii="Times New Roman" w:hAnsi="Times New Roman" w:eastAsia="宋体" w:cs="Times New Roman"/>
                <w:b w:val="0"/>
                <w:color w:val="auto"/>
                <w:kern w:val="2"/>
                <w:sz w:val="24"/>
                <w:szCs w:val="22"/>
                <w:highlight w:val="none"/>
                <w:lang w:val="en-US" w:eastAsia="zh-CN" w:bidi="ar-SA"/>
              </w:rPr>
              <w:fldChar w:fldCharType="end"/>
            </w:r>
            <w:r>
              <w:rPr>
                <w:rFonts w:hint="default" w:ascii="Times New Roman" w:hAnsi="Times New Roman" w:eastAsia="宋体" w:cs="Times New Roman"/>
                <w:b w:val="0"/>
                <w:color w:val="auto"/>
                <w:kern w:val="2"/>
                <w:sz w:val="24"/>
                <w:szCs w:val="22"/>
                <w:highlight w:val="none"/>
                <w:lang w:val="en-US" w:eastAsia="zh-CN" w:bidi="ar-SA"/>
              </w:rPr>
              <w:t>建设单位在招标中应将生态环境保护的具体要求，在招标文件中予以明确，投标单位必须出具保护好工程区生态环境的承诺含，作为投标的必备条件。</w:t>
            </w:r>
          </w:p>
          <w:p w14:paraId="7C7C9CD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val="0"/>
                <w:color w:val="auto"/>
                <w:kern w:val="2"/>
                <w:sz w:val="24"/>
                <w:szCs w:val="22"/>
                <w:highlight w:val="none"/>
                <w:lang w:val="en-US" w:eastAsia="zh-CN" w:bidi="ar-SA"/>
              </w:rPr>
              <w:t>上述生态环境保护措施合理可行，通过采取上述措施可最大程度减少生态破坏。</w:t>
            </w:r>
          </w:p>
          <w:p w14:paraId="558FC9F5">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2、</w:t>
            </w:r>
            <w:r>
              <w:rPr>
                <w:rFonts w:hint="default" w:ascii="Times New Roman" w:hAnsi="Times New Roman" w:eastAsia="宋体" w:cs="Times New Roman"/>
                <w:b/>
                <w:bCs/>
                <w:color w:val="auto"/>
                <w:sz w:val="28"/>
                <w:szCs w:val="28"/>
                <w:highlight w:val="none"/>
                <w:lang w:val="en-US" w:eastAsia="zh-CN"/>
              </w:rPr>
              <w:t>噪声</w:t>
            </w:r>
            <w:r>
              <w:rPr>
                <w:rFonts w:hint="default" w:ascii="Times New Roman" w:hAnsi="Times New Roman" w:eastAsia="宋体" w:cs="Times New Roman"/>
                <w:b/>
                <w:bCs/>
                <w:color w:val="auto"/>
                <w:sz w:val="28"/>
                <w:szCs w:val="28"/>
                <w:highlight w:val="none"/>
              </w:rPr>
              <w:t>防治措施</w:t>
            </w:r>
            <w:bookmarkEnd w:id="17"/>
          </w:p>
          <w:p w14:paraId="2547775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为了减轻施工期噪声对周围环境的影响，本次从噪声源和传播过程两个方面着手，具体防治措施如下：</w:t>
            </w:r>
          </w:p>
          <w:p w14:paraId="2619E96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（1）根据《建筑施工场界环境噪声排放标准》(GB12523-20</w:t>
            </w:r>
            <w:r>
              <w:rPr>
                <w:rFonts w:hint="eastAsia" w:cs="Times New Roman"/>
                <w:b w:val="0"/>
                <w:color w:val="auto"/>
                <w:kern w:val="2"/>
                <w:sz w:val="24"/>
                <w:szCs w:val="22"/>
                <w:highlight w:val="none"/>
                <w:lang w:val="en-US" w:eastAsia="zh-CN" w:bidi="ar-SA"/>
              </w:rPr>
              <w:t>25</w:t>
            </w:r>
            <w:r>
              <w:rPr>
                <w:rFonts w:hint="default" w:ascii="Times New Roman" w:hAnsi="Times New Roman" w:eastAsia="宋体" w:cs="Times New Roman"/>
                <w:b w:val="0"/>
                <w:color w:val="auto"/>
                <w:kern w:val="2"/>
                <w:sz w:val="24"/>
                <w:szCs w:val="22"/>
                <w:highlight w:val="none"/>
                <w:lang w:val="en-US" w:eastAsia="zh-CN" w:bidi="ar-SA"/>
              </w:rPr>
              <w:t>)的规定，合理安排施工时间，施工机械禁止夜间(22：00～6：00)进行施工。若因特殊需要连续施工的，施工单位应视具体情况及时与环保部门取得联系，按规定申领夜间施工证，同时发布公告最大限度地争取民众支持。</w:t>
            </w:r>
          </w:p>
          <w:p w14:paraId="3666390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w:t>
            </w:r>
            <w:r>
              <w:rPr>
                <w:rFonts w:hint="eastAsia" w:ascii="Times New Roman" w:hAnsi="Times New Roman" w:eastAsia="宋体" w:cs="Times New Roman"/>
                <w:b w:val="0"/>
                <w:color w:val="auto"/>
                <w:kern w:val="2"/>
                <w:sz w:val="24"/>
                <w:szCs w:val="22"/>
                <w:highlight w:val="none"/>
                <w:lang w:val="en-US" w:eastAsia="zh-CN" w:bidi="ar-SA"/>
              </w:rPr>
              <w:t>2</w:t>
            </w:r>
            <w:r>
              <w:rPr>
                <w:rFonts w:hint="default" w:ascii="Times New Roman" w:hAnsi="Times New Roman" w:eastAsia="宋体" w:cs="Times New Roman"/>
                <w:b w:val="0"/>
                <w:color w:val="auto"/>
                <w:kern w:val="2"/>
                <w:sz w:val="24"/>
                <w:szCs w:val="22"/>
                <w:highlight w:val="none"/>
                <w:lang w:val="en-US" w:eastAsia="zh-CN" w:bidi="ar-SA"/>
              </w:rPr>
              <w:t>）选用符合国家标准的施工机械和运输车辆，尽量采用低噪声的施工机械和运输车辆。</w:t>
            </w:r>
          </w:p>
          <w:p w14:paraId="47ADD47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w:t>
            </w:r>
            <w:r>
              <w:rPr>
                <w:rFonts w:hint="eastAsia" w:ascii="Times New Roman" w:hAnsi="Times New Roman" w:eastAsia="宋体" w:cs="Times New Roman"/>
                <w:b w:val="0"/>
                <w:color w:val="auto"/>
                <w:kern w:val="2"/>
                <w:sz w:val="24"/>
                <w:szCs w:val="22"/>
                <w:highlight w:val="none"/>
                <w:lang w:val="en-US" w:eastAsia="zh-CN" w:bidi="ar-SA"/>
              </w:rPr>
              <w:t>3</w:t>
            </w:r>
            <w:r>
              <w:rPr>
                <w:rFonts w:hint="default" w:ascii="Times New Roman" w:hAnsi="Times New Roman" w:eastAsia="宋体" w:cs="Times New Roman"/>
                <w:b w:val="0"/>
                <w:color w:val="auto"/>
                <w:kern w:val="2"/>
                <w:sz w:val="24"/>
                <w:szCs w:val="22"/>
                <w:highlight w:val="none"/>
                <w:lang w:val="en-US" w:eastAsia="zh-CN" w:bidi="ar-SA"/>
              </w:rPr>
              <w:t>）加强施工机械的保养，保持机械润滑，降低运行噪声。</w:t>
            </w:r>
          </w:p>
          <w:p w14:paraId="0713B60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w:t>
            </w:r>
            <w:r>
              <w:rPr>
                <w:rFonts w:hint="eastAsia" w:ascii="Times New Roman" w:hAnsi="Times New Roman" w:eastAsia="宋体" w:cs="Times New Roman"/>
                <w:b w:val="0"/>
                <w:color w:val="auto"/>
                <w:kern w:val="2"/>
                <w:sz w:val="24"/>
                <w:szCs w:val="22"/>
                <w:highlight w:val="none"/>
                <w:lang w:val="en-US" w:eastAsia="zh-CN" w:bidi="ar-SA"/>
              </w:rPr>
              <w:t>4</w:t>
            </w:r>
            <w:r>
              <w:rPr>
                <w:rFonts w:hint="default" w:ascii="Times New Roman" w:hAnsi="Times New Roman" w:eastAsia="宋体" w:cs="Times New Roman"/>
                <w:b w:val="0"/>
                <w:color w:val="auto"/>
                <w:kern w:val="2"/>
                <w:sz w:val="24"/>
                <w:szCs w:val="22"/>
                <w:highlight w:val="none"/>
                <w:lang w:val="en-US" w:eastAsia="zh-CN" w:bidi="ar-SA"/>
              </w:rPr>
              <w:t>）合理安排施工车流量，设立标示牌，限制施工区内车辆时速在20km以内，严格控制车辆鸣笛，限制车辆等噪声污染。</w:t>
            </w:r>
          </w:p>
          <w:p w14:paraId="0A1DC2E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val="0"/>
                <w:color w:val="auto"/>
                <w:kern w:val="2"/>
                <w:sz w:val="24"/>
                <w:szCs w:val="22"/>
                <w:highlight w:val="none"/>
                <w:lang w:val="en-US" w:eastAsia="zh-CN" w:bidi="ar-SA"/>
              </w:rPr>
              <w:t>综上，经采取有效防治措施后，施工期噪声得到缓解，对周围环境影响较小。措施可行。</w:t>
            </w:r>
          </w:p>
          <w:p w14:paraId="0ED6369F">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bookmarkStart w:id="18" w:name="_Toc9286"/>
            <w:r>
              <w:rPr>
                <w:rFonts w:hint="default" w:ascii="Times New Roman" w:hAnsi="Times New Roman" w:eastAsia="宋体" w:cs="Times New Roman"/>
                <w:b/>
                <w:bCs/>
                <w:color w:val="auto"/>
                <w:sz w:val="28"/>
                <w:szCs w:val="28"/>
                <w:highlight w:val="none"/>
              </w:rPr>
              <w:t>3、</w:t>
            </w:r>
            <w:r>
              <w:rPr>
                <w:rFonts w:hint="default" w:ascii="Times New Roman" w:hAnsi="Times New Roman" w:eastAsia="宋体" w:cs="Times New Roman"/>
                <w:b/>
                <w:bCs/>
                <w:color w:val="auto"/>
                <w:sz w:val="28"/>
                <w:szCs w:val="28"/>
                <w:highlight w:val="none"/>
                <w:lang w:val="en-US" w:eastAsia="zh-CN"/>
              </w:rPr>
              <w:t>废水</w:t>
            </w:r>
            <w:r>
              <w:rPr>
                <w:rFonts w:hint="default" w:ascii="Times New Roman" w:hAnsi="Times New Roman" w:eastAsia="宋体" w:cs="Times New Roman"/>
                <w:b/>
                <w:bCs/>
                <w:color w:val="auto"/>
                <w:sz w:val="28"/>
                <w:szCs w:val="28"/>
                <w:highlight w:val="none"/>
              </w:rPr>
              <w:t>防治措施</w:t>
            </w:r>
            <w:bookmarkEnd w:id="18"/>
          </w:p>
          <w:p w14:paraId="6970CB4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针对本项目施工期可能对水环境造成的具体影响途径，采取以下防治措施：</w:t>
            </w:r>
          </w:p>
          <w:p w14:paraId="4E810CD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①施工人员排放</w:t>
            </w:r>
            <w:r>
              <w:rPr>
                <w:rFonts w:hint="default" w:ascii="Times New Roman" w:hAnsi="Times New Roman" w:eastAsia="宋体" w:cs="Times New Roman"/>
                <w:b w:val="0"/>
                <w:color w:val="auto"/>
                <w:kern w:val="2"/>
                <w:sz w:val="24"/>
                <w:szCs w:val="24"/>
                <w:highlight w:val="none"/>
                <w:lang w:val="en-US" w:eastAsia="zh-CN" w:bidi="ar-SA"/>
              </w:rPr>
              <w:t>的生活污水主要为洗漱废水，施工期在施工场地建设1座10m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玻璃钢化粪池，</w:t>
            </w:r>
            <w:r>
              <w:rPr>
                <w:rFonts w:hint="default" w:ascii="Times New Roman" w:hAnsi="Times New Roman" w:eastAsia="宋体" w:cs="Times New Roman"/>
                <w:color w:val="auto"/>
                <w:sz w:val="24"/>
                <w:szCs w:val="24"/>
                <w:highlight w:val="none"/>
                <w:lang w:val="en-US" w:eastAsia="zh-CN"/>
              </w:rPr>
              <w:t>餐饮废水先经隔油池（1m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）处理</w:t>
            </w:r>
            <w:r>
              <w:rPr>
                <w:rFonts w:hint="eastAsia"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lang w:val="en-US" w:eastAsia="zh-CN"/>
              </w:rPr>
              <w:t>与生活污水一同进入化粪池处理，</w:t>
            </w:r>
            <w:r>
              <w:rPr>
                <w:rFonts w:hint="eastAsia" w:ascii="Times New Roman" w:hAnsi="Times New Roman" w:eastAsia="宋体" w:cs="Times New Roman"/>
                <w:b w:val="0"/>
                <w:color w:val="auto"/>
                <w:kern w:val="2"/>
                <w:sz w:val="24"/>
                <w:szCs w:val="24"/>
                <w:highlight w:val="none"/>
                <w:lang w:val="en-US" w:eastAsia="zh-CN" w:bidi="ar-SA"/>
              </w:rPr>
              <w:t>经</w:t>
            </w:r>
            <w:r>
              <w:rPr>
                <w:rFonts w:hint="default" w:ascii="Times New Roman" w:hAnsi="Times New Roman" w:eastAsia="宋体" w:cs="Times New Roman"/>
                <w:b w:val="0"/>
                <w:color w:val="auto"/>
                <w:kern w:val="2"/>
                <w:sz w:val="24"/>
                <w:szCs w:val="24"/>
                <w:highlight w:val="none"/>
                <w:lang w:val="en-US" w:eastAsia="zh-CN" w:bidi="ar-SA"/>
              </w:rPr>
              <w:t>化粪池处理后</w:t>
            </w:r>
            <w:r>
              <w:rPr>
                <w:rFonts w:hint="eastAsia" w:ascii="Times New Roman" w:hAnsi="Times New Roman" w:eastAsia="宋体" w:cs="Times New Roman"/>
                <w:b w:val="0"/>
                <w:color w:val="auto"/>
                <w:kern w:val="2"/>
                <w:sz w:val="24"/>
                <w:szCs w:val="24"/>
                <w:highlight w:val="none"/>
                <w:lang w:val="en-US" w:eastAsia="zh-CN" w:bidi="ar-SA"/>
              </w:rPr>
              <w:t>通过</w:t>
            </w:r>
            <w:r>
              <w:rPr>
                <w:rFonts w:hint="default" w:ascii="Times New Roman" w:hAnsi="Times New Roman" w:eastAsia="宋体" w:cs="Times New Roman"/>
                <w:b w:val="0"/>
                <w:color w:val="auto"/>
                <w:kern w:val="2"/>
                <w:sz w:val="24"/>
                <w:szCs w:val="24"/>
                <w:highlight w:val="none"/>
                <w:lang w:val="en-US" w:eastAsia="zh-CN" w:bidi="ar-SA"/>
              </w:rPr>
              <w:t>园区污水管网进入张掖经济技术开发区循环经济示范园污水处理厂处理</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不外排</w:t>
            </w:r>
            <w:r>
              <w:rPr>
                <w:rFonts w:hint="default" w:ascii="Times New Roman" w:hAnsi="Times New Roman" w:eastAsia="宋体" w:cs="Times New Roman"/>
                <w:b w:val="0"/>
                <w:color w:val="auto"/>
                <w:kern w:val="2"/>
                <w:sz w:val="24"/>
                <w:szCs w:val="22"/>
                <w:highlight w:val="none"/>
                <w:lang w:val="en-US" w:eastAsia="zh-CN" w:bidi="ar-SA"/>
              </w:rPr>
              <w:t>。</w:t>
            </w:r>
          </w:p>
          <w:p w14:paraId="083E08E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②施工阶段对施工人员产生的生活垃圾以及其他固体废弃物集中收集，并且日产日清，严禁随意丢弃或随意倾倒；</w:t>
            </w:r>
          </w:p>
          <w:p w14:paraId="47FDA2E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③施工过程中对开挖的土方及时进行苫盖处理，遇大风大雨天气停止施工作业，每一路段施工结束后对剩余土方就近平整处理，难以处理的及时拉运至附近的建筑垃圾填埋场填埋处置，避免长期堆存；</w:t>
            </w:r>
          </w:p>
          <w:p w14:paraId="38C0FCB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④对施工机械定期进行检查维护，做好保养，每日施工结束后对施工机械进行遮盖处理，避免因大雨冲刷带来油污污染。</w:t>
            </w:r>
          </w:p>
          <w:p w14:paraId="5106BE6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通过上述处理措施，本项目施工期间产生的废水对周边的环境影响较小。</w:t>
            </w:r>
          </w:p>
          <w:p w14:paraId="41BB06CA">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4、大气污染</w:t>
            </w:r>
            <w:r>
              <w:rPr>
                <w:rFonts w:hint="default" w:ascii="Times New Roman" w:hAnsi="Times New Roman" w:eastAsia="宋体" w:cs="Times New Roman"/>
                <w:b/>
                <w:bCs/>
                <w:color w:val="auto"/>
                <w:sz w:val="28"/>
                <w:szCs w:val="28"/>
                <w:highlight w:val="none"/>
              </w:rPr>
              <w:t>防治措施</w:t>
            </w:r>
          </w:p>
          <w:p w14:paraId="08A3FD0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bookmarkStart w:id="19" w:name="_Toc4532"/>
            <w:r>
              <w:rPr>
                <w:rFonts w:hint="default" w:ascii="Times New Roman" w:hAnsi="Times New Roman" w:eastAsia="宋体" w:cs="Times New Roman"/>
                <w:b/>
                <w:bCs/>
                <w:color w:val="auto"/>
                <w:kern w:val="2"/>
                <w:sz w:val="24"/>
                <w:szCs w:val="22"/>
                <w:highlight w:val="none"/>
                <w:lang w:val="en-US" w:eastAsia="zh-CN" w:bidi="ar-SA"/>
              </w:rPr>
              <w:t>4.1主体工程施工大气污染防治措施</w:t>
            </w:r>
          </w:p>
          <w:p w14:paraId="5672DA0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根据《防治城市扬尘污染技术规范》（HJ/T393-2007）、《甘肃省大气污染防治条例》等文件，最大程度降低施工扬尘对周围环境的影响，本次环评要求对项目施工场地采取如下的扬尘防治措施：</w:t>
            </w:r>
          </w:p>
          <w:p w14:paraId="1B4024E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①工程开工前建设单位应在到城管执法部门报备施工扬尘污染防治方案，实施扬尘防治全过程管理，责任到每个施工工序。</w:t>
            </w:r>
          </w:p>
          <w:p w14:paraId="1B0AC5B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②建筑工地采用封闭式施工方法，即将建筑工地与周围环境隔开，在施工场地四周设置稳固、整齐、美观并符合安全标准要求的连续封闭式围挡，严禁围挡不严或敞开式施工。</w:t>
            </w:r>
          </w:p>
          <w:p w14:paraId="7C226BB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③施工现场水泥、砂石、粉状物的堆放场地必须搭建封闭式简易棚，不得露天随意堆放。施工现场建筑材料、施工设备等采取按需供货方式，不再场地内堆放，设置集中堆放建筑垃圾、渣土的场地；建筑垃圾、渣土不能在规定的时间内及时清运的，应当在施工场地内实施覆盖或者采取其他有效防尘措施，严禁露天堆放。</w:t>
            </w:r>
          </w:p>
          <w:p w14:paraId="2031DF9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④对工程运输上路施工车辆进行冲洗。配备高压冲洗设备，运输车辆驶离工地前车辆轮胎及车身必须100%清洗，不得带泥上路。</w:t>
            </w:r>
          </w:p>
          <w:p w14:paraId="3FCDD15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⑤运输散体物料车辆需进行遮盖、密闭，减少扬尘污染，如遇大风天气应停止施工作业，驶离建筑工地车辆轮胎必须经过清洗，不得带泥上路。物料运输车辆均应加盖防尘布。</w:t>
            </w:r>
          </w:p>
          <w:p w14:paraId="65FD314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⑥土方工程施工过程中遇到易起尘的土方工程时辅以洒水压尘，尽量缩短起尘操作时间；遇到四级或四级以上大风天气时应停止土方作业，使用外购的预拌商品混凝土，不得现场露天搅拌混凝土；在建筑物、构筑物上运送散装物料和建筑垃圾的，应当采用密闭方式，禁止高空抛掷、扬撒。</w:t>
            </w:r>
          </w:p>
          <w:p w14:paraId="18B5816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⑦施工期产生的建筑垃圾和生活垃圾应严格按照环评要求进行妥善处理，严禁在施工场地内及周边焚烧建筑垃圾、生活垃圾以及其他产生有毒有害烟尘和恶臭气体的物质。施工场地专人负责逸散性材料、垃圾、渣土、裸地等密闭、覆盖、洒水作业以及车辆清洗作业等，建设视频监控装置进行实时监控，并记录扬尘控制措施的实施情况。</w:t>
            </w:r>
          </w:p>
          <w:p w14:paraId="75F1B37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⑧施工场地及时采取硬化、洒水防尘等措施，施工作业面、运输道路及施工道路按要求洒水。</w:t>
            </w:r>
          </w:p>
          <w:p w14:paraId="764770A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道路扬尘：</w:t>
            </w:r>
          </w:p>
          <w:p w14:paraId="5D7AB76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①施工道路应充分利用现有的道路，施工期应根据道路实际情况进行修补以保持平整，随时保持运行状态良好。</w:t>
            </w:r>
          </w:p>
          <w:p w14:paraId="052C473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②严格控制施工机械和运输车辆的活动范围，要求在划定的施工界限范围内施工，并限制运输车辆的行驶速度，严禁车辆在施工区域范围外的空地上随意碾压。</w:t>
            </w:r>
          </w:p>
          <w:p w14:paraId="2ADC523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③施工期应视天气及作业强度对路面适时洒水，控制路面含水率，尽量减少道路扬尘的产生量。</w:t>
            </w:r>
          </w:p>
          <w:p w14:paraId="0850D4D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④运输车辆应根据核定的载重量装载渣土，对在运输过程中可能产生扬尘的渣土应采取篷布覆盖等措施，防止运输过程中的洒落，避免在大风天气时运输渣土。</w:t>
            </w:r>
            <w:r>
              <w:rPr>
                <w:rFonts w:hint="default" w:ascii="Times New Roman" w:hAnsi="Times New Roman" w:eastAsia="宋体" w:cs="Times New Roman"/>
                <w:b w:val="0"/>
                <w:color w:val="auto"/>
                <w:kern w:val="2"/>
                <w:sz w:val="24"/>
                <w:szCs w:val="22"/>
                <w:highlight w:val="none"/>
                <w:lang w:val="en-US" w:eastAsia="zh-CN" w:bidi="ar-SA"/>
              </w:rPr>
              <w:br w:type="textWrapping"/>
            </w:r>
            <w:r>
              <w:rPr>
                <w:rFonts w:hint="default" w:ascii="Times New Roman" w:hAnsi="Times New Roman" w:eastAsia="宋体" w:cs="Times New Roman"/>
                <w:b w:val="0"/>
                <w:color w:val="auto"/>
                <w:kern w:val="2"/>
                <w:sz w:val="24"/>
                <w:szCs w:val="22"/>
                <w:highlight w:val="none"/>
                <w:lang w:val="en-US" w:eastAsia="zh-CN" w:bidi="ar-SA"/>
              </w:rPr>
              <w:t>其他措施：</w:t>
            </w:r>
          </w:p>
          <w:p w14:paraId="4925320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①针对机动车尾气污染，应尽量选用低能耗、低污染排放的施工机械和运输车辆等，并加强施工机械的管理、保养、维护，减少因其状况不佳造成的空气污染。</w:t>
            </w:r>
          </w:p>
          <w:p w14:paraId="21A83CC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建设单位应设专职人员负责扬尘控制措施的实施和监督，负责散逸性材料、垃圾、渣土、裸地的覆盖、洒水及车辆清洗等，并记录扬尘控制措施的实施情况。采取以上措施后达到《大气污染物综合排放标准》（GB16297—1996）无组织排放限值要求，上述大气污染防治措施在技术和经济上均合理可行，污染治理效果良好。</w:t>
            </w:r>
          </w:p>
          <w:p w14:paraId="7BA3C8C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采取以上措施，使施工期扬尘排放达到《大气污染物综合排放标准》（GB16297-1996）中新污染源二级标准，降低扬尘对周围环境空气的影响。</w:t>
            </w:r>
          </w:p>
          <w:p w14:paraId="2E39E6A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4.2混凝土临时拌合站大气污染防治措施</w:t>
            </w:r>
          </w:p>
          <w:p w14:paraId="455B7D1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（1）搅拌机废气</w:t>
            </w:r>
          </w:p>
          <w:p w14:paraId="70A4AB9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有组织搅拌机废气通过集气罩+布袋除尘器处理后，通过15m高的排气筒排放，集气罩未能收集的无组织搅拌机废气通过自然沉降等措施抑尘，以无组织形式排放。</w:t>
            </w:r>
          </w:p>
          <w:p w14:paraId="1FEA968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（2）筒仓呼吸粉尘</w:t>
            </w:r>
          </w:p>
          <w:p w14:paraId="3782A42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水泥、粉煤灰、卸料过程中，粉料通过运输车辆与相应料筒仓管道封闭直连，启用车辆自带的空气压缩机，利用压缩空气将粉料通过管道输送至筒仓储存，细粉料卸料过程产生的粉尘由仓顶呼吸口排出。筒仓自带除尘器，除尘效率为99%，筒仓内产生的粉尘废气经筒顶自带除尘器处理后排放。</w:t>
            </w:r>
          </w:p>
          <w:p w14:paraId="75AEB43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（3）砂料装卸及储存粉尘</w:t>
            </w:r>
          </w:p>
          <w:p w14:paraId="1CF04DB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本项目粗砂料、细砂料堆放在全封闭的原料库内，主要环境问题是细砂料粒径较小，在风力作用、机械装载以及卸载过程中起尘。通过设置全封闭的原料库，并进行洒水降尘，因此其扬尘产量很小。</w:t>
            </w:r>
          </w:p>
          <w:p w14:paraId="638721F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（4）上料粉尘</w:t>
            </w:r>
          </w:p>
          <w:p w14:paraId="508EF81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项目上料采用装载机将石料从原料库内运出倒入配料仓中，骨料通过配料仓落入下方的皮带输送机上，由皮带输送机将石料输送到搅拌机。上料过程产生的粉尘，通过设置封闭的配料库，自然沉降等措施抑尘，以无组织形式排放。</w:t>
            </w:r>
          </w:p>
          <w:p w14:paraId="3D43158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（5）皮带输送粉尘</w:t>
            </w:r>
          </w:p>
          <w:p w14:paraId="658EBD5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本项目粗砂及细砂等原料的运输，采用密闭输送皮带等方式完成，基本不会产生粉尘。</w:t>
            </w:r>
          </w:p>
          <w:p w14:paraId="546B9FB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混凝土临时拌合站在施工期使用，施工结束后混凝土拌合站作为临时工程将进行拆除。</w:t>
            </w:r>
          </w:p>
          <w:p w14:paraId="02A35F58">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、固体废物防治措施</w:t>
            </w:r>
            <w:bookmarkEnd w:id="19"/>
          </w:p>
          <w:p w14:paraId="1AF4068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本项目施工期产生的固体废物主要来源于施工人员生活垃圾、土石方、施工过程建筑垃圾和混凝土临时拌合站固废。</w:t>
            </w:r>
          </w:p>
          <w:p w14:paraId="5C660AB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（1）生活垃圾</w:t>
            </w:r>
          </w:p>
          <w:p w14:paraId="1C6107C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施工场地应在施工营地设置垃圾桶集中收集生活垃圾，并联系环卫部门定期清运处置。</w:t>
            </w:r>
          </w:p>
          <w:p w14:paraId="1FF23A6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（2）建筑垃圾</w:t>
            </w:r>
          </w:p>
          <w:p w14:paraId="4A96CF0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建筑垃圾首先应考虑回收利用，对钢筋、钢板、木材等下角料可分类回收，出售给废物收购站；对不能回收的建筑垃圾，如混凝土废料、含砖、石、砂的杂土等定时清运到当地住建部门指定的场所。</w:t>
            </w:r>
          </w:p>
          <w:p w14:paraId="290A9EE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（3）土石方</w:t>
            </w:r>
          </w:p>
          <w:p w14:paraId="6A3D00A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库区开挖的土石方填筑到坝体，无弃方产生。</w:t>
            </w:r>
          </w:p>
          <w:p w14:paraId="6B56571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（4）混凝土临时拌合站</w:t>
            </w:r>
          </w:p>
          <w:p w14:paraId="4B12120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1）罐车及搅拌机废料</w:t>
            </w:r>
          </w:p>
          <w:p w14:paraId="3E03A15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罐车及搅拌机废料产生量为</w:t>
            </w:r>
            <w:r>
              <w:rPr>
                <w:rFonts w:hint="eastAsia" w:ascii="Times New Roman" w:hAnsi="Times New Roman" w:eastAsia="宋体" w:cs="Times New Roman"/>
                <w:b w:val="0"/>
                <w:color w:val="auto"/>
                <w:kern w:val="2"/>
                <w:sz w:val="24"/>
                <w:szCs w:val="22"/>
                <w:highlight w:val="none"/>
                <w:lang w:val="en-US" w:eastAsia="zh-CN" w:bidi="ar-SA"/>
              </w:rPr>
              <w:t>33.48</w:t>
            </w:r>
            <w:r>
              <w:rPr>
                <w:rFonts w:hint="default" w:ascii="Times New Roman" w:hAnsi="Times New Roman" w:eastAsia="宋体" w:cs="Times New Roman"/>
                <w:b w:val="0"/>
                <w:color w:val="auto"/>
                <w:kern w:val="2"/>
                <w:sz w:val="24"/>
                <w:szCs w:val="22"/>
                <w:highlight w:val="none"/>
                <w:lang w:val="en-US" w:eastAsia="zh-CN" w:bidi="ar-SA"/>
              </w:rPr>
              <w:t>t/a，废料集中收集后作为原料生产。</w:t>
            </w:r>
          </w:p>
          <w:p w14:paraId="4A3668D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2）沉淀池泥渣</w:t>
            </w:r>
          </w:p>
          <w:p w14:paraId="7082C63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沉淀池泥渣的产生量为1.5t/a，泥渣回用作生产原料。</w:t>
            </w:r>
          </w:p>
          <w:p w14:paraId="5025356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3）除尘灰</w:t>
            </w:r>
          </w:p>
          <w:p w14:paraId="76D8358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粉尘的收集量为</w:t>
            </w:r>
            <w:r>
              <w:rPr>
                <w:rFonts w:hint="eastAsia" w:ascii="Times New Roman" w:hAnsi="Times New Roman" w:cs="Times New Roman"/>
                <w:b w:val="0"/>
                <w:color w:val="auto"/>
                <w:kern w:val="2"/>
                <w:sz w:val="24"/>
                <w:szCs w:val="22"/>
                <w:highlight w:val="none"/>
                <w:lang w:val="en-US" w:eastAsia="zh-CN" w:bidi="ar-SA"/>
              </w:rPr>
              <w:t>44.02</w:t>
            </w:r>
            <w:r>
              <w:rPr>
                <w:rFonts w:hint="default" w:ascii="Times New Roman" w:hAnsi="Times New Roman" w:eastAsia="宋体" w:cs="Times New Roman"/>
                <w:b w:val="0"/>
                <w:color w:val="auto"/>
                <w:kern w:val="2"/>
                <w:sz w:val="24"/>
                <w:szCs w:val="22"/>
                <w:highlight w:val="none"/>
                <w:lang w:val="en-US" w:eastAsia="zh-CN" w:bidi="ar-SA"/>
              </w:rPr>
              <w:t>t/a。除尘灰收集后回用于生产。</w:t>
            </w:r>
          </w:p>
          <w:p w14:paraId="0006A9A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 w:val="0"/>
                <w:color w:val="auto"/>
                <w:kern w:val="2"/>
                <w:sz w:val="24"/>
                <w:szCs w:val="22"/>
                <w:highlight w:val="none"/>
                <w:lang w:val="en-US" w:eastAsia="zh-CN" w:bidi="ar-SA"/>
              </w:rPr>
              <w:t>综上，项目施工期固体废物均得到妥善处置，对周围环境影响较小。措施可行。</w:t>
            </w:r>
          </w:p>
        </w:tc>
      </w:tr>
      <w:tr w14:paraId="0B8F2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08" w:type="pct"/>
            <w:tcMar>
              <w:left w:w="28" w:type="dxa"/>
              <w:right w:w="28" w:type="dxa"/>
            </w:tcMar>
            <w:vAlign w:val="center"/>
          </w:tcPr>
          <w:p w14:paraId="08F43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10"/>
                <w:sz w:val="24"/>
                <w:highlight w:val="none"/>
              </w:rPr>
            </w:pPr>
            <w:r>
              <w:rPr>
                <w:rFonts w:hint="default" w:ascii="Times New Roman" w:hAnsi="Times New Roman" w:eastAsia="宋体" w:cs="Times New Roman"/>
                <w:b/>
                <w:color w:val="auto"/>
                <w:spacing w:val="10"/>
                <w:sz w:val="24"/>
                <w:highlight w:val="none"/>
              </w:rPr>
              <w:t>运营期生态环境保护措施</w:t>
            </w:r>
          </w:p>
        </w:tc>
        <w:tc>
          <w:tcPr>
            <w:tcW w:w="4591" w:type="pct"/>
          </w:tcPr>
          <w:p w14:paraId="488FF9B0">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bookmarkStart w:id="20" w:name="_Toc6435"/>
            <w:r>
              <w:rPr>
                <w:rFonts w:hint="default" w:ascii="Times New Roman" w:hAnsi="Times New Roman" w:eastAsia="宋体" w:cs="Times New Roman"/>
                <w:b/>
                <w:bCs/>
                <w:color w:val="auto"/>
                <w:sz w:val="28"/>
                <w:szCs w:val="28"/>
                <w:highlight w:val="none"/>
              </w:rPr>
              <w:t>1、环境空气污染防治措施</w:t>
            </w:r>
            <w:bookmarkEnd w:id="20"/>
          </w:p>
          <w:p w14:paraId="3DBC5E23">
            <w:pPr>
              <w:pStyle w:val="5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本项目为水库工程，设置水厂泵站值班室，泵站日常运行、维护及值班人员管理均由相邻自来水厂统一负责，人员隶属于自来水厂，水库工程仅开展定期巡检工作，不单独设置常驻运维人员。</w:t>
            </w:r>
          </w:p>
          <w:p w14:paraId="61AD5C6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项目运营期无生产工艺废气产生，泵站仅为机电设备运行，无燃煤、燃油、燃气等锅炉及其他废气排放设施，无废气污染物产生与排放。</w:t>
            </w:r>
            <w:r>
              <w:rPr>
                <w:rFonts w:hint="default" w:ascii="Times New Roman" w:hAnsi="Times New Roman" w:eastAsia="宋体" w:cs="Times New Roman"/>
                <w:b w:val="0"/>
                <w:color w:val="auto"/>
                <w:kern w:val="2"/>
                <w:sz w:val="24"/>
                <w:szCs w:val="22"/>
                <w:highlight w:val="none"/>
                <w:lang w:val="en-US" w:eastAsia="zh-CN" w:bidi="ar-SA"/>
              </w:rPr>
              <w:t>对周围环境基本没有影响。</w:t>
            </w:r>
          </w:p>
          <w:p w14:paraId="0D6597C7">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bookmarkStart w:id="21" w:name="_Toc25584"/>
            <w:r>
              <w:rPr>
                <w:rFonts w:hint="default" w:ascii="Times New Roman" w:hAnsi="Times New Roman" w:eastAsia="宋体" w:cs="Times New Roman"/>
                <w:b/>
                <w:bCs/>
                <w:color w:val="auto"/>
                <w:sz w:val="28"/>
                <w:szCs w:val="28"/>
                <w:highlight w:val="none"/>
              </w:rPr>
              <w:t>2、水环境保护措施</w:t>
            </w:r>
            <w:bookmarkEnd w:id="21"/>
          </w:p>
          <w:p w14:paraId="3A15C036">
            <w:pPr>
              <w:pStyle w:val="5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color w:val="auto"/>
                <w:kern w:val="2"/>
                <w:sz w:val="24"/>
                <w:szCs w:val="22"/>
                <w:highlight w:val="none"/>
                <w:lang w:val="en-US" w:eastAsia="zh-CN" w:bidi="ar-SA"/>
              </w:rPr>
            </w:pPr>
            <w:r>
              <w:rPr>
                <w:rFonts w:hint="eastAsia" w:ascii="Times New Roman" w:hAnsi="Times New Roman" w:eastAsia="宋体" w:cs="Times New Roman"/>
                <w:b w:val="0"/>
                <w:color w:val="auto"/>
                <w:kern w:val="2"/>
                <w:sz w:val="24"/>
                <w:szCs w:val="22"/>
                <w:highlight w:val="none"/>
                <w:lang w:val="en-US" w:eastAsia="zh-CN" w:bidi="ar-SA"/>
              </w:rPr>
              <w:t>项目运营期不单独设置常驻运维人员，无废水产生。</w:t>
            </w:r>
          </w:p>
          <w:p w14:paraId="1D984108">
            <w:pPr>
              <w:pStyle w:val="5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color w:val="auto"/>
                <w:kern w:val="2"/>
                <w:sz w:val="24"/>
                <w:szCs w:val="22"/>
                <w:highlight w:val="none"/>
                <w:lang w:val="en-US" w:eastAsia="zh-CN" w:bidi="ar-SA"/>
              </w:rPr>
            </w:pPr>
            <w:r>
              <w:rPr>
                <w:rFonts w:hint="default" w:ascii="Segoe UI Symbol" w:hAnsi="Segoe UI Symbol" w:eastAsia="Segoe UI Symbol" w:cs="Segoe UI Symbol"/>
                <w:i w:val="0"/>
                <w:iCs w:val="0"/>
                <w:caps w:val="0"/>
                <w:color w:val="000000"/>
                <w:spacing w:val="0"/>
                <w:sz w:val="24"/>
                <w:szCs w:val="24"/>
              </w:rPr>
              <w:t>本项目为园区内水库工程，承担园区工业用水保障功能，</w:t>
            </w:r>
            <w:r>
              <w:rPr>
                <w:rFonts w:hint="eastAsia" w:ascii="Segoe UI Symbol" w:hAnsi="Segoe UI Symbol" w:eastAsia="宋体" w:cs="Segoe UI Symbol"/>
                <w:i w:val="0"/>
                <w:iCs w:val="0"/>
                <w:caps w:val="0"/>
                <w:color w:val="000000"/>
                <w:spacing w:val="0"/>
                <w:sz w:val="24"/>
                <w:szCs w:val="24"/>
                <w:lang w:eastAsia="zh-CN"/>
              </w:rPr>
              <w:t>为维持水质不受影响，应采取一下防护措施</w:t>
            </w:r>
            <w:r>
              <w:rPr>
                <w:rFonts w:hint="eastAsia" w:ascii="Segoe UI Symbol" w:hAnsi="Segoe UI Symbol" w:eastAsia="宋体" w:cs="Segoe UI Symbol"/>
                <w:i w:val="0"/>
                <w:iCs w:val="0"/>
                <w:caps w:val="0"/>
                <w:color w:val="000000"/>
                <w:spacing w:val="0"/>
                <w:sz w:val="24"/>
                <w:szCs w:val="24"/>
                <w:lang w:val="en-US" w:eastAsia="zh-CN"/>
              </w:rPr>
              <w:t>:</w:t>
            </w:r>
          </w:p>
          <w:p w14:paraId="2F0C563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（1）蓄水池防护措施</w:t>
            </w:r>
          </w:p>
          <w:p w14:paraId="3EB6B17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1）建立水质安全预警</w:t>
            </w:r>
          </w:p>
          <w:p w14:paraId="3C3443B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建立区域供水水质监管体系和检测网络：对供水系统运行状况数据进行收集、汇总和分析并做出报告；强化供水的安全管理，定期进行安全检查，消除安全隐患等。按照区域供水系统突发事件的潜在危险程度和可能的发展趋势，设置不同预警级别。一旦进入预警期后，市供水应急指挥部可以根据不同级别采取相应措施。</w:t>
            </w:r>
          </w:p>
          <w:p w14:paraId="10FA790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进入预警状态后，政府有关部门应当采取以下措施：</w:t>
            </w:r>
          </w:p>
          <w:p w14:paraId="3E8F344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①立即启动相关应急预案，发布预警公告；</w:t>
            </w:r>
          </w:p>
          <w:p w14:paraId="3C8600F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②转移、撤离或者疏散可能受到危害的人员，并进行妥善安置；</w:t>
            </w:r>
          </w:p>
          <w:p w14:paraId="6420D62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③指令各环境应急救援队伍进入应急状态，环境监测部门立即开展应急监测，随时掌握并报告失态进展境况。</w:t>
            </w:r>
          </w:p>
          <w:p w14:paraId="6B8FECD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④针对突发事件可能造成的危害，封闭、隔离或者限制使用有关场所，中止可能导致危害扩大的行为和活动。</w:t>
            </w:r>
          </w:p>
          <w:p w14:paraId="629B97C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⑤调集相关应急物资和设备，确保应急保障工作。</w:t>
            </w:r>
          </w:p>
          <w:p w14:paraId="40596ECD">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2）加强公众监督</w:t>
            </w:r>
          </w:p>
          <w:p w14:paraId="543F7825">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多渠道、多形式向社会公布水源保护信息，推广水质旬报（月报）制度。定期向社会公布水源水质达标情况，鼓励公众多途径参与水源保护，鼓励周边居民举报环境违法行为，及时表彰和奖励环境保护先进集体和个人，维护群众的知情权、监督权和参与权。</w:t>
            </w:r>
          </w:p>
          <w:p w14:paraId="01E3E78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3）加强水源保护宣传与教育</w:t>
            </w:r>
          </w:p>
          <w:p w14:paraId="2621A70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新闻宣传部门和有关单位要积极配合供水部门，加强水源保护的宣传与教育，提高居民环境保护意识，共同参与水源保护工作，为经济社会发展和人民群众健康生活提供保障。</w:t>
            </w:r>
          </w:p>
          <w:p w14:paraId="5804C62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bookmarkStart w:id="22" w:name="6.3.2运行管理措施"/>
            <w:bookmarkEnd w:id="22"/>
            <w:r>
              <w:rPr>
                <w:rFonts w:hint="default" w:ascii="Times New Roman" w:hAnsi="Times New Roman" w:eastAsia="宋体" w:cs="Times New Roman"/>
                <w:b w:val="0"/>
                <w:color w:val="auto"/>
                <w:kern w:val="2"/>
                <w:sz w:val="24"/>
                <w:szCs w:val="22"/>
                <w:highlight w:val="none"/>
                <w:lang w:val="en-US" w:eastAsia="zh-CN" w:bidi="ar-SA"/>
              </w:rPr>
              <w:t>4）运行管理措施</w:t>
            </w:r>
          </w:p>
          <w:p w14:paraId="1518613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运行管理包括建立运行管理制度，制定水质检验、水源管理、输水管理的措施。</w:t>
            </w:r>
          </w:p>
          <w:p w14:paraId="04C2228E">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①水质检验</w:t>
            </w:r>
          </w:p>
          <w:p w14:paraId="3A8406F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A供水单位应根据工程具体情况建立水质检验制度，配备检验人员和检验设备，对原水进行水质检验，并接受当地卫生部门的监督。</w:t>
            </w:r>
          </w:p>
          <w:p w14:paraId="3531196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B水质检验项目和频率应根据原水水质确定，按规范要求定期取样检验。</w:t>
            </w:r>
          </w:p>
          <w:p w14:paraId="399D9F5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C当检验结果超出水质指标限值时，应立即重复测定，并增加检验频率。水质检验结果连续超标时，应查明原因，并采取有效措施防止对人体健康造成危害。</w:t>
            </w:r>
          </w:p>
          <w:p w14:paraId="6ECB2FD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D水质检验记录应完整清晰并存档。</w:t>
            </w:r>
          </w:p>
          <w:p w14:paraId="22A1B6D1">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②水源管理</w:t>
            </w:r>
          </w:p>
          <w:p w14:paraId="2CAED8D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供水单位应按照国家颁发的《饮用水水源保护区污染防治管理规定》的要求，结合实际情况，于地表水水源周围设铁丝网围栏，并经常巡视，及时处理影响水源安全的问题。每天应记录水源取水量。</w:t>
            </w:r>
          </w:p>
          <w:p w14:paraId="32064A10">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bookmarkStart w:id="23" w:name="_Toc23644"/>
            <w:r>
              <w:rPr>
                <w:rFonts w:hint="default" w:ascii="Times New Roman" w:hAnsi="Times New Roman" w:eastAsia="宋体" w:cs="Times New Roman"/>
                <w:b/>
                <w:bCs/>
                <w:color w:val="auto"/>
                <w:sz w:val="28"/>
                <w:szCs w:val="28"/>
                <w:highlight w:val="none"/>
              </w:rPr>
              <w:t>3、声环境</w:t>
            </w:r>
            <w:bookmarkEnd w:id="23"/>
            <w:r>
              <w:rPr>
                <w:rFonts w:hint="default" w:ascii="Times New Roman" w:hAnsi="Times New Roman" w:eastAsia="宋体" w:cs="Times New Roman"/>
                <w:b/>
                <w:bCs/>
                <w:color w:val="auto"/>
                <w:sz w:val="28"/>
                <w:szCs w:val="28"/>
                <w:highlight w:val="none"/>
              </w:rPr>
              <w:t>防治措施</w:t>
            </w:r>
          </w:p>
          <w:p w14:paraId="5057A7E9">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bookmarkStart w:id="24" w:name="_Toc13835"/>
            <w:r>
              <w:rPr>
                <w:rFonts w:hint="default" w:ascii="Times New Roman" w:hAnsi="Times New Roman" w:eastAsia="宋体" w:cs="Times New Roman"/>
                <w:color w:val="auto"/>
                <w:sz w:val="24"/>
                <w:szCs w:val="24"/>
                <w:highlight w:val="none"/>
              </w:rPr>
              <w:t>根据项目噪声排放特点及影响方式，项目拟采取如下噪声控制措施：</w:t>
            </w:r>
          </w:p>
          <w:p w14:paraId="4787695D">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（1）源头控制。项目在选用和购买设备时，采用国内外生产效率高且性能好、节能的先进设备，并做好日常保养和维护，确保其处于良好的运转状态，避免因不正常运转产生的高噪声现象。</w:t>
            </w:r>
          </w:p>
          <w:p w14:paraId="3B75013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（2）合理布局。在项目的总体布局时充分考虑地形、声源等影响因素，做到统筹规划，合理布局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生产设备安置在室内。针对不同的高噪声设备，采取对性较强的措施。对强噪声设备</w:t>
            </w:r>
            <w:r>
              <w:rPr>
                <w:rFonts w:hint="default"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rPr>
              <w:t>基础减振、</w:t>
            </w:r>
            <w:r>
              <w:rPr>
                <w:rFonts w:hint="default" w:ascii="Times New Roman" w:hAnsi="Times New Roman" w:eastAsia="宋体" w:cs="Times New Roman"/>
                <w:color w:val="auto"/>
                <w:sz w:val="24"/>
                <w:szCs w:val="24"/>
                <w:highlight w:val="none"/>
                <w:lang w:val="en-US" w:eastAsia="zh-CN"/>
              </w:rPr>
              <w:t>厂房隔声、距离衰减</w:t>
            </w:r>
            <w:r>
              <w:rPr>
                <w:rFonts w:hint="default" w:ascii="Times New Roman" w:hAnsi="Times New Roman" w:eastAsia="宋体" w:cs="Times New Roman"/>
                <w:color w:val="auto"/>
                <w:sz w:val="24"/>
                <w:szCs w:val="24"/>
                <w:highlight w:val="none"/>
              </w:rPr>
              <w:t>等措施。</w:t>
            </w:r>
          </w:p>
          <w:p w14:paraId="4C76B4BD">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）加强管理，严格操作规程。加强厂内噪声污染治理设施的日常运行管理和维护，增加岗位职责和环保意识。</w:t>
            </w:r>
          </w:p>
          <w:p w14:paraId="3398F336">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4、固体废物环境保护措施</w:t>
            </w:r>
            <w:bookmarkEnd w:id="24"/>
          </w:p>
          <w:p w14:paraId="7E7E8270">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25" w:name="_Toc491162075"/>
            <w:bookmarkStart w:id="26" w:name="_Toc27008"/>
            <w:bookmarkStart w:id="27" w:name="_Toc14297"/>
            <w:r>
              <w:rPr>
                <w:rFonts w:hint="eastAsia" w:ascii="Times New Roman" w:hAnsi="Times New Roman" w:eastAsia="宋体" w:cs="Times New Roman"/>
                <w:color w:val="auto"/>
                <w:sz w:val="24"/>
                <w:szCs w:val="24"/>
                <w:highlight w:val="none"/>
                <w:lang w:val="en-US" w:eastAsia="zh-CN"/>
              </w:rPr>
              <w:t>项目运营期仅开展定期巡检工作，不单独设置常驻运维人员，无生活垃圾产生。泵站运营期仅进行日常巡检及简单维护，不产生危险废物。</w:t>
            </w:r>
          </w:p>
          <w:p w14:paraId="5127BA33">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5、环境风险防范措施</w:t>
            </w:r>
            <w:bookmarkEnd w:id="25"/>
            <w:bookmarkEnd w:id="26"/>
            <w:bookmarkEnd w:id="27"/>
          </w:p>
          <w:p w14:paraId="1151DE8C">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28" w:name="_Toc491162076"/>
            <w:bookmarkStart w:id="29" w:name="_Toc16083"/>
            <w:bookmarkStart w:id="30" w:name="_Toc9196"/>
            <w:r>
              <w:rPr>
                <w:rFonts w:hint="default" w:ascii="Times New Roman" w:hAnsi="Times New Roman" w:eastAsia="宋体" w:cs="Times New Roman"/>
                <w:color w:val="auto"/>
                <w:sz w:val="24"/>
                <w:szCs w:val="24"/>
                <w:highlight w:val="none"/>
                <w:lang w:val="en-US" w:eastAsia="zh-CN"/>
              </w:rPr>
              <w:t>本项目不涉及有毒有害和易燃易爆危险物质生产、使用、储存(包括使用管线输运)，项目不开展环境风险分析。</w:t>
            </w:r>
          </w:p>
          <w:p w14:paraId="05A9EBCF">
            <w:pPr>
              <w:keepNext/>
              <w:keepLines/>
              <w:suppressLineNumbers w:val="0"/>
              <w:spacing w:before="0" w:beforeAutospacing="0" w:after="0" w:afterAutospacing="0" w:line="360" w:lineRule="auto"/>
              <w:ind w:left="0" w:right="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6、生态环境保护措施</w:t>
            </w:r>
            <w:bookmarkEnd w:id="28"/>
            <w:bookmarkEnd w:id="29"/>
            <w:bookmarkEnd w:id="30"/>
          </w:p>
          <w:p w14:paraId="40532F4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工程施工完成后，将施工作业带、施工生产生活区等临时占用的草地恢复至原有使用功能，并及时恢复管道沿线被破坏的植被和生态环境，在原有的未利用地上植树种草建立新的生态系统。</w:t>
            </w:r>
          </w:p>
          <w:p w14:paraId="3EA885DA">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color w:val="auto"/>
                <w:sz w:val="24"/>
                <w:szCs w:val="24"/>
                <w:highlight w:val="none"/>
                <w:lang w:val="en-US" w:eastAsia="zh-CN"/>
              </w:rPr>
              <w:t>绿化应考虑植物群落的垂直结构和水平结构，栽种物种应尽可能多样化，采用</w:t>
            </w:r>
            <w:r>
              <w:rPr>
                <w:rFonts w:hint="eastAsia" w:ascii="Times New Roman" w:hAnsi="Times New Roman" w:eastAsia="宋体" w:cs="Times New Roman"/>
                <w:color w:val="auto"/>
                <w:sz w:val="24"/>
                <w:szCs w:val="24"/>
                <w:highlight w:val="none"/>
                <w:lang w:val="en-US" w:eastAsia="zh-CN"/>
              </w:rPr>
              <w:t>乔、</w:t>
            </w:r>
            <w:r>
              <w:rPr>
                <w:rFonts w:hint="default" w:ascii="Times New Roman" w:hAnsi="Times New Roman" w:eastAsia="宋体" w:cs="Times New Roman"/>
                <w:color w:val="auto"/>
                <w:sz w:val="24"/>
                <w:szCs w:val="24"/>
                <w:highlight w:val="none"/>
                <w:lang w:val="en-US" w:eastAsia="zh-CN"/>
              </w:rPr>
              <w:t>灌、草相结合的方式，以保证其具有稳定的结构功能。绿化植被应优先选择适应当地环境条件且环境效益好的品种，速生树与慢生树结合，常绿树和落叶树配合；同时，相关部门应建立健全完善的管理制度，制定植被恢复和日常维护管理条例，对管道沿线的生态环境提出具体要求和维护管理措施，定期适时浇水、修剪、施肥，预防并及时治理病虫害。</w:t>
            </w:r>
          </w:p>
        </w:tc>
      </w:tr>
      <w:tr w14:paraId="330E3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8" w:type="pct"/>
            <w:vAlign w:val="center"/>
          </w:tcPr>
          <w:p w14:paraId="7DFF14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10"/>
                <w:sz w:val="24"/>
                <w:highlight w:val="none"/>
              </w:rPr>
            </w:pPr>
            <w:r>
              <w:rPr>
                <w:rFonts w:hint="default" w:ascii="Times New Roman" w:hAnsi="Times New Roman" w:eastAsia="宋体" w:cs="Times New Roman"/>
                <w:b/>
                <w:color w:val="auto"/>
                <w:sz w:val="24"/>
                <w:highlight w:val="none"/>
              </w:rPr>
              <w:t>其他</w:t>
            </w:r>
          </w:p>
        </w:tc>
        <w:tc>
          <w:tcPr>
            <w:tcW w:w="4591" w:type="pct"/>
            <w:vAlign w:val="center"/>
          </w:tcPr>
          <w:p w14:paraId="6E2138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 w:val="24"/>
                <w:highlight w:val="none"/>
              </w:rPr>
            </w:pPr>
            <w:r>
              <w:rPr>
                <w:rFonts w:hint="default" w:ascii="Times New Roman" w:hAnsi="Times New Roman" w:eastAsia="宋体" w:cs="Times New Roman"/>
                <w:bCs/>
                <w:color w:val="auto"/>
                <w:spacing w:val="10"/>
                <w:sz w:val="24"/>
                <w:highlight w:val="none"/>
              </w:rPr>
              <w:t>无</w:t>
            </w:r>
          </w:p>
        </w:tc>
      </w:tr>
      <w:tr w14:paraId="6ECED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Align w:val="center"/>
          </w:tcPr>
          <w:p w14:paraId="4AD39C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10"/>
                <w:sz w:val="24"/>
                <w:highlight w:val="none"/>
              </w:rPr>
            </w:pPr>
            <w:r>
              <w:rPr>
                <w:rFonts w:hint="default" w:ascii="Times New Roman" w:hAnsi="Times New Roman" w:eastAsia="宋体" w:cs="Times New Roman"/>
                <w:b/>
                <w:color w:val="auto"/>
                <w:sz w:val="24"/>
                <w:highlight w:val="none"/>
              </w:rPr>
              <w:t>环保投资</w:t>
            </w:r>
          </w:p>
        </w:tc>
        <w:tc>
          <w:tcPr>
            <w:tcW w:w="5000" w:type="pct"/>
            <w:vAlign w:val="center"/>
          </w:tcPr>
          <w:p w14:paraId="188C5BA8">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本项目总投资</w:t>
            </w:r>
            <w:r>
              <w:rPr>
                <w:rFonts w:hint="default" w:ascii="Times New Roman" w:hAnsi="Times New Roman" w:eastAsia="宋体" w:cs="Times New Roman"/>
                <w:color w:val="auto"/>
                <w:sz w:val="24"/>
                <w:szCs w:val="22"/>
                <w:highlight w:val="none"/>
                <w:lang w:val="en-US" w:eastAsia="zh-CN"/>
              </w:rPr>
              <w:t>9331.24</w:t>
            </w:r>
            <w:r>
              <w:rPr>
                <w:rFonts w:hint="default" w:ascii="Times New Roman" w:hAnsi="Times New Roman" w:eastAsia="宋体" w:cs="Times New Roman"/>
                <w:color w:val="auto"/>
                <w:sz w:val="24"/>
                <w:szCs w:val="22"/>
                <w:highlight w:val="none"/>
              </w:rPr>
              <w:t>万元，其中，环保投资估算约为</w:t>
            </w:r>
            <w:r>
              <w:rPr>
                <w:rFonts w:hint="eastAsia" w:ascii="Times New Roman" w:hAnsi="Times New Roman" w:eastAsia="宋体" w:cs="Times New Roman"/>
                <w:color w:val="auto"/>
                <w:sz w:val="24"/>
                <w:szCs w:val="22"/>
                <w:highlight w:val="none"/>
                <w:lang w:val="en-US" w:eastAsia="zh-CN"/>
              </w:rPr>
              <w:t>83</w:t>
            </w:r>
            <w:r>
              <w:rPr>
                <w:rFonts w:hint="default" w:ascii="Times New Roman" w:hAnsi="Times New Roman" w:eastAsia="宋体" w:cs="Times New Roman"/>
                <w:color w:val="auto"/>
                <w:sz w:val="24"/>
                <w:szCs w:val="22"/>
                <w:highlight w:val="none"/>
              </w:rPr>
              <w:t>万元，占项目总投资的</w:t>
            </w:r>
            <w:r>
              <w:rPr>
                <w:rFonts w:hint="default" w:ascii="Times New Roman" w:hAnsi="Times New Roman" w:eastAsia="宋体" w:cs="Times New Roman"/>
                <w:color w:val="auto"/>
                <w:sz w:val="24"/>
                <w:szCs w:val="22"/>
                <w:highlight w:val="none"/>
                <w:lang w:val="en-US" w:eastAsia="zh-CN"/>
              </w:rPr>
              <w:t>0.</w:t>
            </w:r>
            <w:r>
              <w:rPr>
                <w:rFonts w:hint="eastAsia" w:ascii="Times New Roman" w:hAnsi="Times New Roman" w:eastAsia="宋体" w:cs="Times New Roman"/>
                <w:color w:val="auto"/>
                <w:sz w:val="24"/>
                <w:szCs w:val="22"/>
                <w:highlight w:val="none"/>
                <w:lang w:val="en-US" w:eastAsia="zh-CN"/>
              </w:rPr>
              <w:t>8</w:t>
            </w:r>
            <w:r>
              <w:rPr>
                <w:rFonts w:hint="default" w:ascii="Times New Roman" w:hAnsi="Times New Roman" w:eastAsia="宋体" w:cs="Times New Roman"/>
                <w:color w:val="auto"/>
                <w:sz w:val="24"/>
                <w:szCs w:val="22"/>
                <w:highlight w:val="none"/>
                <w:lang w:val="en-US" w:eastAsia="zh-CN"/>
              </w:rPr>
              <w:t>9</w:t>
            </w:r>
            <w:r>
              <w:rPr>
                <w:rFonts w:hint="default" w:ascii="Times New Roman" w:hAnsi="Times New Roman" w:eastAsia="宋体" w:cs="Times New Roman"/>
                <w:color w:val="auto"/>
                <w:sz w:val="24"/>
                <w:szCs w:val="22"/>
                <w:highlight w:val="none"/>
              </w:rPr>
              <w:t>%。项目环境保护投资明细见表5-1。</w:t>
            </w:r>
          </w:p>
          <w:p w14:paraId="4C64D00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-1项目环保投资估算一览表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653"/>
              <w:gridCol w:w="1717"/>
              <w:gridCol w:w="4523"/>
              <w:gridCol w:w="1267"/>
            </w:tblGrid>
            <w:tr w14:paraId="08CD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noWrap w:val="0"/>
                  <w:vAlign w:val="center"/>
                </w:tcPr>
                <w:p w14:paraId="7E8AA1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1353" w:type="pct"/>
                  <w:gridSpan w:val="2"/>
                  <w:noWrap w:val="0"/>
                  <w:vAlign w:val="center"/>
                </w:tcPr>
                <w:p w14:paraId="7D4461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2585" w:type="pct"/>
                  <w:noWrap w:val="0"/>
                  <w:vAlign w:val="center"/>
                </w:tcPr>
                <w:p w14:paraId="69AC8C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环保措施</w:t>
                  </w:r>
                </w:p>
              </w:tc>
              <w:tc>
                <w:tcPr>
                  <w:tcW w:w="724" w:type="pct"/>
                  <w:noWrap w:val="0"/>
                  <w:vAlign w:val="center"/>
                </w:tcPr>
                <w:p w14:paraId="1E2996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金额</w:t>
                  </w:r>
                </w:p>
                <w:p w14:paraId="65BD49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en-US"/>
                    </w:rPr>
                  </w:pPr>
                  <w:r>
                    <w:rPr>
                      <w:rFonts w:hint="default" w:ascii="Times New Roman" w:hAnsi="Times New Roman" w:eastAsia="宋体" w:cs="Times New Roman"/>
                      <w:b/>
                      <w:bCs/>
                      <w:color w:val="auto"/>
                      <w:szCs w:val="21"/>
                      <w:highlight w:val="none"/>
                    </w:rPr>
                    <w:t>（万元）</w:t>
                  </w:r>
                </w:p>
              </w:tc>
            </w:tr>
            <w:tr w14:paraId="5502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restart"/>
                  <w:noWrap w:val="0"/>
                  <w:vAlign w:val="center"/>
                </w:tcPr>
                <w:p w14:paraId="73C284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1353" w:type="pct"/>
                  <w:gridSpan w:val="2"/>
                  <w:noWrap w:val="0"/>
                  <w:vAlign w:val="center"/>
                </w:tcPr>
                <w:p w14:paraId="156534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扬尘</w:t>
                  </w:r>
                </w:p>
              </w:tc>
              <w:tc>
                <w:tcPr>
                  <w:tcW w:w="2585" w:type="pct"/>
                  <w:noWrap w:val="0"/>
                  <w:vAlign w:val="center"/>
                </w:tcPr>
                <w:p w14:paraId="5B1D03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施工场地四周设彩钢板围墙、施工场地不定</w:t>
                  </w:r>
                </w:p>
                <w:p w14:paraId="56FD72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期洒水降尘等</w:t>
                  </w:r>
                </w:p>
              </w:tc>
              <w:tc>
                <w:tcPr>
                  <w:tcW w:w="724" w:type="pct"/>
                  <w:noWrap w:val="0"/>
                  <w:vAlign w:val="center"/>
                </w:tcPr>
                <w:p w14:paraId="6971D1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10.0</w:t>
                  </w:r>
                  <w:r>
                    <w:rPr>
                      <w:rFonts w:hint="default" w:ascii="Times New Roman" w:hAnsi="Times New Roman" w:eastAsia="宋体" w:cs="Times New Roman"/>
                      <w:color w:val="auto"/>
                      <w:szCs w:val="21"/>
                      <w:highlight w:val="none"/>
                      <w:lang w:val="en-US" w:eastAsia="zh-CN"/>
                    </w:rPr>
                    <w:t>0</w:t>
                  </w:r>
                </w:p>
              </w:tc>
            </w:tr>
            <w:tr w14:paraId="67E7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638765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73" w:type="pct"/>
                  <w:vMerge w:val="restart"/>
                  <w:noWrap w:val="0"/>
                  <w:vAlign w:val="center"/>
                </w:tcPr>
                <w:p w14:paraId="6820CF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混凝土临时拌合站废气</w:t>
                  </w:r>
                </w:p>
              </w:tc>
              <w:tc>
                <w:tcPr>
                  <w:tcW w:w="980" w:type="pct"/>
                  <w:noWrap w:val="0"/>
                  <w:vAlign w:val="center"/>
                </w:tcPr>
                <w:p w14:paraId="015D45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搅拌机废气</w:t>
                  </w:r>
                </w:p>
              </w:tc>
              <w:tc>
                <w:tcPr>
                  <w:tcW w:w="2585" w:type="pct"/>
                  <w:noWrap w:val="0"/>
                  <w:vAlign w:val="center"/>
                </w:tcPr>
                <w:p w14:paraId="772B9B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集气罩+布袋除尘器+15m高排气筒</w:t>
                  </w:r>
                </w:p>
              </w:tc>
              <w:tc>
                <w:tcPr>
                  <w:tcW w:w="724" w:type="pct"/>
                  <w:noWrap w:val="0"/>
                  <w:vAlign w:val="center"/>
                </w:tcPr>
                <w:p w14:paraId="1DACA4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16.00</w:t>
                  </w:r>
                </w:p>
              </w:tc>
            </w:tr>
            <w:tr w14:paraId="1684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4A6BB0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73" w:type="pct"/>
                  <w:vMerge w:val="continue"/>
                  <w:noWrap w:val="0"/>
                  <w:vAlign w:val="center"/>
                </w:tcPr>
                <w:p w14:paraId="050D04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80" w:type="pct"/>
                  <w:noWrap w:val="0"/>
                  <w:vAlign w:val="center"/>
                </w:tcPr>
                <w:p w14:paraId="3FB9F2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筒仓呼吸粉尘</w:t>
                  </w:r>
                </w:p>
              </w:tc>
              <w:tc>
                <w:tcPr>
                  <w:tcW w:w="2585" w:type="pct"/>
                  <w:noWrap w:val="0"/>
                  <w:vAlign w:val="center"/>
                </w:tcPr>
                <w:p w14:paraId="0E5B08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仓顶自带除尘器</w:t>
                  </w:r>
                </w:p>
              </w:tc>
              <w:tc>
                <w:tcPr>
                  <w:tcW w:w="724" w:type="pct"/>
                  <w:noWrap w:val="0"/>
                  <w:vAlign w:val="center"/>
                </w:tcPr>
                <w:p w14:paraId="3D49F8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12.00</w:t>
                  </w:r>
                </w:p>
              </w:tc>
            </w:tr>
            <w:tr w14:paraId="253C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5E748F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73" w:type="pct"/>
                  <w:vMerge w:val="continue"/>
                  <w:noWrap w:val="0"/>
                  <w:vAlign w:val="center"/>
                </w:tcPr>
                <w:p w14:paraId="265024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80" w:type="pct"/>
                  <w:noWrap w:val="0"/>
                  <w:vAlign w:val="center"/>
                </w:tcPr>
                <w:p w14:paraId="2CD83E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装卸及储存粉尘</w:t>
                  </w:r>
                </w:p>
              </w:tc>
              <w:tc>
                <w:tcPr>
                  <w:tcW w:w="2585" w:type="pct"/>
                  <w:noWrap w:val="0"/>
                  <w:vAlign w:val="center"/>
                </w:tcPr>
                <w:p w14:paraId="72FD7D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设置全封闭的原料库，洒水降尘</w:t>
                  </w:r>
                </w:p>
              </w:tc>
              <w:tc>
                <w:tcPr>
                  <w:tcW w:w="724" w:type="pct"/>
                  <w:vMerge w:val="restart"/>
                  <w:noWrap w:val="0"/>
                  <w:vAlign w:val="center"/>
                </w:tcPr>
                <w:p w14:paraId="6DA245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w:t>
                  </w:r>
                </w:p>
              </w:tc>
            </w:tr>
            <w:tr w14:paraId="7CCC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0DAD02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73" w:type="pct"/>
                  <w:vMerge w:val="continue"/>
                  <w:noWrap w:val="0"/>
                  <w:vAlign w:val="center"/>
                </w:tcPr>
                <w:p w14:paraId="278DB5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80" w:type="pct"/>
                  <w:noWrap w:val="0"/>
                  <w:vAlign w:val="center"/>
                </w:tcPr>
                <w:p w14:paraId="76FEA6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上料粉尘</w:t>
                  </w:r>
                </w:p>
              </w:tc>
              <w:tc>
                <w:tcPr>
                  <w:tcW w:w="2585" w:type="pct"/>
                  <w:noWrap w:val="0"/>
                  <w:vAlign w:val="center"/>
                </w:tcPr>
                <w:p w14:paraId="28F63A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设置封闭的配料库</w:t>
                  </w:r>
                </w:p>
              </w:tc>
              <w:tc>
                <w:tcPr>
                  <w:tcW w:w="724" w:type="pct"/>
                  <w:vMerge w:val="continue"/>
                  <w:noWrap w:val="0"/>
                  <w:vAlign w:val="center"/>
                </w:tcPr>
                <w:p w14:paraId="65B146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14:paraId="6856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553936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373" w:type="pct"/>
                  <w:vMerge w:val="continue"/>
                  <w:noWrap w:val="0"/>
                  <w:vAlign w:val="center"/>
                </w:tcPr>
                <w:p w14:paraId="56DB65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80" w:type="pct"/>
                  <w:noWrap w:val="0"/>
                  <w:vAlign w:val="center"/>
                </w:tcPr>
                <w:p w14:paraId="2C7F6E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皮带输送</w:t>
                  </w:r>
                </w:p>
              </w:tc>
              <w:tc>
                <w:tcPr>
                  <w:tcW w:w="2585" w:type="pct"/>
                  <w:noWrap w:val="0"/>
                  <w:vAlign w:val="center"/>
                </w:tcPr>
                <w:p w14:paraId="69C61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采用密闭输送皮带等方式</w:t>
                  </w:r>
                </w:p>
              </w:tc>
              <w:tc>
                <w:tcPr>
                  <w:tcW w:w="724" w:type="pct"/>
                  <w:noWrap w:val="0"/>
                  <w:vAlign w:val="center"/>
                </w:tcPr>
                <w:p w14:paraId="3369DE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4.00</w:t>
                  </w:r>
                </w:p>
              </w:tc>
            </w:tr>
            <w:tr w14:paraId="3F0B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114954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53" w:type="pct"/>
                  <w:gridSpan w:val="2"/>
                  <w:noWrap w:val="0"/>
                  <w:vAlign w:val="center"/>
                </w:tcPr>
                <w:p w14:paraId="61BC64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2585" w:type="pct"/>
                  <w:noWrap w:val="0"/>
                  <w:vAlign w:val="center"/>
                </w:tcPr>
                <w:p w14:paraId="6E953C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施工营地等区域设置道路指示、禁鸣等标示</w:t>
                  </w:r>
                </w:p>
                <w:p w14:paraId="678FF32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牌，加强施工机械和运输车辆的保养和维护</w:t>
                  </w:r>
                </w:p>
              </w:tc>
              <w:tc>
                <w:tcPr>
                  <w:tcW w:w="724" w:type="pct"/>
                  <w:noWrap w:val="0"/>
                  <w:vAlign w:val="center"/>
                </w:tcPr>
                <w:p w14:paraId="18CA78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2.0</w:t>
                  </w:r>
                  <w:r>
                    <w:rPr>
                      <w:rFonts w:hint="default" w:ascii="Times New Roman" w:hAnsi="Times New Roman" w:eastAsia="宋体" w:cs="Times New Roman"/>
                      <w:color w:val="auto"/>
                      <w:szCs w:val="21"/>
                      <w:highlight w:val="none"/>
                      <w:lang w:val="en-US" w:eastAsia="zh-CN"/>
                    </w:rPr>
                    <w:t>0</w:t>
                  </w:r>
                </w:p>
              </w:tc>
            </w:tr>
            <w:tr w14:paraId="31BF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04CCF0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53" w:type="pct"/>
                  <w:gridSpan w:val="2"/>
                  <w:noWrap w:val="0"/>
                  <w:vAlign w:val="center"/>
                </w:tcPr>
                <w:p w14:paraId="7C6A11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2585" w:type="pct"/>
                  <w:noWrap w:val="0"/>
                  <w:vAlign w:val="center"/>
                </w:tcPr>
                <w:p w14:paraId="4FC9E1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隔油池（1m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Cs w:val="21"/>
                      <w:highlight w:val="none"/>
                      <w:lang w:val="en-US" w:eastAsia="zh-CN"/>
                    </w:rPr>
                    <w:t>化粪池（10m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lang w:val="en-US" w:eastAsia="zh-CN"/>
                    </w:rPr>
                    <w:t>）</w:t>
                  </w:r>
                </w:p>
              </w:tc>
              <w:tc>
                <w:tcPr>
                  <w:tcW w:w="724" w:type="pct"/>
                  <w:noWrap w:val="0"/>
                  <w:vAlign w:val="center"/>
                </w:tcPr>
                <w:p w14:paraId="25195E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.00</w:t>
                  </w:r>
                </w:p>
              </w:tc>
            </w:tr>
            <w:tr w14:paraId="71C4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36" w:type="pct"/>
                  <w:vMerge w:val="continue"/>
                  <w:noWrap w:val="0"/>
                  <w:vAlign w:val="center"/>
                </w:tcPr>
                <w:p w14:paraId="7D0019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53" w:type="pct"/>
                  <w:gridSpan w:val="2"/>
                  <w:vMerge w:val="restart"/>
                  <w:noWrap w:val="0"/>
                  <w:vAlign w:val="center"/>
                </w:tcPr>
                <w:p w14:paraId="28F5CF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2585" w:type="pct"/>
                  <w:noWrap w:val="0"/>
                  <w:vAlign w:val="center"/>
                </w:tcPr>
                <w:p w14:paraId="157A8496">
                  <w:pPr>
                    <w:pStyle w:val="23"/>
                    <w:keepNext w:val="0"/>
                    <w:keepLines w:val="0"/>
                    <w:suppressLineNumbers w:val="0"/>
                    <w:autoSpaceDE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生活垃圾</w:t>
                  </w: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val="en-US" w:eastAsia="zh-CN"/>
                    </w:rPr>
                    <w:t>运往环卫部门指定地点处理</w:t>
                  </w:r>
                </w:p>
              </w:tc>
              <w:tc>
                <w:tcPr>
                  <w:tcW w:w="724" w:type="pct"/>
                  <w:noWrap w:val="0"/>
                  <w:vAlign w:val="center"/>
                </w:tcPr>
                <w:p w14:paraId="42ACAF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5.0</w:t>
                  </w:r>
                  <w:r>
                    <w:rPr>
                      <w:rFonts w:hint="default" w:ascii="Times New Roman" w:hAnsi="Times New Roman" w:eastAsia="宋体" w:cs="Times New Roman"/>
                      <w:color w:val="auto"/>
                      <w:szCs w:val="21"/>
                      <w:highlight w:val="none"/>
                      <w:lang w:val="en-US" w:eastAsia="zh-CN"/>
                    </w:rPr>
                    <w:t>0</w:t>
                  </w:r>
                </w:p>
              </w:tc>
            </w:tr>
            <w:tr w14:paraId="121C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noWrap w:val="0"/>
                  <w:vAlign w:val="center"/>
                </w:tcPr>
                <w:p w14:paraId="7B4656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53" w:type="pct"/>
                  <w:gridSpan w:val="2"/>
                  <w:vMerge w:val="continue"/>
                  <w:noWrap w:val="0"/>
                  <w:vAlign w:val="center"/>
                </w:tcPr>
                <w:p w14:paraId="1FBF33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585" w:type="pct"/>
                  <w:noWrap w:val="0"/>
                  <w:vAlign w:val="center"/>
                </w:tcPr>
                <w:p w14:paraId="0504D6CA">
                  <w:pPr>
                    <w:pStyle w:val="23"/>
                    <w:keepNext w:val="0"/>
                    <w:keepLines w:val="0"/>
                    <w:suppressLineNumbers w:val="0"/>
                    <w:autoSpaceDE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建筑垃圾清运至城建部门指定的地点处置</w:t>
                  </w:r>
                </w:p>
              </w:tc>
              <w:tc>
                <w:tcPr>
                  <w:tcW w:w="724" w:type="pct"/>
                  <w:noWrap w:val="0"/>
                  <w:vAlign w:val="center"/>
                </w:tcPr>
                <w:p w14:paraId="07A476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w:t>
                  </w:r>
                </w:p>
              </w:tc>
            </w:tr>
            <w:tr w14:paraId="191F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vMerge w:val="continue"/>
                  <w:noWrap w:val="0"/>
                  <w:vAlign w:val="center"/>
                </w:tcPr>
                <w:p w14:paraId="72858A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353" w:type="pct"/>
                  <w:gridSpan w:val="2"/>
                  <w:noWrap w:val="0"/>
                  <w:vAlign w:val="center"/>
                </w:tcPr>
                <w:p w14:paraId="12C801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生态恢复</w:t>
                  </w:r>
                </w:p>
              </w:tc>
              <w:tc>
                <w:tcPr>
                  <w:tcW w:w="2585" w:type="pct"/>
                  <w:noWrap w:val="0"/>
                  <w:vAlign w:val="center"/>
                </w:tcPr>
                <w:p w14:paraId="6448F4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工程施工结束后及时进行植被恢复</w:t>
                  </w:r>
                </w:p>
              </w:tc>
              <w:tc>
                <w:tcPr>
                  <w:tcW w:w="724" w:type="pct"/>
                  <w:noWrap w:val="0"/>
                  <w:vAlign w:val="center"/>
                </w:tcPr>
                <w:p w14:paraId="0A3000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0.00</w:t>
                  </w:r>
                </w:p>
              </w:tc>
            </w:tr>
            <w:tr w14:paraId="3A56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6" w:type="pct"/>
                  <w:noWrap w:val="0"/>
                  <w:vAlign w:val="center"/>
                </w:tcPr>
                <w:p w14:paraId="3D03F5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运营期</w:t>
                  </w:r>
                </w:p>
              </w:tc>
              <w:tc>
                <w:tcPr>
                  <w:tcW w:w="1353" w:type="pct"/>
                  <w:gridSpan w:val="2"/>
                  <w:noWrap w:val="0"/>
                  <w:vAlign w:val="center"/>
                </w:tcPr>
                <w:p w14:paraId="0D4E5323">
                  <w:pPr>
                    <w:pStyle w:val="35"/>
                    <w:keepNext w:val="0"/>
                    <w:keepLines w:val="0"/>
                    <w:suppressLineNumbers w:val="0"/>
                    <w:spacing w:before="0" w:beforeLines="0" w:beforeAutospacing="0" w:after="0" w:afterLines="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噪声治理</w:t>
                  </w:r>
                </w:p>
              </w:tc>
              <w:tc>
                <w:tcPr>
                  <w:tcW w:w="2585" w:type="pct"/>
                  <w:noWrap w:val="0"/>
                  <w:vAlign w:val="center"/>
                </w:tcPr>
                <w:p w14:paraId="0607E8D9">
                  <w:pPr>
                    <w:pStyle w:val="35"/>
                    <w:keepNext w:val="0"/>
                    <w:keepLines w:val="0"/>
                    <w:suppressLineNumbers w:val="0"/>
                    <w:spacing w:before="0" w:beforeLines="0" w:beforeAutospacing="0" w:after="0" w:afterLines="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泵站加装设备隔声罩、安装减震底垫</w:t>
                  </w:r>
                </w:p>
              </w:tc>
              <w:tc>
                <w:tcPr>
                  <w:tcW w:w="724" w:type="pct"/>
                  <w:noWrap w:val="0"/>
                  <w:vAlign w:val="center"/>
                </w:tcPr>
                <w:p w14:paraId="3509EC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r>
            <w:tr w14:paraId="7922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0" w:type="pct"/>
                  <w:gridSpan w:val="3"/>
                  <w:noWrap w:val="0"/>
                  <w:vAlign w:val="center"/>
                </w:tcPr>
                <w:p w14:paraId="496899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2585" w:type="pct"/>
                  <w:noWrap w:val="0"/>
                  <w:vAlign w:val="center"/>
                </w:tcPr>
                <w:p w14:paraId="6F6476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24" w:type="pct"/>
                  <w:noWrap w:val="0"/>
                  <w:vAlign w:val="center"/>
                </w:tcPr>
                <w:p w14:paraId="4A3B38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83.0</w:t>
                  </w:r>
                </w:p>
              </w:tc>
            </w:tr>
          </w:tbl>
          <w:p w14:paraId="317F7224">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69C4C0E7">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4CF5D5A7">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7B51D4E9">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077578CF">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7D935DAC">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35FEF474">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2981633E">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1E54D78E">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27AF6BFE">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20F55A53">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5724344B">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42907410">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49AF4FA6">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2A0FAD7F">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4E9C955A">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p w14:paraId="2D41062F">
            <w:pPr>
              <w:pStyle w:val="10"/>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10"/>
                <w:sz w:val="24"/>
                <w:highlight w:val="none"/>
              </w:rPr>
            </w:pPr>
          </w:p>
        </w:tc>
      </w:tr>
    </w:tbl>
    <w:p w14:paraId="5FE701AA">
      <w:pPr>
        <w:pStyle w:val="41"/>
        <w:rPr>
          <w:rFonts w:hint="default" w:ascii="Times New Roman" w:hAnsi="Times New Roman" w:eastAsia="仿宋" w:cs="Times New Roman"/>
          <w:color w:val="auto"/>
          <w:highlight w:val="none"/>
        </w:rPr>
        <w:sectPr>
          <w:pgSz w:w="11907" w:h="16840"/>
          <w:pgMar w:top="1134" w:right="1134" w:bottom="1134" w:left="1134" w:header="851" w:footer="1077" w:gutter="0"/>
          <w:pgBorders>
            <w:top w:val="none" w:sz="0" w:space="0"/>
            <w:left w:val="none" w:sz="0" w:space="0"/>
            <w:bottom w:val="none" w:sz="0" w:space="0"/>
            <w:right w:val="none" w:sz="0" w:space="0"/>
          </w:pgBorders>
          <w:cols w:space="425" w:num="1"/>
          <w:docGrid w:linePitch="312" w:charSpace="0"/>
        </w:sectPr>
      </w:pPr>
    </w:p>
    <w:p w14:paraId="20229507">
      <w:pPr>
        <w:pStyle w:val="23"/>
        <w:spacing w:before="0" w:beforeAutospacing="0" w:after="0" w:afterAutospacing="0"/>
        <w:jc w:val="center"/>
        <w:outlineLvl w:val="0"/>
        <w:rPr>
          <w:rFonts w:hint="eastAsia" w:ascii="宋体" w:hAnsi="宋体" w:eastAsia="宋体" w:cs="宋体"/>
          <w:b/>
          <w:bCs/>
          <w:snapToGrid w:val="0"/>
          <w:color w:val="auto"/>
          <w:sz w:val="30"/>
          <w:szCs w:val="30"/>
          <w:highlight w:val="none"/>
        </w:rPr>
      </w:pPr>
      <w:bookmarkStart w:id="31" w:name="_Toc2550"/>
      <w:r>
        <w:rPr>
          <w:rFonts w:hint="eastAsia" w:ascii="宋体" w:hAnsi="宋体" w:eastAsia="宋体" w:cs="宋体"/>
          <w:b/>
          <w:bCs/>
          <w:snapToGrid w:val="0"/>
          <w:color w:val="auto"/>
          <w:sz w:val="30"/>
          <w:szCs w:val="30"/>
          <w:highlight w:val="none"/>
        </w:rPr>
        <w:t>六、生态环境保护措施监督检查清单</w:t>
      </w:r>
      <w:bookmarkEnd w:id="31"/>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4291"/>
        <w:gridCol w:w="2510"/>
        <w:gridCol w:w="3424"/>
        <w:gridCol w:w="2811"/>
      </w:tblGrid>
      <w:tr w14:paraId="0E691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vMerge w:val="restart"/>
            <w:tcBorders>
              <w:tl2br w:val="single" w:color="auto" w:sz="4" w:space="0"/>
            </w:tcBorders>
            <w:vAlign w:val="center"/>
          </w:tcPr>
          <w:p w14:paraId="5B2BAEC0">
            <w:pPr>
              <w:keepNext w:val="0"/>
              <w:keepLines w:val="0"/>
              <w:suppressLineNumbers w:val="0"/>
              <w:spacing w:before="0" w:beforeAutospacing="0" w:after="0" w:afterAutospacing="0"/>
              <w:ind w:left="0" w:right="0"/>
              <w:jc w:val="righ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221F103F">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2450" w:type="pct"/>
            <w:gridSpan w:val="2"/>
            <w:vAlign w:val="center"/>
          </w:tcPr>
          <w:p w14:paraId="738E0FB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施工期</w:t>
            </w:r>
          </w:p>
        </w:tc>
        <w:tc>
          <w:tcPr>
            <w:tcW w:w="2259" w:type="pct"/>
            <w:gridSpan w:val="2"/>
            <w:vAlign w:val="center"/>
          </w:tcPr>
          <w:p w14:paraId="0586702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14:paraId="28486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89" w:type="pct"/>
            <w:vMerge w:val="continue"/>
            <w:vAlign w:val="center"/>
          </w:tcPr>
          <w:p w14:paraId="499DC1B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526" w:type="pct"/>
            <w:vAlign w:val="center"/>
          </w:tcPr>
          <w:p w14:paraId="7096A0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923" w:type="pct"/>
            <w:vAlign w:val="center"/>
          </w:tcPr>
          <w:p w14:paraId="3E32C4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c>
          <w:tcPr>
            <w:tcW w:w="1233" w:type="pct"/>
            <w:vAlign w:val="center"/>
          </w:tcPr>
          <w:p w14:paraId="1C05809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026" w:type="pct"/>
            <w:vAlign w:val="center"/>
          </w:tcPr>
          <w:p w14:paraId="0E8A4E3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r>
      <w:tr w14:paraId="6EE41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07EE3A8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陆生</w:t>
            </w:r>
          </w:p>
          <w:p w14:paraId="1EC478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w:t>
            </w:r>
          </w:p>
        </w:tc>
        <w:tc>
          <w:tcPr>
            <w:tcW w:w="1526" w:type="pct"/>
            <w:vAlign w:val="center"/>
          </w:tcPr>
          <w:p w14:paraId="3C4EC318">
            <w:pPr>
              <w:keepNext w:val="0"/>
              <w:keepLines w:val="0"/>
              <w:numPr>
                <w:ilvl w:val="0"/>
                <w:numId w:val="6"/>
              </w:numPr>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项目施工应合理进行施工布置，临时占用土地施工结束后尽快实施迹地恢复；</w:t>
            </w:r>
          </w:p>
          <w:p w14:paraId="17BF071E">
            <w:pPr>
              <w:keepNext w:val="0"/>
              <w:keepLines w:val="0"/>
              <w:numPr>
                <w:ilvl w:val="0"/>
                <w:numId w:val="6"/>
              </w:numPr>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w:t>
            </w:r>
            <w:r>
              <w:rPr>
                <w:rFonts w:hint="eastAsia" w:ascii="Times New Roman" w:hAnsi="Times New Roman" w:eastAsia="宋体" w:cs="Times New Roman"/>
                <w:color w:val="auto"/>
                <w:sz w:val="21"/>
                <w:szCs w:val="21"/>
                <w:highlight w:val="none"/>
                <w:lang w:val="en-US" w:eastAsia="zh-CN"/>
              </w:rPr>
              <w:t>进水</w:t>
            </w:r>
            <w:r>
              <w:rPr>
                <w:rFonts w:hint="default" w:ascii="Times New Roman" w:hAnsi="Times New Roman" w:eastAsia="宋体" w:cs="Times New Roman"/>
                <w:color w:val="auto"/>
                <w:sz w:val="21"/>
                <w:szCs w:val="21"/>
                <w:highlight w:val="none"/>
                <w:lang w:val="en-US" w:eastAsia="zh-CN"/>
              </w:rPr>
              <w:t>管道</w:t>
            </w:r>
            <w:r>
              <w:rPr>
                <w:rFonts w:hint="default" w:ascii="Times New Roman" w:hAnsi="Times New Roman" w:eastAsia="宋体" w:cs="Times New Roman"/>
                <w:color w:val="auto"/>
                <w:sz w:val="21"/>
                <w:szCs w:val="21"/>
                <w:highlight w:val="none"/>
              </w:rPr>
              <w:t>两侧进行平整，荒地段实行撒播草籽进行迹地恢复；</w:t>
            </w:r>
          </w:p>
          <w:p w14:paraId="76A7D29B">
            <w:pPr>
              <w:keepNext w:val="0"/>
              <w:keepLines w:val="0"/>
              <w:numPr>
                <w:ilvl w:val="0"/>
                <w:numId w:val="6"/>
              </w:numPr>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应分片、分时安排场地平整工期，以减少被扰动地表暴露时间。</w:t>
            </w:r>
          </w:p>
        </w:tc>
        <w:tc>
          <w:tcPr>
            <w:tcW w:w="923" w:type="pct"/>
            <w:vAlign w:val="center"/>
          </w:tcPr>
          <w:p w14:paraId="74A159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效果达到要求</w:t>
            </w:r>
          </w:p>
        </w:tc>
        <w:tc>
          <w:tcPr>
            <w:tcW w:w="1233" w:type="pct"/>
            <w:vAlign w:val="center"/>
          </w:tcPr>
          <w:p w14:paraId="704BC6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植被恢复</w:t>
            </w:r>
          </w:p>
        </w:tc>
        <w:tc>
          <w:tcPr>
            <w:tcW w:w="1026" w:type="pct"/>
            <w:vAlign w:val="center"/>
          </w:tcPr>
          <w:p w14:paraId="3B3F9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植被恢复效果达到要求</w:t>
            </w:r>
          </w:p>
        </w:tc>
      </w:tr>
      <w:tr w14:paraId="396D3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289" w:type="pct"/>
            <w:vAlign w:val="center"/>
          </w:tcPr>
          <w:p w14:paraId="038214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水生</w:t>
            </w:r>
          </w:p>
          <w:p w14:paraId="139247C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w:t>
            </w:r>
          </w:p>
        </w:tc>
        <w:tc>
          <w:tcPr>
            <w:tcW w:w="1526" w:type="pct"/>
            <w:vAlign w:val="center"/>
          </w:tcPr>
          <w:p w14:paraId="56145A7B">
            <w:pPr>
              <w:keepNext w:val="0"/>
              <w:keepLines w:val="0"/>
              <w:numPr>
                <w:ilvl w:val="0"/>
                <w:numId w:val="0"/>
              </w:numPr>
              <w:suppressLineNumbers w:val="0"/>
              <w:spacing w:before="0" w:beforeAutospacing="0" w:after="0" w:afterAutospacing="0"/>
              <w:ind w:left="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23" w:type="pct"/>
            <w:vAlign w:val="center"/>
          </w:tcPr>
          <w:p w14:paraId="18353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33" w:type="pct"/>
            <w:vAlign w:val="center"/>
          </w:tcPr>
          <w:p w14:paraId="10DBA9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026" w:type="pct"/>
            <w:vAlign w:val="center"/>
          </w:tcPr>
          <w:p w14:paraId="680BF6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3A238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4DD479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地表水环境</w:t>
            </w:r>
          </w:p>
        </w:tc>
        <w:tc>
          <w:tcPr>
            <w:tcW w:w="1526" w:type="pct"/>
            <w:vAlign w:val="center"/>
          </w:tcPr>
          <w:p w14:paraId="15C6F29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在施工场地建设1座10m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玻璃钢化粪池，</w:t>
            </w:r>
            <w:r>
              <w:rPr>
                <w:rFonts w:hint="default" w:ascii="Times New Roman" w:hAnsi="Times New Roman" w:eastAsia="宋体" w:cs="Times New Roman"/>
                <w:color w:val="auto"/>
                <w:sz w:val="21"/>
                <w:szCs w:val="21"/>
                <w:highlight w:val="none"/>
                <w:lang w:val="en-US" w:eastAsia="zh-CN"/>
              </w:rPr>
              <w:t>餐饮废水先经隔油池（1m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val="en-US" w:eastAsia="zh-CN"/>
              </w:rPr>
              <w:t>与生活污水一同进入化粪池处理，</w:t>
            </w:r>
            <w:r>
              <w:rPr>
                <w:rFonts w:hint="eastAsia" w:ascii="Times New Roman" w:hAnsi="Times New Roman" w:eastAsia="宋体" w:cs="Times New Roman"/>
                <w:b w:val="0"/>
                <w:color w:val="auto"/>
                <w:kern w:val="2"/>
                <w:sz w:val="21"/>
                <w:szCs w:val="21"/>
                <w:highlight w:val="none"/>
                <w:lang w:val="en-US" w:eastAsia="zh-CN" w:bidi="ar-SA"/>
              </w:rPr>
              <w:t>经</w:t>
            </w:r>
            <w:r>
              <w:rPr>
                <w:rFonts w:hint="default" w:ascii="Times New Roman" w:hAnsi="Times New Roman" w:eastAsia="宋体" w:cs="Times New Roman"/>
                <w:b w:val="0"/>
                <w:color w:val="auto"/>
                <w:kern w:val="2"/>
                <w:sz w:val="21"/>
                <w:szCs w:val="21"/>
                <w:highlight w:val="none"/>
                <w:lang w:val="en-US" w:eastAsia="zh-CN" w:bidi="ar-SA"/>
              </w:rPr>
              <w:t>化粪池处理后</w:t>
            </w:r>
            <w:r>
              <w:rPr>
                <w:rFonts w:hint="eastAsia" w:ascii="Times New Roman" w:hAnsi="Times New Roman" w:eastAsia="宋体" w:cs="Times New Roman"/>
                <w:b w:val="0"/>
                <w:color w:val="auto"/>
                <w:kern w:val="2"/>
                <w:sz w:val="21"/>
                <w:szCs w:val="21"/>
                <w:highlight w:val="none"/>
                <w:lang w:val="en-US" w:eastAsia="zh-CN" w:bidi="ar-SA"/>
              </w:rPr>
              <w:t>通过</w:t>
            </w:r>
            <w:r>
              <w:rPr>
                <w:rFonts w:hint="default" w:ascii="Times New Roman" w:hAnsi="Times New Roman" w:eastAsia="宋体" w:cs="Times New Roman"/>
                <w:b w:val="0"/>
                <w:color w:val="auto"/>
                <w:kern w:val="2"/>
                <w:sz w:val="21"/>
                <w:szCs w:val="21"/>
                <w:highlight w:val="none"/>
                <w:lang w:val="en-US" w:eastAsia="zh-CN" w:bidi="ar-SA"/>
              </w:rPr>
              <w:t>园区污水管网进入张掖经济技术开发区循环经济示范园污水处理厂处理。施工期机械与车辆冲洗水经沉淀池沉淀后循环使用不外排</w:t>
            </w:r>
            <w:r>
              <w:rPr>
                <w:rFonts w:hint="eastAsia" w:ascii="Times New Roman" w:hAnsi="Times New Roman" w:eastAsia="宋体" w:cs="Times New Roman"/>
                <w:b w:val="0"/>
                <w:color w:val="auto"/>
                <w:kern w:val="2"/>
                <w:sz w:val="21"/>
                <w:szCs w:val="21"/>
                <w:highlight w:val="none"/>
                <w:lang w:val="en-US" w:eastAsia="zh-CN" w:bidi="ar-SA"/>
              </w:rPr>
              <w:t>。</w:t>
            </w:r>
          </w:p>
        </w:tc>
        <w:tc>
          <w:tcPr>
            <w:tcW w:w="923" w:type="pct"/>
            <w:vAlign w:val="center"/>
          </w:tcPr>
          <w:p w14:paraId="4ACB34C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废水不外排</w:t>
            </w:r>
          </w:p>
        </w:tc>
        <w:tc>
          <w:tcPr>
            <w:tcW w:w="1233" w:type="pct"/>
            <w:vAlign w:val="center"/>
          </w:tcPr>
          <w:p w14:paraId="285E8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加强水</w:t>
            </w:r>
            <w:r>
              <w:rPr>
                <w:rFonts w:hint="eastAsia" w:cs="Times New Roman"/>
                <w:color w:val="auto"/>
                <w:sz w:val="21"/>
                <w:szCs w:val="21"/>
                <w:highlight w:val="none"/>
                <w:lang w:eastAsia="zh-CN"/>
              </w:rPr>
              <w:t>利</w:t>
            </w:r>
            <w:r>
              <w:rPr>
                <w:rFonts w:hint="default" w:ascii="Times New Roman" w:hAnsi="Times New Roman" w:eastAsia="宋体" w:cs="Times New Roman"/>
                <w:color w:val="auto"/>
                <w:sz w:val="21"/>
                <w:szCs w:val="21"/>
                <w:highlight w:val="none"/>
              </w:rPr>
              <w:t>及环保法规宣传教育，使</w:t>
            </w:r>
            <w:r>
              <w:rPr>
                <w:rFonts w:hint="default" w:ascii="Times New Roman" w:hAnsi="Times New Roman" w:eastAsia="宋体" w:cs="Times New Roman"/>
                <w:color w:val="auto"/>
                <w:sz w:val="21"/>
                <w:szCs w:val="21"/>
                <w:highlight w:val="none"/>
                <w:lang w:eastAsia="zh-CN"/>
              </w:rPr>
              <w:t>水库</w:t>
            </w:r>
            <w:r>
              <w:rPr>
                <w:rFonts w:hint="eastAsia" w:ascii="Times New Roman" w:hAnsi="Times New Roman" w:eastAsia="宋体" w:cs="Times New Roman"/>
                <w:color w:val="auto"/>
                <w:sz w:val="21"/>
                <w:szCs w:val="21"/>
                <w:highlight w:val="none"/>
                <w:lang w:eastAsia="zh-CN"/>
              </w:rPr>
              <w:t>周边企业人员</w:t>
            </w:r>
            <w:r>
              <w:rPr>
                <w:rFonts w:hint="default" w:ascii="Times New Roman" w:hAnsi="Times New Roman" w:eastAsia="宋体" w:cs="Times New Roman"/>
                <w:color w:val="auto"/>
                <w:sz w:val="21"/>
                <w:szCs w:val="21"/>
                <w:highlight w:val="none"/>
              </w:rPr>
              <w:t>依法保护</w:t>
            </w:r>
            <w:r>
              <w:rPr>
                <w:rFonts w:hint="default" w:ascii="Times New Roman" w:hAnsi="Times New Roman" w:eastAsia="宋体" w:cs="Times New Roman"/>
                <w:color w:val="auto"/>
                <w:sz w:val="21"/>
                <w:szCs w:val="21"/>
                <w:highlight w:val="none"/>
                <w:lang w:eastAsia="zh-CN"/>
              </w:rPr>
              <w:t>水库</w:t>
            </w:r>
            <w:r>
              <w:rPr>
                <w:rFonts w:hint="default" w:ascii="Times New Roman" w:hAnsi="Times New Roman" w:eastAsia="宋体" w:cs="Times New Roman"/>
                <w:color w:val="auto"/>
                <w:sz w:val="21"/>
                <w:szCs w:val="21"/>
                <w:highlight w:val="none"/>
              </w:rPr>
              <w:t>水质；</w:t>
            </w:r>
          </w:p>
        </w:tc>
        <w:tc>
          <w:tcPr>
            <w:tcW w:w="1026" w:type="pct"/>
            <w:vAlign w:val="center"/>
          </w:tcPr>
          <w:p w14:paraId="0B6DB4A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水库水质满足</w:t>
            </w:r>
            <w:r>
              <w:rPr>
                <w:rFonts w:hint="default" w:ascii="Times New Roman" w:hAnsi="Times New Roman" w:eastAsia="宋体" w:cs="Times New Roman"/>
                <w:color w:val="auto"/>
                <w:sz w:val="21"/>
                <w:szCs w:val="21"/>
                <w:highlight w:val="none"/>
                <w:lang w:val="en-US" w:eastAsia="zh-CN"/>
              </w:rPr>
              <w:t>《地表水环境质量标准》(GB3838-2002)表1中</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eastAsia="zh-CN"/>
              </w:rPr>
              <w:t>IV</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r>
              <w:rPr>
                <w:rFonts w:hint="eastAsia" w:ascii="Times New Roman" w:hAnsi="Times New Roman" w:eastAsia="宋体" w:cs="Times New Roman"/>
                <w:color w:val="auto"/>
                <w:sz w:val="21"/>
                <w:szCs w:val="21"/>
                <w:highlight w:val="none"/>
                <w:lang w:eastAsia="zh-CN"/>
              </w:rPr>
              <w:t>》</w:t>
            </w:r>
          </w:p>
        </w:tc>
      </w:tr>
      <w:tr w14:paraId="23CA3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4A0281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地下水及土壤环境</w:t>
            </w:r>
          </w:p>
        </w:tc>
        <w:tc>
          <w:tcPr>
            <w:tcW w:w="1526" w:type="pct"/>
            <w:vAlign w:val="center"/>
          </w:tcPr>
          <w:p w14:paraId="59A16F82">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、对临时弃渣、弃土堆放采用雨布覆盖、砖石压护等简易防护措施；</w:t>
            </w:r>
          </w:p>
          <w:p w14:paraId="3BFB3D5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、施工完成后，对工程临时用地搞好植被的恢复、再造，做到表土不裸露。</w:t>
            </w:r>
          </w:p>
        </w:tc>
        <w:tc>
          <w:tcPr>
            <w:tcW w:w="923" w:type="pct"/>
            <w:vAlign w:val="center"/>
          </w:tcPr>
          <w:p w14:paraId="50DBAC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效果达到要求</w:t>
            </w:r>
          </w:p>
        </w:tc>
        <w:tc>
          <w:tcPr>
            <w:tcW w:w="1233" w:type="pct"/>
            <w:vAlign w:val="center"/>
          </w:tcPr>
          <w:p w14:paraId="456516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79C32E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5394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786C6C6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声环境</w:t>
            </w:r>
          </w:p>
        </w:tc>
        <w:tc>
          <w:tcPr>
            <w:tcW w:w="1526" w:type="pct"/>
            <w:vAlign w:val="center"/>
          </w:tcPr>
          <w:p w14:paraId="730DEC5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采用噪声较低的生产设备，并加强维修保养，避免夜间运输(22点以后)，禁止夜间高噪声机械施工等</w:t>
            </w:r>
          </w:p>
        </w:tc>
        <w:tc>
          <w:tcPr>
            <w:tcW w:w="923" w:type="pct"/>
            <w:vAlign w:val="center"/>
          </w:tcPr>
          <w:p w14:paraId="05B5FD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）噪声排放限值</w:t>
            </w:r>
          </w:p>
        </w:tc>
        <w:tc>
          <w:tcPr>
            <w:tcW w:w="1233" w:type="pct"/>
            <w:vAlign w:val="center"/>
          </w:tcPr>
          <w:p w14:paraId="6ED0A84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尽量选用低噪音设备，采取基础减振措施。</w:t>
            </w:r>
          </w:p>
        </w:tc>
        <w:tc>
          <w:tcPr>
            <w:tcW w:w="1026" w:type="pct"/>
            <w:vAlign w:val="center"/>
          </w:tcPr>
          <w:p w14:paraId="43138A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厂界满足</w:t>
            </w:r>
            <w:r>
              <w:rPr>
                <w:rFonts w:hint="default" w:ascii="Times New Roman" w:hAnsi="Times New Roman" w:eastAsia="宋体" w:cs="Times New Roman"/>
                <w:color w:val="auto"/>
                <w:sz w:val="21"/>
                <w:szCs w:val="21"/>
                <w:highlight w:val="none"/>
                <w:lang w:val="en-US" w:eastAsia="zh-CN"/>
              </w:rPr>
              <w:t>《工业企业厂界环境噪声排放标准》(GB12348-2008)中</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类标准</w:t>
            </w:r>
          </w:p>
        </w:tc>
      </w:tr>
      <w:tr w14:paraId="18F7C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097391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振动</w:t>
            </w:r>
          </w:p>
        </w:tc>
        <w:tc>
          <w:tcPr>
            <w:tcW w:w="1526" w:type="pct"/>
            <w:vAlign w:val="center"/>
          </w:tcPr>
          <w:p w14:paraId="32028C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3" w:type="pct"/>
            <w:vAlign w:val="center"/>
          </w:tcPr>
          <w:p w14:paraId="0C8FE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3" w:type="pct"/>
            <w:vAlign w:val="center"/>
          </w:tcPr>
          <w:p w14:paraId="0723C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56DBE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9052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6A79C68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大气</w:t>
            </w:r>
          </w:p>
          <w:p w14:paraId="2DA579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tc>
        <w:tc>
          <w:tcPr>
            <w:tcW w:w="1526" w:type="pct"/>
            <w:vAlign w:val="center"/>
          </w:tcPr>
          <w:p w14:paraId="6C8F1BE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（1）施工设置挡风墙、物料库存或苫盖，加强运输车辆管理，如限载、限速，对道路进行洒水降尘。（2）混凝土临时拌合站废气设置集气罩+布袋除尘器+15m高的排气筒排放。</w:t>
            </w:r>
          </w:p>
        </w:tc>
        <w:tc>
          <w:tcPr>
            <w:tcW w:w="923" w:type="pct"/>
            <w:vAlign w:val="center"/>
          </w:tcPr>
          <w:p w14:paraId="779FA70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符合《甘肃省大气污染防治条例》（甘肃省人民代表大会常务委员会公告〔2019〕13号）等要求；混凝土临时拌合站废气满足《水泥工业大气污染物排放标准》（GB4915-2013）限值要求。</w:t>
            </w:r>
          </w:p>
        </w:tc>
        <w:tc>
          <w:tcPr>
            <w:tcW w:w="1233" w:type="pct"/>
            <w:vAlign w:val="center"/>
          </w:tcPr>
          <w:p w14:paraId="307D5A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68420F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50C4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4DBCFB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固体</w:t>
            </w:r>
          </w:p>
          <w:p w14:paraId="047722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w:t>
            </w:r>
          </w:p>
        </w:tc>
        <w:tc>
          <w:tcPr>
            <w:tcW w:w="1526" w:type="pct"/>
            <w:vAlign w:val="center"/>
          </w:tcPr>
          <w:p w14:paraId="4C53FF7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（1）生活垃圾</w:t>
            </w: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val="en-US" w:eastAsia="zh-CN"/>
              </w:rPr>
              <w:t>运往环卫部门指定地点处理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运输需加盖篷布，禁超载，防散落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建筑垃圾清运至城建部门指定的地点处置</w:t>
            </w:r>
            <w:r>
              <w:rPr>
                <w:rFonts w:hint="default" w:ascii="Times New Roman" w:hAnsi="Times New Roman" w:eastAsia="宋体" w:cs="Times New Roman"/>
                <w:color w:val="auto"/>
                <w:sz w:val="21"/>
                <w:szCs w:val="21"/>
                <w:highlight w:val="none"/>
                <w:lang w:eastAsia="zh-CN"/>
              </w:rPr>
              <w:t>。</w:t>
            </w:r>
          </w:p>
        </w:tc>
        <w:tc>
          <w:tcPr>
            <w:tcW w:w="923" w:type="pct"/>
            <w:vAlign w:val="center"/>
          </w:tcPr>
          <w:p w14:paraId="02D6A1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妥善处置</w:t>
            </w:r>
          </w:p>
        </w:tc>
        <w:tc>
          <w:tcPr>
            <w:tcW w:w="3648" w:type="dxa"/>
            <w:vAlign w:val="center"/>
          </w:tcPr>
          <w:p w14:paraId="201003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3035" w:type="dxa"/>
            <w:vAlign w:val="center"/>
          </w:tcPr>
          <w:p w14:paraId="32849E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866F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7282B9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电磁</w:t>
            </w:r>
          </w:p>
          <w:p w14:paraId="22A93B4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tc>
        <w:tc>
          <w:tcPr>
            <w:tcW w:w="1526" w:type="pct"/>
            <w:vAlign w:val="center"/>
          </w:tcPr>
          <w:p w14:paraId="06E09B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3" w:type="pct"/>
            <w:vAlign w:val="center"/>
          </w:tcPr>
          <w:p w14:paraId="0BC4F6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3" w:type="pct"/>
            <w:vAlign w:val="center"/>
          </w:tcPr>
          <w:p w14:paraId="77EB84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3D549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9642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030D3D6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212718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w:t>
            </w:r>
          </w:p>
        </w:tc>
        <w:tc>
          <w:tcPr>
            <w:tcW w:w="1526" w:type="pct"/>
            <w:vAlign w:val="center"/>
          </w:tcPr>
          <w:p w14:paraId="008C72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3" w:type="pct"/>
            <w:vAlign w:val="center"/>
          </w:tcPr>
          <w:p w14:paraId="357E1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3" w:type="pct"/>
            <w:vAlign w:val="center"/>
          </w:tcPr>
          <w:p w14:paraId="43AED0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5FC4E2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4F84A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7E3573B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2FF4903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color w:val="auto"/>
                <w:kern w:val="2"/>
                <w:sz w:val="24"/>
                <w:szCs w:val="22"/>
                <w:highlight w:val="none"/>
                <w:lang w:val="en-US" w:eastAsia="zh-CN" w:bidi="ar-SA"/>
              </w:rPr>
              <w:t>《地表水环境质量标准》(GB3838-2002)表1中</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ROMAN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rPr>
              <w:t>IV</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b w:val="0"/>
                <w:color w:val="auto"/>
                <w:kern w:val="2"/>
                <w:sz w:val="24"/>
                <w:szCs w:val="22"/>
                <w:highlight w:val="none"/>
                <w:lang w:val="en-US" w:eastAsia="zh-CN" w:bidi="ar-SA"/>
              </w:rPr>
              <w:t>类标准</w:t>
            </w:r>
            <w:r>
              <w:rPr>
                <w:rFonts w:hint="default" w:ascii="Times New Roman" w:hAnsi="Times New Roman" w:eastAsia="宋体" w:cs="Times New Roman"/>
                <w:b/>
                <w:bCs/>
                <w:color w:val="auto"/>
                <w:sz w:val="21"/>
                <w:szCs w:val="21"/>
                <w:highlight w:val="none"/>
              </w:rPr>
              <w:t>监测</w:t>
            </w:r>
          </w:p>
        </w:tc>
        <w:tc>
          <w:tcPr>
            <w:tcW w:w="1526" w:type="pct"/>
            <w:vAlign w:val="center"/>
          </w:tcPr>
          <w:p w14:paraId="10D90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3" w:type="pct"/>
            <w:vAlign w:val="center"/>
          </w:tcPr>
          <w:p w14:paraId="4EAA92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3" w:type="pct"/>
            <w:vAlign w:val="center"/>
          </w:tcPr>
          <w:p w14:paraId="6D9B48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02D38C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6B56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9" w:type="pct"/>
            <w:vAlign w:val="center"/>
          </w:tcPr>
          <w:p w14:paraId="1D580B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其他</w:t>
            </w:r>
          </w:p>
        </w:tc>
        <w:tc>
          <w:tcPr>
            <w:tcW w:w="1526" w:type="pct"/>
            <w:vAlign w:val="center"/>
          </w:tcPr>
          <w:p w14:paraId="78B2FB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23" w:type="pct"/>
            <w:vAlign w:val="center"/>
          </w:tcPr>
          <w:p w14:paraId="6824B0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33" w:type="pct"/>
            <w:vAlign w:val="center"/>
          </w:tcPr>
          <w:p w14:paraId="49C94F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26" w:type="pct"/>
            <w:vAlign w:val="center"/>
          </w:tcPr>
          <w:p w14:paraId="4090C4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793400DA">
      <w:pPr>
        <w:pStyle w:val="23"/>
        <w:spacing w:before="0" w:beforeAutospacing="0" w:after="0" w:afterAutospacing="0" w:line="360" w:lineRule="auto"/>
        <w:jc w:val="center"/>
        <w:outlineLvl w:val="0"/>
        <w:rPr>
          <w:rFonts w:hint="default" w:ascii="Times New Roman" w:hAnsi="Times New Roman" w:eastAsia="仿宋" w:cs="Times New Roman"/>
          <w:snapToGrid w:val="0"/>
          <w:color w:val="auto"/>
          <w:sz w:val="30"/>
          <w:szCs w:val="30"/>
          <w:highlight w:val="none"/>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14:paraId="46CDB089">
      <w:pPr>
        <w:pStyle w:val="23"/>
        <w:spacing w:before="0" w:beforeAutospacing="0" w:after="0" w:afterAutospacing="0" w:line="360" w:lineRule="auto"/>
        <w:jc w:val="center"/>
        <w:outlineLvl w:val="0"/>
        <w:rPr>
          <w:rFonts w:hint="default" w:ascii="Times New Roman" w:hAnsi="Times New Roman" w:eastAsia="仿宋" w:cs="Times New Roman"/>
          <w:b/>
          <w:bCs/>
          <w:snapToGrid w:val="0"/>
          <w:color w:val="auto"/>
          <w:sz w:val="30"/>
          <w:szCs w:val="30"/>
          <w:highlight w:val="none"/>
        </w:rPr>
      </w:pPr>
      <w:bookmarkStart w:id="32" w:name="_Toc27847"/>
      <w:r>
        <w:rPr>
          <w:rFonts w:hint="default" w:ascii="Times New Roman" w:hAnsi="Times New Roman" w:eastAsia="仿宋" w:cs="Times New Roman"/>
          <w:b/>
          <w:bCs/>
          <w:snapToGrid w:val="0"/>
          <w:color w:val="auto"/>
          <w:sz w:val="30"/>
          <w:szCs w:val="30"/>
          <w:highlight w:val="none"/>
        </w:rPr>
        <w:t>七、结论</w:t>
      </w:r>
      <w:bookmarkEnd w:id="32"/>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3"/>
      </w:tblGrid>
      <w:tr w14:paraId="7E3A4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5000" w:type="pct"/>
          </w:tcPr>
          <w:p w14:paraId="68B104A4">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项目施工建设完成后，工程在建设过程中对环境空气、声环境、水环境、以及生态环境都会造成一定程度的不利影响，但只要认真落实报告表中提出的各项环保措施，真正落实环保措施与主体工程建设的“三同时”制度，其对环境的不利影响可以得到减轻或消除，并能为环境所接受。因此，本报告认为从环境保护的角度来看，</w:t>
            </w:r>
            <w:r>
              <w:rPr>
                <w:rFonts w:hint="eastAsia" w:ascii="宋体" w:hAnsi="宋体" w:eastAsia="宋体" w:cs="宋体"/>
                <w:color w:val="auto"/>
                <w:sz w:val="24"/>
                <w:szCs w:val="22"/>
                <w:highlight w:val="none"/>
                <w:lang w:val="en-US" w:eastAsia="zh-CN"/>
              </w:rPr>
              <w:t>甘州区兔儿坝滩调蓄水池工程</w:t>
            </w:r>
            <w:r>
              <w:rPr>
                <w:rFonts w:hint="eastAsia" w:ascii="宋体" w:hAnsi="宋体" w:eastAsia="宋体" w:cs="宋体"/>
                <w:color w:val="auto"/>
                <w:sz w:val="24"/>
                <w:szCs w:val="22"/>
                <w:highlight w:val="none"/>
              </w:rPr>
              <w:t>的建设是可行的。</w:t>
            </w:r>
          </w:p>
          <w:p w14:paraId="2F8EC4E2">
            <w:pPr>
              <w:keepNext w:val="0"/>
              <w:keepLines w:val="0"/>
              <w:suppressLineNumbers w:val="0"/>
              <w:adjustRightInd w:val="0"/>
              <w:snapToGrid w:val="0"/>
              <w:spacing w:before="0" w:beforeAutospacing="0" w:after="0" w:afterAutospacing="0"/>
              <w:ind w:left="0" w:right="0" w:firstLine="315"/>
              <w:rPr>
                <w:rFonts w:hint="default" w:ascii="Times New Roman" w:hAnsi="Times New Roman" w:eastAsia="仿宋" w:cs="Times New Roman"/>
                <w:color w:val="auto"/>
                <w:szCs w:val="21"/>
                <w:highlight w:val="none"/>
              </w:rPr>
            </w:pPr>
          </w:p>
        </w:tc>
      </w:tr>
    </w:tbl>
    <w:p w14:paraId="47294283">
      <w:pPr>
        <w:pStyle w:val="18"/>
        <w:rPr>
          <w:rFonts w:hint="default" w:ascii="Times New Roman" w:hAnsi="Times New Roman" w:eastAsia="仿宋" w:cs="Times New Roman"/>
          <w:b/>
          <w:color w:val="auto"/>
          <w:sz w:val="48"/>
          <w:szCs w:val="48"/>
          <w:highlight w:val="none"/>
          <w:lang w:val="en-US" w:eastAsia="zh-CN"/>
        </w:rPr>
        <w:sectPr>
          <w:pgSz w:w="11905" w:h="16838"/>
          <w:pgMar w:top="1134" w:right="1134" w:bottom="1134" w:left="1134"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14:paraId="6FF26225">
      <w:pPr>
        <w:pStyle w:val="18"/>
        <w:rPr>
          <w:rFonts w:hint="default" w:ascii="Times New Roman" w:hAnsi="Times New Roman" w:eastAsia="仿宋" w:cs="Times New Roman"/>
          <w:b/>
          <w:color w:val="auto"/>
          <w:sz w:val="48"/>
          <w:szCs w:val="48"/>
          <w:highlight w:val="none"/>
          <w:lang w:val="en-US" w:eastAsia="zh-CN"/>
        </w:rPr>
      </w:pPr>
    </w:p>
    <w:p w14:paraId="0EE494C3">
      <w:pPr>
        <w:pStyle w:val="18"/>
        <w:rPr>
          <w:rFonts w:hint="default" w:ascii="Times New Roman" w:hAnsi="Times New Roman" w:eastAsia="仿宋" w:cs="Times New Roman"/>
          <w:b/>
          <w:color w:val="auto"/>
          <w:sz w:val="48"/>
          <w:szCs w:val="48"/>
          <w:highlight w:val="none"/>
          <w:lang w:val="en-US" w:eastAsia="zh-CN"/>
        </w:rPr>
      </w:pPr>
    </w:p>
    <w:p w14:paraId="62355BD8">
      <w:pPr>
        <w:pStyle w:val="18"/>
        <w:rPr>
          <w:rFonts w:hint="default" w:ascii="Times New Roman" w:hAnsi="Times New Roman" w:eastAsia="仿宋" w:cs="Times New Roman"/>
          <w:b/>
          <w:color w:val="auto"/>
          <w:sz w:val="48"/>
          <w:szCs w:val="48"/>
          <w:highlight w:val="none"/>
          <w:lang w:val="en-US" w:eastAsia="zh-CN"/>
        </w:rPr>
      </w:pPr>
    </w:p>
    <w:p w14:paraId="4209BA2A">
      <w:pPr>
        <w:pStyle w:val="38"/>
        <w:spacing w:before="240" w:after="240" w:line="480" w:lineRule="auto"/>
        <w:jc w:val="center"/>
        <w:rPr>
          <w:rFonts w:hint="default" w:ascii="Times New Roman" w:hAnsi="Times New Roman" w:eastAsia="仿宋" w:cs="Times New Roman"/>
          <w:b/>
          <w:color w:val="auto"/>
          <w:sz w:val="48"/>
          <w:szCs w:val="48"/>
          <w:highlight w:val="none"/>
          <w:lang w:val="en-US" w:eastAsia="zh-CN"/>
        </w:rPr>
      </w:pPr>
      <w:r>
        <w:rPr>
          <w:rFonts w:hint="eastAsia" w:ascii="Times New Roman" w:hAnsi="Times New Roman" w:eastAsia="仿宋" w:cs="Times New Roman"/>
          <w:b/>
          <w:color w:val="auto"/>
          <w:sz w:val="48"/>
          <w:szCs w:val="48"/>
          <w:highlight w:val="none"/>
          <w:lang w:val="en-US" w:eastAsia="zh-CN"/>
        </w:rPr>
        <w:t>张掖经济技术开发区兔儿坝滩水库工程</w:t>
      </w:r>
    </w:p>
    <w:p w14:paraId="0E6CC3EF">
      <w:pPr>
        <w:pStyle w:val="38"/>
        <w:spacing w:before="240" w:after="240" w:line="480" w:lineRule="auto"/>
        <w:jc w:val="center"/>
        <w:rPr>
          <w:rFonts w:hint="default" w:ascii="Times New Roman" w:hAnsi="Times New Roman" w:eastAsia="仿宋" w:cs="Times New Roman"/>
          <w:b/>
          <w:color w:val="auto"/>
          <w:sz w:val="48"/>
          <w:szCs w:val="48"/>
          <w:highlight w:val="none"/>
        </w:rPr>
      </w:pPr>
      <w:r>
        <w:rPr>
          <w:rFonts w:hint="default" w:ascii="Times New Roman" w:hAnsi="Times New Roman" w:eastAsia="仿宋" w:cs="Times New Roman"/>
          <w:b/>
          <w:color w:val="auto"/>
          <w:sz w:val="48"/>
          <w:szCs w:val="48"/>
          <w:highlight w:val="none"/>
          <w:lang w:val="en-US" w:eastAsia="zh-CN"/>
        </w:rPr>
        <w:t>地表水</w:t>
      </w:r>
      <w:r>
        <w:rPr>
          <w:rFonts w:hint="default" w:ascii="Times New Roman" w:hAnsi="Times New Roman" w:eastAsia="仿宋" w:cs="Times New Roman"/>
          <w:b/>
          <w:color w:val="auto"/>
          <w:sz w:val="48"/>
          <w:szCs w:val="48"/>
          <w:highlight w:val="none"/>
        </w:rPr>
        <w:t>环境影响专</w:t>
      </w:r>
      <w:r>
        <w:rPr>
          <w:rFonts w:hint="default" w:ascii="Times New Roman" w:hAnsi="Times New Roman" w:eastAsia="仿宋" w:cs="Times New Roman"/>
          <w:b/>
          <w:color w:val="auto"/>
          <w:sz w:val="48"/>
          <w:szCs w:val="48"/>
          <w:highlight w:val="none"/>
          <w:lang w:val="en-US" w:eastAsia="zh-CN"/>
        </w:rPr>
        <w:t>项</w:t>
      </w:r>
      <w:r>
        <w:rPr>
          <w:rFonts w:hint="default" w:ascii="Times New Roman" w:hAnsi="Times New Roman" w:eastAsia="仿宋" w:cs="Times New Roman"/>
          <w:b/>
          <w:color w:val="auto"/>
          <w:sz w:val="48"/>
          <w:szCs w:val="48"/>
          <w:highlight w:val="none"/>
        </w:rPr>
        <w:t>评价</w:t>
      </w:r>
    </w:p>
    <w:p w14:paraId="7ACC0D56">
      <w:pPr>
        <w:pStyle w:val="38"/>
        <w:jc w:val="center"/>
        <w:rPr>
          <w:rFonts w:hint="default" w:ascii="Times New Roman" w:hAnsi="Times New Roman" w:eastAsia="仿宋" w:cs="Times New Roman"/>
          <w:b/>
          <w:color w:val="auto"/>
          <w:sz w:val="44"/>
          <w:szCs w:val="44"/>
          <w:highlight w:val="none"/>
        </w:rPr>
      </w:pPr>
    </w:p>
    <w:p w14:paraId="6ECE1AB4">
      <w:pPr>
        <w:rPr>
          <w:rFonts w:hint="default" w:ascii="Times New Roman" w:hAnsi="Times New Roman" w:eastAsia="仿宋" w:cs="Times New Roman"/>
          <w:b/>
          <w:color w:val="auto"/>
          <w:sz w:val="44"/>
          <w:szCs w:val="44"/>
          <w:highlight w:val="none"/>
        </w:rPr>
      </w:pPr>
    </w:p>
    <w:p w14:paraId="4037A267">
      <w:pPr>
        <w:pStyle w:val="41"/>
        <w:rPr>
          <w:rFonts w:hint="default" w:ascii="Times New Roman" w:hAnsi="Times New Roman" w:eastAsia="仿宋" w:cs="Times New Roman"/>
          <w:b/>
          <w:color w:val="auto"/>
          <w:sz w:val="44"/>
          <w:szCs w:val="44"/>
          <w:highlight w:val="none"/>
        </w:rPr>
      </w:pPr>
    </w:p>
    <w:p w14:paraId="49BFC41C">
      <w:pPr>
        <w:pStyle w:val="41"/>
        <w:rPr>
          <w:rFonts w:hint="default" w:ascii="Times New Roman" w:hAnsi="Times New Roman" w:eastAsia="仿宋" w:cs="Times New Roman"/>
          <w:b/>
          <w:color w:val="auto"/>
          <w:sz w:val="44"/>
          <w:szCs w:val="44"/>
          <w:highlight w:val="none"/>
        </w:rPr>
      </w:pPr>
    </w:p>
    <w:p w14:paraId="0CB8964C">
      <w:pPr>
        <w:pStyle w:val="41"/>
        <w:rPr>
          <w:rFonts w:hint="default" w:ascii="Times New Roman" w:hAnsi="Times New Roman" w:eastAsia="仿宋" w:cs="Times New Roman"/>
          <w:b/>
          <w:color w:val="auto"/>
          <w:sz w:val="44"/>
          <w:szCs w:val="44"/>
          <w:highlight w:val="none"/>
        </w:rPr>
      </w:pPr>
    </w:p>
    <w:p w14:paraId="55B51C05">
      <w:pPr>
        <w:pStyle w:val="41"/>
        <w:rPr>
          <w:rFonts w:hint="default" w:ascii="Times New Roman" w:hAnsi="Times New Roman" w:eastAsia="仿宋" w:cs="Times New Roman"/>
          <w:b/>
          <w:color w:val="auto"/>
          <w:sz w:val="44"/>
          <w:szCs w:val="44"/>
          <w:highlight w:val="none"/>
        </w:rPr>
      </w:pPr>
    </w:p>
    <w:p w14:paraId="1F7E8C2F">
      <w:pPr>
        <w:pStyle w:val="41"/>
        <w:rPr>
          <w:rFonts w:hint="default" w:ascii="Times New Roman" w:hAnsi="Times New Roman" w:eastAsia="仿宋" w:cs="Times New Roman"/>
          <w:b/>
          <w:color w:val="auto"/>
          <w:sz w:val="44"/>
          <w:szCs w:val="44"/>
          <w:highlight w:val="none"/>
        </w:rPr>
      </w:pPr>
    </w:p>
    <w:p w14:paraId="1640D228">
      <w:pPr>
        <w:pStyle w:val="41"/>
        <w:rPr>
          <w:rFonts w:hint="default" w:ascii="Times New Roman" w:hAnsi="Times New Roman" w:eastAsia="仿宋" w:cs="Times New Roman"/>
          <w:b/>
          <w:color w:val="auto"/>
          <w:sz w:val="44"/>
          <w:szCs w:val="44"/>
          <w:highlight w:val="none"/>
        </w:rPr>
      </w:pPr>
    </w:p>
    <w:p w14:paraId="0E08E3E8">
      <w:pPr>
        <w:pStyle w:val="38"/>
        <w:jc w:val="center"/>
        <w:rPr>
          <w:rFonts w:hint="default" w:ascii="Times New Roman" w:hAnsi="Times New Roman" w:eastAsia="仿宋" w:cs="Times New Roman"/>
          <w:b/>
          <w:color w:val="auto"/>
          <w:sz w:val="44"/>
          <w:szCs w:val="44"/>
          <w:highlight w:val="none"/>
        </w:rPr>
      </w:pPr>
    </w:p>
    <w:p w14:paraId="570A9990">
      <w:pPr>
        <w:keepNext w:val="0"/>
        <w:keepLines w:val="0"/>
        <w:widowControl/>
        <w:suppressLineNumbers w:val="0"/>
        <w:ind w:firstLine="1124" w:firstLineChars="400"/>
        <w:jc w:val="left"/>
        <w:rPr>
          <w:rFonts w:hint="default" w:ascii="Times New Roman" w:hAnsi="Times New Roman" w:eastAsia="仿宋" w:cs="Times New Roman"/>
          <w:b/>
          <w:bCs/>
          <w:color w:val="auto"/>
          <w:sz w:val="28"/>
          <w:szCs w:val="28"/>
          <w:highlight w:val="none"/>
          <w:u w:val="single"/>
          <w:lang w:val="en-US" w:eastAsia="zh-CN"/>
        </w:rPr>
      </w:pPr>
      <w:r>
        <w:rPr>
          <w:rFonts w:hint="default" w:ascii="Times New Roman" w:hAnsi="Times New Roman" w:eastAsia="仿宋" w:cs="Times New Roman"/>
          <w:b/>
          <w:bCs/>
          <w:color w:val="auto"/>
          <w:sz w:val="28"/>
          <w:szCs w:val="28"/>
          <w:highlight w:val="none"/>
        </w:rPr>
        <w:t>项目名称：</w:t>
      </w:r>
      <w:r>
        <w:rPr>
          <w:rFonts w:hint="eastAsia" w:eastAsia="仿宋" w:cs="Times New Roman"/>
          <w:b/>
          <w:bCs/>
          <w:color w:val="auto"/>
          <w:sz w:val="28"/>
          <w:szCs w:val="28"/>
          <w:highlight w:val="none"/>
          <w:u w:val="single"/>
          <w:lang w:val="en-US" w:eastAsia="zh-CN"/>
        </w:rPr>
        <w:t>张掖经济技术开发区兔儿坝滩水库工程</w:t>
      </w:r>
    </w:p>
    <w:p w14:paraId="5DF5ACF6">
      <w:pPr>
        <w:pStyle w:val="8"/>
        <w:rPr>
          <w:rFonts w:hint="default" w:ascii="Times New Roman" w:hAnsi="Times New Roman" w:eastAsia="仿宋" w:cs="Times New Roman"/>
          <w:color w:val="auto"/>
          <w:highlight w:val="none"/>
          <w:lang w:val="en-US" w:eastAsia="zh-CN"/>
        </w:rPr>
      </w:pPr>
    </w:p>
    <w:p w14:paraId="3EFE12A4">
      <w:pPr>
        <w:keepNext w:val="0"/>
        <w:keepLines w:val="0"/>
        <w:widowControl/>
        <w:suppressLineNumbers w:val="0"/>
        <w:ind w:firstLine="1124" w:firstLineChars="400"/>
        <w:jc w:val="left"/>
        <w:rPr>
          <w:rFonts w:hint="default" w:ascii="Times New Roman" w:hAnsi="Times New Roman" w:eastAsia="仿宋" w:cs="Times New Roman"/>
          <w:b/>
          <w:bCs/>
          <w:color w:val="auto"/>
          <w:sz w:val="28"/>
          <w:szCs w:val="28"/>
          <w:highlight w:val="none"/>
          <w:u w:val="single"/>
          <w:lang w:val="en-US" w:eastAsia="zh-CN"/>
        </w:rPr>
      </w:pPr>
      <w:r>
        <w:rPr>
          <w:rFonts w:hint="default" w:ascii="Times New Roman" w:hAnsi="Times New Roman" w:eastAsia="仿宋" w:cs="Times New Roman"/>
          <w:b/>
          <w:bCs/>
          <w:color w:val="auto"/>
          <w:sz w:val="28"/>
          <w:szCs w:val="28"/>
          <w:highlight w:val="none"/>
        </w:rPr>
        <w:t>建设单位：</w:t>
      </w:r>
      <w:r>
        <w:rPr>
          <w:rFonts w:hint="eastAsia" w:eastAsia="仿宋" w:cs="Times New Roman"/>
          <w:b/>
          <w:bCs/>
          <w:color w:val="auto"/>
          <w:sz w:val="28"/>
          <w:szCs w:val="28"/>
          <w:highlight w:val="none"/>
          <w:u w:val="single"/>
          <w:lang w:val="en-US" w:eastAsia="zh-CN"/>
        </w:rPr>
        <w:t>张掖市开源通达供水有限责任公司</w:t>
      </w:r>
      <w:r>
        <w:rPr>
          <w:rFonts w:hint="default" w:ascii="Times New Roman" w:hAnsi="Times New Roman" w:eastAsia="仿宋" w:cs="Times New Roman"/>
          <w:b/>
          <w:bCs/>
          <w:color w:val="auto"/>
          <w:sz w:val="28"/>
          <w:szCs w:val="28"/>
          <w:highlight w:val="none"/>
          <w:u w:val="single"/>
          <w:lang w:val="en-US" w:eastAsia="zh-CN"/>
        </w:rPr>
        <w:t>（盖章）</w:t>
      </w:r>
    </w:p>
    <w:p w14:paraId="202516F6">
      <w:pPr>
        <w:pStyle w:val="8"/>
        <w:rPr>
          <w:rFonts w:hint="default" w:ascii="Times New Roman" w:hAnsi="Times New Roman" w:eastAsia="仿宋" w:cs="Times New Roman"/>
          <w:color w:val="auto"/>
          <w:highlight w:val="none"/>
          <w:lang w:val="en-US" w:eastAsia="zh-CN"/>
        </w:rPr>
      </w:pPr>
    </w:p>
    <w:p w14:paraId="776CD1E1">
      <w:pPr>
        <w:keepNext w:val="0"/>
        <w:keepLines w:val="0"/>
        <w:widowControl/>
        <w:suppressLineNumbers w:val="0"/>
        <w:ind w:firstLine="1124" w:firstLineChars="400"/>
        <w:jc w:val="left"/>
        <w:rPr>
          <w:rFonts w:hint="default" w:ascii="Times New Roman" w:hAnsi="Times New Roman" w:eastAsia="仿宋" w:cs="Times New Roman"/>
          <w:b/>
          <w:bCs/>
          <w:color w:val="auto"/>
          <w:sz w:val="28"/>
          <w:szCs w:val="28"/>
          <w:highlight w:val="none"/>
          <w:u w:val="single"/>
          <w:lang w:val="en-US"/>
        </w:rPr>
      </w:pPr>
      <w:r>
        <w:rPr>
          <w:rFonts w:hint="default" w:ascii="Times New Roman" w:hAnsi="Times New Roman" w:eastAsia="仿宋" w:cs="Times New Roman"/>
          <w:b/>
          <w:bCs/>
          <w:color w:val="auto"/>
          <w:sz w:val="28"/>
          <w:szCs w:val="28"/>
          <w:highlight w:val="none"/>
        </w:rPr>
        <w:t>编制日期：</w:t>
      </w:r>
      <w:r>
        <w:rPr>
          <w:rFonts w:hint="default" w:ascii="Times New Roman" w:hAnsi="Times New Roman" w:eastAsia="仿宋" w:cs="Times New Roman"/>
          <w:b/>
          <w:bCs/>
          <w:color w:val="auto"/>
          <w:sz w:val="28"/>
          <w:szCs w:val="28"/>
          <w:highlight w:val="none"/>
          <w:u w:val="single"/>
        </w:rPr>
        <w:t>202</w:t>
      </w:r>
      <w:r>
        <w:rPr>
          <w:rFonts w:hint="eastAsia" w:eastAsia="仿宋" w:cs="Times New Roman"/>
          <w:b/>
          <w:bCs/>
          <w:color w:val="auto"/>
          <w:sz w:val="28"/>
          <w:szCs w:val="28"/>
          <w:highlight w:val="none"/>
          <w:u w:val="single"/>
          <w:lang w:val="en-US" w:eastAsia="zh-CN"/>
        </w:rPr>
        <w:t>6</w:t>
      </w:r>
      <w:r>
        <w:rPr>
          <w:rFonts w:hint="default" w:ascii="Times New Roman" w:hAnsi="Times New Roman" w:eastAsia="仿宋" w:cs="Times New Roman"/>
          <w:b/>
          <w:bCs/>
          <w:color w:val="auto"/>
          <w:sz w:val="28"/>
          <w:szCs w:val="28"/>
          <w:highlight w:val="none"/>
          <w:u w:val="single"/>
        </w:rPr>
        <w:t>年</w:t>
      </w:r>
      <w:r>
        <w:rPr>
          <w:rFonts w:hint="eastAsia" w:eastAsia="仿宋" w:cs="Times New Roman"/>
          <w:b/>
          <w:bCs/>
          <w:color w:val="auto"/>
          <w:sz w:val="28"/>
          <w:szCs w:val="28"/>
          <w:highlight w:val="none"/>
          <w:u w:val="single"/>
          <w:lang w:val="en-US" w:eastAsia="zh-CN"/>
        </w:rPr>
        <w:t>4</w:t>
      </w:r>
      <w:r>
        <w:rPr>
          <w:rFonts w:hint="default" w:ascii="Times New Roman" w:hAnsi="Times New Roman" w:eastAsia="仿宋" w:cs="Times New Roman"/>
          <w:b/>
          <w:bCs/>
          <w:color w:val="auto"/>
          <w:sz w:val="28"/>
          <w:szCs w:val="28"/>
          <w:highlight w:val="none"/>
          <w:u w:val="single"/>
          <w:lang w:val="en-US" w:eastAsia="zh-CN"/>
        </w:rPr>
        <w:t>月</w:t>
      </w:r>
    </w:p>
    <w:p w14:paraId="73863BD2">
      <w:pPr>
        <w:pStyle w:val="2"/>
        <w:bidi w:val="0"/>
        <w:rPr>
          <w:rFonts w:hint="default" w:ascii="Times New Roman" w:hAnsi="Times New Roman" w:eastAsia="仿宋" w:cs="Times New Roman"/>
          <w:color w:val="auto"/>
          <w:highlight w:val="none"/>
          <w:lang w:val="en-US" w:eastAsia="zh-CN"/>
        </w:rPr>
      </w:pPr>
    </w:p>
    <w:p w14:paraId="4D00D443">
      <w:pPr>
        <w:tabs>
          <w:tab w:val="center" w:pos="4818"/>
        </w:tabs>
        <w:bidi w:val="0"/>
        <w:jc w:val="left"/>
        <w:rPr>
          <w:rFonts w:hint="default"/>
          <w:lang w:val="en-US" w:eastAsia="zh-CN"/>
        </w:rPr>
        <w:sectPr>
          <w:footerReference r:id="rId5" w:type="default"/>
          <w:pgSz w:w="11905" w:h="16838"/>
          <w:pgMar w:top="1134" w:right="1134" w:bottom="1134" w:left="1134"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lang w:val="en-US" w:eastAsia="zh-CN"/>
        </w:rPr>
        <w:tab/>
      </w:r>
    </w:p>
    <w:p w14:paraId="6D816DE7">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1、地表水专项由来</w:t>
      </w:r>
    </w:p>
    <w:p w14:paraId="566F53FB">
      <w:pPr>
        <w:pStyle w:val="53"/>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000000"/>
          <w:spacing w:val="0"/>
          <w:kern w:val="2"/>
          <w:sz w:val="24"/>
          <w:szCs w:val="24"/>
          <w:lang w:val="en-US" w:eastAsia="zh-CN" w:bidi="ar-SA"/>
        </w:rPr>
      </w:pPr>
      <w:r>
        <w:rPr>
          <w:rFonts w:hint="default" w:ascii="Times New Roman" w:hAnsi="Times New Roman" w:eastAsia="宋体" w:cs="Times New Roman"/>
          <w:i w:val="0"/>
          <w:iCs w:val="0"/>
          <w:caps w:val="0"/>
          <w:color w:val="000000"/>
          <w:spacing w:val="0"/>
          <w:kern w:val="2"/>
          <w:sz w:val="24"/>
          <w:szCs w:val="24"/>
          <w:lang w:val="en-US" w:eastAsia="zh-CN" w:bidi="ar-SA"/>
        </w:rPr>
        <w:t>根据《建设项目环境影响报告表编制技术指南（生态影响类）（试行）》表1专项评价设置原则表，本项目涉及专项类别为“水库：全部”，需设置地表水专项评价。</w:t>
      </w:r>
    </w:p>
    <w:p w14:paraId="62FDE75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kern w:val="2"/>
          <w:sz w:val="24"/>
          <w:szCs w:val="24"/>
          <w:lang w:val="en-US" w:eastAsia="zh-CN" w:bidi="ar-SA"/>
        </w:rPr>
        <w:t>本次专项评价基于《张掖经济技术开发区循环经济示范园供水工程水资源论证报告书》</w:t>
      </w:r>
      <w:r>
        <w:rPr>
          <w:rFonts w:hint="eastAsia" w:ascii="Times New Roman" w:hAnsi="Times New Roman" w:eastAsia="宋体" w:cs="Times New Roman"/>
          <w:i w:val="0"/>
          <w:iCs w:val="0"/>
          <w:caps w:val="0"/>
          <w:color w:val="000000"/>
          <w:spacing w:val="0"/>
          <w:kern w:val="2"/>
          <w:sz w:val="24"/>
          <w:szCs w:val="24"/>
          <w:lang w:val="en-US" w:eastAsia="zh-CN" w:bidi="ar-SA"/>
        </w:rPr>
        <w:t>以及《</w:t>
      </w:r>
      <w:r>
        <w:rPr>
          <w:rFonts w:hint="default" w:ascii="Times New Roman" w:hAnsi="Times New Roman" w:eastAsia="宋体" w:cs="Times New Roman"/>
          <w:i w:val="0"/>
          <w:iCs w:val="0"/>
          <w:caps w:val="0"/>
          <w:color w:val="000000"/>
          <w:spacing w:val="0"/>
          <w:kern w:val="2"/>
          <w:sz w:val="24"/>
          <w:szCs w:val="24"/>
          <w:lang w:val="en-US" w:eastAsia="zh-CN" w:bidi="ar-SA"/>
        </w:rPr>
        <w:t>张掖经济技术开发区兔儿坝滩水库工程初步设计报告</w:t>
      </w:r>
      <w:r>
        <w:rPr>
          <w:rFonts w:hint="eastAsia" w:ascii="Times New Roman" w:hAnsi="Times New Roman" w:eastAsia="宋体" w:cs="Times New Roman"/>
          <w:i w:val="0"/>
          <w:iCs w:val="0"/>
          <w:caps w:val="0"/>
          <w:color w:val="000000"/>
          <w:spacing w:val="0"/>
          <w:kern w:val="2"/>
          <w:sz w:val="24"/>
          <w:szCs w:val="24"/>
          <w:lang w:val="en-US" w:eastAsia="zh-CN" w:bidi="ar-SA"/>
        </w:rPr>
        <w:t>》</w:t>
      </w:r>
      <w:r>
        <w:rPr>
          <w:rFonts w:hint="default" w:ascii="Times New Roman" w:hAnsi="Times New Roman" w:eastAsia="宋体" w:cs="Times New Roman"/>
          <w:i w:val="0"/>
          <w:iCs w:val="0"/>
          <w:caps w:val="0"/>
          <w:color w:val="000000"/>
          <w:spacing w:val="0"/>
          <w:kern w:val="2"/>
          <w:sz w:val="24"/>
          <w:szCs w:val="24"/>
          <w:lang w:val="en-US" w:eastAsia="zh-CN" w:bidi="ar-SA"/>
        </w:rPr>
        <w:t>核心数据，结合项目实际建设内容，系统分析工程</w:t>
      </w:r>
      <w:r>
        <w:rPr>
          <w:rFonts w:hint="default" w:ascii="Times New Roman" w:hAnsi="Times New Roman" w:eastAsia="宋体" w:cs="Times New Roman"/>
          <w:i w:val="0"/>
          <w:iCs w:val="0"/>
          <w:caps w:val="0"/>
          <w:color w:val="000000"/>
          <w:spacing w:val="0"/>
          <w:sz w:val="24"/>
          <w:szCs w:val="24"/>
        </w:rPr>
        <w:t>对地表水环境的影响及保护措施。</w:t>
      </w:r>
    </w:p>
    <w:p w14:paraId="689D44F2">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2、编制依据</w:t>
      </w:r>
    </w:p>
    <w:p w14:paraId="74BC777C">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237" w:firstLineChars="1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2.1法律、法规</w:t>
      </w:r>
    </w:p>
    <w:p w14:paraId="4AD7D3EA">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《中华人民共和国环境保护法（修订）》（2015年1月1日）；</w:t>
      </w:r>
    </w:p>
    <w:p w14:paraId="250DA3A7">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《中华人民共和国环境影响评价法》（2018年12月29日第二次修订）；</w:t>
      </w:r>
    </w:p>
    <w:p w14:paraId="352EE1E5">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《建设项目环境保护管理条例》（国务院第682号令，2017年10月1日）；</w:t>
      </w:r>
    </w:p>
    <w:p w14:paraId="79F59C39">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《建设项目环境影响评价分类管理名录》（2021年1月1日）；</w:t>
      </w:r>
    </w:p>
    <w:p w14:paraId="2E0860C7">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《中华人民共和国水污染防治法》（2018年1月1日）；</w:t>
      </w:r>
    </w:p>
    <w:p w14:paraId="00A14DC4">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《中华人民共和国水法》（2002年8月29日，2016年7月2日修订）；</w:t>
      </w:r>
    </w:p>
    <w:p w14:paraId="3B91E06E">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《取水许可和水资源费征收管理条例》（中华人民共和国国务院令第460号，2006年4月15日实施，2017年3月1日修订）；</w:t>
      </w:r>
    </w:p>
    <w:p w14:paraId="074F3D78">
      <w:pPr>
        <w:pStyle w:val="10"/>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《甘肃省节约用水条例》（2020年7月31日通过，2020年9月1日起施行）</w:t>
      </w:r>
      <w:r>
        <w:rPr>
          <w:rFonts w:hint="eastAsia" w:cs="Times New Roman"/>
          <w:color w:val="auto"/>
          <w:kern w:val="2"/>
          <w:sz w:val="24"/>
          <w:szCs w:val="24"/>
          <w:highlight w:val="none"/>
          <w:lang w:val="en-US" w:eastAsia="zh-CN" w:bidi="ar-SA"/>
        </w:rPr>
        <w:t>。</w:t>
      </w:r>
    </w:p>
    <w:p w14:paraId="605067BF">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100" w:right="0" w:rightChars="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2.2相关技术导则、规范及标准</w:t>
      </w:r>
    </w:p>
    <w:p w14:paraId="0AE13DAB">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《建设项目环境影响评价技术导则总纲》（HJ2.1-2016）；</w:t>
      </w:r>
    </w:p>
    <w:p w14:paraId="78F35BEB">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《环境影响评价技术导则地表水环境》（HJ2.3-2018）；</w:t>
      </w:r>
    </w:p>
    <w:p w14:paraId="65105BB5">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《建设项目水资源论证导则》（GB/T35580-2017）；</w:t>
      </w:r>
    </w:p>
    <w:p w14:paraId="62EAD7D3">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《地表水环境质量标准》（GB3838-2002）；</w:t>
      </w:r>
    </w:p>
    <w:p w14:paraId="2A9976E3">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《污水综合排放标准》（GB8978-1996）；</w:t>
      </w:r>
    </w:p>
    <w:p w14:paraId="0ECBE755">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《水利水电工程水文计算规范》（SL/T278-2020）；</w:t>
      </w:r>
    </w:p>
    <w:p w14:paraId="765E4A98">
      <w:pPr>
        <w:pStyle w:val="10"/>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《河湖生态环境需水计算规范》（SL/T712-2021）。</w:t>
      </w:r>
    </w:p>
    <w:p w14:paraId="508B7384">
      <w:pPr>
        <w:pStyle w:val="53"/>
        <w:keepNext w:val="0"/>
        <w:keepLines w:val="0"/>
        <w:numPr>
          <w:ilvl w:val="0"/>
          <w:numId w:val="0"/>
        </w:numPr>
        <w:suppressLineNumbers w:val="0"/>
        <w:spacing w:before="0" w:beforeAutospacing="0" w:after="0" w:afterAutospacing="0" w:line="360" w:lineRule="auto"/>
        <w:ind w:right="0" w:rightChars="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3、工程概况</w:t>
      </w:r>
    </w:p>
    <w:p w14:paraId="18801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sz w:val="24"/>
          <w:szCs w:val="24"/>
        </w:rPr>
        <w:t>本项目为张掖经济技术开发区循环经济示范园供水工程的核心调蓄环节，主要建设内容为新建库容156万m³调蓄水库1座、水厂泵站1座，铺设调蓄水库至净水厂供水管0.29km。工程配套水源工程（临河泵站、3.35km输水管线）已纳入《张掖经济技术开发区循环经济示范园水源保障工程》同步推进，本项目仅承担黑河河道闭口期、枯水期及检修期的用水调蓄任务。</w:t>
      </w:r>
    </w:p>
    <w:p w14:paraId="7A301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iCs w:val="0"/>
          <w:caps w:val="0"/>
          <w:color w:val="000000"/>
          <w:spacing w:val="0"/>
          <w:sz w:val="24"/>
          <w:szCs w:val="24"/>
        </w:rPr>
        <w:t>工程取水水源为黑河干流地表水，取水口位于山丹河与黑河汇流处下游约500m黑河干流右岸（东经100°26'37"，北纬39°3'34"），由临河泵站（设计引水流量0.29m³/s）取水后，经3.35km输水管线送至本项目调蓄水库，再通过水厂泵站及供水管线输送至净水厂。项目总供水量207.48万m³/a，供水保证率95%，服务于园区工业企业生产用水，实现地下水水源置换。</w:t>
      </w:r>
    </w:p>
    <w:p w14:paraId="2D821989">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4、地表水环境功能</w:t>
      </w:r>
    </w:p>
    <w:p w14:paraId="6ECBF7BE">
      <w:pPr>
        <w:pStyle w:val="5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000000"/>
          <w:spacing w:val="0"/>
          <w:kern w:val="2"/>
          <w:sz w:val="24"/>
          <w:szCs w:val="24"/>
          <w:lang w:val="en-US" w:eastAsia="zh-CN" w:bidi="ar-SA"/>
        </w:rPr>
      </w:pPr>
      <w:r>
        <w:rPr>
          <w:rFonts w:hint="default" w:ascii="Times New Roman" w:hAnsi="Times New Roman" w:eastAsia="宋体" w:cs="Times New Roman"/>
          <w:i w:val="0"/>
          <w:iCs w:val="0"/>
          <w:caps w:val="0"/>
          <w:color w:val="000000"/>
          <w:spacing w:val="0"/>
          <w:kern w:val="2"/>
          <w:sz w:val="24"/>
          <w:szCs w:val="24"/>
          <w:lang w:val="en-US" w:eastAsia="zh-CN" w:bidi="ar-SA"/>
        </w:rPr>
        <w:t>根据《甘肃省地表水功能区划(2012-2030年)》，本项目取水口所在河段一级水功能区为“黑河甘肃开发利用区”，二级水功能区为“黑河甘州工业、农业用水区”（范围：黑河大桥～高崖水文站），水质目标为Ⅳ类，执行《地表水环境质量标准》（GB3838-2002）Ⅳ类水质标准。本项目与水功能区划位置关系见附图10。</w:t>
      </w:r>
    </w:p>
    <w:p w14:paraId="68EDCF01">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5、评价执行标准</w:t>
      </w:r>
    </w:p>
    <w:p w14:paraId="2A9934B9">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237" w:firstLineChars="1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5.1质量标准</w:t>
      </w:r>
    </w:p>
    <w:p w14:paraId="7B05E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本项目主要功能水体执行《地表水环境质量标准》（GB3838-2002）</w:t>
      </w:r>
      <w:r>
        <w:rPr>
          <w:rFonts w:ascii="Segoe UI Symbol" w:hAnsi="Segoe UI Symbol" w:eastAsia="Segoe UI Symbol" w:cs="Segoe UI Symbol"/>
          <w:i w:val="0"/>
          <w:iCs w:val="0"/>
          <w:caps w:val="0"/>
          <w:color w:val="000000"/>
          <w:spacing w:val="0"/>
          <w:sz w:val="24"/>
          <w:szCs w:val="24"/>
        </w:rPr>
        <w:t>Ⅳ</w:t>
      </w:r>
      <w:r>
        <w:rPr>
          <w:rFonts w:hint="default" w:ascii="Times New Roman" w:hAnsi="Times New Roman" w:eastAsia="宋体" w:cs="Times New Roman"/>
          <w:color w:val="auto"/>
          <w:sz w:val="24"/>
          <w:szCs w:val="24"/>
          <w:highlight w:val="none"/>
          <w:lang w:val="en-US" w:eastAsia="zh-CN"/>
        </w:rPr>
        <w:t>类水质标准。相关标准值见表1。</w:t>
      </w:r>
    </w:p>
    <w:p w14:paraId="0D7090B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表1</w:t>
      </w:r>
      <w:r>
        <w:rPr>
          <w:rFonts w:hint="eastAsia"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sz w:val="24"/>
          <w:szCs w:val="24"/>
          <w:highlight w:val="none"/>
          <w:lang w:eastAsia="zh-CN"/>
        </w:rPr>
        <w:t>地表水环境质量标准基本项目标准限值单位：mg/L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7"/>
        <w:gridCol w:w="2147"/>
        <w:gridCol w:w="1609"/>
        <w:gridCol w:w="956"/>
        <w:gridCol w:w="2260"/>
        <w:gridCol w:w="1609"/>
      </w:tblGrid>
      <w:tr w14:paraId="4C14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7A465D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112" w:type="pct"/>
            <w:noWrap w:val="0"/>
            <w:vAlign w:val="center"/>
          </w:tcPr>
          <w:p w14:paraId="2D6381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833" w:type="pct"/>
            <w:noWrap w:val="0"/>
            <w:vAlign w:val="center"/>
          </w:tcPr>
          <w:p w14:paraId="53A569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标准值</w:t>
            </w:r>
          </w:p>
        </w:tc>
        <w:tc>
          <w:tcPr>
            <w:tcW w:w="495" w:type="pct"/>
            <w:noWrap w:val="0"/>
            <w:vAlign w:val="center"/>
          </w:tcPr>
          <w:p w14:paraId="059325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170" w:type="pct"/>
            <w:noWrap w:val="0"/>
            <w:vAlign w:val="center"/>
          </w:tcPr>
          <w:p w14:paraId="52E2B5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833" w:type="pct"/>
            <w:noWrap w:val="0"/>
            <w:vAlign w:val="center"/>
          </w:tcPr>
          <w:p w14:paraId="354A08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标准值</w:t>
            </w:r>
          </w:p>
        </w:tc>
      </w:tr>
      <w:tr w14:paraId="51C8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2D99C1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112" w:type="pct"/>
            <w:noWrap w:val="0"/>
            <w:vAlign w:val="center"/>
          </w:tcPr>
          <w:p w14:paraId="1B49F1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水温(℃)</w:t>
            </w:r>
          </w:p>
        </w:tc>
        <w:tc>
          <w:tcPr>
            <w:tcW w:w="833" w:type="pct"/>
            <w:noWrap w:val="0"/>
            <w:vAlign w:val="center"/>
          </w:tcPr>
          <w:p w14:paraId="546EBA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95" w:type="pct"/>
            <w:noWrap w:val="0"/>
            <w:vAlign w:val="center"/>
          </w:tcPr>
          <w:p w14:paraId="6263D6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1170" w:type="pct"/>
            <w:noWrap w:val="0"/>
            <w:vAlign w:val="center"/>
          </w:tcPr>
          <w:p w14:paraId="5F1321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氰化物</w:t>
            </w:r>
          </w:p>
        </w:tc>
        <w:tc>
          <w:tcPr>
            <w:tcW w:w="833" w:type="pct"/>
            <w:noWrap w:val="0"/>
            <w:vAlign w:val="center"/>
          </w:tcPr>
          <w:p w14:paraId="2AD410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.2</w:t>
            </w:r>
          </w:p>
        </w:tc>
      </w:tr>
      <w:tr w14:paraId="502D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6FB2C0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112" w:type="pct"/>
            <w:noWrap w:val="0"/>
            <w:vAlign w:val="center"/>
          </w:tcPr>
          <w:p w14:paraId="5CA5E9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pH值（无量纲）</w:t>
            </w:r>
          </w:p>
        </w:tc>
        <w:tc>
          <w:tcPr>
            <w:tcW w:w="833" w:type="pct"/>
            <w:noWrap w:val="0"/>
            <w:vAlign w:val="center"/>
          </w:tcPr>
          <w:p w14:paraId="46BB63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6~9</w:t>
            </w:r>
          </w:p>
        </w:tc>
        <w:tc>
          <w:tcPr>
            <w:tcW w:w="495" w:type="pct"/>
            <w:noWrap w:val="0"/>
            <w:vAlign w:val="center"/>
          </w:tcPr>
          <w:p w14:paraId="019338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1170" w:type="pct"/>
            <w:noWrap w:val="0"/>
            <w:vAlign w:val="center"/>
          </w:tcPr>
          <w:p w14:paraId="774929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铬（六价）</w:t>
            </w:r>
          </w:p>
        </w:tc>
        <w:tc>
          <w:tcPr>
            <w:tcW w:w="833" w:type="pct"/>
            <w:noWrap w:val="0"/>
            <w:vAlign w:val="center"/>
          </w:tcPr>
          <w:p w14:paraId="141F3F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≤0.05</w:t>
            </w:r>
          </w:p>
        </w:tc>
      </w:tr>
      <w:tr w14:paraId="0B2E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66A65F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112" w:type="pct"/>
            <w:noWrap w:val="0"/>
            <w:vAlign w:val="center"/>
          </w:tcPr>
          <w:p w14:paraId="301166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溶解氧</w:t>
            </w:r>
          </w:p>
        </w:tc>
        <w:tc>
          <w:tcPr>
            <w:tcW w:w="833" w:type="pct"/>
            <w:noWrap w:val="0"/>
            <w:vAlign w:val="center"/>
          </w:tcPr>
          <w:p w14:paraId="6B2190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3</w:t>
            </w:r>
          </w:p>
        </w:tc>
        <w:tc>
          <w:tcPr>
            <w:tcW w:w="495" w:type="pct"/>
            <w:noWrap w:val="0"/>
            <w:vAlign w:val="center"/>
          </w:tcPr>
          <w:p w14:paraId="2E6535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170" w:type="pct"/>
            <w:noWrap w:val="0"/>
            <w:vAlign w:val="center"/>
          </w:tcPr>
          <w:p w14:paraId="14B34E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硫化物</w:t>
            </w:r>
          </w:p>
        </w:tc>
        <w:tc>
          <w:tcPr>
            <w:tcW w:w="833" w:type="pct"/>
            <w:noWrap w:val="0"/>
            <w:vAlign w:val="center"/>
          </w:tcPr>
          <w:p w14:paraId="2650DB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5</w:t>
            </w:r>
          </w:p>
        </w:tc>
      </w:tr>
      <w:tr w14:paraId="34BB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1A5F36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112" w:type="pct"/>
            <w:noWrap w:val="0"/>
            <w:vAlign w:val="center"/>
          </w:tcPr>
          <w:p w14:paraId="69ADE2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高锰酸盐指数</w:t>
            </w:r>
          </w:p>
        </w:tc>
        <w:tc>
          <w:tcPr>
            <w:tcW w:w="833" w:type="pct"/>
            <w:noWrap w:val="0"/>
            <w:vAlign w:val="center"/>
          </w:tcPr>
          <w:p w14:paraId="35E133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10</w:t>
            </w:r>
          </w:p>
        </w:tc>
        <w:tc>
          <w:tcPr>
            <w:tcW w:w="495" w:type="pct"/>
            <w:noWrap w:val="0"/>
            <w:vAlign w:val="center"/>
          </w:tcPr>
          <w:p w14:paraId="12BDD0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1170" w:type="pct"/>
            <w:noWrap w:val="0"/>
            <w:vAlign w:val="center"/>
          </w:tcPr>
          <w:p w14:paraId="6AEF67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汞</w:t>
            </w:r>
          </w:p>
        </w:tc>
        <w:tc>
          <w:tcPr>
            <w:tcW w:w="833" w:type="pct"/>
            <w:noWrap w:val="0"/>
            <w:vAlign w:val="center"/>
          </w:tcPr>
          <w:p w14:paraId="165C16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w:t>
            </w:r>
          </w:p>
        </w:tc>
      </w:tr>
      <w:tr w14:paraId="3F13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2B66C6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112" w:type="pct"/>
            <w:noWrap w:val="0"/>
            <w:vAlign w:val="center"/>
          </w:tcPr>
          <w:p w14:paraId="393EF24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833" w:type="pct"/>
            <w:noWrap w:val="0"/>
            <w:vAlign w:val="center"/>
          </w:tcPr>
          <w:p w14:paraId="632B06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30</w:t>
            </w:r>
          </w:p>
        </w:tc>
        <w:tc>
          <w:tcPr>
            <w:tcW w:w="495" w:type="pct"/>
            <w:noWrap w:val="0"/>
            <w:vAlign w:val="center"/>
          </w:tcPr>
          <w:p w14:paraId="016556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w:t>
            </w:r>
          </w:p>
        </w:tc>
        <w:tc>
          <w:tcPr>
            <w:tcW w:w="1170" w:type="pct"/>
            <w:noWrap w:val="0"/>
            <w:vAlign w:val="center"/>
          </w:tcPr>
          <w:p w14:paraId="28BD8C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铜</w:t>
            </w:r>
          </w:p>
        </w:tc>
        <w:tc>
          <w:tcPr>
            <w:tcW w:w="833" w:type="pct"/>
            <w:noWrap w:val="0"/>
            <w:vAlign w:val="center"/>
          </w:tcPr>
          <w:p w14:paraId="7A0D5D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r>
      <w:tr w14:paraId="6B1C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11501C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1112" w:type="pct"/>
            <w:noWrap w:val="0"/>
            <w:vAlign w:val="center"/>
          </w:tcPr>
          <w:p w14:paraId="0391BB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五日生化需氧量</w:t>
            </w:r>
          </w:p>
        </w:tc>
        <w:tc>
          <w:tcPr>
            <w:tcW w:w="833" w:type="pct"/>
            <w:noWrap w:val="0"/>
            <w:vAlign w:val="center"/>
          </w:tcPr>
          <w:p w14:paraId="4CA433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6</w:t>
            </w:r>
          </w:p>
        </w:tc>
        <w:tc>
          <w:tcPr>
            <w:tcW w:w="495" w:type="pct"/>
            <w:noWrap w:val="0"/>
            <w:vAlign w:val="center"/>
          </w:tcPr>
          <w:p w14:paraId="678856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w:t>
            </w:r>
          </w:p>
        </w:tc>
        <w:tc>
          <w:tcPr>
            <w:tcW w:w="1170" w:type="pct"/>
            <w:noWrap w:val="0"/>
            <w:vAlign w:val="center"/>
          </w:tcPr>
          <w:p w14:paraId="51CBDA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锌</w:t>
            </w:r>
          </w:p>
        </w:tc>
        <w:tc>
          <w:tcPr>
            <w:tcW w:w="833" w:type="pct"/>
            <w:noWrap w:val="0"/>
            <w:vAlign w:val="center"/>
          </w:tcPr>
          <w:p w14:paraId="71843A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.0</w:t>
            </w:r>
          </w:p>
        </w:tc>
      </w:tr>
      <w:tr w14:paraId="359A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668A08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w:t>
            </w:r>
          </w:p>
        </w:tc>
        <w:tc>
          <w:tcPr>
            <w:tcW w:w="1112" w:type="pct"/>
            <w:noWrap w:val="0"/>
            <w:vAlign w:val="center"/>
          </w:tcPr>
          <w:p w14:paraId="48287E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833" w:type="pct"/>
            <w:noWrap w:val="0"/>
            <w:vAlign w:val="center"/>
          </w:tcPr>
          <w:p w14:paraId="59A9C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5</w:t>
            </w:r>
          </w:p>
        </w:tc>
        <w:tc>
          <w:tcPr>
            <w:tcW w:w="495" w:type="pct"/>
            <w:noWrap w:val="0"/>
            <w:vAlign w:val="center"/>
          </w:tcPr>
          <w:p w14:paraId="6C6297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w:t>
            </w:r>
          </w:p>
        </w:tc>
        <w:tc>
          <w:tcPr>
            <w:tcW w:w="1170" w:type="pct"/>
            <w:noWrap w:val="0"/>
            <w:vAlign w:val="center"/>
          </w:tcPr>
          <w:p w14:paraId="06E6DE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铅</w:t>
            </w:r>
          </w:p>
        </w:tc>
        <w:tc>
          <w:tcPr>
            <w:tcW w:w="833" w:type="pct"/>
            <w:noWrap w:val="0"/>
            <w:vAlign w:val="center"/>
          </w:tcPr>
          <w:p w14:paraId="4AA393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0.05</w:t>
            </w:r>
          </w:p>
        </w:tc>
      </w:tr>
      <w:tr w14:paraId="2BE1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44AE88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1112" w:type="pct"/>
            <w:noWrap w:val="0"/>
            <w:vAlign w:val="center"/>
          </w:tcPr>
          <w:p w14:paraId="7FA3BB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石油类</w:t>
            </w:r>
          </w:p>
        </w:tc>
        <w:tc>
          <w:tcPr>
            <w:tcW w:w="833" w:type="pct"/>
            <w:noWrap w:val="0"/>
            <w:vAlign w:val="center"/>
          </w:tcPr>
          <w:p w14:paraId="758AE5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5</w:t>
            </w:r>
          </w:p>
        </w:tc>
        <w:tc>
          <w:tcPr>
            <w:tcW w:w="495" w:type="pct"/>
            <w:noWrap w:val="0"/>
            <w:vAlign w:val="center"/>
          </w:tcPr>
          <w:p w14:paraId="53C5F2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1170" w:type="pct"/>
            <w:noWrap w:val="0"/>
            <w:vAlign w:val="center"/>
          </w:tcPr>
          <w:p w14:paraId="6FF4B4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镉</w:t>
            </w:r>
          </w:p>
        </w:tc>
        <w:tc>
          <w:tcPr>
            <w:tcW w:w="833" w:type="pct"/>
            <w:noWrap w:val="0"/>
            <w:vAlign w:val="center"/>
          </w:tcPr>
          <w:p w14:paraId="4223CD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≤0.005</w:t>
            </w:r>
          </w:p>
        </w:tc>
      </w:tr>
      <w:tr w14:paraId="4582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154293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1112" w:type="pct"/>
            <w:noWrap w:val="0"/>
            <w:vAlign w:val="center"/>
          </w:tcPr>
          <w:p w14:paraId="51B23B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833" w:type="pct"/>
            <w:noWrap w:val="0"/>
            <w:vAlign w:val="center"/>
          </w:tcPr>
          <w:p w14:paraId="7B53DC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3</w:t>
            </w:r>
          </w:p>
        </w:tc>
        <w:tc>
          <w:tcPr>
            <w:tcW w:w="495" w:type="pct"/>
            <w:noWrap w:val="0"/>
            <w:vAlign w:val="center"/>
          </w:tcPr>
          <w:p w14:paraId="432147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1170" w:type="pct"/>
            <w:noWrap w:val="0"/>
            <w:vAlign w:val="center"/>
          </w:tcPr>
          <w:p w14:paraId="1395C8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氟化物</w:t>
            </w:r>
          </w:p>
        </w:tc>
        <w:tc>
          <w:tcPr>
            <w:tcW w:w="833" w:type="pct"/>
            <w:noWrap w:val="0"/>
            <w:vAlign w:val="center"/>
          </w:tcPr>
          <w:p w14:paraId="780A9D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≤1.</w:t>
            </w:r>
            <w:r>
              <w:rPr>
                <w:rFonts w:hint="eastAsia" w:cs="Times New Roman"/>
                <w:color w:val="auto"/>
                <w:szCs w:val="21"/>
                <w:highlight w:val="none"/>
                <w:lang w:val="en-US" w:eastAsia="zh-CN"/>
              </w:rPr>
              <w:t>5</w:t>
            </w:r>
          </w:p>
        </w:tc>
      </w:tr>
      <w:tr w14:paraId="53CD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5F97F8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112" w:type="pct"/>
            <w:noWrap w:val="0"/>
            <w:vAlign w:val="center"/>
          </w:tcPr>
          <w:p w14:paraId="61FA48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833" w:type="pct"/>
            <w:noWrap w:val="0"/>
            <w:vAlign w:val="center"/>
          </w:tcPr>
          <w:p w14:paraId="711847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5</w:t>
            </w:r>
          </w:p>
        </w:tc>
        <w:tc>
          <w:tcPr>
            <w:tcW w:w="495" w:type="pct"/>
            <w:noWrap w:val="0"/>
            <w:vAlign w:val="center"/>
          </w:tcPr>
          <w:p w14:paraId="5E0506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w:t>
            </w:r>
          </w:p>
        </w:tc>
        <w:tc>
          <w:tcPr>
            <w:tcW w:w="1170" w:type="pct"/>
            <w:noWrap w:val="0"/>
            <w:vAlign w:val="center"/>
          </w:tcPr>
          <w:p w14:paraId="62325B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砷</w:t>
            </w:r>
          </w:p>
        </w:tc>
        <w:tc>
          <w:tcPr>
            <w:tcW w:w="833" w:type="pct"/>
            <w:noWrap w:val="0"/>
            <w:vAlign w:val="center"/>
          </w:tcPr>
          <w:p w14:paraId="25D7E0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1</w:t>
            </w:r>
          </w:p>
        </w:tc>
      </w:tr>
      <w:tr w14:paraId="35AE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2C0EAB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1112" w:type="pct"/>
            <w:noWrap w:val="0"/>
            <w:vAlign w:val="center"/>
          </w:tcPr>
          <w:p w14:paraId="2DED4E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阴离子表面活性剂</w:t>
            </w:r>
          </w:p>
        </w:tc>
        <w:tc>
          <w:tcPr>
            <w:tcW w:w="833" w:type="pct"/>
            <w:noWrap w:val="0"/>
            <w:vAlign w:val="center"/>
          </w:tcPr>
          <w:p w14:paraId="7AD43C5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cs="Times New Roman"/>
                <w:color w:val="auto"/>
                <w:szCs w:val="21"/>
                <w:highlight w:val="none"/>
                <w:lang w:val="en-US" w:eastAsia="zh-CN"/>
              </w:rPr>
              <w:t>3</w:t>
            </w:r>
          </w:p>
        </w:tc>
        <w:tc>
          <w:tcPr>
            <w:tcW w:w="495" w:type="pct"/>
            <w:noWrap w:val="0"/>
            <w:vAlign w:val="center"/>
          </w:tcPr>
          <w:p w14:paraId="69E8C1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w:t>
            </w:r>
          </w:p>
        </w:tc>
        <w:tc>
          <w:tcPr>
            <w:tcW w:w="1170" w:type="pct"/>
            <w:noWrap w:val="0"/>
            <w:vAlign w:val="center"/>
          </w:tcPr>
          <w:p w14:paraId="29FA81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硒</w:t>
            </w:r>
          </w:p>
        </w:tc>
        <w:tc>
          <w:tcPr>
            <w:tcW w:w="833" w:type="pct"/>
            <w:noWrap w:val="0"/>
            <w:vAlign w:val="center"/>
          </w:tcPr>
          <w:p w14:paraId="72AD50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w:t>
            </w:r>
            <w:r>
              <w:rPr>
                <w:rFonts w:hint="eastAsia" w:cs="Times New Roman"/>
                <w:color w:val="auto"/>
                <w:szCs w:val="21"/>
                <w:highlight w:val="none"/>
                <w:lang w:val="en-US" w:eastAsia="zh-CN"/>
              </w:rPr>
              <w:t>2</w:t>
            </w:r>
          </w:p>
        </w:tc>
      </w:tr>
      <w:tr w14:paraId="0512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553" w:type="pct"/>
            <w:noWrap w:val="0"/>
            <w:vAlign w:val="center"/>
          </w:tcPr>
          <w:p w14:paraId="0E4934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1112" w:type="pct"/>
            <w:noWrap w:val="0"/>
            <w:vAlign w:val="center"/>
          </w:tcPr>
          <w:p w14:paraId="64D2FF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挥发酚</w:t>
            </w:r>
          </w:p>
        </w:tc>
        <w:tc>
          <w:tcPr>
            <w:tcW w:w="833" w:type="pct"/>
            <w:noWrap w:val="0"/>
            <w:vAlign w:val="center"/>
          </w:tcPr>
          <w:p w14:paraId="1C99D8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≤0.0</w:t>
            </w:r>
            <w:r>
              <w:rPr>
                <w:rFonts w:hint="eastAsia" w:cs="Times New Roman"/>
                <w:color w:val="auto"/>
                <w:szCs w:val="21"/>
                <w:highlight w:val="none"/>
                <w:lang w:val="en-US" w:eastAsia="zh-CN"/>
              </w:rPr>
              <w:t>1</w:t>
            </w:r>
          </w:p>
        </w:tc>
        <w:tc>
          <w:tcPr>
            <w:tcW w:w="495" w:type="pct"/>
            <w:noWrap w:val="0"/>
            <w:vAlign w:val="center"/>
          </w:tcPr>
          <w:p w14:paraId="3E72FB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1170" w:type="pct"/>
            <w:noWrap w:val="0"/>
            <w:vAlign w:val="center"/>
          </w:tcPr>
          <w:p w14:paraId="40C9F3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粪大肠菌群（个/L）</w:t>
            </w:r>
          </w:p>
        </w:tc>
        <w:tc>
          <w:tcPr>
            <w:tcW w:w="833" w:type="pct"/>
            <w:noWrap w:val="0"/>
            <w:vAlign w:val="center"/>
          </w:tcPr>
          <w:p w14:paraId="280419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10000</w:t>
            </w:r>
          </w:p>
        </w:tc>
      </w:tr>
    </w:tbl>
    <w:p w14:paraId="519DCC89">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237" w:firstLineChars="1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5.2排放标准</w:t>
      </w:r>
    </w:p>
    <w:p w14:paraId="3B069BC4">
      <w:pPr>
        <w:pStyle w:val="36"/>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（1）施工期废水：施工废水经沉淀处理后循环使用，生活污水经化粪池处理后</w:t>
      </w:r>
      <w:r>
        <w:rPr>
          <w:rFonts w:hint="default" w:ascii="Times New Roman" w:hAnsi="Times New Roman" w:eastAsia="宋体" w:cs="Times New Roman"/>
          <w:color w:val="000000" w:themeColor="text1"/>
          <w:spacing w:val="8"/>
          <w:sz w:val="24"/>
          <w:szCs w:val="24"/>
          <w14:textFill>
            <w14:solidFill>
              <w14:schemeClr w14:val="tx1"/>
            </w14:solidFill>
          </w14:textFill>
        </w:rPr>
        <w:t>排入园区污水管网进</w:t>
      </w:r>
      <w:r>
        <w:rPr>
          <w:rFonts w:hint="default" w:ascii="Times New Roman" w:hAnsi="Times New Roman" w:eastAsia="宋体" w:cs="Times New Roman"/>
          <w:color w:val="000000" w:themeColor="text1"/>
          <w:spacing w:val="7"/>
          <w:sz w:val="24"/>
          <w:szCs w:val="24"/>
          <w14:textFill>
            <w14:solidFill>
              <w14:schemeClr w14:val="tx1"/>
            </w14:solidFill>
          </w14:textFill>
        </w:rPr>
        <w:t>入张掖经济技术开发区循</w:t>
      </w:r>
      <w:r>
        <w:rPr>
          <w:rFonts w:hint="default" w:ascii="Times New Roman" w:hAnsi="Times New Roman" w:eastAsia="宋体" w:cs="Times New Roman"/>
          <w:color w:val="000000" w:themeColor="text1"/>
          <w:spacing w:val="6"/>
          <w:sz w:val="24"/>
          <w:szCs w:val="24"/>
          <w14:textFill>
            <w14:solidFill>
              <w14:schemeClr w14:val="tx1"/>
            </w14:solidFill>
          </w14:textFill>
        </w:rPr>
        <w:t>环经济示范园污水处理厂处理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，执行《污水综合排放标准》（GB8978-1996）三级标准；</w:t>
      </w:r>
    </w:p>
    <w:p w14:paraId="5A429A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0000FF"/>
          <w:sz w:val="24"/>
          <w:szCs w:val="24"/>
        </w:rPr>
      </w:pPr>
      <w:r>
        <w:rPr>
          <w:rFonts w:hint="default" w:ascii="Times New Roman" w:hAnsi="Times New Roman" w:eastAsia="宋体" w:cs="Times New Roman"/>
          <w:color w:val="000000"/>
          <w:kern w:val="0"/>
          <w:sz w:val="24"/>
          <w:szCs w:val="24"/>
          <w:lang w:val="en-US" w:eastAsia="zh-CN" w:bidi="ar"/>
        </w:rPr>
        <w:t>（2）运营期废水：</w:t>
      </w:r>
      <w:r>
        <w:rPr>
          <w:rFonts w:hint="default" w:ascii="Times New Roman" w:hAnsi="Times New Roman" w:eastAsia="宋体" w:cs="Times New Roman"/>
          <w:color w:val="auto"/>
          <w:sz w:val="24"/>
          <w:szCs w:val="24"/>
          <w:lang w:eastAsia="zh-CN"/>
        </w:rPr>
        <w:t>本项目为水库工程，设置水厂泵站值班室，泵站日常运行、维护及值班人员管理均由相邻自来水厂统一负责，人员隶属于自来水厂，水库工程仅开展定期巡检工作，不单独设置常驻运维人员，故运营期无废水产生。</w:t>
      </w:r>
    </w:p>
    <w:p w14:paraId="44B4FCA9">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6、保护目标</w:t>
      </w:r>
    </w:p>
    <w:p w14:paraId="19018062">
      <w:pPr>
        <w:spacing w:before="78" w:line="360" w:lineRule="auto"/>
        <w:ind w:left="36" w:right="85" w:firstLine="563"/>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color w:val="auto"/>
          <w:sz w:val="24"/>
          <w:szCs w:val="24"/>
          <w:highlight w:val="none"/>
          <w:lang w:val="en-US" w:eastAsia="zh-CN"/>
        </w:rPr>
        <w:t>本项目占地范围内不涉及饮用水水源保护区、饮用水取水口，涉水的自然保护区、风景名胜区，重要湿地、重点保护与珍稀水生生物的栖息地、重要水生生物的自然产卵场及索饵场、越冬场和</w:t>
      </w:r>
      <w:r>
        <w:rPr>
          <w:rFonts w:hint="eastAsia" w:cs="Times New Roman"/>
          <w:color w:val="auto"/>
          <w:sz w:val="24"/>
          <w:szCs w:val="24"/>
          <w:highlight w:val="none"/>
          <w:lang w:val="en-US" w:eastAsia="zh-CN"/>
        </w:rPr>
        <w:t>洄游通道</w:t>
      </w:r>
      <w:r>
        <w:rPr>
          <w:rFonts w:hint="default" w:ascii="Times New Roman" w:hAnsi="Times New Roman" w:eastAsia="宋体" w:cs="Times New Roman"/>
          <w:color w:val="auto"/>
          <w:sz w:val="24"/>
          <w:szCs w:val="24"/>
          <w:highlight w:val="none"/>
          <w:lang w:val="en-US" w:eastAsia="zh-CN"/>
        </w:rPr>
        <w:t>，天然渔场等渔业水体，以及水产种质资源保护区等。本项目无地表水保护目标。</w:t>
      </w:r>
    </w:p>
    <w:p w14:paraId="64175C00">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7、评价工作等级</w:t>
      </w:r>
    </w:p>
    <w:p w14:paraId="56663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根据《环境影响评价技术导则地表水环境》（HJ2.3-2018）对环境影响评价等级和评价范围确定，水文要素影响型建设项目评价等级判定表见表2。</w:t>
      </w:r>
    </w:p>
    <w:p w14:paraId="4E0E88D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表2水文要素影响型建设项目评价等级判定表</w:t>
      </w:r>
    </w:p>
    <w:tbl>
      <w:tblPr>
        <w:tblStyle w:val="6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250"/>
        <w:gridCol w:w="1381"/>
        <w:gridCol w:w="978"/>
        <w:gridCol w:w="1800"/>
        <w:gridCol w:w="1755"/>
        <w:gridCol w:w="1659"/>
      </w:tblGrid>
      <w:tr w14:paraId="3BD1F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vMerge w:val="restar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AF945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评价等级</w:t>
            </w:r>
          </w:p>
        </w:tc>
        <w:tc>
          <w:tcPr>
            <w:tcW w:w="1223"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A7EF8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水温</w:t>
            </w:r>
          </w:p>
        </w:tc>
        <w:tc>
          <w:tcPr>
            <w:tcW w:w="2309" w:type="dxa"/>
            <w:gridSpan w:val="2"/>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0BE715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径流</w:t>
            </w:r>
          </w:p>
        </w:tc>
        <w:tc>
          <w:tcPr>
            <w:tcW w:w="5099" w:type="dxa"/>
            <w:gridSpan w:val="3"/>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6EFDA4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受影响地表水域</w:t>
            </w:r>
          </w:p>
        </w:tc>
      </w:tr>
      <w:tr w14:paraId="684D8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vMerge w:val="continue"/>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70C01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1223" w:type="dxa"/>
            <w:vMerge w:val="restar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1290F9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年径流量与总库容之比α</w:t>
            </w:r>
          </w:p>
        </w:tc>
        <w:tc>
          <w:tcPr>
            <w:tcW w:w="1351" w:type="dxa"/>
            <w:vMerge w:val="restar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6066C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兴利库容占年径流量百分比β%</w:t>
            </w:r>
          </w:p>
        </w:tc>
        <w:tc>
          <w:tcPr>
            <w:tcW w:w="958" w:type="dxa"/>
            <w:vMerge w:val="restar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6DCF5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取水量占多年平均径流量百分比γ%</w:t>
            </w:r>
          </w:p>
        </w:tc>
        <w:tc>
          <w:tcPr>
            <w:tcW w:w="3478" w:type="dxa"/>
            <w:gridSpan w:val="2"/>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8D48B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工程垂直投影面积及外扩范围A1/km</w:t>
            </w:r>
            <w:r>
              <w:rPr>
                <w:rFonts w:hint="default" w:ascii="Times New Roman" w:hAnsi="Times New Roman" w:eastAsia="宋体" w:cs="Times New Roman"/>
                <w:b/>
                <w:bCs/>
                <w:color w:val="auto"/>
                <w:highlight w:val="none"/>
                <w:vertAlign w:val="superscript"/>
              </w:rPr>
              <w:t>2</w:t>
            </w:r>
            <w:r>
              <w:rPr>
                <w:rFonts w:hint="default" w:ascii="Times New Roman" w:hAnsi="Times New Roman" w:eastAsia="宋体" w:cs="Times New Roman"/>
                <w:b/>
                <w:bCs/>
                <w:color w:val="auto"/>
                <w:highlight w:val="none"/>
              </w:rPr>
              <w:t>；工程扰动水底面积A2/km</w:t>
            </w:r>
            <w:r>
              <w:rPr>
                <w:rFonts w:hint="default" w:ascii="Times New Roman" w:hAnsi="Times New Roman" w:eastAsia="宋体" w:cs="Times New Roman"/>
                <w:b/>
                <w:bCs/>
                <w:color w:val="auto"/>
                <w:highlight w:val="none"/>
                <w:vertAlign w:val="superscript"/>
              </w:rPr>
              <w:t>2</w:t>
            </w:r>
            <w:r>
              <w:rPr>
                <w:rFonts w:hint="default" w:ascii="Times New Roman" w:hAnsi="Times New Roman" w:eastAsia="宋体" w:cs="Times New Roman"/>
                <w:b/>
                <w:bCs/>
                <w:color w:val="auto"/>
                <w:highlight w:val="none"/>
              </w:rPr>
              <w:t>；过水断面宽度占用比例或占用水域面积比例R/%</w:t>
            </w:r>
          </w:p>
        </w:tc>
        <w:tc>
          <w:tcPr>
            <w:tcW w:w="162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0D738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工程垂直投影面积及外扩范围A1/km</w:t>
            </w:r>
            <w:r>
              <w:rPr>
                <w:rFonts w:hint="default" w:ascii="Times New Roman" w:hAnsi="Times New Roman" w:eastAsia="宋体" w:cs="Times New Roman"/>
                <w:b/>
                <w:bCs/>
                <w:color w:val="auto"/>
                <w:highlight w:val="none"/>
                <w:vertAlign w:val="superscript"/>
              </w:rPr>
              <w:t>2</w:t>
            </w:r>
            <w:r>
              <w:rPr>
                <w:rFonts w:hint="default" w:ascii="Times New Roman" w:hAnsi="Times New Roman" w:eastAsia="宋体" w:cs="Times New Roman"/>
                <w:b/>
                <w:bCs/>
                <w:color w:val="auto"/>
                <w:highlight w:val="none"/>
              </w:rPr>
              <w:t>；工程扰动水底面积A2/km</w:t>
            </w:r>
            <w:r>
              <w:rPr>
                <w:rFonts w:hint="default" w:ascii="Times New Roman" w:hAnsi="Times New Roman" w:eastAsia="宋体" w:cs="Times New Roman"/>
                <w:b/>
                <w:bCs/>
                <w:color w:val="auto"/>
                <w:highlight w:val="none"/>
                <w:vertAlign w:val="superscript"/>
              </w:rPr>
              <w:t>2</w:t>
            </w:r>
          </w:p>
        </w:tc>
      </w:tr>
      <w:tr w14:paraId="6CB4C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vMerge w:val="continue"/>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30073D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1223" w:type="dxa"/>
            <w:vMerge w:val="continue"/>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11B192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1351" w:type="dxa"/>
            <w:vMerge w:val="continue"/>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722400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958" w:type="dxa"/>
            <w:vMerge w:val="continue"/>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6134B9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p>
        </w:tc>
        <w:tc>
          <w:tcPr>
            <w:tcW w:w="176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A85E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河流</w:t>
            </w:r>
          </w:p>
        </w:tc>
        <w:tc>
          <w:tcPr>
            <w:tcW w:w="1717"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28F3F7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湖库</w:t>
            </w:r>
          </w:p>
        </w:tc>
        <w:tc>
          <w:tcPr>
            <w:tcW w:w="162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660891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入海河口、近岸海域</w:t>
            </w:r>
          </w:p>
        </w:tc>
      </w:tr>
      <w:tr w14:paraId="500F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4291E0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一级</w:t>
            </w:r>
          </w:p>
        </w:tc>
        <w:tc>
          <w:tcPr>
            <w:tcW w:w="1223"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1DA7AE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α≤10；或稳定分层</w:t>
            </w:r>
          </w:p>
        </w:tc>
        <w:tc>
          <w:tcPr>
            <w:tcW w:w="135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1D121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β≥20；或完全年调节与多年调节</w:t>
            </w:r>
          </w:p>
        </w:tc>
        <w:tc>
          <w:tcPr>
            <w:tcW w:w="958"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615D51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γ≥30</w:t>
            </w:r>
          </w:p>
        </w:tc>
        <w:tc>
          <w:tcPr>
            <w:tcW w:w="176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14469C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A1≥0.3；或A2≥1.5；或R≥10</w:t>
            </w:r>
          </w:p>
        </w:tc>
        <w:tc>
          <w:tcPr>
            <w:tcW w:w="1717"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2600A3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A1≥0.3；或A2≥1.5；或R≥20</w:t>
            </w:r>
          </w:p>
        </w:tc>
        <w:tc>
          <w:tcPr>
            <w:tcW w:w="162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3B7D8C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A1≥0.5；或A2≥3</w:t>
            </w:r>
          </w:p>
        </w:tc>
      </w:tr>
      <w:tr w14:paraId="25C31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746AFF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二级</w:t>
            </w:r>
          </w:p>
        </w:tc>
        <w:tc>
          <w:tcPr>
            <w:tcW w:w="1223"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98CD5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20＞α&gt;10；或不稳定分层</w:t>
            </w:r>
          </w:p>
        </w:tc>
        <w:tc>
          <w:tcPr>
            <w:tcW w:w="135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FD54F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20＞β&gt;2；或季</w:t>
            </w:r>
          </w:p>
          <w:p w14:paraId="0281EA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调节与不完全年调节</w:t>
            </w:r>
          </w:p>
        </w:tc>
        <w:tc>
          <w:tcPr>
            <w:tcW w:w="958"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760F1EA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30＞γ&gt;10</w:t>
            </w:r>
          </w:p>
        </w:tc>
        <w:tc>
          <w:tcPr>
            <w:tcW w:w="176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7BC0CF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0.3＞A1＞0.05；或1.5&gt;A2＞0.2；或10＞R&gt;5</w:t>
            </w:r>
          </w:p>
        </w:tc>
        <w:tc>
          <w:tcPr>
            <w:tcW w:w="1717"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227AE6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0.3＞A1＞0.05；或1.5&gt;A2＞0.2；或20＞R&gt;5</w:t>
            </w:r>
          </w:p>
        </w:tc>
        <w:tc>
          <w:tcPr>
            <w:tcW w:w="1621"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2FDB55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0.5＞A1＞0.15；或3&gt;A2＞0.5</w:t>
            </w:r>
          </w:p>
        </w:tc>
      </w:tr>
      <w:tr w14:paraId="17A57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03" w:type="dxa"/>
            <w:tcBorders>
              <w:top w:val="single" w:color="000000" w:sz="2" w:space="0"/>
              <w:left w:val="single" w:color="000000" w:sz="2" w:space="0"/>
              <w:right w:val="single" w:color="000000" w:sz="2" w:space="0"/>
            </w:tcBorders>
            <w:shd w:val="clear" w:color="auto" w:fill="FFFFFF" w:themeFill="background1"/>
            <w:vAlign w:val="center"/>
          </w:tcPr>
          <w:p w14:paraId="1D938D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三级</w:t>
            </w:r>
          </w:p>
        </w:tc>
        <w:tc>
          <w:tcPr>
            <w:tcW w:w="1223" w:type="dxa"/>
            <w:tcBorders>
              <w:top w:val="single" w:color="000000" w:sz="2" w:space="0"/>
              <w:left w:val="single" w:color="000000" w:sz="2" w:space="0"/>
              <w:right w:val="single" w:color="000000" w:sz="2" w:space="0"/>
            </w:tcBorders>
            <w:shd w:val="clear" w:color="auto" w:fill="FFFFFF" w:themeFill="background1"/>
            <w:vAlign w:val="center"/>
          </w:tcPr>
          <w:p w14:paraId="2E77BF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α≥20；或混合型</w:t>
            </w:r>
          </w:p>
        </w:tc>
        <w:tc>
          <w:tcPr>
            <w:tcW w:w="1351" w:type="dxa"/>
            <w:tcBorders>
              <w:top w:val="single" w:color="000000" w:sz="2" w:space="0"/>
              <w:left w:val="single" w:color="000000" w:sz="2" w:space="0"/>
              <w:right w:val="single" w:color="000000" w:sz="2" w:space="0"/>
            </w:tcBorders>
            <w:shd w:val="clear" w:color="auto" w:fill="FFFFFF" w:themeFill="background1"/>
            <w:vAlign w:val="center"/>
          </w:tcPr>
          <w:p w14:paraId="0F5E41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β≤2；或无调节</w:t>
            </w:r>
          </w:p>
        </w:tc>
        <w:tc>
          <w:tcPr>
            <w:tcW w:w="958" w:type="dxa"/>
            <w:tcBorders>
              <w:top w:val="single" w:color="000000" w:sz="2" w:space="0"/>
              <w:left w:val="single" w:color="000000" w:sz="2" w:space="0"/>
              <w:right w:val="single" w:color="000000" w:sz="2" w:space="0"/>
            </w:tcBorders>
            <w:shd w:val="clear" w:color="auto" w:fill="FFFFFF" w:themeFill="background1"/>
            <w:vAlign w:val="center"/>
          </w:tcPr>
          <w:p w14:paraId="354F5E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γ≤10</w:t>
            </w:r>
          </w:p>
        </w:tc>
        <w:tc>
          <w:tcPr>
            <w:tcW w:w="1761" w:type="dxa"/>
            <w:tcBorders>
              <w:top w:val="single" w:color="000000" w:sz="2" w:space="0"/>
              <w:left w:val="single" w:color="000000" w:sz="2" w:space="0"/>
              <w:right w:val="single" w:color="000000" w:sz="2" w:space="0"/>
            </w:tcBorders>
            <w:shd w:val="clear" w:color="auto" w:fill="FFFFFF" w:themeFill="background1"/>
            <w:vAlign w:val="center"/>
          </w:tcPr>
          <w:p w14:paraId="4CE4E0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A1≤0.05；或A2≤0.2；或R≤5</w:t>
            </w:r>
          </w:p>
        </w:tc>
        <w:tc>
          <w:tcPr>
            <w:tcW w:w="1717" w:type="dxa"/>
            <w:tcBorders>
              <w:top w:val="single" w:color="000000" w:sz="2" w:space="0"/>
              <w:left w:val="single" w:color="000000" w:sz="2" w:space="0"/>
              <w:right w:val="single" w:color="000000" w:sz="2" w:space="0"/>
            </w:tcBorders>
            <w:shd w:val="clear" w:color="auto" w:fill="FFFFFF" w:themeFill="background1"/>
            <w:vAlign w:val="center"/>
          </w:tcPr>
          <w:p w14:paraId="10399F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A1≤0.05；或A2≤0.2；或R≤5</w:t>
            </w:r>
          </w:p>
        </w:tc>
        <w:tc>
          <w:tcPr>
            <w:tcW w:w="1621" w:type="dxa"/>
            <w:tcBorders>
              <w:top w:val="single" w:color="000000" w:sz="2" w:space="0"/>
              <w:left w:val="single" w:color="000000" w:sz="2" w:space="0"/>
              <w:right w:val="single" w:color="000000" w:sz="2" w:space="0"/>
            </w:tcBorders>
            <w:shd w:val="clear" w:color="auto" w:fill="FFFFFF" w:themeFill="background1"/>
            <w:vAlign w:val="center"/>
          </w:tcPr>
          <w:p w14:paraId="49DD3E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A1≤0.15；或A2≤0.5</w:t>
            </w:r>
          </w:p>
        </w:tc>
      </w:tr>
      <w:tr w14:paraId="01A3F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9434" w:type="dxa"/>
            <w:gridSpan w:val="7"/>
            <w:tcBorders>
              <w:left w:val="single" w:color="000000" w:sz="10" w:space="0"/>
              <w:bottom w:val="single" w:color="000000" w:sz="10" w:space="0"/>
              <w:right w:val="single" w:color="000000" w:sz="10" w:space="0"/>
            </w:tcBorders>
            <w:vAlign w:val="center"/>
          </w:tcPr>
          <w:p w14:paraId="414B19EF">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注1：影响范围涉及饮用水水源保护区、重点保护与珍稀水生生物的栖息地、重要水生生物的自然产卵场、自然保护区等保护目标，评价等级应不低于二级。</w:t>
            </w:r>
          </w:p>
          <w:p w14:paraId="2C06657D">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注2：跨流域调水、引水式电站、可能受到大型河流感潮河段咸潮影响的建设项目，评价等级不低于二级。</w:t>
            </w:r>
          </w:p>
          <w:p w14:paraId="209F3E76">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注3：造成入海河口（湾口）宽度束窄（束窄尺度达到原宽度的5%以上），评价等级应不低于二级。</w:t>
            </w:r>
          </w:p>
          <w:p w14:paraId="6B8DBF73">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注4：对不透水的单方向建筑尺度较长的水工建筑物（如防波堤、导流堤等），其与潮流或水流主流向切线垂直方向投影长度大于2km时，评价等级应不低于二级。</w:t>
            </w:r>
          </w:p>
          <w:p w14:paraId="4D7EFB23">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注5：允许在一类海域建设的项目，评价等级为一级。</w:t>
            </w:r>
          </w:p>
          <w:p w14:paraId="43E83BB2">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注6：同时存在多个水文要素影响的建设项目，分别判定各水文要素影响评价等级，并取其中最高等级作为水文要素影响型建设项目评价等级。</w:t>
            </w:r>
          </w:p>
        </w:tc>
      </w:tr>
    </w:tbl>
    <w:p w14:paraId="3394E9D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根据项目工程概况，本项目为水文要素影响型建设项目，评价等级判定如下：</w:t>
      </w:r>
    </w:p>
    <w:p w14:paraId="3DD14A1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兴利库容占年径流量百分比：项目兴利库容156万m³，黑河干流取水口断面多年平均径流量7.65亿m³，占比0.2%（β≤2）；</w:t>
      </w:r>
    </w:p>
    <w:p w14:paraId="5E4A8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lang w:val="en-US" w:eastAsia="zh-CN"/>
        </w:rPr>
        <w:t>2</w:t>
      </w:r>
      <w:r>
        <w:rPr>
          <w:rFonts w:hint="default" w:ascii="Times New Roman" w:hAnsi="Times New Roman" w:eastAsia="宋体"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取水量占多年平均径流量百分比：年取水量207.48万m³，占比0.27%（γ≤10）；</w:t>
      </w:r>
    </w:p>
    <w:p w14:paraId="766A6B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i w:val="0"/>
          <w:iCs w:val="0"/>
          <w:caps w:val="0"/>
          <w:color w:val="000000"/>
          <w:spacing w:val="0"/>
          <w:sz w:val="24"/>
          <w:szCs w:val="24"/>
          <w:lang w:eastAsia="zh-CN"/>
        </w:rPr>
        <w:t>（</w:t>
      </w:r>
      <w:r>
        <w:rPr>
          <w:rFonts w:hint="eastAsia" w:ascii="Times New Roman" w:hAnsi="Times New Roman" w:eastAsia="宋体" w:cs="Times New Roman"/>
          <w:i w:val="0"/>
          <w:iCs w:val="0"/>
          <w:caps w:val="0"/>
          <w:color w:val="000000"/>
          <w:spacing w:val="0"/>
          <w:sz w:val="24"/>
          <w:szCs w:val="24"/>
          <w:lang w:val="en-US" w:eastAsia="zh-CN"/>
        </w:rPr>
        <w:t>3</w:t>
      </w:r>
      <w:r>
        <w:rPr>
          <w:rFonts w:hint="eastAsia" w:ascii="Times New Roman" w:hAnsi="Times New Roman" w:eastAsia="宋体" w:cs="Times New Roman"/>
          <w:i w:val="0"/>
          <w:iCs w:val="0"/>
          <w:caps w:val="0"/>
          <w:color w:val="000000"/>
          <w:spacing w:val="0"/>
          <w:sz w:val="24"/>
          <w:szCs w:val="24"/>
          <w:lang w:eastAsia="zh-CN"/>
        </w:rPr>
        <w:t>）</w:t>
      </w:r>
      <w:r>
        <w:rPr>
          <w:rFonts w:hint="default" w:ascii="Times New Roman" w:hAnsi="Times New Roman" w:eastAsia="宋体" w:cs="Times New Roman"/>
          <w:b/>
          <w:bCs/>
          <w:color w:val="auto"/>
          <w:sz w:val="24"/>
          <w:szCs w:val="24"/>
          <w:highlight w:val="none"/>
        </w:rPr>
        <w:t>工</w:t>
      </w:r>
      <w:r>
        <w:rPr>
          <w:rFonts w:hint="default" w:ascii="Times New Roman" w:hAnsi="Times New Roman" w:eastAsia="宋体" w:cs="Times New Roman"/>
          <w:color w:val="auto"/>
          <w:sz w:val="24"/>
          <w:szCs w:val="24"/>
          <w:highlight w:val="none"/>
          <w:lang w:val="en-US" w:eastAsia="zh-CN"/>
        </w:rPr>
        <w:t>程扰动水底面积</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施工期</w:t>
      </w:r>
      <w:r>
        <w:rPr>
          <w:rFonts w:hint="eastAsia" w:ascii="Times New Roman" w:hAnsi="Times New Roman" w:eastAsia="宋体" w:cs="Times New Roman"/>
          <w:color w:val="auto"/>
          <w:sz w:val="24"/>
          <w:szCs w:val="24"/>
          <w:highlight w:val="none"/>
          <w:lang w:val="en-US" w:eastAsia="zh-CN"/>
        </w:rPr>
        <w:t>不涉及涉水工程。</w:t>
      </w:r>
    </w:p>
    <w:p w14:paraId="5F70CF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i w:val="0"/>
          <w:iCs w:val="0"/>
          <w:caps w:val="0"/>
          <w:color w:val="000000"/>
          <w:spacing w:val="0"/>
          <w:sz w:val="24"/>
          <w:szCs w:val="24"/>
        </w:rPr>
        <w:t>综合判定，本项目地表水评价等级为三级。</w:t>
      </w:r>
    </w:p>
    <w:p w14:paraId="6A648A80">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8、评价范围</w:t>
      </w:r>
    </w:p>
    <w:p w14:paraId="65459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地表水环境》（HJ2.3-2018）对环境影响评价等级和评价范围确定，水文要素影响型建设项目评价范围，根据评价等级、水文要素影响类别、影响及恢复程度确定，评价范围应符合以下要求：</w:t>
      </w:r>
    </w:p>
    <w:p w14:paraId="6139B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（1）水温要素影响评价范围为建设项目形成水温分层水域，以及下游未恢复到天然（或建设项目建设前）水温的水域；</w:t>
      </w:r>
    </w:p>
    <w:p w14:paraId="0613A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（2）径流要素影响评价范围为水体天然性状发生变化的水域，以及下游增减水影响水域；</w:t>
      </w:r>
    </w:p>
    <w:p w14:paraId="0A371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（3）地表水域影响评价范围为相对建设项目建设前日均或潮均流速及水深、或高（累积频率5%）低（累积频率90%）水位（潮位）变化幅度超过5%的水域；</w:t>
      </w:r>
    </w:p>
    <w:p w14:paraId="17282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（4）建设项目影响范围涉及水环境保护目标的，评价范围至少应扩大到水环境保护目标内受影响的水域；</w:t>
      </w:r>
    </w:p>
    <w:p w14:paraId="107AA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（5）存在多类水文要素影响的建设项目，应分别确定各水文要素影响评价范围，取各水文要素评价范围的外包线作为水文要素的评价范围。</w:t>
      </w:r>
    </w:p>
    <w:p w14:paraId="76419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本项目为调蓄水库工程，</w:t>
      </w:r>
      <w:r>
        <w:rPr>
          <w:rFonts w:hint="default" w:ascii="Times New Roman" w:hAnsi="Times New Roman" w:eastAsia="宋体" w:cs="Times New Roman"/>
          <w:sz w:val="24"/>
          <w:szCs w:val="24"/>
        </w:rPr>
        <w:t>调蓄水库至净水厂0.29km供水管线沿线</w:t>
      </w:r>
      <w:r>
        <w:rPr>
          <w:rFonts w:hint="default" w:ascii="Times New Roman" w:hAnsi="Times New Roman" w:eastAsia="宋体" w:cs="Times New Roman"/>
          <w:sz w:val="24"/>
          <w:szCs w:val="24"/>
          <w:lang w:eastAsia="zh-CN"/>
        </w:rPr>
        <w:t>无</w:t>
      </w:r>
      <w:r>
        <w:rPr>
          <w:rFonts w:hint="default" w:ascii="Times New Roman" w:hAnsi="Times New Roman" w:eastAsia="宋体" w:cs="Times New Roman"/>
          <w:sz w:val="24"/>
          <w:szCs w:val="24"/>
        </w:rPr>
        <w:t>地表水体；</w:t>
      </w:r>
      <w:r>
        <w:rPr>
          <w:rFonts w:hint="default" w:ascii="Times New Roman" w:hAnsi="Times New Roman" w:eastAsia="宋体" w:cs="Times New Roman"/>
          <w:color w:val="auto"/>
          <w:sz w:val="24"/>
          <w:szCs w:val="24"/>
          <w:highlight w:val="none"/>
          <w:lang w:val="en-US" w:eastAsia="zh-CN"/>
        </w:rPr>
        <w:t>无直接退水，故本项目地表水评价范围为水库库区。</w:t>
      </w:r>
    </w:p>
    <w:p w14:paraId="1E7BFE59">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9、地表水环境现状调查与评价</w:t>
      </w:r>
    </w:p>
    <w:p w14:paraId="7B599C5F">
      <w:pPr>
        <w:keepNext w:val="0"/>
        <w:keepLines w:val="0"/>
        <w:suppressLineNumbers w:val="0"/>
        <w:spacing w:before="0" w:beforeAutospacing="0" w:after="0" w:afterAutospacing="0" w:line="360" w:lineRule="auto"/>
        <w:ind w:left="0" w:right="0" w:firstLine="474" w:firstLineChars="200"/>
        <w:rPr>
          <w:rFonts w:hint="default" w:ascii="Times New Roman" w:hAnsi="Times New Roman" w:eastAsia="宋体" w:cs="Times New Roman"/>
          <w:b/>
          <w:bCs/>
          <w:color w:val="auto"/>
          <w:spacing w:val="-2"/>
          <w:kern w:val="2"/>
          <w:sz w:val="24"/>
          <w:szCs w:val="24"/>
          <w:highlight w:val="none"/>
          <w:lang w:val="en-US" w:eastAsia="zh-CN" w:bidi="ar-SA"/>
        </w:rPr>
      </w:pPr>
      <w:r>
        <w:rPr>
          <w:rFonts w:hint="default" w:ascii="Times New Roman" w:hAnsi="Times New Roman" w:eastAsia="宋体" w:cs="Times New Roman"/>
          <w:b/>
          <w:bCs/>
          <w:color w:val="auto"/>
          <w:spacing w:val="-2"/>
          <w:kern w:val="2"/>
          <w:sz w:val="24"/>
          <w:szCs w:val="24"/>
          <w:highlight w:val="none"/>
          <w:lang w:val="en-US" w:eastAsia="zh-CN" w:bidi="ar-SA"/>
        </w:rPr>
        <w:t>9.1区域水污染源调查</w:t>
      </w:r>
    </w:p>
    <w:p w14:paraId="1F2CB2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根据《环境影响评价技术导则地表水环境》（HJ2.3-2018）中相关规定要求，本项目为水文要素影响型项目，需要对本项目所在区域进行区域水污染源调查。</w:t>
      </w:r>
    </w:p>
    <w:p w14:paraId="2BCCDE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（1）点污染源调查</w:t>
      </w:r>
    </w:p>
    <w:p w14:paraId="16955B2D">
      <w:pPr>
        <w:keepNext w:val="0"/>
        <w:keepLines w:val="0"/>
        <w:suppressLineNumbers w:val="0"/>
        <w:spacing w:before="0" w:beforeAutospacing="0" w:after="0" w:afterAutospacing="0" w:line="360" w:lineRule="auto"/>
        <w:ind w:left="0" w:right="0" w:firstLine="480" w:firstLineChars="200"/>
        <w:rPr>
          <w:rFonts w:ascii="Segoe UI Symbol" w:hAnsi="Segoe UI Symbol" w:eastAsia="Segoe UI Symbol" w:cs="Segoe UI Symbol"/>
          <w:i w:val="0"/>
          <w:iCs w:val="0"/>
          <w:caps w:val="0"/>
          <w:color w:val="000000"/>
          <w:spacing w:val="0"/>
          <w:sz w:val="24"/>
          <w:szCs w:val="24"/>
        </w:rPr>
      </w:pPr>
      <w:r>
        <w:rPr>
          <w:rFonts w:ascii="Segoe UI Symbol" w:hAnsi="Segoe UI Symbol" w:eastAsia="Segoe UI Symbol" w:cs="Segoe UI Symbol"/>
          <w:i w:val="0"/>
          <w:iCs w:val="0"/>
          <w:caps w:val="0"/>
          <w:color w:val="000000"/>
          <w:spacing w:val="0"/>
          <w:sz w:val="24"/>
          <w:szCs w:val="24"/>
        </w:rPr>
        <w:t>项目取水口至调蓄水库沿线无已建成生产污染型企业，仅园区现有企业自备井取水（拟逐步关停），无工业点污染源排放。</w:t>
      </w:r>
    </w:p>
    <w:p w14:paraId="5E6A69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（2）面污染源调查</w:t>
      </w:r>
    </w:p>
    <w:p w14:paraId="155B254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本项目工程取水口区域主要涉及</w:t>
      </w:r>
      <w:r>
        <w:rPr>
          <w:rFonts w:hint="eastAsia" w:ascii="Times New Roman" w:hAnsi="Times New Roman" w:eastAsia="宋体" w:cs="Times New Roman"/>
          <w:color w:val="auto"/>
          <w:sz w:val="24"/>
          <w:szCs w:val="22"/>
          <w:highlight w:val="none"/>
          <w:lang w:val="en-US" w:eastAsia="zh-CN"/>
        </w:rPr>
        <w:t>张掖市甘州区庚明村一社</w:t>
      </w:r>
      <w:r>
        <w:rPr>
          <w:rFonts w:hint="default" w:ascii="Times New Roman" w:hAnsi="Times New Roman" w:eastAsia="宋体" w:cs="Times New Roman"/>
          <w:color w:val="auto"/>
          <w:sz w:val="24"/>
          <w:szCs w:val="22"/>
          <w:highlight w:val="none"/>
          <w:lang w:val="en-US" w:eastAsia="zh-CN"/>
        </w:rPr>
        <w:t>。涉及的面污染源主要为农村生活污染源、农田污染源、畜禽养殖污染源。</w:t>
      </w:r>
    </w:p>
    <w:p w14:paraId="15362C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①农村生活污染源：</w:t>
      </w:r>
    </w:p>
    <w:p w14:paraId="306CD3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项目取水口区域涉及的农村生活污染源主要为</w:t>
      </w:r>
      <w:r>
        <w:rPr>
          <w:rFonts w:hint="eastAsia" w:ascii="Times New Roman" w:hAnsi="Times New Roman" w:eastAsia="宋体" w:cs="Times New Roman"/>
          <w:color w:val="auto"/>
          <w:sz w:val="24"/>
          <w:szCs w:val="22"/>
          <w:highlight w:val="none"/>
          <w:lang w:val="en-US" w:eastAsia="zh-CN"/>
        </w:rPr>
        <w:t>张掖市甘州区庚明村一社</w:t>
      </w:r>
      <w:r>
        <w:rPr>
          <w:rFonts w:hint="default" w:ascii="Times New Roman" w:hAnsi="Times New Roman" w:eastAsia="宋体" w:cs="Times New Roman"/>
          <w:color w:val="auto"/>
          <w:sz w:val="24"/>
          <w:szCs w:val="22"/>
          <w:highlight w:val="none"/>
          <w:lang w:val="en-US" w:eastAsia="zh-CN"/>
        </w:rPr>
        <w:t>区域，详细情况详见下表3。</w:t>
      </w:r>
    </w:p>
    <w:p w14:paraId="47D5A5B2">
      <w:pPr>
        <w:pStyle w:val="41"/>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表3项目区域涉及农村生活污染源一览表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687"/>
        <w:gridCol w:w="1471"/>
        <w:gridCol w:w="2308"/>
        <w:gridCol w:w="1471"/>
        <w:gridCol w:w="2133"/>
      </w:tblGrid>
      <w:tr w14:paraId="6CB8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shd w:val="clear" w:color="auto" w:fill="auto"/>
            <w:vAlign w:val="center"/>
          </w:tcPr>
          <w:p w14:paraId="71B38B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序号</w:t>
            </w:r>
          </w:p>
        </w:tc>
        <w:tc>
          <w:tcPr>
            <w:tcW w:w="856" w:type="pct"/>
            <w:shd w:val="clear" w:color="auto" w:fill="auto"/>
            <w:vAlign w:val="center"/>
          </w:tcPr>
          <w:p w14:paraId="7BE62D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名称</w:t>
            </w:r>
          </w:p>
        </w:tc>
        <w:tc>
          <w:tcPr>
            <w:tcW w:w="746" w:type="pct"/>
            <w:shd w:val="clear" w:color="auto" w:fill="auto"/>
            <w:vAlign w:val="center"/>
          </w:tcPr>
          <w:p w14:paraId="0D9A8E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人口数量</w:t>
            </w:r>
          </w:p>
        </w:tc>
        <w:tc>
          <w:tcPr>
            <w:tcW w:w="1171" w:type="pct"/>
            <w:shd w:val="clear" w:color="auto" w:fill="auto"/>
            <w:vAlign w:val="center"/>
          </w:tcPr>
          <w:p w14:paraId="2D87FF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人均用水量指标</w:t>
            </w:r>
          </w:p>
        </w:tc>
        <w:tc>
          <w:tcPr>
            <w:tcW w:w="746" w:type="pct"/>
            <w:shd w:val="clear" w:color="auto" w:fill="auto"/>
            <w:vAlign w:val="center"/>
          </w:tcPr>
          <w:p w14:paraId="4979BC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供水方式</w:t>
            </w:r>
          </w:p>
        </w:tc>
        <w:tc>
          <w:tcPr>
            <w:tcW w:w="1082" w:type="pct"/>
            <w:shd w:val="clear" w:color="auto" w:fill="auto"/>
            <w:vAlign w:val="center"/>
          </w:tcPr>
          <w:p w14:paraId="4820D8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污水排放方式</w:t>
            </w:r>
          </w:p>
        </w:tc>
      </w:tr>
      <w:tr w14:paraId="6D7F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14:paraId="7E7F4E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856" w:type="pct"/>
            <w:vAlign w:val="center"/>
          </w:tcPr>
          <w:p w14:paraId="6CAF0A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庚明村一社</w:t>
            </w:r>
          </w:p>
        </w:tc>
        <w:tc>
          <w:tcPr>
            <w:tcW w:w="746" w:type="pct"/>
            <w:vAlign w:val="center"/>
          </w:tcPr>
          <w:p w14:paraId="2CF606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280</w:t>
            </w:r>
            <w:r>
              <w:rPr>
                <w:rFonts w:hint="default" w:ascii="Times New Roman" w:hAnsi="Times New Roman" w:eastAsia="宋体" w:cs="Times New Roman"/>
                <w:color w:val="auto"/>
                <w:sz w:val="21"/>
                <w:szCs w:val="21"/>
                <w:highlight w:val="none"/>
                <w:lang w:val="en-US" w:eastAsia="zh-CN"/>
              </w:rPr>
              <w:t>人</w:t>
            </w:r>
          </w:p>
        </w:tc>
        <w:tc>
          <w:tcPr>
            <w:tcW w:w="1171" w:type="pct"/>
            <w:vAlign w:val="center"/>
          </w:tcPr>
          <w:p w14:paraId="31BF90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40L/人•d</w:t>
            </w:r>
          </w:p>
        </w:tc>
        <w:tc>
          <w:tcPr>
            <w:tcW w:w="746" w:type="pct"/>
            <w:vAlign w:val="center"/>
          </w:tcPr>
          <w:p w14:paraId="16454F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自来水</w:t>
            </w:r>
          </w:p>
        </w:tc>
        <w:tc>
          <w:tcPr>
            <w:tcW w:w="1082" w:type="pct"/>
            <w:vAlign w:val="center"/>
          </w:tcPr>
          <w:p w14:paraId="137E55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无害化厕所</w:t>
            </w:r>
          </w:p>
        </w:tc>
      </w:tr>
    </w:tbl>
    <w:p w14:paraId="4C84E3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②农田污染源</w:t>
      </w:r>
    </w:p>
    <w:p w14:paraId="28C148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w:t>
      </w:r>
      <w:r>
        <w:rPr>
          <w:rFonts w:hint="eastAsia" w:ascii="Times New Roman" w:hAnsi="Times New Roman" w:eastAsia="宋体" w:cs="Times New Roman"/>
          <w:color w:val="auto"/>
          <w:sz w:val="24"/>
          <w:szCs w:val="22"/>
          <w:highlight w:val="none"/>
          <w:lang w:val="en-US" w:eastAsia="zh-CN"/>
        </w:rPr>
        <w:t>甘州区</w:t>
      </w:r>
      <w:r>
        <w:rPr>
          <w:rFonts w:hint="default" w:ascii="Times New Roman" w:hAnsi="Times New Roman" w:eastAsia="宋体" w:cs="Times New Roman"/>
          <w:color w:val="auto"/>
          <w:sz w:val="24"/>
          <w:szCs w:val="22"/>
          <w:highlight w:val="none"/>
          <w:lang w:val="en-US" w:eastAsia="zh-CN"/>
        </w:rPr>
        <w:t>农村人居环境整治调查，</w:t>
      </w:r>
      <w:r>
        <w:rPr>
          <w:rFonts w:hint="eastAsia" w:ascii="Times New Roman" w:hAnsi="Times New Roman" w:eastAsia="宋体" w:cs="Times New Roman"/>
          <w:color w:val="auto"/>
          <w:sz w:val="24"/>
          <w:szCs w:val="22"/>
          <w:highlight w:val="none"/>
          <w:lang w:val="en-US" w:eastAsia="zh-CN"/>
        </w:rPr>
        <w:t>甘州区</w:t>
      </w:r>
      <w:r>
        <w:rPr>
          <w:rFonts w:hint="default" w:ascii="Times New Roman" w:hAnsi="Times New Roman" w:eastAsia="宋体" w:cs="Times New Roman"/>
          <w:color w:val="auto"/>
          <w:sz w:val="24"/>
          <w:szCs w:val="22"/>
          <w:highlight w:val="none"/>
          <w:lang w:val="en-US" w:eastAsia="zh-CN"/>
        </w:rPr>
        <w:t>目前农田使用推行使用有机肥，化肥使用很少，其农田污染源较少。</w:t>
      </w:r>
    </w:p>
    <w:p w14:paraId="2DB322C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③畜禽养殖污染源</w:t>
      </w:r>
    </w:p>
    <w:p w14:paraId="0915E7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根据对项目工程区域进行现场调查，项目取水口范围内无大型养殖企业，农户家散养畜禽主要以鸡、猪等为主，产生的粪便因产生量较少均作为肥料沤肥使用，不外排至外环境。</w:t>
      </w:r>
    </w:p>
    <w:p w14:paraId="3EC31027">
      <w:pPr>
        <w:keepNext w:val="0"/>
        <w:keepLines w:val="0"/>
        <w:suppressLineNumbers w:val="0"/>
        <w:spacing w:before="0" w:beforeAutospacing="0" w:after="0" w:afterAutospacing="0" w:line="360" w:lineRule="auto"/>
        <w:ind w:left="0" w:right="0" w:firstLine="474" w:firstLineChars="200"/>
        <w:rPr>
          <w:rFonts w:hint="default" w:ascii="Times New Roman" w:hAnsi="Times New Roman" w:eastAsia="宋体" w:cs="Times New Roman"/>
          <w:b/>
          <w:bCs/>
          <w:color w:val="auto"/>
          <w:spacing w:val="-2"/>
          <w:kern w:val="2"/>
          <w:sz w:val="24"/>
          <w:szCs w:val="24"/>
          <w:highlight w:val="none"/>
          <w:lang w:val="en-US" w:eastAsia="zh-CN" w:bidi="ar-SA"/>
        </w:rPr>
      </w:pPr>
      <w:r>
        <w:rPr>
          <w:rFonts w:hint="default" w:ascii="Times New Roman" w:hAnsi="Times New Roman" w:eastAsia="宋体" w:cs="Times New Roman"/>
          <w:b/>
          <w:bCs/>
          <w:color w:val="auto"/>
          <w:spacing w:val="-2"/>
          <w:kern w:val="2"/>
          <w:sz w:val="24"/>
          <w:szCs w:val="24"/>
          <w:highlight w:val="none"/>
          <w:lang w:val="en-US" w:eastAsia="zh-CN" w:bidi="ar-SA"/>
        </w:rPr>
        <w:t>9.2径流</w:t>
      </w:r>
    </w:p>
    <w:p w14:paraId="6602C6F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1、径流特征</w:t>
      </w:r>
    </w:p>
    <w:p w14:paraId="6FD28EE1">
      <w:pPr>
        <w:keepNext w:val="0"/>
        <w:keepLines w:val="0"/>
        <w:pageBreakBefore w:val="0"/>
        <w:widowControl w:val="0"/>
        <w:kinsoku/>
        <w:wordWrap/>
        <w:overflowPunct/>
        <w:topLinePunct w:val="0"/>
        <w:autoSpaceDE/>
        <w:autoSpaceDN/>
        <w:bidi w:val="0"/>
        <w:adjustRightInd/>
        <w:snapToGrid/>
        <w:spacing w:line="360" w:lineRule="auto"/>
        <w:ind w:left="0" w:firstLine="48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黑河径流主要由祁连山山区降水和融冰化雪混合补给，</w:t>
      </w:r>
      <w:r>
        <w:rPr>
          <w:rFonts w:hint="default" w:ascii="Times New Roman" w:hAnsi="Times New Roman" w:eastAsia="宋体" w:cs="Times New Roman"/>
          <w:spacing w:val="1"/>
          <w:sz w:val="24"/>
          <w:szCs w:val="24"/>
        </w:rPr>
        <w:t>以降水补给为主。该河的</w:t>
      </w:r>
      <w:r>
        <w:rPr>
          <w:rFonts w:hint="default" w:ascii="Times New Roman" w:hAnsi="Times New Roman" w:eastAsia="宋体" w:cs="Times New Roman"/>
          <w:spacing w:val="2"/>
          <w:sz w:val="24"/>
          <w:szCs w:val="24"/>
        </w:rPr>
        <w:t>径流主要来源于黑河干流莺落峡以上流域。由于冰川融水补给对降水</w:t>
      </w:r>
      <w:r>
        <w:rPr>
          <w:rFonts w:hint="default" w:ascii="Times New Roman" w:hAnsi="Times New Roman" w:eastAsia="宋体" w:cs="Times New Roman"/>
          <w:spacing w:val="1"/>
          <w:sz w:val="24"/>
          <w:szCs w:val="24"/>
        </w:rPr>
        <w:t>径流起着补偿调</w:t>
      </w:r>
      <w:r>
        <w:rPr>
          <w:rFonts w:hint="default" w:ascii="Times New Roman" w:hAnsi="Times New Roman" w:eastAsia="宋体" w:cs="Times New Roman"/>
          <w:spacing w:val="2"/>
          <w:sz w:val="24"/>
          <w:szCs w:val="24"/>
        </w:rPr>
        <w:t>解作用，径流年际变化不大，据莺落峡站年径流资料反映，黑河上游</w:t>
      </w:r>
      <w:r>
        <w:rPr>
          <w:rFonts w:hint="default" w:ascii="Times New Roman" w:hAnsi="Times New Roman" w:eastAsia="宋体" w:cs="Times New Roman"/>
          <w:spacing w:val="1"/>
          <w:sz w:val="24"/>
          <w:szCs w:val="24"/>
        </w:rPr>
        <w:t>流域最大与最小</w:t>
      </w:r>
      <w:r>
        <w:rPr>
          <w:rFonts w:hint="default" w:ascii="Times New Roman" w:hAnsi="Times New Roman" w:eastAsia="宋体" w:cs="Times New Roman"/>
          <w:sz w:val="24"/>
          <w:szCs w:val="24"/>
        </w:rPr>
        <w:t>年径流量比值为</w:t>
      </w:r>
      <w:r>
        <w:rPr>
          <w:rFonts w:hint="default" w:ascii="Times New Roman" w:hAnsi="Times New Roman" w:eastAsia="宋体" w:cs="Times New Roman"/>
          <w:spacing w:val="-32"/>
          <w:sz w:val="24"/>
          <w:szCs w:val="24"/>
        </w:rPr>
        <w:t xml:space="preserve"> </w:t>
      </w:r>
      <w:r>
        <w:rPr>
          <w:rFonts w:hint="default" w:ascii="Times New Roman" w:hAnsi="Times New Roman" w:eastAsia="宋体" w:cs="Times New Roman"/>
          <w:sz w:val="24"/>
          <w:szCs w:val="24"/>
        </w:rPr>
        <w:t>1.95 倍。径流受降水和气</w:t>
      </w:r>
      <w:r>
        <w:rPr>
          <w:rFonts w:hint="default" w:ascii="Times New Roman" w:hAnsi="Times New Roman" w:eastAsia="宋体" w:cs="Times New Roman"/>
          <w:spacing w:val="-1"/>
          <w:sz w:val="24"/>
          <w:szCs w:val="24"/>
        </w:rPr>
        <w:t>温的影响，在年内分配很不均匀，与降水的</w:t>
      </w:r>
      <w:r>
        <w:rPr>
          <w:rFonts w:hint="default" w:ascii="Times New Roman" w:hAnsi="Times New Roman" w:eastAsia="宋体" w:cs="Times New Roman"/>
          <w:spacing w:val="11"/>
          <w:sz w:val="24"/>
          <w:szCs w:val="24"/>
        </w:rPr>
        <w:t>年内分配特性相应，绝大部分径流集中在汛期</w:t>
      </w:r>
      <w:r>
        <w:rPr>
          <w:rFonts w:hint="default" w:ascii="Times New Roman" w:hAnsi="Times New Roman" w:eastAsia="宋体" w:cs="Times New Roman"/>
          <w:spacing w:val="-38"/>
          <w:sz w:val="24"/>
          <w:szCs w:val="24"/>
        </w:rPr>
        <w:t xml:space="preserve"> </w:t>
      </w:r>
      <w:r>
        <w:rPr>
          <w:rFonts w:hint="default" w:ascii="Times New Roman" w:hAnsi="Times New Roman" w:eastAsia="宋体" w:cs="Times New Roman"/>
          <w:spacing w:val="10"/>
          <w:sz w:val="24"/>
          <w:szCs w:val="24"/>
        </w:rPr>
        <w:t>6～9月。一年内的水情变化大致如</w:t>
      </w:r>
      <w:r>
        <w:rPr>
          <w:rFonts w:hint="default" w:ascii="Times New Roman" w:hAnsi="Times New Roman" w:eastAsia="宋体" w:cs="Times New Roman"/>
          <w:sz w:val="24"/>
          <w:szCs w:val="24"/>
        </w:rPr>
        <w:t>下：4～5月为春汛期，虽然降水不多，但由于气温逐渐升高，上游</w:t>
      </w:r>
      <w:r>
        <w:rPr>
          <w:rFonts w:hint="default" w:ascii="Times New Roman" w:hAnsi="Times New Roman" w:eastAsia="宋体" w:cs="Times New Roman"/>
          <w:spacing w:val="-1"/>
          <w:sz w:val="24"/>
          <w:szCs w:val="24"/>
        </w:rPr>
        <w:t>山区冰雪融化补给</w:t>
      </w:r>
      <w:r>
        <w:rPr>
          <w:rFonts w:hint="default" w:ascii="Times New Roman" w:hAnsi="Times New Roman" w:eastAsia="宋体" w:cs="Times New Roman"/>
          <w:spacing w:val="3"/>
          <w:sz w:val="24"/>
          <w:szCs w:val="24"/>
        </w:rPr>
        <w:t>河流，河流径流量逐渐上涨，其量占年水量的11.69%；6～9月为河流汛期</w:t>
      </w:r>
      <w:r>
        <w:rPr>
          <w:rFonts w:hint="default" w:ascii="Times New Roman" w:hAnsi="Times New Roman" w:eastAsia="宋体" w:cs="Times New Roman"/>
          <w:spacing w:val="2"/>
          <w:sz w:val="24"/>
          <w:szCs w:val="24"/>
        </w:rPr>
        <w:t>，径流主</w:t>
      </w:r>
      <w:r>
        <w:rPr>
          <w:rFonts w:hint="default" w:ascii="Times New Roman" w:hAnsi="Times New Roman" w:eastAsia="宋体" w:cs="Times New Roman"/>
          <w:sz w:val="24"/>
          <w:szCs w:val="24"/>
        </w:rPr>
        <w:t>要由降水补给，其量占年水量的</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z w:val="24"/>
          <w:szCs w:val="24"/>
        </w:rPr>
        <w:t>68.2%</w:t>
      </w:r>
      <w:r>
        <w:rPr>
          <w:rFonts w:hint="default" w:ascii="Times New Roman" w:hAnsi="Times New Roman" w:eastAsia="宋体" w:cs="Times New Roman"/>
          <w:spacing w:val="-27"/>
          <w:sz w:val="24"/>
          <w:szCs w:val="24"/>
        </w:rPr>
        <w:t xml:space="preserve"> </w:t>
      </w:r>
      <w:r>
        <w:rPr>
          <w:rFonts w:hint="default" w:ascii="Times New Roman" w:hAnsi="Times New Roman" w:eastAsia="宋体" w:cs="Times New Roman"/>
          <w:sz w:val="24"/>
          <w:szCs w:val="24"/>
        </w:rPr>
        <w:t>，全年的最大洪水皆发生于此</w:t>
      </w:r>
      <w:r>
        <w:rPr>
          <w:rFonts w:hint="default" w:ascii="Times New Roman" w:hAnsi="Times New Roman" w:eastAsia="宋体" w:cs="Times New Roman"/>
          <w:spacing w:val="-1"/>
          <w:sz w:val="24"/>
          <w:szCs w:val="24"/>
        </w:rPr>
        <w:t>期间；10～11月</w:t>
      </w:r>
      <w:r>
        <w:rPr>
          <w:rFonts w:hint="default" w:ascii="Times New Roman" w:hAnsi="Times New Roman" w:eastAsia="宋体" w:cs="Times New Roman"/>
          <w:spacing w:val="5"/>
          <w:sz w:val="24"/>
          <w:szCs w:val="24"/>
        </w:rPr>
        <w:t>降水减少，为河流的退水期，径流呈递减趋势，其水量占年水量的</w:t>
      </w:r>
      <w:r>
        <w:rPr>
          <w:rFonts w:hint="default" w:ascii="Times New Roman" w:hAnsi="Times New Roman" w:eastAsia="宋体" w:cs="Times New Roman"/>
          <w:spacing w:val="-13"/>
          <w:sz w:val="24"/>
          <w:szCs w:val="24"/>
        </w:rPr>
        <w:t xml:space="preserve"> </w:t>
      </w:r>
      <w:r>
        <w:rPr>
          <w:rFonts w:hint="default" w:ascii="Times New Roman" w:hAnsi="Times New Roman" w:eastAsia="宋体" w:cs="Times New Roman"/>
          <w:spacing w:val="5"/>
          <w:sz w:val="24"/>
          <w:szCs w:val="24"/>
        </w:rPr>
        <w:t>10.48%；12月</w:t>
      </w:r>
      <w:r>
        <w:rPr>
          <w:rFonts w:hint="default" w:ascii="Times New Roman" w:hAnsi="Times New Roman" w:eastAsia="宋体" w:cs="Times New Roman"/>
          <w:spacing w:val="5"/>
          <w:sz w:val="24"/>
          <w:szCs w:val="24"/>
          <w:lang w:val="en-US" w:eastAsia="zh-CN"/>
        </w:rPr>
        <w:t>~</w:t>
      </w:r>
      <w:r>
        <w:rPr>
          <w:rFonts w:hint="default" w:ascii="Times New Roman" w:hAnsi="Times New Roman" w:eastAsia="宋体" w:cs="Times New Roman"/>
          <w:spacing w:val="1"/>
          <w:sz w:val="24"/>
          <w:szCs w:val="24"/>
        </w:rPr>
        <w:t>次年</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1"/>
          <w:sz w:val="24"/>
          <w:szCs w:val="24"/>
        </w:rPr>
        <w:t>3</w:t>
      </w:r>
      <w:r>
        <w:rPr>
          <w:rFonts w:hint="default" w:ascii="Times New Roman" w:hAnsi="Times New Roman" w:eastAsia="宋体" w:cs="Times New Roman"/>
          <w:spacing w:val="17"/>
          <w:sz w:val="24"/>
          <w:szCs w:val="24"/>
        </w:rPr>
        <w:t xml:space="preserve"> </w:t>
      </w:r>
      <w:r>
        <w:rPr>
          <w:rFonts w:hint="default" w:ascii="Times New Roman" w:hAnsi="Times New Roman" w:eastAsia="宋体" w:cs="Times New Roman"/>
          <w:spacing w:val="1"/>
          <w:sz w:val="24"/>
          <w:szCs w:val="24"/>
        </w:rPr>
        <w:t>月为冬季枯水期，径流主要由地下水补给，全年的最小流量即发生在这一时期</w:t>
      </w:r>
      <w:r>
        <w:rPr>
          <w:rFonts w:hint="default" w:ascii="Times New Roman" w:hAnsi="Times New Roman" w:eastAsia="宋体" w:cs="Times New Roman"/>
          <w:spacing w:val="9"/>
          <w:sz w:val="24"/>
          <w:szCs w:val="24"/>
        </w:rPr>
        <w:t>的</w:t>
      </w:r>
      <w:r>
        <w:rPr>
          <w:rFonts w:hint="default" w:ascii="Times New Roman" w:hAnsi="Times New Roman" w:eastAsia="宋体" w:cs="Times New Roman"/>
          <w:spacing w:val="-20"/>
          <w:sz w:val="24"/>
          <w:szCs w:val="24"/>
        </w:rPr>
        <w:t xml:space="preserve"> </w:t>
      </w:r>
      <w:r>
        <w:rPr>
          <w:rFonts w:hint="default" w:ascii="Times New Roman" w:hAnsi="Times New Roman" w:eastAsia="宋体" w:cs="Times New Roman"/>
          <w:spacing w:val="9"/>
          <w:sz w:val="24"/>
          <w:szCs w:val="24"/>
        </w:rPr>
        <w:t>1～2</w:t>
      </w:r>
      <w:r>
        <w:rPr>
          <w:rFonts w:hint="default" w:ascii="Times New Roman" w:hAnsi="Times New Roman" w:eastAsia="宋体" w:cs="Times New Roman"/>
          <w:spacing w:val="27"/>
          <w:sz w:val="24"/>
          <w:szCs w:val="24"/>
        </w:rPr>
        <w:t xml:space="preserve"> </w:t>
      </w:r>
      <w:r>
        <w:rPr>
          <w:rFonts w:hint="default" w:ascii="Times New Roman" w:hAnsi="Times New Roman" w:eastAsia="宋体" w:cs="Times New Roman"/>
          <w:spacing w:val="9"/>
          <w:sz w:val="24"/>
          <w:szCs w:val="24"/>
        </w:rPr>
        <w:t>月间，而且这个时期是河流的结冰、流凌和封</w:t>
      </w:r>
      <w:r>
        <w:rPr>
          <w:rFonts w:hint="default" w:ascii="Times New Roman" w:hAnsi="Times New Roman" w:eastAsia="宋体" w:cs="Times New Roman"/>
          <w:spacing w:val="8"/>
          <w:sz w:val="24"/>
          <w:szCs w:val="24"/>
        </w:rPr>
        <w:t>冻季节，</w:t>
      </w:r>
      <w:r>
        <w:rPr>
          <w:rFonts w:hint="default" w:ascii="Times New Roman" w:hAnsi="Times New Roman" w:eastAsia="宋体" w:cs="Times New Roman"/>
          <w:spacing w:val="-70"/>
          <w:sz w:val="24"/>
          <w:szCs w:val="24"/>
        </w:rPr>
        <w:t xml:space="preserve"> </w:t>
      </w:r>
      <w:r>
        <w:rPr>
          <w:rFonts w:hint="default" w:ascii="Times New Roman" w:hAnsi="Times New Roman" w:eastAsia="宋体" w:cs="Times New Roman"/>
          <w:spacing w:val="8"/>
          <w:sz w:val="24"/>
          <w:szCs w:val="24"/>
        </w:rPr>
        <w:t>由于河流结冰的影</w:t>
      </w:r>
      <w:r>
        <w:rPr>
          <w:rFonts w:hint="default" w:ascii="Times New Roman" w:hAnsi="Times New Roman" w:eastAsia="宋体" w:cs="Times New Roman"/>
          <w:spacing w:val="9"/>
          <w:sz w:val="24"/>
          <w:szCs w:val="24"/>
        </w:rPr>
        <w:t>响，这一时期的水量有一部分在河槽内结为</w:t>
      </w:r>
      <w:r>
        <w:rPr>
          <w:rFonts w:hint="default" w:ascii="Times New Roman" w:hAnsi="Times New Roman" w:eastAsia="宋体" w:cs="Times New Roman"/>
          <w:spacing w:val="8"/>
          <w:sz w:val="24"/>
          <w:szCs w:val="24"/>
        </w:rPr>
        <w:t>冰块储存起来，到第二年春天才化为径</w:t>
      </w:r>
      <w:r>
        <w:rPr>
          <w:rFonts w:hint="default" w:ascii="Times New Roman" w:hAnsi="Times New Roman" w:eastAsia="宋体" w:cs="Times New Roman"/>
          <w:spacing w:val="-1"/>
          <w:sz w:val="24"/>
          <w:szCs w:val="24"/>
        </w:rPr>
        <w:t>流，这一时期的水量占年水量的</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1"/>
          <w:sz w:val="24"/>
          <w:szCs w:val="24"/>
        </w:rPr>
        <w:t>9.63%。</w:t>
      </w:r>
    </w:p>
    <w:p w14:paraId="748BED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8"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河流出山口后进入走廊平原。该区农业发达，渠系纵横，灌溉季节大部分</w:t>
      </w:r>
      <w:r>
        <w:rPr>
          <w:rFonts w:hint="default" w:ascii="Times New Roman" w:hAnsi="Times New Roman" w:eastAsia="宋体" w:cs="Times New Roman"/>
          <w:spacing w:val="1"/>
          <w:sz w:val="24"/>
          <w:szCs w:val="24"/>
        </w:rPr>
        <w:t>径流被</w:t>
      </w:r>
      <w:r>
        <w:rPr>
          <w:rFonts w:hint="default" w:ascii="Times New Roman" w:hAnsi="Times New Roman" w:eastAsia="宋体" w:cs="Times New Roman"/>
          <w:spacing w:val="2"/>
          <w:sz w:val="24"/>
          <w:szCs w:val="24"/>
        </w:rPr>
        <w:t>引入灌区，其余沿河床下泄，并下渗补给地下水。被引灌的河水</w:t>
      </w:r>
      <w:r>
        <w:rPr>
          <w:rFonts w:hint="default" w:ascii="Times New Roman" w:hAnsi="Times New Roman" w:eastAsia="宋体" w:cs="Times New Roman"/>
          <w:spacing w:val="1"/>
          <w:sz w:val="24"/>
          <w:szCs w:val="24"/>
        </w:rPr>
        <w:t>，除作物吸收蒸腾和</w:t>
      </w:r>
      <w:r>
        <w:rPr>
          <w:rFonts w:hint="default" w:ascii="Times New Roman" w:hAnsi="Times New Roman" w:eastAsia="宋体" w:cs="Times New Roman"/>
          <w:spacing w:val="2"/>
          <w:sz w:val="24"/>
          <w:szCs w:val="24"/>
        </w:rPr>
        <w:t>渠系、田间蒸发外，相当一部分下渗补给地下水。地下水以平缓</w:t>
      </w:r>
      <w:r>
        <w:rPr>
          <w:rFonts w:hint="default" w:ascii="Times New Roman" w:hAnsi="Times New Roman" w:eastAsia="宋体" w:cs="Times New Roman"/>
          <w:spacing w:val="1"/>
          <w:sz w:val="24"/>
          <w:szCs w:val="24"/>
        </w:rPr>
        <w:t>的坡降向前运动，部</w:t>
      </w:r>
      <w:r>
        <w:rPr>
          <w:rFonts w:hint="default" w:ascii="Times New Roman" w:hAnsi="Times New Roman" w:eastAsia="宋体" w:cs="Times New Roman"/>
          <w:spacing w:val="-1"/>
          <w:sz w:val="24"/>
          <w:szCs w:val="24"/>
        </w:rPr>
        <w:t>分出露地面成为泉水，或直接回归河流，并再一次被引灌。</w:t>
      </w:r>
    </w:p>
    <w:p w14:paraId="411570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2、径流计算</w:t>
      </w:r>
    </w:p>
    <w:p w14:paraId="731337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50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rPr>
        <w:t>根据高崖水文站1956~2015年实测径流系列进行频率分析计算，用矩法初估参</w:t>
      </w:r>
      <w:r>
        <w:rPr>
          <w:rFonts w:hint="default" w:ascii="Times New Roman" w:hAnsi="Times New Roman" w:eastAsia="宋体" w:cs="Times New Roman"/>
          <w:color w:val="auto"/>
          <w:spacing w:val="-1"/>
          <w:sz w:val="24"/>
          <w:szCs w:val="24"/>
        </w:rPr>
        <w:t>数，采用P</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Ⅲ型曲线适线，得高崖站径流设计参数为：均值为</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1"/>
          <w:sz w:val="24"/>
          <w:szCs w:val="24"/>
        </w:rPr>
        <w:t>10.81 亿</w:t>
      </w:r>
      <w:r>
        <w:rPr>
          <w:rFonts w:hint="default" w:ascii="Times New Roman" w:hAnsi="Times New Roman" w:eastAsia="宋体" w:cs="Times New Roman"/>
          <w:color w:val="auto"/>
          <w:spacing w:val="-56"/>
          <w:sz w:val="24"/>
          <w:szCs w:val="24"/>
        </w:rPr>
        <w:t xml:space="preserve"> </w:t>
      </w:r>
      <w:r>
        <w:rPr>
          <w:rFonts w:hint="default" w:ascii="Times New Roman" w:hAnsi="Times New Roman" w:eastAsia="宋体" w:cs="Times New Roman"/>
          <w:color w:val="auto"/>
          <w:spacing w:val="-1"/>
          <w:sz w:val="24"/>
          <w:szCs w:val="24"/>
        </w:rPr>
        <w:t>m</w:t>
      </w:r>
      <w:r>
        <w:rPr>
          <w:rFonts w:hint="default" w:ascii="Times New Roman" w:hAnsi="Times New Roman" w:eastAsia="宋体" w:cs="Times New Roman"/>
          <w:color w:val="auto"/>
          <w:spacing w:val="-1"/>
          <w:sz w:val="24"/>
          <w:szCs w:val="24"/>
          <w:vertAlign w:val="superscript"/>
        </w:rPr>
        <w:t>3</w:t>
      </w:r>
      <w:r>
        <w:rPr>
          <w:rFonts w:hint="default" w:ascii="Times New Roman" w:hAnsi="Times New Roman" w:eastAsia="宋体" w:cs="Times New Roman"/>
          <w:color w:val="auto"/>
          <w:spacing w:val="-30"/>
          <w:sz w:val="24"/>
          <w:szCs w:val="24"/>
        </w:rPr>
        <w:t xml:space="preserve"> </w:t>
      </w:r>
      <w:r>
        <w:rPr>
          <w:rFonts w:hint="default" w:ascii="Times New Roman" w:hAnsi="Times New Roman" w:eastAsia="宋体" w:cs="Times New Roman"/>
          <w:color w:val="auto"/>
          <w:spacing w:val="-1"/>
          <w:sz w:val="24"/>
          <w:szCs w:val="24"/>
        </w:rPr>
        <w:t>，Cv</w:t>
      </w:r>
      <w:r>
        <w:rPr>
          <w:rFonts w:hint="default" w:ascii="Times New Roman" w:hAnsi="Times New Roman" w:eastAsia="宋体" w:cs="Times New Roman"/>
          <w:color w:val="auto"/>
          <w:spacing w:val="-2"/>
          <w:sz w:val="24"/>
          <w:szCs w:val="24"/>
        </w:rPr>
        <w:t>=0.2</w:t>
      </w:r>
      <w:r>
        <w:rPr>
          <w:rFonts w:hint="default" w:ascii="Times New Roman" w:hAnsi="Times New Roman" w:eastAsia="宋体" w:cs="Times New Roman"/>
          <w:color w:val="auto"/>
          <w:spacing w:val="-31"/>
          <w:sz w:val="24"/>
          <w:szCs w:val="24"/>
        </w:rPr>
        <w:t xml:space="preserve"> </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 xml:space="preserve"> Cs</w:t>
      </w:r>
      <w:r>
        <w:rPr>
          <w:rFonts w:hint="default" w:ascii="Times New Roman" w:hAnsi="Times New Roman" w:eastAsia="宋体" w:cs="Times New Roman"/>
          <w:color w:val="auto"/>
          <w:spacing w:val="1"/>
          <w:sz w:val="24"/>
          <w:szCs w:val="24"/>
        </w:rPr>
        <w:t>=3</w:t>
      </w:r>
      <w:r>
        <w:rPr>
          <w:rFonts w:hint="default" w:ascii="Times New Roman" w:hAnsi="Times New Roman" w:eastAsia="宋体" w:cs="Times New Roman"/>
          <w:color w:val="auto"/>
          <w:sz w:val="24"/>
          <w:szCs w:val="24"/>
        </w:rPr>
        <w:t>Cv</w:t>
      </w:r>
      <w:r>
        <w:rPr>
          <w:rFonts w:hint="default" w:ascii="Times New Roman" w:hAnsi="Times New Roman" w:eastAsia="宋体" w:cs="Times New Roman"/>
          <w:color w:val="auto"/>
          <w:spacing w:val="-19"/>
          <w:sz w:val="24"/>
          <w:szCs w:val="24"/>
        </w:rPr>
        <w:t xml:space="preserve"> </w:t>
      </w:r>
      <w:r>
        <w:rPr>
          <w:rFonts w:hint="default" w:ascii="Times New Roman" w:hAnsi="Times New Roman" w:eastAsia="宋体" w:cs="Times New Roman"/>
          <w:color w:val="auto"/>
          <w:spacing w:val="1"/>
          <w:sz w:val="24"/>
          <w:szCs w:val="24"/>
        </w:rPr>
        <w:t>，</w:t>
      </w:r>
      <w:r>
        <w:rPr>
          <w:rFonts w:hint="default" w:ascii="Times New Roman" w:hAnsi="Times New Roman" w:eastAsia="宋体" w:cs="Times New Roman"/>
          <w:i w:val="0"/>
          <w:iCs w:val="0"/>
          <w:caps w:val="0"/>
          <w:color w:val="auto"/>
          <w:spacing w:val="0"/>
          <w:sz w:val="24"/>
          <w:szCs w:val="24"/>
        </w:rPr>
        <w:t>采用P</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Ⅲ</w:t>
      </w:r>
      <w:r>
        <w:rPr>
          <w:rFonts w:hint="default" w:ascii="Times New Roman" w:hAnsi="Times New Roman" w:eastAsia="宋体" w:cs="Times New Roman"/>
          <w:i w:val="0"/>
          <w:iCs w:val="0"/>
          <w:caps w:val="0"/>
          <w:color w:val="auto"/>
          <w:spacing w:val="0"/>
          <w:sz w:val="24"/>
          <w:szCs w:val="24"/>
        </w:rPr>
        <w:t>型频率分布曲线进行配线，计算结果如</w:t>
      </w:r>
      <w:r>
        <w:rPr>
          <w:rFonts w:hint="default" w:ascii="Times New Roman" w:hAnsi="Times New Roman" w:eastAsia="宋体" w:cs="Times New Roman"/>
          <w:color w:val="auto"/>
          <w:sz w:val="24"/>
          <w:szCs w:val="24"/>
          <w:highlight w:val="none"/>
          <w:lang w:val="en-US" w:eastAsia="zh-CN"/>
        </w:rPr>
        <w:t>表4。</w:t>
      </w:r>
    </w:p>
    <w:p w14:paraId="6B629ED2">
      <w:pPr>
        <w:pStyle w:val="41"/>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 </w:t>
      </w:r>
      <w:r>
        <w:rPr>
          <w:rFonts w:ascii="宋体" w:hAnsi="宋体" w:eastAsia="宋体" w:cs="宋体"/>
          <w:b/>
          <w:bCs/>
          <w:spacing w:val="7"/>
          <w:sz w:val="24"/>
          <w:szCs w:val="24"/>
        </w:rPr>
        <w:t>高崖站设计径流成果表</w:t>
      </w:r>
    </w:p>
    <w:tbl>
      <w:tblPr>
        <w:tblStyle w:val="6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2"/>
        <w:gridCol w:w="1275"/>
        <w:gridCol w:w="1406"/>
        <w:gridCol w:w="695"/>
        <w:gridCol w:w="887"/>
        <w:gridCol w:w="695"/>
        <w:gridCol w:w="706"/>
        <w:gridCol w:w="708"/>
        <w:gridCol w:w="708"/>
        <w:gridCol w:w="708"/>
        <w:gridCol w:w="830"/>
      </w:tblGrid>
      <w:tr w14:paraId="666C5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30" w:type="pct"/>
            <w:vMerge w:val="restart"/>
            <w:tcBorders>
              <w:bottom w:val="nil"/>
            </w:tcBorders>
            <w:vAlign w:val="center"/>
          </w:tcPr>
          <w:p w14:paraId="03105C14">
            <w:pPr>
              <w:pStyle w:val="36"/>
              <w:keepNext w:val="0"/>
              <w:pageBreakBefore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4"/>
                <w:sz w:val="21"/>
                <w:szCs w:val="21"/>
              </w:rPr>
              <w:t>水文站</w:t>
            </w:r>
          </w:p>
        </w:tc>
        <w:tc>
          <w:tcPr>
            <w:tcW w:w="661" w:type="pct"/>
            <w:vMerge w:val="restart"/>
            <w:tcBorders>
              <w:bottom w:val="nil"/>
            </w:tcBorders>
            <w:vAlign w:val="top"/>
          </w:tcPr>
          <w:p w14:paraId="7C8F4F97">
            <w:pPr>
              <w:pStyle w:val="36"/>
              <w:spacing w:before="51"/>
              <w:ind w:left="225" w:right="176" w:hanging="57"/>
              <w:rPr>
                <w:rFonts w:hint="default" w:ascii="Times New Roman" w:hAnsi="Times New Roman" w:eastAsia="宋体" w:cs="Times New Roman"/>
                <w:b/>
                <w:bCs/>
                <w:sz w:val="21"/>
                <w:szCs w:val="21"/>
              </w:rPr>
            </w:pPr>
            <w:r>
              <w:rPr>
                <w:rFonts w:hint="default" w:ascii="Times New Roman" w:hAnsi="Times New Roman" w:eastAsia="宋体" w:cs="Times New Roman"/>
                <w:b/>
                <w:bCs/>
                <w:spacing w:val="16"/>
                <w:sz w:val="21"/>
                <w:szCs w:val="21"/>
              </w:rPr>
              <w:t>流域面积</w:t>
            </w:r>
            <w:r>
              <w:rPr>
                <w:rFonts w:hint="default" w:ascii="Times New Roman" w:hAnsi="Times New Roman" w:eastAsia="宋体" w:cs="Times New Roman"/>
                <w:b/>
                <w:bCs/>
                <w:spacing w:val="10"/>
                <w:sz w:val="21"/>
                <w:szCs w:val="21"/>
              </w:rPr>
              <w:t>（</w:t>
            </w:r>
            <w:r>
              <w:rPr>
                <w:rFonts w:hint="default" w:ascii="Times New Roman" w:hAnsi="Times New Roman" w:eastAsia="宋体" w:cs="Times New Roman"/>
                <w:b/>
                <w:bCs/>
                <w:sz w:val="21"/>
                <w:szCs w:val="21"/>
              </w:rPr>
              <w:t>km</w:t>
            </w:r>
            <w:r>
              <w:rPr>
                <w:rFonts w:hint="default" w:ascii="Times New Roman" w:hAnsi="Times New Roman" w:eastAsia="宋体" w:cs="Times New Roman"/>
                <w:b/>
                <w:bCs/>
                <w:spacing w:val="10"/>
                <w:sz w:val="21"/>
                <w:szCs w:val="21"/>
              </w:rPr>
              <w:t>²)</w:t>
            </w:r>
          </w:p>
        </w:tc>
        <w:tc>
          <w:tcPr>
            <w:tcW w:w="729" w:type="pct"/>
            <w:vMerge w:val="restart"/>
            <w:tcBorders>
              <w:bottom w:val="nil"/>
            </w:tcBorders>
            <w:vAlign w:val="top"/>
          </w:tcPr>
          <w:p w14:paraId="148E9618">
            <w:pPr>
              <w:pStyle w:val="36"/>
              <w:spacing w:before="51"/>
              <w:ind w:left="203" w:right="320" w:firstLine="249"/>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均值</w:t>
            </w:r>
            <w:r>
              <w:rPr>
                <w:rFonts w:hint="default" w:ascii="Times New Roman" w:hAnsi="Times New Roman" w:eastAsia="宋体" w:cs="Times New Roman"/>
                <w:b/>
                <w:bCs/>
                <w:spacing w:val="4"/>
                <w:sz w:val="21"/>
                <w:szCs w:val="21"/>
              </w:rPr>
              <w:t>（亿</w:t>
            </w:r>
            <w:r>
              <w:rPr>
                <w:rFonts w:hint="default" w:ascii="Times New Roman" w:hAnsi="Times New Roman" w:eastAsia="宋体" w:cs="Times New Roman"/>
                <w:b/>
                <w:bCs/>
                <w:spacing w:val="-28"/>
                <w:sz w:val="21"/>
                <w:szCs w:val="21"/>
              </w:rPr>
              <w:t xml:space="preserve"> </w:t>
            </w:r>
            <w:r>
              <w:rPr>
                <w:rFonts w:hint="default" w:ascii="Times New Roman" w:hAnsi="Times New Roman" w:eastAsia="宋体" w:cs="Times New Roman"/>
                <w:b/>
                <w:bCs/>
                <w:spacing w:val="4"/>
                <w:sz w:val="21"/>
                <w:szCs w:val="21"/>
              </w:rPr>
              <w:t>m³)</w:t>
            </w:r>
          </w:p>
        </w:tc>
        <w:tc>
          <w:tcPr>
            <w:tcW w:w="360" w:type="pct"/>
            <w:vMerge w:val="restart"/>
            <w:tcBorders>
              <w:bottom w:val="nil"/>
            </w:tcBorders>
            <w:vAlign w:val="top"/>
          </w:tcPr>
          <w:p w14:paraId="6C711022">
            <w:pPr>
              <w:spacing w:before="223" w:line="195" w:lineRule="auto"/>
              <w:ind w:left="206"/>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Cv</w:t>
            </w:r>
          </w:p>
        </w:tc>
        <w:tc>
          <w:tcPr>
            <w:tcW w:w="460" w:type="pct"/>
            <w:vMerge w:val="restart"/>
            <w:tcBorders>
              <w:bottom w:val="nil"/>
            </w:tcBorders>
            <w:vAlign w:val="top"/>
          </w:tcPr>
          <w:p w14:paraId="2CA85893">
            <w:pPr>
              <w:spacing w:before="220" w:line="199" w:lineRule="auto"/>
              <w:ind w:left="151"/>
              <w:rPr>
                <w:rFonts w:hint="default" w:ascii="Times New Roman" w:hAnsi="Times New Roman" w:eastAsia="宋体" w:cs="Times New Roman"/>
                <w:b/>
                <w:bCs/>
                <w:sz w:val="21"/>
                <w:szCs w:val="21"/>
              </w:rPr>
            </w:pPr>
            <w:r>
              <w:rPr>
                <w:rFonts w:hint="default" w:ascii="Times New Roman" w:hAnsi="Times New Roman" w:eastAsia="宋体" w:cs="Times New Roman"/>
                <w:b/>
                <w:bCs/>
                <w:spacing w:val="7"/>
                <w:sz w:val="21"/>
                <w:szCs w:val="21"/>
              </w:rPr>
              <w:t>Cs/Cv</w:t>
            </w:r>
          </w:p>
        </w:tc>
        <w:tc>
          <w:tcPr>
            <w:tcW w:w="2257" w:type="pct"/>
            <w:gridSpan w:val="6"/>
            <w:vAlign w:val="top"/>
          </w:tcPr>
          <w:p w14:paraId="03B9C686">
            <w:pPr>
              <w:pStyle w:val="36"/>
              <w:spacing w:before="41" w:line="221" w:lineRule="auto"/>
              <w:ind w:left="934"/>
              <w:rPr>
                <w:rFonts w:hint="default" w:ascii="Times New Roman" w:hAnsi="Times New Roman" w:eastAsia="宋体" w:cs="Times New Roman"/>
                <w:b/>
                <w:bCs/>
                <w:sz w:val="21"/>
                <w:szCs w:val="21"/>
              </w:rPr>
            </w:pPr>
            <w:r>
              <w:rPr>
                <w:rFonts w:hint="default" w:ascii="Times New Roman" w:hAnsi="Times New Roman" w:eastAsia="宋体" w:cs="Times New Roman"/>
                <w:b/>
                <w:bCs/>
                <w:spacing w:val="14"/>
                <w:sz w:val="21"/>
                <w:szCs w:val="21"/>
              </w:rPr>
              <w:t>各频率设计值（亿</w:t>
            </w:r>
            <w:r>
              <w:rPr>
                <w:rFonts w:hint="default" w:ascii="Times New Roman" w:hAnsi="Times New Roman" w:eastAsia="宋体" w:cs="Times New Roman"/>
                <w:b/>
                <w:bCs/>
                <w:spacing w:val="-20"/>
                <w:sz w:val="21"/>
                <w:szCs w:val="21"/>
              </w:rPr>
              <w:t xml:space="preserve"> </w:t>
            </w:r>
            <w:r>
              <w:rPr>
                <w:rFonts w:hint="default" w:ascii="Times New Roman" w:hAnsi="Times New Roman" w:eastAsia="宋体" w:cs="Times New Roman"/>
                <w:b/>
                <w:bCs/>
                <w:spacing w:val="14"/>
                <w:sz w:val="21"/>
                <w:szCs w:val="21"/>
              </w:rPr>
              <w:t>m³)</w:t>
            </w:r>
          </w:p>
        </w:tc>
      </w:tr>
      <w:tr w14:paraId="161E0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530" w:type="pct"/>
            <w:vMerge w:val="continue"/>
            <w:tcBorders>
              <w:top w:val="nil"/>
            </w:tcBorders>
            <w:vAlign w:val="center"/>
          </w:tcPr>
          <w:p w14:paraId="08A9EC83">
            <w:pPr>
              <w:keepNext w:val="0"/>
              <w:pageBreakBefore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bCs/>
                <w:sz w:val="21"/>
                <w:szCs w:val="21"/>
              </w:rPr>
            </w:pPr>
          </w:p>
        </w:tc>
        <w:tc>
          <w:tcPr>
            <w:tcW w:w="661" w:type="pct"/>
            <w:vMerge w:val="continue"/>
            <w:tcBorders>
              <w:top w:val="nil"/>
            </w:tcBorders>
            <w:vAlign w:val="top"/>
          </w:tcPr>
          <w:p w14:paraId="7858121F">
            <w:pPr>
              <w:rPr>
                <w:rFonts w:hint="default" w:ascii="Times New Roman" w:hAnsi="Times New Roman" w:eastAsia="宋体" w:cs="Times New Roman"/>
                <w:b/>
                <w:bCs/>
                <w:sz w:val="21"/>
                <w:szCs w:val="21"/>
              </w:rPr>
            </w:pPr>
          </w:p>
        </w:tc>
        <w:tc>
          <w:tcPr>
            <w:tcW w:w="729" w:type="pct"/>
            <w:vMerge w:val="continue"/>
            <w:tcBorders>
              <w:top w:val="nil"/>
            </w:tcBorders>
            <w:vAlign w:val="top"/>
          </w:tcPr>
          <w:p w14:paraId="6DBBF3BE">
            <w:pPr>
              <w:rPr>
                <w:rFonts w:hint="default" w:ascii="Times New Roman" w:hAnsi="Times New Roman" w:eastAsia="宋体" w:cs="Times New Roman"/>
                <w:b/>
                <w:bCs/>
                <w:sz w:val="21"/>
                <w:szCs w:val="21"/>
              </w:rPr>
            </w:pPr>
          </w:p>
        </w:tc>
        <w:tc>
          <w:tcPr>
            <w:tcW w:w="360" w:type="pct"/>
            <w:vMerge w:val="continue"/>
            <w:tcBorders>
              <w:top w:val="nil"/>
            </w:tcBorders>
            <w:vAlign w:val="top"/>
          </w:tcPr>
          <w:p w14:paraId="28C97B11">
            <w:pPr>
              <w:rPr>
                <w:rFonts w:hint="default" w:ascii="Times New Roman" w:hAnsi="Times New Roman" w:eastAsia="宋体" w:cs="Times New Roman"/>
                <w:b/>
                <w:bCs/>
                <w:sz w:val="21"/>
                <w:szCs w:val="21"/>
              </w:rPr>
            </w:pPr>
          </w:p>
        </w:tc>
        <w:tc>
          <w:tcPr>
            <w:tcW w:w="460" w:type="pct"/>
            <w:vMerge w:val="continue"/>
            <w:tcBorders>
              <w:top w:val="nil"/>
            </w:tcBorders>
            <w:vAlign w:val="top"/>
          </w:tcPr>
          <w:p w14:paraId="227F8791">
            <w:pPr>
              <w:rPr>
                <w:rFonts w:hint="default" w:ascii="Times New Roman" w:hAnsi="Times New Roman" w:eastAsia="宋体" w:cs="Times New Roman"/>
                <w:b/>
                <w:bCs/>
                <w:sz w:val="21"/>
                <w:szCs w:val="21"/>
              </w:rPr>
            </w:pPr>
          </w:p>
        </w:tc>
        <w:tc>
          <w:tcPr>
            <w:tcW w:w="360" w:type="pct"/>
            <w:vAlign w:val="top"/>
          </w:tcPr>
          <w:p w14:paraId="1E3C8AC2">
            <w:pPr>
              <w:spacing w:before="74" w:line="195" w:lineRule="auto"/>
              <w:ind w:left="194"/>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5%</w:t>
            </w:r>
          </w:p>
        </w:tc>
        <w:tc>
          <w:tcPr>
            <w:tcW w:w="366" w:type="pct"/>
            <w:vAlign w:val="top"/>
          </w:tcPr>
          <w:p w14:paraId="2624787B">
            <w:pPr>
              <w:spacing w:before="74" w:line="195" w:lineRule="auto"/>
              <w:ind w:left="15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15%</w:t>
            </w:r>
          </w:p>
        </w:tc>
        <w:tc>
          <w:tcPr>
            <w:tcW w:w="367" w:type="pct"/>
            <w:vAlign w:val="top"/>
          </w:tcPr>
          <w:p w14:paraId="214FDBC4">
            <w:pPr>
              <w:spacing w:before="74" w:line="195" w:lineRule="auto"/>
              <w:ind w:left="144"/>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50%</w:t>
            </w:r>
          </w:p>
        </w:tc>
        <w:tc>
          <w:tcPr>
            <w:tcW w:w="367" w:type="pct"/>
            <w:vAlign w:val="top"/>
          </w:tcPr>
          <w:p w14:paraId="03FFB46D">
            <w:pPr>
              <w:spacing w:before="74" w:line="195" w:lineRule="auto"/>
              <w:ind w:left="149"/>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85%</w:t>
            </w:r>
          </w:p>
        </w:tc>
        <w:tc>
          <w:tcPr>
            <w:tcW w:w="367" w:type="pct"/>
            <w:vAlign w:val="top"/>
          </w:tcPr>
          <w:p w14:paraId="60D7C737">
            <w:pPr>
              <w:spacing w:before="74" w:line="195" w:lineRule="auto"/>
              <w:ind w:left="144"/>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95%</w:t>
            </w:r>
          </w:p>
        </w:tc>
        <w:tc>
          <w:tcPr>
            <w:tcW w:w="427" w:type="pct"/>
            <w:vAlign w:val="top"/>
          </w:tcPr>
          <w:p w14:paraId="7C8C230D">
            <w:pPr>
              <w:spacing w:before="74" w:line="195" w:lineRule="auto"/>
              <w:ind w:left="195"/>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97%</w:t>
            </w:r>
          </w:p>
        </w:tc>
      </w:tr>
      <w:tr w14:paraId="0DE6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30" w:type="pct"/>
            <w:vAlign w:val="center"/>
          </w:tcPr>
          <w:p w14:paraId="120C5CC5">
            <w:pPr>
              <w:pStyle w:val="36"/>
              <w:keepNext w:val="0"/>
              <w:pageBreakBefore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高崖</w:t>
            </w:r>
          </w:p>
        </w:tc>
        <w:tc>
          <w:tcPr>
            <w:tcW w:w="661" w:type="pct"/>
            <w:vAlign w:val="top"/>
          </w:tcPr>
          <w:p w14:paraId="304D82E1">
            <w:pPr>
              <w:spacing w:before="56" w:line="195" w:lineRule="auto"/>
              <w:ind w:left="329"/>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20299</w:t>
            </w:r>
          </w:p>
        </w:tc>
        <w:tc>
          <w:tcPr>
            <w:tcW w:w="729" w:type="pct"/>
            <w:vAlign w:val="top"/>
          </w:tcPr>
          <w:p w14:paraId="3791F1FE">
            <w:pPr>
              <w:spacing w:before="56" w:line="195" w:lineRule="auto"/>
              <w:ind w:left="440"/>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10.81</w:t>
            </w:r>
          </w:p>
        </w:tc>
        <w:tc>
          <w:tcPr>
            <w:tcW w:w="360" w:type="pct"/>
            <w:vAlign w:val="top"/>
          </w:tcPr>
          <w:p w14:paraId="26D74CF8">
            <w:pPr>
              <w:spacing w:before="56" w:line="195" w:lineRule="auto"/>
              <w:ind w:left="141"/>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0.20</w:t>
            </w:r>
          </w:p>
        </w:tc>
        <w:tc>
          <w:tcPr>
            <w:tcW w:w="460" w:type="pct"/>
            <w:vAlign w:val="top"/>
          </w:tcPr>
          <w:p w14:paraId="1E0B6C4D">
            <w:pPr>
              <w:spacing w:before="56" w:line="195" w:lineRule="auto"/>
              <w:ind w:left="37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0" w:type="pct"/>
            <w:vAlign w:val="top"/>
          </w:tcPr>
          <w:p w14:paraId="31F316FF">
            <w:pPr>
              <w:spacing w:before="56" w:line="195" w:lineRule="auto"/>
              <w:ind w:left="158"/>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14.7</w:t>
            </w:r>
          </w:p>
        </w:tc>
        <w:tc>
          <w:tcPr>
            <w:tcW w:w="366" w:type="pct"/>
            <w:vAlign w:val="top"/>
          </w:tcPr>
          <w:p w14:paraId="6756DF31">
            <w:pPr>
              <w:spacing w:before="56" w:line="195" w:lineRule="auto"/>
              <w:ind w:left="163"/>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13.</w:t>
            </w:r>
            <w:r>
              <w:rPr>
                <w:rFonts w:hint="default" w:ascii="Times New Roman" w:hAnsi="Times New Roman" w:eastAsia="宋体" w:cs="Times New Roman"/>
                <w:spacing w:val="-21"/>
                <w:sz w:val="21"/>
                <w:szCs w:val="21"/>
              </w:rPr>
              <w:t xml:space="preserve"> </w:t>
            </w:r>
            <w:r>
              <w:rPr>
                <w:rFonts w:hint="default" w:ascii="Times New Roman" w:hAnsi="Times New Roman" w:eastAsia="宋体" w:cs="Times New Roman"/>
                <w:spacing w:val="-1"/>
                <w:sz w:val="21"/>
                <w:szCs w:val="21"/>
              </w:rPr>
              <w:t>1</w:t>
            </w:r>
          </w:p>
        </w:tc>
        <w:tc>
          <w:tcPr>
            <w:tcW w:w="367" w:type="pct"/>
            <w:vAlign w:val="top"/>
          </w:tcPr>
          <w:p w14:paraId="48E8BD89">
            <w:pPr>
              <w:spacing w:before="56" w:line="195" w:lineRule="auto"/>
              <w:ind w:left="164"/>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10.6</w:t>
            </w:r>
          </w:p>
        </w:tc>
        <w:tc>
          <w:tcPr>
            <w:tcW w:w="367" w:type="pct"/>
            <w:vAlign w:val="top"/>
          </w:tcPr>
          <w:p w14:paraId="25933D7E">
            <w:pPr>
              <w:spacing w:before="56" w:line="195" w:lineRule="auto"/>
              <w:ind w:left="154"/>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8.58</w:t>
            </w:r>
          </w:p>
        </w:tc>
        <w:tc>
          <w:tcPr>
            <w:tcW w:w="367" w:type="pct"/>
            <w:vAlign w:val="top"/>
          </w:tcPr>
          <w:p w14:paraId="64C9ADF7">
            <w:pPr>
              <w:spacing w:before="56" w:line="195" w:lineRule="auto"/>
              <w:ind w:left="148"/>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7.65</w:t>
            </w:r>
          </w:p>
        </w:tc>
        <w:tc>
          <w:tcPr>
            <w:tcW w:w="427" w:type="pct"/>
            <w:vAlign w:val="top"/>
          </w:tcPr>
          <w:p w14:paraId="7802A76C">
            <w:pPr>
              <w:spacing w:before="56" w:line="195" w:lineRule="auto"/>
              <w:ind w:left="199"/>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7.32</w:t>
            </w:r>
          </w:p>
        </w:tc>
      </w:tr>
    </w:tbl>
    <w:p w14:paraId="10ED3E2F">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outlineLvl w:val="3"/>
        <w:rPr>
          <w:rFonts w:ascii="宋体" w:hAnsi="宋体" w:eastAsia="宋体" w:cs="宋体"/>
          <w:sz w:val="24"/>
          <w:szCs w:val="24"/>
        </w:rPr>
      </w:pPr>
      <w:r>
        <w:rPr>
          <w:rFonts w:hint="eastAsia" w:ascii="Times New Roman" w:hAnsi="Times New Roman" w:eastAsia="宋体" w:cs="Times New Roman"/>
          <w:spacing w:val="-1"/>
          <w:sz w:val="24"/>
          <w:szCs w:val="24"/>
          <w:lang w:val="en-US" w:eastAsia="zh-CN"/>
        </w:rPr>
        <w:t>3.</w:t>
      </w:r>
      <w:r>
        <w:rPr>
          <w:rFonts w:ascii="宋体" w:hAnsi="宋体" w:eastAsia="宋体" w:cs="宋体"/>
          <w:spacing w:val="-1"/>
          <w:sz w:val="24"/>
          <w:szCs w:val="24"/>
        </w:rPr>
        <w:t>取水断面设计径流</w:t>
      </w:r>
    </w:p>
    <w:p w14:paraId="08EC56C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sz w:val="24"/>
          <w:szCs w:val="24"/>
        </w:rPr>
      </w:pPr>
      <w:r>
        <w:rPr>
          <w:rFonts w:hint="default" w:ascii="Times New Roman" w:hAnsi="Times New Roman" w:eastAsia="宋体" w:cs="Times New Roman"/>
          <w:i w:val="0"/>
          <w:iCs w:val="0"/>
          <w:caps w:val="0"/>
          <w:color w:val="000000"/>
          <w:spacing w:val="0"/>
          <w:kern w:val="2"/>
          <w:sz w:val="24"/>
          <w:szCs w:val="24"/>
          <w:lang w:val="en-US" w:eastAsia="zh-CN" w:bidi="ar-SA"/>
        </w:rPr>
        <w:t>张掖经济技术开发区循环经济示范园供水工程</w:t>
      </w:r>
      <w:r>
        <w:rPr>
          <w:rFonts w:ascii="宋体" w:hAnsi="宋体" w:eastAsia="宋体" w:cs="宋体"/>
          <w:spacing w:val="3"/>
          <w:sz w:val="24"/>
          <w:szCs w:val="24"/>
        </w:rPr>
        <w:t>取水断面位于黑河山丹河汇河口下游处，汇水面积为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2"/>
          <w:sz w:val="24"/>
          <w:szCs w:val="24"/>
        </w:rPr>
        <w:t>61</w:t>
      </w:r>
      <w:r>
        <w:rPr>
          <w:rFonts w:ascii="Times New Roman" w:hAnsi="Times New Roman" w:eastAsia="Times New Roman" w:cs="Times New Roman"/>
          <w:sz w:val="24"/>
          <w:szCs w:val="24"/>
        </w:rPr>
        <w:t>km</w:t>
      </w:r>
      <w:r>
        <w:rPr>
          <w:rFonts w:ascii="Times New Roman" w:hAnsi="Times New Roman" w:eastAsia="Times New Roman" w:cs="Times New Roman"/>
          <w:spacing w:val="2"/>
          <w:sz w:val="24"/>
          <w:szCs w:val="24"/>
        </w:rPr>
        <w:t>²</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,取水断面与高崖站之间无取用水工程，且无大支流汇入，故取水</w:t>
      </w:r>
      <w:r>
        <w:rPr>
          <w:rFonts w:ascii="宋体" w:hAnsi="宋体" w:eastAsia="宋体" w:cs="宋体"/>
          <w:spacing w:val="1"/>
          <w:sz w:val="24"/>
          <w:szCs w:val="24"/>
        </w:rPr>
        <w:t>断面径流成果直</w:t>
      </w:r>
      <w:r>
        <w:rPr>
          <w:rFonts w:ascii="宋体" w:hAnsi="宋体" w:eastAsia="宋体" w:cs="宋体"/>
          <w:spacing w:val="4"/>
          <w:sz w:val="24"/>
          <w:szCs w:val="24"/>
        </w:rPr>
        <w:t>接采用高崖站径流成果，故取水断面设计径流见表</w:t>
      </w:r>
      <w:r>
        <w:rPr>
          <w:rFonts w:hint="eastAsia" w:ascii="宋体" w:hAnsi="宋体" w:eastAsia="宋体" w:cs="宋体"/>
          <w:spacing w:val="-29"/>
          <w:sz w:val="24"/>
          <w:szCs w:val="24"/>
          <w:lang w:val="en-US" w:eastAsia="zh-CN"/>
        </w:rPr>
        <w:t>5</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。分析取水断面设计径</w:t>
      </w:r>
      <w:r>
        <w:rPr>
          <w:rFonts w:ascii="宋体" w:hAnsi="宋体" w:eastAsia="宋体" w:cs="宋体"/>
          <w:spacing w:val="9"/>
          <w:sz w:val="24"/>
          <w:szCs w:val="24"/>
        </w:rPr>
        <w:t>流计算直接采用高崖站更合适，故取水</w:t>
      </w:r>
      <w:r>
        <w:rPr>
          <w:rFonts w:ascii="宋体" w:hAnsi="宋体" w:eastAsia="宋体" w:cs="宋体"/>
          <w:spacing w:val="8"/>
          <w:sz w:val="24"/>
          <w:szCs w:val="24"/>
        </w:rPr>
        <w:t>断面设计径流成果修正为采用高崖站成</w:t>
      </w:r>
      <w:r>
        <w:rPr>
          <w:rFonts w:ascii="宋体" w:hAnsi="宋体" w:eastAsia="宋体" w:cs="宋体"/>
          <w:spacing w:val="-5"/>
          <w:sz w:val="24"/>
          <w:szCs w:val="24"/>
        </w:rPr>
        <w:t>果。</w:t>
      </w:r>
    </w:p>
    <w:p w14:paraId="5A04FAB9">
      <w:pPr>
        <w:pStyle w:val="41"/>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 xml:space="preserve">表5  </w:t>
      </w:r>
      <w:r>
        <w:rPr>
          <w:rFonts w:hint="default" w:ascii="Times New Roman" w:hAnsi="Times New Roman" w:eastAsia="宋体" w:cs="Times New Roman"/>
          <w:b/>
          <w:bCs/>
          <w:color w:val="auto"/>
          <w:kern w:val="2"/>
          <w:sz w:val="24"/>
          <w:szCs w:val="24"/>
          <w:highlight w:val="none"/>
          <w:lang w:val="en-US" w:eastAsia="zh-CN" w:bidi="ar-SA"/>
        </w:rPr>
        <w:t>取水断面设计径流成果表</w:t>
      </w:r>
    </w:p>
    <w:tbl>
      <w:tblPr>
        <w:tblStyle w:val="69"/>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70"/>
        <w:gridCol w:w="1102"/>
        <w:gridCol w:w="1256"/>
        <w:gridCol w:w="753"/>
        <w:gridCol w:w="664"/>
        <w:gridCol w:w="843"/>
        <w:gridCol w:w="662"/>
        <w:gridCol w:w="673"/>
        <w:gridCol w:w="673"/>
        <w:gridCol w:w="675"/>
        <w:gridCol w:w="672"/>
        <w:gridCol w:w="695"/>
      </w:tblGrid>
      <w:tr w14:paraId="2997D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03" w:type="pct"/>
            <w:vMerge w:val="restart"/>
            <w:tcBorders>
              <w:bottom w:val="nil"/>
            </w:tcBorders>
            <w:vAlign w:val="center"/>
          </w:tcPr>
          <w:p w14:paraId="66E332F9">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4"/>
                <w:sz w:val="21"/>
                <w:szCs w:val="21"/>
              </w:rPr>
              <w:t>水文站</w:t>
            </w:r>
          </w:p>
        </w:tc>
        <w:tc>
          <w:tcPr>
            <w:tcW w:w="571" w:type="pct"/>
            <w:vMerge w:val="restart"/>
            <w:tcBorders>
              <w:bottom w:val="nil"/>
            </w:tcBorders>
            <w:vAlign w:val="center"/>
          </w:tcPr>
          <w:p w14:paraId="1CED174E">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流域</w:t>
            </w:r>
          </w:p>
          <w:p w14:paraId="36E3B66C">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面积</w:t>
            </w:r>
            <w:r>
              <w:rPr>
                <w:rFonts w:hint="default" w:ascii="Times New Roman" w:hAnsi="Times New Roman" w:eastAsia="宋体" w:cs="Times New Roman"/>
                <w:b/>
                <w:bCs/>
                <w:spacing w:val="9"/>
                <w:sz w:val="21"/>
                <w:szCs w:val="21"/>
              </w:rPr>
              <w:t>（</w:t>
            </w:r>
            <w:r>
              <w:rPr>
                <w:rFonts w:hint="default" w:ascii="Times New Roman" w:hAnsi="Times New Roman" w:eastAsia="宋体" w:cs="Times New Roman"/>
                <w:b/>
                <w:bCs/>
                <w:sz w:val="21"/>
                <w:szCs w:val="21"/>
              </w:rPr>
              <w:t>km</w:t>
            </w:r>
            <w:r>
              <w:rPr>
                <w:rFonts w:hint="default" w:ascii="Times New Roman" w:hAnsi="Times New Roman" w:eastAsia="宋体" w:cs="Times New Roman"/>
                <w:b/>
                <w:bCs/>
                <w:spacing w:val="9"/>
                <w:sz w:val="21"/>
                <w:szCs w:val="21"/>
              </w:rPr>
              <w:t>²)</w:t>
            </w:r>
          </w:p>
        </w:tc>
        <w:tc>
          <w:tcPr>
            <w:tcW w:w="651" w:type="pct"/>
            <w:vMerge w:val="restart"/>
            <w:tcBorders>
              <w:bottom w:val="nil"/>
            </w:tcBorders>
            <w:vAlign w:val="center"/>
          </w:tcPr>
          <w:p w14:paraId="21B3A352">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8"/>
                <w:sz w:val="21"/>
                <w:szCs w:val="21"/>
              </w:rPr>
              <w:t>项目</w:t>
            </w:r>
          </w:p>
        </w:tc>
        <w:tc>
          <w:tcPr>
            <w:tcW w:w="390" w:type="pct"/>
            <w:vMerge w:val="restart"/>
            <w:tcBorders>
              <w:bottom w:val="nil"/>
            </w:tcBorders>
            <w:vAlign w:val="center"/>
          </w:tcPr>
          <w:p w14:paraId="0954A3CC">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均值</w:t>
            </w:r>
          </w:p>
        </w:tc>
        <w:tc>
          <w:tcPr>
            <w:tcW w:w="344" w:type="pct"/>
            <w:vMerge w:val="restart"/>
            <w:tcBorders>
              <w:bottom w:val="nil"/>
            </w:tcBorders>
            <w:vAlign w:val="center"/>
          </w:tcPr>
          <w:p w14:paraId="49AD53BB">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Cv</w:t>
            </w:r>
          </w:p>
        </w:tc>
        <w:tc>
          <w:tcPr>
            <w:tcW w:w="437" w:type="pct"/>
            <w:vMerge w:val="restart"/>
            <w:tcBorders>
              <w:bottom w:val="nil"/>
            </w:tcBorders>
            <w:vAlign w:val="center"/>
          </w:tcPr>
          <w:p w14:paraId="7DA24CD3">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7"/>
                <w:sz w:val="21"/>
                <w:szCs w:val="21"/>
              </w:rPr>
              <w:t>Cs/Cv</w:t>
            </w:r>
          </w:p>
        </w:tc>
        <w:tc>
          <w:tcPr>
            <w:tcW w:w="2099" w:type="pct"/>
            <w:gridSpan w:val="6"/>
            <w:vAlign w:val="center"/>
          </w:tcPr>
          <w:p w14:paraId="79E26244">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4"/>
                <w:sz w:val="21"/>
                <w:szCs w:val="21"/>
              </w:rPr>
              <w:t>各频率设计值（亿</w:t>
            </w:r>
            <w:r>
              <w:rPr>
                <w:rFonts w:hint="default" w:ascii="Times New Roman" w:hAnsi="Times New Roman" w:eastAsia="宋体" w:cs="Times New Roman"/>
                <w:b/>
                <w:bCs/>
                <w:spacing w:val="-20"/>
                <w:sz w:val="21"/>
                <w:szCs w:val="21"/>
              </w:rPr>
              <w:t xml:space="preserve"> </w:t>
            </w:r>
            <w:r>
              <w:rPr>
                <w:rFonts w:hint="default" w:ascii="Times New Roman" w:hAnsi="Times New Roman" w:eastAsia="宋体" w:cs="Times New Roman"/>
                <w:b/>
                <w:bCs/>
                <w:spacing w:val="14"/>
                <w:sz w:val="21"/>
                <w:szCs w:val="21"/>
              </w:rPr>
              <w:t>m³)</w:t>
            </w:r>
          </w:p>
        </w:tc>
      </w:tr>
      <w:tr w14:paraId="0CBE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03" w:type="pct"/>
            <w:vMerge w:val="continue"/>
            <w:tcBorders>
              <w:top w:val="nil"/>
            </w:tcBorders>
            <w:vAlign w:val="center"/>
          </w:tcPr>
          <w:p w14:paraId="72928A30">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571" w:type="pct"/>
            <w:vMerge w:val="continue"/>
            <w:tcBorders>
              <w:top w:val="nil"/>
            </w:tcBorders>
            <w:vAlign w:val="center"/>
          </w:tcPr>
          <w:p w14:paraId="1068ED2F">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651" w:type="pct"/>
            <w:vMerge w:val="continue"/>
            <w:tcBorders>
              <w:top w:val="nil"/>
            </w:tcBorders>
            <w:vAlign w:val="center"/>
          </w:tcPr>
          <w:p w14:paraId="1C5B724A">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390" w:type="pct"/>
            <w:vMerge w:val="continue"/>
            <w:tcBorders>
              <w:top w:val="nil"/>
            </w:tcBorders>
            <w:vAlign w:val="center"/>
          </w:tcPr>
          <w:p w14:paraId="7A375DE7">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344" w:type="pct"/>
            <w:vMerge w:val="continue"/>
            <w:tcBorders>
              <w:top w:val="nil"/>
            </w:tcBorders>
            <w:vAlign w:val="center"/>
          </w:tcPr>
          <w:p w14:paraId="2613FAFA">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437" w:type="pct"/>
            <w:vMerge w:val="continue"/>
            <w:tcBorders>
              <w:top w:val="nil"/>
            </w:tcBorders>
            <w:vAlign w:val="center"/>
          </w:tcPr>
          <w:p w14:paraId="20BE6812">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p>
        </w:tc>
        <w:tc>
          <w:tcPr>
            <w:tcW w:w="343" w:type="pct"/>
            <w:vAlign w:val="center"/>
          </w:tcPr>
          <w:p w14:paraId="25DD3548">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5%</w:t>
            </w:r>
          </w:p>
        </w:tc>
        <w:tc>
          <w:tcPr>
            <w:tcW w:w="349" w:type="pct"/>
            <w:vAlign w:val="center"/>
          </w:tcPr>
          <w:p w14:paraId="680C4415">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15%</w:t>
            </w:r>
          </w:p>
        </w:tc>
        <w:tc>
          <w:tcPr>
            <w:tcW w:w="349" w:type="pct"/>
            <w:vAlign w:val="center"/>
          </w:tcPr>
          <w:p w14:paraId="2CCEF2CF">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50%</w:t>
            </w:r>
          </w:p>
        </w:tc>
        <w:tc>
          <w:tcPr>
            <w:tcW w:w="350" w:type="pct"/>
            <w:vAlign w:val="center"/>
          </w:tcPr>
          <w:p w14:paraId="01AF82A4">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85%</w:t>
            </w:r>
          </w:p>
        </w:tc>
        <w:tc>
          <w:tcPr>
            <w:tcW w:w="348" w:type="pct"/>
            <w:vAlign w:val="center"/>
          </w:tcPr>
          <w:p w14:paraId="658DE9AA">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95%</w:t>
            </w:r>
          </w:p>
        </w:tc>
        <w:tc>
          <w:tcPr>
            <w:tcW w:w="358" w:type="pct"/>
            <w:vAlign w:val="center"/>
          </w:tcPr>
          <w:p w14:paraId="2FFC48EB">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5"/>
                <w:sz w:val="21"/>
                <w:szCs w:val="21"/>
              </w:rPr>
              <w:t>97%</w:t>
            </w:r>
          </w:p>
        </w:tc>
      </w:tr>
      <w:tr w14:paraId="3D8C1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03" w:type="pct"/>
            <w:vMerge w:val="restart"/>
            <w:tcBorders>
              <w:bottom w:val="nil"/>
            </w:tcBorders>
            <w:vAlign w:val="center"/>
          </w:tcPr>
          <w:p w14:paraId="78D39358">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9"/>
                <w:sz w:val="21"/>
                <w:szCs w:val="21"/>
              </w:rPr>
              <w:t>取水</w:t>
            </w:r>
            <w:r>
              <w:rPr>
                <w:rFonts w:hint="default" w:ascii="Times New Roman" w:hAnsi="Times New Roman" w:eastAsia="宋体" w:cs="Times New Roman"/>
                <w:b w:val="0"/>
                <w:bCs w:val="0"/>
                <w:spacing w:val="6"/>
                <w:sz w:val="21"/>
                <w:szCs w:val="21"/>
              </w:rPr>
              <w:t>断面</w:t>
            </w:r>
          </w:p>
        </w:tc>
        <w:tc>
          <w:tcPr>
            <w:tcW w:w="571" w:type="pct"/>
            <w:vMerge w:val="restart"/>
            <w:tcBorders>
              <w:bottom w:val="nil"/>
            </w:tcBorders>
            <w:vAlign w:val="center"/>
          </w:tcPr>
          <w:p w14:paraId="50213B56">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7"/>
                <w:sz w:val="21"/>
                <w:szCs w:val="21"/>
              </w:rPr>
              <w:t>20061</w:t>
            </w:r>
          </w:p>
        </w:tc>
        <w:tc>
          <w:tcPr>
            <w:tcW w:w="651" w:type="pct"/>
            <w:vAlign w:val="center"/>
          </w:tcPr>
          <w:p w14:paraId="109E5249">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9"/>
                <w:sz w:val="21"/>
                <w:szCs w:val="21"/>
              </w:rPr>
              <w:t>水量</w:t>
            </w:r>
            <w:r>
              <w:rPr>
                <w:rFonts w:hint="default" w:ascii="Times New Roman" w:hAnsi="Times New Roman" w:eastAsia="宋体" w:cs="Times New Roman"/>
                <w:b w:val="0"/>
                <w:bCs w:val="0"/>
                <w:spacing w:val="4"/>
                <w:sz w:val="21"/>
                <w:szCs w:val="21"/>
              </w:rPr>
              <w:t>（亿</w:t>
            </w:r>
            <w:r>
              <w:rPr>
                <w:rFonts w:hint="default" w:ascii="Times New Roman" w:hAnsi="Times New Roman" w:eastAsia="宋体" w:cs="Times New Roman"/>
                <w:b w:val="0"/>
                <w:bCs w:val="0"/>
                <w:spacing w:val="-28"/>
                <w:sz w:val="21"/>
                <w:szCs w:val="21"/>
              </w:rPr>
              <w:t xml:space="preserve"> </w:t>
            </w:r>
            <w:r>
              <w:rPr>
                <w:rFonts w:hint="default" w:ascii="Times New Roman" w:hAnsi="Times New Roman" w:eastAsia="宋体" w:cs="Times New Roman"/>
                <w:b w:val="0"/>
                <w:bCs w:val="0"/>
                <w:spacing w:val="4"/>
                <w:sz w:val="21"/>
                <w:szCs w:val="21"/>
              </w:rPr>
              <w:t>m³)</w:t>
            </w:r>
          </w:p>
        </w:tc>
        <w:tc>
          <w:tcPr>
            <w:tcW w:w="390" w:type="pct"/>
            <w:vAlign w:val="center"/>
          </w:tcPr>
          <w:p w14:paraId="366434D8">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3"/>
                <w:sz w:val="21"/>
                <w:szCs w:val="21"/>
              </w:rPr>
              <w:t>10.81</w:t>
            </w:r>
          </w:p>
        </w:tc>
        <w:tc>
          <w:tcPr>
            <w:tcW w:w="344" w:type="pct"/>
            <w:vAlign w:val="center"/>
          </w:tcPr>
          <w:p w14:paraId="4965032F">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5"/>
                <w:sz w:val="21"/>
                <w:szCs w:val="21"/>
              </w:rPr>
              <w:t>0.20</w:t>
            </w:r>
          </w:p>
        </w:tc>
        <w:tc>
          <w:tcPr>
            <w:tcW w:w="437" w:type="pct"/>
            <w:vAlign w:val="center"/>
          </w:tcPr>
          <w:p w14:paraId="2816626A">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343" w:type="pct"/>
            <w:vAlign w:val="center"/>
          </w:tcPr>
          <w:p w14:paraId="64344E78">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
                <w:sz w:val="21"/>
                <w:szCs w:val="21"/>
              </w:rPr>
              <w:t>14.7</w:t>
            </w:r>
          </w:p>
        </w:tc>
        <w:tc>
          <w:tcPr>
            <w:tcW w:w="349" w:type="pct"/>
            <w:vAlign w:val="center"/>
          </w:tcPr>
          <w:p w14:paraId="3DA56E5E">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
                <w:sz w:val="21"/>
                <w:szCs w:val="21"/>
              </w:rPr>
              <w:t>13.</w:t>
            </w:r>
            <w:r>
              <w:rPr>
                <w:rFonts w:hint="default" w:ascii="Times New Roman" w:hAnsi="Times New Roman" w:eastAsia="宋体" w:cs="Times New Roman"/>
                <w:b w:val="0"/>
                <w:bCs w:val="0"/>
                <w:spacing w:val="-21"/>
                <w:sz w:val="21"/>
                <w:szCs w:val="21"/>
              </w:rPr>
              <w:t xml:space="preserve"> </w:t>
            </w:r>
            <w:r>
              <w:rPr>
                <w:rFonts w:hint="default" w:ascii="Times New Roman" w:hAnsi="Times New Roman" w:eastAsia="宋体" w:cs="Times New Roman"/>
                <w:b w:val="0"/>
                <w:bCs w:val="0"/>
                <w:spacing w:val="-1"/>
                <w:sz w:val="21"/>
                <w:szCs w:val="21"/>
              </w:rPr>
              <w:t>1</w:t>
            </w:r>
          </w:p>
        </w:tc>
        <w:tc>
          <w:tcPr>
            <w:tcW w:w="349" w:type="pct"/>
            <w:vAlign w:val="center"/>
          </w:tcPr>
          <w:p w14:paraId="533340DC">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
                <w:sz w:val="21"/>
                <w:szCs w:val="21"/>
              </w:rPr>
              <w:t>10.6</w:t>
            </w:r>
          </w:p>
        </w:tc>
        <w:tc>
          <w:tcPr>
            <w:tcW w:w="350" w:type="pct"/>
            <w:vAlign w:val="center"/>
          </w:tcPr>
          <w:p w14:paraId="3D67DFE0">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4"/>
                <w:sz w:val="21"/>
                <w:szCs w:val="21"/>
              </w:rPr>
              <w:t>8.58</w:t>
            </w:r>
          </w:p>
        </w:tc>
        <w:tc>
          <w:tcPr>
            <w:tcW w:w="348" w:type="pct"/>
            <w:vAlign w:val="center"/>
          </w:tcPr>
          <w:p w14:paraId="625D88DC">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5"/>
                <w:sz w:val="21"/>
                <w:szCs w:val="21"/>
              </w:rPr>
              <w:t>7.65</w:t>
            </w:r>
          </w:p>
        </w:tc>
        <w:tc>
          <w:tcPr>
            <w:tcW w:w="358" w:type="pct"/>
            <w:vAlign w:val="center"/>
          </w:tcPr>
          <w:p w14:paraId="7A389E56">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5"/>
                <w:sz w:val="21"/>
                <w:szCs w:val="21"/>
              </w:rPr>
              <w:t>7.32</w:t>
            </w:r>
          </w:p>
        </w:tc>
      </w:tr>
      <w:tr w14:paraId="7BEEB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3" w:type="pct"/>
            <w:vMerge w:val="continue"/>
            <w:tcBorders>
              <w:top w:val="nil"/>
            </w:tcBorders>
            <w:vAlign w:val="center"/>
          </w:tcPr>
          <w:p w14:paraId="11E6ACC9">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p>
        </w:tc>
        <w:tc>
          <w:tcPr>
            <w:tcW w:w="571" w:type="pct"/>
            <w:vMerge w:val="continue"/>
            <w:tcBorders>
              <w:top w:val="nil"/>
            </w:tcBorders>
            <w:vAlign w:val="center"/>
          </w:tcPr>
          <w:p w14:paraId="438DF2C9">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p>
        </w:tc>
        <w:tc>
          <w:tcPr>
            <w:tcW w:w="651" w:type="pct"/>
            <w:vAlign w:val="center"/>
          </w:tcPr>
          <w:p w14:paraId="124C25A3">
            <w:pPr>
              <w:pStyle w:val="36"/>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10"/>
                <w:sz w:val="21"/>
                <w:szCs w:val="21"/>
              </w:rPr>
              <w:t>流量</w:t>
            </w:r>
            <w:r>
              <w:rPr>
                <w:rFonts w:hint="default" w:ascii="Times New Roman" w:hAnsi="Times New Roman" w:eastAsia="宋体" w:cs="Times New Roman"/>
                <w:b w:val="0"/>
                <w:bCs w:val="0"/>
                <w:spacing w:val="5"/>
                <w:sz w:val="21"/>
                <w:szCs w:val="21"/>
              </w:rPr>
              <w:t>（m³/s）</w:t>
            </w:r>
          </w:p>
        </w:tc>
        <w:tc>
          <w:tcPr>
            <w:tcW w:w="390" w:type="pct"/>
            <w:vAlign w:val="center"/>
          </w:tcPr>
          <w:p w14:paraId="0C2ED00D">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5"/>
                <w:sz w:val="21"/>
                <w:szCs w:val="21"/>
              </w:rPr>
              <w:t>34.2</w:t>
            </w:r>
          </w:p>
        </w:tc>
        <w:tc>
          <w:tcPr>
            <w:tcW w:w="344" w:type="pct"/>
            <w:vAlign w:val="center"/>
          </w:tcPr>
          <w:p w14:paraId="780A539B">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4"/>
                <w:sz w:val="21"/>
                <w:szCs w:val="21"/>
              </w:rPr>
              <w:t>0.2</w:t>
            </w:r>
          </w:p>
        </w:tc>
        <w:tc>
          <w:tcPr>
            <w:tcW w:w="437" w:type="pct"/>
            <w:vAlign w:val="center"/>
          </w:tcPr>
          <w:p w14:paraId="1F8D14F4">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343" w:type="pct"/>
            <w:vAlign w:val="center"/>
          </w:tcPr>
          <w:p w14:paraId="30A76291">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6"/>
                <w:sz w:val="21"/>
                <w:szCs w:val="21"/>
              </w:rPr>
              <w:t>46.6</w:t>
            </w:r>
          </w:p>
        </w:tc>
        <w:tc>
          <w:tcPr>
            <w:tcW w:w="349" w:type="pct"/>
            <w:vAlign w:val="center"/>
          </w:tcPr>
          <w:p w14:paraId="052BC2C1">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6"/>
                <w:sz w:val="21"/>
                <w:szCs w:val="21"/>
              </w:rPr>
              <w:t>41.5</w:t>
            </w:r>
          </w:p>
        </w:tc>
        <w:tc>
          <w:tcPr>
            <w:tcW w:w="349" w:type="pct"/>
            <w:vAlign w:val="center"/>
          </w:tcPr>
          <w:p w14:paraId="089CC34C">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5"/>
                <w:sz w:val="21"/>
                <w:szCs w:val="21"/>
              </w:rPr>
              <w:t>33.6</w:t>
            </w:r>
          </w:p>
        </w:tc>
        <w:tc>
          <w:tcPr>
            <w:tcW w:w="350" w:type="pct"/>
            <w:vAlign w:val="center"/>
          </w:tcPr>
          <w:p w14:paraId="7C319E7A">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6"/>
                <w:sz w:val="21"/>
                <w:szCs w:val="21"/>
              </w:rPr>
              <w:t>27.2</w:t>
            </w:r>
          </w:p>
        </w:tc>
        <w:tc>
          <w:tcPr>
            <w:tcW w:w="348" w:type="pct"/>
            <w:vAlign w:val="center"/>
          </w:tcPr>
          <w:p w14:paraId="4D5B5D68">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6"/>
                <w:sz w:val="21"/>
                <w:szCs w:val="21"/>
              </w:rPr>
              <w:t>24.3</w:t>
            </w:r>
          </w:p>
        </w:tc>
        <w:tc>
          <w:tcPr>
            <w:tcW w:w="358" w:type="pct"/>
            <w:vAlign w:val="center"/>
          </w:tcPr>
          <w:p w14:paraId="3091A592">
            <w:pPr>
              <w:keepNext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pacing w:val="6"/>
                <w:sz w:val="21"/>
                <w:szCs w:val="21"/>
              </w:rPr>
              <w:t>23.2</w:t>
            </w:r>
          </w:p>
        </w:tc>
      </w:tr>
    </w:tbl>
    <w:p w14:paraId="7A3441D3">
      <w:pPr>
        <w:keepNext w:val="0"/>
        <w:keepLines w:val="0"/>
        <w:suppressLineNumbers w:val="0"/>
        <w:spacing w:before="0" w:beforeAutospacing="0" w:after="0" w:afterAutospacing="0" w:line="360" w:lineRule="auto"/>
        <w:ind w:left="0" w:right="0" w:firstLine="474" w:firstLineChars="200"/>
        <w:rPr>
          <w:rFonts w:hint="default" w:ascii="Times New Roman" w:hAnsi="Times New Roman" w:eastAsia="宋体" w:cs="Times New Roman"/>
          <w:b/>
          <w:bCs/>
          <w:color w:val="auto"/>
          <w:spacing w:val="-2"/>
          <w:kern w:val="2"/>
          <w:sz w:val="24"/>
          <w:szCs w:val="24"/>
          <w:highlight w:val="none"/>
          <w:lang w:val="en-US" w:eastAsia="zh-CN" w:bidi="ar-SA"/>
        </w:rPr>
      </w:pPr>
      <w:r>
        <w:rPr>
          <w:rFonts w:hint="default" w:ascii="Times New Roman" w:hAnsi="Times New Roman" w:eastAsia="宋体" w:cs="Times New Roman"/>
          <w:b/>
          <w:bCs/>
          <w:color w:val="auto"/>
          <w:spacing w:val="-2"/>
          <w:kern w:val="2"/>
          <w:sz w:val="24"/>
          <w:szCs w:val="24"/>
          <w:highlight w:val="none"/>
          <w:lang w:val="en-US" w:eastAsia="zh-CN" w:bidi="ar-SA"/>
        </w:rPr>
        <w:t>9.4水环境质量现状调查</w:t>
      </w:r>
    </w:p>
    <w:p w14:paraId="2294BA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根据《环境影响评价技术导则地表水环境》（HJ2.3-2018），水文要素影响型三级评价，主要收集利用与建设项目排放口的空间位置和所排污染物的性质关系密切的污染源资料，可不进行现场调查及现场监测。</w:t>
      </w:r>
    </w:p>
    <w:p w14:paraId="736BACA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w:t>
      </w:r>
      <w:r>
        <w:rPr>
          <w:rFonts w:hint="eastAsia" w:ascii="Times New Roman" w:hAnsi="Times New Roman" w:eastAsia="宋体" w:cs="Times New Roman"/>
          <w:b w:val="0"/>
          <w:bCs w:val="0"/>
          <w:kern w:val="2"/>
          <w:sz w:val="24"/>
          <w:szCs w:val="24"/>
          <w:highlight w:val="none"/>
          <w:lang w:val="en-US" w:eastAsia="zh-CN" w:bidi="ar-SA"/>
        </w:rPr>
        <w:t>《</w:t>
      </w:r>
      <w:r>
        <w:rPr>
          <w:rFonts w:hint="default" w:ascii="Times New Roman" w:hAnsi="Times New Roman" w:eastAsia="宋体" w:cs="Times New Roman"/>
          <w:b w:val="0"/>
          <w:bCs w:val="0"/>
          <w:kern w:val="2"/>
          <w:sz w:val="24"/>
          <w:szCs w:val="24"/>
          <w:highlight w:val="none"/>
          <w:lang w:val="en-US" w:eastAsia="zh-CN" w:bidi="ar-SA"/>
        </w:rPr>
        <w:t>2024年张掖市生态环境状况公</w:t>
      </w:r>
      <w:r>
        <w:rPr>
          <w:rFonts w:hint="eastAsia" w:ascii="Times New Roman" w:hAnsi="Times New Roman" w:eastAsia="宋体" w:cs="Times New Roman"/>
          <w:b w:val="0"/>
          <w:bCs w:val="0"/>
          <w:kern w:val="2"/>
          <w:sz w:val="24"/>
          <w:szCs w:val="24"/>
          <w:highlight w:val="none"/>
          <w:lang w:val="en-US" w:eastAsia="zh-CN" w:bidi="ar-SA"/>
        </w:rPr>
        <w:t>报</w:t>
      </w:r>
      <w:r>
        <w:rPr>
          <w:rFonts w:hint="default"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可知</w:t>
      </w:r>
      <w:r>
        <w:rPr>
          <w:rFonts w:hint="default" w:ascii="Times New Roman" w:hAnsi="Times New Roman" w:eastAsia="宋体" w:cs="Times New Roman"/>
          <w:color w:val="auto"/>
          <w:sz w:val="24"/>
          <w:szCs w:val="22"/>
          <w:highlight w:val="none"/>
          <w:lang w:val="en-US" w:eastAsia="zh-CN"/>
        </w:rPr>
        <w:t>：202</w:t>
      </w:r>
      <w:r>
        <w:rPr>
          <w:rFonts w:hint="eastAsia"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lang w:val="en-US" w:eastAsia="zh-CN"/>
        </w:rPr>
        <w:t>年全市地表水8个国家考核断面（冰沟、西干渠渠首、丰乐河水文站、莺落峡、皇城水库、高崖水文站、六坝桥、正义峡）、4个省级考核断面（红湾、双树寺水库、四坝、花寨桥西）水质优良比例100％；山丹河山丹桥断面水质达到地表水Ⅳ类水质目标要求。</w:t>
      </w:r>
    </w:p>
    <w:p w14:paraId="46B67C6C">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10、施工期地表水环境影响分析</w:t>
      </w:r>
    </w:p>
    <w:p w14:paraId="1E661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项目施工期废水主要为施工废水和施工人员生活污水。项目对地表水的可能影响仅仅局限于施工期。</w:t>
      </w:r>
    </w:p>
    <w:p w14:paraId="4A551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（1）施工废水</w:t>
      </w:r>
    </w:p>
    <w:p w14:paraId="491BA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施工期机械与车辆冲洗水经沉淀池沉淀后循环使用不外排，对周围环境影响很小。</w:t>
      </w:r>
    </w:p>
    <w:p w14:paraId="737FD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（2）生活污水</w:t>
      </w:r>
    </w:p>
    <w:p w14:paraId="68CEB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rPr>
        <w:t>施工人员排放的生活污水主要为</w:t>
      </w:r>
      <w:r>
        <w:rPr>
          <w:rFonts w:hint="default" w:ascii="Times New Roman" w:hAnsi="Times New Roman" w:eastAsia="宋体" w:cs="Times New Roman"/>
          <w:color w:val="auto"/>
          <w:kern w:val="0"/>
          <w:sz w:val="24"/>
          <w:szCs w:val="24"/>
          <w:highlight w:val="none"/>
          <w:lang w:val="en-US" w:eastAsia="zh-CN"/>
        </w:rPr>
        <w:t>洗漱废</w:t>
      </w:r>
      <w:r>
        <w:rPr>
          <w:rFonts w:hint="default" w:ascii="Times New Roman" w:hAnsi="Times New Roman" w:eastAsia="宋体" w:cs="Times New Roman"/>
          <w:color w:val="auto"/>
          <w:kern w:val="0"/>
          <w:sz w:val="24"/>
          <w:szCs w:val="24"/>
          <w:highlight w:val="none"/>
        </w:rPr>
        <w:t>水</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施工人员高峰期按</w:t>
      </w:r>
      <w:r>
        <w:rPr>
          <w:rFonts w:hint="eastAsia" w:ascii="Times New Roman" w:hAnsi="Times New Roman"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人计，按60L/人·d生活用水计，则日生活用水量为</w:t>
      </w:r>
      <w:r>
        <w:rPr>
          <w:rFonts w:hint="default" w:ascii="Times New Roman" w:hAnsi="Times New Roman" w:eastAsia="宋体"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/d，排污系数0.8计，生活污水产生量约</w:t>
      </w:r>
      <w:r>
        <w:rPr>
          <w:rFonts w:hint="eastAsia" w:ascii="Times New Roman" w:hAnsi="Times New Roman" w:cs="Times New Roman"/>
          <w:color w:val="auto"/>
          <w:kern w:val="0"/>
          <w:sz w:val="24"/>
          <w:szCs w:val="24"/>
          <w:highlight w:val="none"/>
          <w:lang w:val="en-US" w:eastAsia="zh-CN"/>
        </w:rPr>
        <w:t>2.88</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/d，施工期在施工场地建设1座10m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玻璃钢化粪池，</w:t>
      </w:r>
      <w:r>
        <w:rPr>
          <w:rFonts w:hint="eastAsia" w:ascii="Times New Roman" w:hAnsi="Times New Roman" w:cs="Times New Roman"/>
          <w:color w:val="auto"/>
          <w:kern w:val="0"/>
          <w:sz w:val="24"/>
          <w:szCs w:val="24"/>
          <w:highlight w:val="none"/>
          <w:lang w:eastAsia="zh-CN"/>
        </w:rPr>
        <w:t>经</w:t>
      </w:r>
      <w:r>
        <w:rPr>
          <w:rFonts w:hint="default"/>
          <w:color w:val="auto"/>
          <w:spacing w:val="8"/>
          <w:sz w:val="24"/>
          <w:szCs w:val="24"/>
        </w:rPr>
        <w:t>化粪池处理后排入园区污水管网进</w:t>
      </w:r>
      <w:r>
        <w:rPr>
          <w:rFonts w:hint="default"/>
          <w:color w:val="auto"/>
          <w:spacing w:val="7"/>
          <w:sz w:val="24"/>
          <w:szCs w:val="24"/>
        </w:rPr>
        <w:t>入张掖经济技术开发区循</w:t>
      </w:r>
      <w:r>
        <w:rPr>
          <w:rFonts w:hint="default"/>
          <w:color w:val="auto"/>
          <w:spacing w:val="6"/>
          <w:sz w:val="24"/>
          <w:szCs w:val="24"/>
        </w:rPr>
        <w:t>环经济示范园污水处理厂处理</w:t>
      </w:r>
      <w:r>
        <w:rPr>
          <w:rFonts w:hint="eastAsia"/>
          <w:color w:val="auto"/>
          <w:spacing w:val="6"/>
          <w:sz w:val="24"/>
          <w:szCs w:val="24"/>
          <w:lang w:eastAsia="zh-CN"/>
        </w:rPr>
        <w:t>，</w:t>
      </w:r>
      <w:r>
        <w:rPr>
          <w:rFonts w:hint="default" w:ascii="Times New Roman" w:hAnsi="Times New Roman" w:eastAsia="宋体" w:cs="Times New Roman"/>
          <w:color w:val="auto"/>
          <w:sz w:val="24"/>
          <w:szCs w:val="24"/>
          <w:highlight w:val="none"/>
          <w:lang w:val="en-US" w:eastAsia="zh-CN"/>
        </w:rPr>
        <w:t>对周围环境影响很小。</w:t>
      </w:r>
    </w:p>
    <w:p w14:paraId="1B089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综上，这种影响是短暂的、局部的，一旦施工结束影响就会结束。项目施工期废水采取以上措施后，对周边地表水环境影响不显著。</w:t>
      </w:r>
    </w:p>
    <w:p w14:paraId="515D051F">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11、运营期地表水环境影响预测与评价</w:t>
      </w:r>
    </w:p>
    <w:p w14:paraId="40116F4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11.1对流域内水资源影响分析</w:t>
      </w:r>
    </w:p>
    <w:p w14:paraId="1D14303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rPr>
          <w:rFonts w:hint="default" w:ascii="Times New Roman" w:hAnsi="Times New Roman" w:eastAsia="Segoe UI Symbol" w:cs="Times New Roman"/>
          <w:i w:val="0"/>
          <w:iCs w:val="0"/>
          <w:caps w:val="0"/>
          <w:color w:val="000000"/>
          <w:spacing w:val="0"/>
          <w:sz w:val="24"/>
          <w:szCs w:val="24"/>
        </w:rPr>
      </w:pPr>
      <w:r>
        <w:rPr>
          <w:rFonts w:hint="default" w:ascii="Times New Roman" w:hAnsi="Times New Roman" w:eastAsia="Segoe UI Symbol" w:cs="Times New Roman"/>
          <w:i w:val="0"/>
          <w:iCs w:val="0"/>
          <w:caps w:val="0"/>
          <w:color w:val="000000"/>
          <w:spacing w:val="0"/>
          <w:sz w:val="24"/>
          <w:szCs w:val="24"/>
        </w:rPr>
        <w:t>本项目年供水量207.48万m³，占取水口断面多年平均径流量的0.27%，占比极小，且通过黄藏寺水利枢纽协同调节，不会影响黑河干流径流情势和下游用水。项目实施后，可关停园区自备井，每年压减地下水开采量约600万m³，有利于区域水资源优化配置。</w:t>
      </w:r>
    </w:p>
    <w:p w14:paraId="4028B2DA">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11.2对库区水文情势的影响分析</w:t>
      </w:r>
    </w:p>
    <w:p w14:paraId="547C7F3D">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本工程水库建成后使库区河段的水位、水面面积等发生变化。</w:t>
      </w:r>
    </w:p>
    <w:p w14:paraId="08A73491">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水位：本项目作为园区地表水源供水系统的核心调蓄工程，建成后将通过地表水源置换园区现状自备井地下水开采，对甘州区地下水水位产生显著积极影响。园区现状年自备井取地下水735万m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，日均用水量2万m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，且园区位于甘州区浅层中型一般超采区（面积 906.35k</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），地下水长期处于 “采补失衡” 状态。本项目配套供水工程年取地表水207.48万 m³，可直接替代对应规模地下水开采，随着自备井逐步全面关停，最终可实现年压减地下水开采量，完全覆盖现状开采规模</w:t>
      </w:r>
      <w:r>
        <w:rPr>
          <w:rFonts w:hint="eastAsia" w:ascii="Times New Roman" w:hAnsi="Times New Roman" w:eastAsia="宋体" w:cs="Times New Roman"/>
          <w:color w:val="auto"/>
          <w:sz w:val="24"/>
          <w:szCs w:val="24"/>
          <w:highlight w:val="none"/>
          <w:lang w:val="en-US" w:eastAsia="zh-CN"/>
        </w:rPr>
        <w:t>，可使</w:t>
      </w:r>
      <w:r>
        <w:rPr>
          <w:rFonts w:hint="default" w:ascii="Times New Roman" w:hAnsi="Times New Roman" w:eastAsia="宋体" w:cs="Times New Roman"/>
          <w:color w:val="auto"/>
          <w:sz w:val="24"/>
          <w:szCs w:val="24"/>
          <w:highlight w:val="none"/>
          <w:lang w:val="en-US" w:eastAsia="zh-CN"/>
        </w:rPr>
        <w:t>地下水位恢复至合理水平。</w:t>
      </w:r>
    </w:p>
    <w:p w14:paraId="0259EDF8">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rPr>
        <w:t>水域面积：水库占地面积18.79hm²，较天然地表水域面积略有</w:t>
      </w:r>
      <w:r>
        <w:rPr>
          <w:rFonts w:ascii="宋体" w:hAnsi="宋体" w:eastAsia="宋体" w:cs="宋体"/>
          <w:sz w:val="24"/>
          <w:szCs w:val="24"/>
        </w:rPr>
        <w:t>增加，但属人工可控水域，不会改变区域水文格局</w:t>
      </w:r>
      <w:r>
        <w:rPr>
          <w:rFonts w:hint="eastAsia" w:ascii="宋体" w:hAnsi="宋体" w:eastAsia="宋体" w:cs="宋体"/>
          <w:sz w:val="24"/>
          <w:szCs w:val="24"/>
          <w:lang w:eastAsia="zh-CN"/>
        </w:rPr>
        <w:t>。</w:t>
      </w:r>
    </w:p>
    <w:p w14:paraId="5DFE2FDD">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11.3对下游水文情势的影响分析</w:t>
      </w:r>
    </w:p>
    <w:p w14:paraId="7FD1A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Segoe UI Symbol" w:hAnsi="Segoe UI Symbol" w:eastAsia="宋体" w:cs="Segoe UI Symbol"/>
          <w:i w:val="0"/>
          <w:iCs w:val="0"/>
          <w:caps w:val="0"/>
          <w:color w:val="000000"/>
          <w:spacing w:val="0"/>
          <w:sz w:val="24"/>
          <w:szCs w:val="24"/>
          <w:lang w:eastAsia="zh-CN"/>
        </w:rPr>
        <w:t>本项目运行后，</w:t>
      </w:r>
      <w:r>
        <w:rPr>
          <w:rFonts w:ascii="Segoe UI Symbol" w:hAnsi="Segoe UI Symbol" w:eastAsia="Segoe UI Symbol" w:cs="Segoe UI Symbol"/>
          <w:i w:val="0"/>
          <w:iCs w:val="0"/>
          <w:caps w:val="0"/>
          <w:color w:val="000000"/>
          <w:spacing w:val="0"/>
          <w:sz w:val="24"/>
          <w:szCs w:val="24"/>
        </w:rPr>
        <w:t>在黑河水量调度期间，严格服从统一调度指令，调水期闭口时停止取水，由水库调蓄保障园区用水，不会影响下游生态基流。</w:t>
      </w:r>
    </w:p>
    <w:p w14:paraId="13101751">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bCs/>
          <w:color w:val="auto"/>
          <w:spacing w:val="-2"/>
          <w:sz w:val="24"/>
          <w:szCs w:val="24"/>
          <w:highlight w:val="none"/>
          <w:lang w:val="en-US" w:eastAsia="zh-CN"/>
        </w:rPr>
        <w:t>11.5水质影响分析</w:t>
      </w:r>
    </w:p>
    <w:p w14:paraId="15BD6094">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根据《环境影响评价技术导则地表水环境》（HJ2.3-2018）的相关规定，水文要素影响型建设项目的影响预测内容主要包括：“河流、湖泊及水库的水文情势预测分析主要包括水域形态、径流条件、水利条件及冲淤变化等内容，具体包括水面面积、水量、水温、径流过程、水位、水深、流速、水面宽、冲淤变化等，湖泊和水库需要重点关注湖库水域面积或蓄水量及水力停留时间等因子”。本工程内容主要为调蓄水池、新建排洪渠、管理房和管理道路建设，对评价河流的水温、水位、水深、径流过程、水量、冲淤变化等不会产生影响，主要影响为水面面积、流速、水面宽等因素。</w:t>
      </w:r>
    </w:p>
    <w:p w14:paraId="24C8D1F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1）水文情势变化</w:t>
      </w:r>
    </w:p>
    <w:p w14:paraId="2DBDCA7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本工程内容主要为调蓄水池、</w:t>
      </w:r>
      <w:r>
        <w:rPr>
          <w:rFonts w:hint="eastAsia" w:cs="Times New Roman"/>
          <w:b w:val="0"/>
          <w:color w:val="auto"/>
          <w:kern w:val="2"/>
          <w:sz w:val="24"/>
          <w:szCs w:val="22"/>
          <w:highlight w:val="none"/>
          <w:lang w:val="en-US" w:eastAsia="zh-CN" w:bidi="ar-SA"/>
        </w:rPr>
        <w:t>水厂泵站及</w:t>
      </w:r>
      <w:r>
        <w:rPr>
          <w:rFonts w:ascii="Segoe UI Symbol" w:hAnsi="Segoe UI Symbol" w:eastAsia="Segoe UI Symbol" w:cs="Segoe UI Symbol"/>
          <w:i w:val="0"/>
          <w:iCs w:val="0"/>
          <w:caps w:val="0"/>
          <w:color w:val="000000"/>
          <w:spacing w:val="0"/>
          <w:sz w:val="24"/>
          <w:szCs w:val="24"/>
        </w:rPr>
        <w:t>铺设调蓄水库至净水厂供水管0.29km</w:t>
      </w:r>
      <w:r>
        <w:rPr>
          <w:rFonts w:hint="default" w:ascii="Times New Roman" w:hAnsi="Times New Roman" w:eastAsia="宋体" w:cs="Times New Roman"/>
          <w:b w:val="0"/>
          <w:color w:val="auto"/>
          <w:kern w:val="2"/>
          <w:sz w:val="24"/>
          <w:szCs w:val="22"/>
          <w:highlight w:val="none"/>
          <w:lang w:val="en-US" w:eastAsia="zh-CN" w:bidi="ar-SA"/>
        </w:rPr>
        <w:t>，项目工程所在的水文地质单元内主要影响的水文要素是水面面积、流速和水面宽等，由于</w:t>
      </w:r>
      <w:r>
        <w:rPr>
          <w:rFonts w:hint="eastAsia" w:cs="Times New Roman"/>
          <w:b w:val="0"/>
          <w:color w:val="auto"/>
          <w:kern w:val="2"/>
          <w:sz w:val="24"/>
          <w:szCs w:val="22"/>
          <w:highlight w:val="none"/>
          <w:lang w:val="en-US" w:eastAsia="zh-CN" w:bidi="ar-SA"/>
        </w:rPr>
        <w:t>本项目</w:t>
      </w:r>
      <w:r>
        <w:rPr>
          <w:rFonts w:hint="default" w:ascii="Times New Roman" w:hAnsi="Times New Roman" w:eastAsia="宋体" w:cs="Times New Roman"/>
          <w:b w:val="0"/>
          <w:color w:val="auto"/>
          <w:kern w:val="2"/>
          <w:sz w:val="24"/>
          <w:szCs w:val="22"/>
          <w:highlight w:val="none"/>
          <w:lang w:val="en-US" w:eastAsia="zh-CN" w:bidi="ar-SA"/>
        </w:rPr>
        <w:t>不新建取水口，工程建设对河流的径流过程、水温、冲淤变化、水位、水深不会产生影响。其余对河道的水文情势影响很小。</w:t>
      </w:r>
    </w:p>
    <w:p w14:paraId="1AA0C320">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color w:val="auto"/>
          <w:kern w:val="2"/>
          <w:sz w:val="24"/>
          <w:szCs w:val="22"/>
          <w:highlight w:val="none"/>
          <w:lang w:val="en-US" w:eastAsia="zh-CN" w:bidi="ar-SA"/>
        </w:rPr>
      </w:pPr>
      <w:r>
        <w:rPr>
          <w:rFonts w:hint="default" w:ascii="Times New Roman" w:hAnsi="Times New Roman" w:eastAsia="宋体" w:cs="Times New Roman"/>
          <w:b w:val="0"/>
          <w:color w:val="auto"/>
          <w:kern w:val="2"/>
          <w:sz w:val="24"/>
          <w:szCs w:val="22"/>
          <w:highlight w:val="none"/>
          <w:lang w:val="en-US" w:eastAsia="zh-CN" w:bidi="ar-SA"/>
        </w:rPr>
        <w:t>2）对水质的影响分析</w:t>
      </w:r>
    </w:p>
    <w:p w14:paraId="2709CC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color w:val="auto"/>
          <w:kern w:val="2"/>
          <w:sz w:val="24"/>
          <w:szCs w:val="22"/>
          <w:highlight w:val="none"/>
          <w:lang w:val="zh-CN" w:eastAsia="zh-CN" w:bidi="ar-SA"/>
        </w:rPr>
      </w:pPr>
      <w:r>
        <w:rPr>
          <w:rFonts w:hint="default" w:ascii="Times New Roman" w:hAnsi="Times New Roman" w:eastAsia="宋体" w:cs="Times New Roman"/>
          <w:b w:val="0"/>
          <w:color w:val="auto"/>
          <w:kern w:val="2"/>
          <w:sz w:val="24"/>
          <w:szCs w:val="22"/>
          <w:highlight w:val="none"/>
          <w:lang w:val="en-US" w:eastAsia="zh-CN" w:bidi="ar-SA"/>
        </w:rPr>
        <w:t>本项目不新建取水口，</w:t>
      </w:r>
      <w:r>
        <w:rPr>
          <w:rFonts w:hint="eastAsia" w:cs="Times New Roman"/>
          <w:b w:val="0"/>
          <w:color w:val="auto"/>
          <w:kern w:val="2"/>
          <w:sz w:val="24"/>
          <w:szCs w:val="22"/>
          <w:highlight w:val="none"/>
          <w:lang w:val="en-US" w:eastAsia="zh-CN" w:bidi="ar-SA"/>
        </w:rPr>
        <w:t>运营期无废水产生，</w:t>
      </w:r>
      <w:r>
        <w:rPr>
          <w:rFonts w:hint="default" w:ascii="Times New Roman" w:hAnsi="Times New Roman" w:eastAsia="宋体" w:cs="Times New Roman"/>
          <w:b w:val="0"/>
          <w:color w:val="auto"/>
          <w:kern w:val="2"/>
          <w:sz w:val="24"/>
          <w:szCs w:val="22"/>
          <w:highlight w:val="none"/>
          <w:lang w:val="zh-CN" w:eastAsia="zh-CN" w:bidi="ar-SA"/>
        </w:rPr>
        <w:t>对河道水质几乎无影响。</w:t>
      </w:r>
    </w:p>
    <w:p w14:paraId="41445F14">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12、地表水环境保护对策措施</w:t>
      </w:r>
    </w:p>
    <w:p w14:paraId="5BB0E308">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12.1施工期地表水环境保护措施</w:t>
      </w:r>
    </w:p>
    <w:p w14:paraId="4F3ED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针对本项目施工期可能对水环境造成的具体影响途径，采取以下防治措施：</w:t>
      </w:r>
    </w:p>
    <w:p w14:paraId="42F7E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w:t>
      </w:r>
      <w:r>
        <w:rPr>
          <w:rFonts w:hint="eastAsia" w:cs="Times New Roman"/>
          <w:color w:val="auto"/>
          <w:sz w:val="24"/>
          <w:szCs w:val="24"/>
          <w:highlight w:val="none"/>
          <w:lang w:val="en-US" w:eastAsia="zh-CN"/>
        </w:rPr>
        <w:t>期产生的</w:t>
      </w:r>
      <w:r>
        <w:rPr>
          <w:rFonts w:hint="default" w:ascii="Times New Roman" w:hAnsi="Times New Roman" w:eastAsia="宋体" w:cs="Times New Roman"/>
          <w:color w:val="auto"/>
          <w:sz w:val="24"/>
          <w:szCs w:val="24"/>
          <w:highlight w:val="none"/>
          <w:lang w:val="en-US" w:eastAsia="zh-CN"/>
        </w:rPr>
        <w:t>餐饮废水先经隔油池（1m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）处理后与生活污水一同进入化粪池处理，经化粪池处理后通过园区污水管网进入张掖经济技术开发区循环经济示范园污水处理厂处理</w:t>
      </w:r>
      <w:r>
        <w:rPr>
          <w:rFonts w:hint="eastAsia" w:cs="Times New Roman"/>
          <w:color w:val="auto"/>
          <w:sz w:val="24"/>
          <w:szCs w:val="24"/>
          <w:highlight w:val="none"/>
          <w:lang w:val="en-US" w:eastAsia="zh-CN"/>
        </w:rPr>
        <w:t>，不外排。</w:t>
      </w:r>
    </w:p>
    <w:p w14:paraId="50324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②施工阶段对施工人员产生的生活垃圾以及其他固体废弃物集中收集，并且日产日清，严禁随意丢弃或随意倾倒；</w:t>
      </w:r>
    </w:p>
    <w:p w14:paraId="39874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③施工过程中对开挖的土方及时进行苫盖处理，遇大风大雨天气停止施工作业</w:t>
      </w:r>
      <w:r>
        <w:rPr>
          <w:rFonts w:hint="eastAsia" w:cs="Times New Roman"/>
          <w:color w:val="auto"/>
          <w:sz w:val="24"/>
          <w:szCs w:val="24"/>
          <w:highlight w:val="none"/>
          <w:lang w:val="en-US" w:eastAsia="zh-CN"/>
        </w:rPr>
        <w:t>。</w:t>
      </w:r>
    </w:p>
    <w:p w14:paraId="51D6B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④对施工机械定期进行检查维护，做好保养，每日施工结束后对施工机械进行遮盖处理，避免因大雨冲刷带来油污污染。</w:t>
      </w:r>
    </w:p>
    <w:p w14:paraId="03478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通过上述处理措施，本项目施工期间产生的废水对周边的环境影响较小。</w:t>
      </w:r>
    </w:p>
    <w:p w14:paraId="3DA1405D">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12.2运营期地表水环境保护措施</w:t>
      </w:r>
    </w:p>
    <w:p w14:paraId="3C0355DD">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12.2.1库区水质保护措施</w:t>
      </w:r>
    </w:p>
    <w:p w14:paraId="0E07ACE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源头防控措施</w:t>
      </w:r>
    </w:p>
    <w:p w14:paraId="2EC220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sz w:val="24"/>
          <w:szCs w:val="24"/>
        </w:rPr>
      </w:pPr>
      <w:r>
        <w:rPr>
          <w:rStyle w:val="30"/>
          <w:rFonts w:hint="default" w:ascii="Times New Roman" w:hAnsi="Times New Roman" w:eastAsia="宋体" w:cs="Times New Roman"/>
          <w:b w:val="0"/>
          <w:bCs w:val="0"/>
          <w:color w:val="000000"/>
          <w:sz w:val="24"/>
          <w:szCs w:val="24"/>
        </w:rPr>
        <w:t>原水水质管控</w:t>
      </w:r>
      <w:r>
        <w:rPr>
          <w:rFonts w:hint="default" w:ascii="Times New Roman" w:hAnsi="Times New Roman" w:eastAsia="宋体" w:cs="Times New Roman"/>
          <w:b w:val="0"/>
          <w:bCs w:val="0"/>
          <w:color w:val="000000"/>
          <w:sz w:val="24"/>
          <w:szCs w:val="24"/>
        </w:rPr>
        <w:t>：严格把控入库原水水质，原水需满足《地表水环境质量标准》（GB 3838-2002）Ⅳ类标准要求，在取水口设置在线监测设施，对水温、pH、溶解氧、氨氮、高锰酸盐指数等关键指标实时监控，发现异常立即暂停取水。</w:t>
      </w:r>
    </w:p>
    <w:p w14:paraId="26AB2D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sz w:val="24"/>
          <w:szCs w:val="24"/>
        </w:rPr>
      </w:pPr>
      <w:r>
        <w:rPr>
          <w:rStyle w:val="30"/>
          <w:rFonts w:hint="default" w:ascii="Times New Roman" w:hAnsi="Times New Roman" w:eastAsia="宋体" w:cs="Times New Roman"/>
          <w:b w:val="0"/>
          <w:bCs w:val="0"/>
          <w:color w:val="000000"/>
          <w:sz w:val="24"/>
          <w:szCs w:val="24"/>
        </w:rPr>
        <w:t>输水管线防护</w:t>
      </w:r>
      <w:r>
        <w:rPr>
          <w:rFonts w:hint="default" w:ascii="Times New Roman" w:hAnsi="Times New Roman" w:eastAsia="宋体" w:cs="Times New Roman"/>
          <w:b w:val="0"/>
          <w:bCs w:val="0"/>
          <w:color w:val="000000"/>
          <w:sz w:val="24"/>
          <w:szCs w:val="24"/>
        </w:rPr>
        <w:t>：输水管道全线做好防腐、防渗及防漏处理，定期开展管道巡检与漏损检测，避免沿途污染物渗入及水体渗漏；管线穿越道路、农田等区域时，设置防护套管与警示标识，防止外力破坏造成水质污染。</w:t>
      </w:r>
    </w:p>
    <w:p w14:paraId="15A5501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库区水质保护措施</w:t>
      </w:r>
    </w:p>
    <w:p w14:paraId="03657A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sz w:val="24"/>
          <w:szCs w:val="24"/>
        </w:rPr>
      </w:pPr>
      <w:r>
        <w:rPr>
          <w:rStyle w:val="30"/>
          <w:rFonts w:hint="default" w:ascii="Times New Roman" w:hAnsi="Times New Roman" w:eastAsia="宋体" w:cs="Times New Roman"/>
          <w:b w:val="0"/>
          <w:bCs w:val="0"/>
          <w:color w:val="000000"/>
          <w:sz w:val="24"/>
          <w:szCs w:val="24"/>
        </w:rPr>
        <w:t>库区防渗与清淤</w:t>
      </w:r>
      <w:r>
        <w:rPr>
          <w:rFonts w:hint="default" w:ascii="Times New Roman" w:hAnsi="Times New Roman" w:eastAsia="宋体" w:cs="Times New Roman"/>
          <w:b w:val="0"/>
          <w:bCs w:val="0"/>
          <w:color w:val="000000"/>
          <w:sz w:val="24"/>
          <w:szCs w:val="24"/>
        </w:rPr>
        <w:t>：库</w:t>
      </w:r>
      <w:r>
        <w:rPr>
          <w:rFonts w:hint="default" w:ascii="Times New Roman" w:hAnsi="Times New Roman" w:eastAsia="宋体" w:cs="Times New Roman"/>
          <w:b w:val="0"/>
          <w:bCs w:val="0"/>
          <w:color w:val="000000"/>
          <w:sz w:val="24"/>
          <w:szCs w:val="24"/>
          <w:lang w:eastAsia="zh-CN"/>
        </w:rPr>
        <w:t>区</w:t>
      </w:r>
      <w:r>
        <w:rPr>
          <w:rFonts w:hint="default" w:ascii="Times New Roman" w:hAnsi="Times New Roman" w:eastAsia="宋体" w:cs="Times New Roman"/>
          <w:b w:val="0"/>
          <w:bCs w:val="0"/>
          <w:color w:val="000000"/>
          <w:sz w:val="24"/>
          <w:szCs w:val="24"/>
        </w:rPr>
        <w:t>采用全面防渗，防止库水与周边地下水、土壤发生污染交换；定期开展库区底泥监测，结合淤积情况制定清淤计划，清淤淤泥经干化处理后合规处置，避免二次污染。</w:t>
      </w:r>
    </w:p>
    <w:p w14:paraId="44FFC8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sz w:val="24"/>
          <w:szCs w:val="24"/>
        </w:rPr>
      </w:pPr>
      <w:r>
        <w:rPr>
          <w:rStyle w:val="30"/>
          <w:rFonts w:hint="default" w:ascii="Times New Roman" w:hAnsi="Times New Roman" w:eastAsia="宋体" w:cs="Times New Roman"/>
          <w:b w:val="0"/>
          <w:bCs w:val="0"/>
          <w:color w:val="000000"/>
          <w:sz w:val="24"/>
          <w:szCs w:val="24"/>
        </w:rPr>
        <w:t>库区污染源管控</w:t>
      </w:r>
      <w:r>
        <w:rPr>
          <w:rFonts w:hint="default" w:ascii="Times New Roman" w:hAnsi="Times New Roman" w:eastAsia="宋体" w:cs="Times New Roman"/>
          <w:b w:val="0"/>
          <w:bCs w:val="0"/>
          <w:color w:val="000000"/>
          <w:sz w:val="24"/>
          <w:szCs w:val="24"/>
        </w:rPr>
        <w:t>：划定水库保护范围，设置物理围栏、界桩及警示标牌，严禁在保护区内开展排污、倾倒垃圾、堆放物料等污染活动。</w:t>
      </w:r>
    </w:p>
    <w:p w14:paraId="72800E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sz w:val="24"/>
          <w:szCs w:val="24"/>
        </w:rPr>
      </w:pPr>
      <w:r>
        <w:rPr>
          <w:rStyle w:val="30"/>
          <w:rFonts w:hint="default" w:ascii="Times New Roman" w:hAnsi="Times New Roman" w:eastAsia="宋体" w:cs="Times New Roman"/>
          <w:b w:val="0"/>
          <w:bCs w:val="0"/>
          <w:color w:val="000000"/>
          <w:sz w:val="24"/>
          <w:szCs w:val="24"/>
          <w:lang w:eastAsia="zh-CN"/>
        </w:rPr>
        <w:t>（</w:t>
      </w:r>
      <w:r>
        <w:rPr>
          <w:rStyle w:val="30"/>
          <w:rFonts w:hint="default" w:ascii="Times New Roman" w:hAnsi="Times New Roman" w:eastAsia="宋体" w:cs="Times New Roman"/>
          <w:b w:val="0"/>
          <w:bCs w:val="0"/>
          <w:color w:val="000000"/>
          <w:sz w:val="24"/>
          <w:szCs w:val="24"/>
          <w:lang w:val="en-US" w:eastAsia="zh-CN"/>
        </w:rPr>
        <w:t>3</w:t>
      </w:r>
      <w:r>
        <w:rPr>
          <w:rStyle w:val="30"/>
          <w:rFonts w:hint="default" w:ascii="Times New Roman" w:hAnsi="Times New Roman" w:eastAsia="宋体" w:cs="Times New Roman"/>
          <w:b w:val="0"/>
          <w:bCs w:val="0"/>
          <w:color w:val="000000"/>
          <w:sz w:val="24"/>
          <w:szCs w:val="24"/>
          <w:lang w:eastAsia="zh-CN"/>
        </w:rPr>
        <w:t>）</w:t>
      </w:r>
      <w:r>
        <w:rPr>
          <w:rStyle w:val="30"/>
          <w:rFonts w:hint="default" w:ascii="Times New Roman" w:hAnsi="Times New Roman" w:eastAsia="宋体" w:cs="Times New Roman"/>
          <w:b w:val="0"/>
          <w:bCs w:val="0"/>
          <w:color w:val="000000"/>
          <w:sz w:val="24"/>
          <w:szCs w:val="24"/>
        </w:rPr>
        <w:t>水体富营养化防控</w:t>
      </w:r>
      <w:r>
        <w:rPr>
          <w:rFonts w:hint="default" w:ascii="Times New Roman" w:hAnsi="Times New Roman" w:eastAsia="宋体" w:cs="Times New Roman"/>
          <w:b w:val="0"/>
          <w:bCs w:val="0"/>
          <w:color w:val="000000"/>
          <w:sz w:val="24"/>
          <w:szCs w:val="24"/>
        </w:rPr>
        <w:t>：合理调度水库运行工况，保持库区水体适当流速与交换频次，增强水体自净能力避免长期静止导致藻类滋生。</w:t>
      </w:r>
    </w:p>
    <w:p w14:paraId="625A5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（4）水质实时监控措施</w:t>
      </w:r>
    </w:p>
    <w:p w14:paraId="71797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工程范围内的水域未设置常规水质监测断面，为掌握工程建成后的水质状况，需补充完善的水质监测体系。建议在兔儿坝滩水库区增设水质监测断面，进行常规水质监测，列入常规监测计划发现污染现象应采取果断措施，清除污染源，确保水库水质达到</w:t>
      </w:r>
      <w:r>
        <w:rPr>
          <w:rFonts w:hint="default" w:ascii="Times New Roman" w:hAnsi="Times New Roman" w:eastAsia="宋体" w:cs="Times New Roman"/>
          <w:b w:val="0"/>
          <w:bCs w:val="0"/>
          <w:color w:val="000000"/>
          <w:sz w:val="24"/>
          <w:szCs w:val="24"/>
        </w:rPr>
        <w:t>Ⅳ</w:t>
      </w:r>
      <w:r>
        <w:rPr>
          <w:rFonts w:hint="default" w:ascii="Times New Roman" w:hAnsi="Times New Roman" w:eastAsia="宋体" w:cs="Times New Roman"/>
          <w:b w:val="0"/>
          <w:bCs w:val="0"/>
          <w:color w:val="auto"/>
          <w:sz w:val="24"/>
          <w:szCs w:val="24"/>
          <w:highlight w:val="none"/>
          <w:lang w:val="en-US" w:eastAsia="zh-CN"/>
        </w:rPr>
        <w:t>类标准。</w:t>
      </w:r>
    </w:p>
    <w:p w14:paraId="4651236A">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12.2.2设置水库管理、监测机构</w:t>
      </w:r>
    </w:p>
    <w:p w14:paraId="72BA5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保护水质，必须设置水污染管理机构、全面协调水环境保护工作，负责执行有关法规，制定水污染防治措施，做好库区水质管理工作。通过对水库水质定期监测，掌握水库中污染物的时空分布，摸清水库不同时段的环境容量，充分利用水体的自然净化能力，合理利用和保护水资源。</w:t>
      </w:r>
    </w:p>
    <w:p w14:paraId="5AB53C01">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13、环境监测</w:t>
      </w:r>
    </w:p>
    <w:p w14:paraId="1EDFF008">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jc w:val="left"/>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运行期水质监测</w:t>
      </w:r>
      <w:r>
        <w:rPr>
          <w:rFonts w:hint="eastAsia" w:cs="Times New Roman"/>
          <w:b/>
          <w:bCs/>
          <w:color w:val="auto"/>
          <w:spacing w:val="-2"/>
          <w:sz w:val="24"/>
          <w:szCs w:val="24"/>
          <w:highlight w:val="none"/>
          <w:lang w:val="en-US" w:eastAsia="zh-CN"/>
        </w:rPr>
        <w:t>计划</w:t>
      </w:r>
    </w:p>
    <w:p w14:paraId="68B1A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（1）监测地点：在</w:t>
      </w:r>
      <w:r>
        <w:rPr>
          <w:rFonts w:hint="eastAsia" w:cs="Times New Roman"/>
          <w:color w:val="auto"/>
          <w:sz w:val="24"/>
          <w:szCs w:val="24"/>
          <w:highlight w:val="none"/>
          <w:lang w:val="en-US" w:eastAsia="zh-CN"/>
        </w:rPr>
        <w:t>蓄水池进口</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蓄水池</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蓄水池出口</w:t>
      </w:r>
      <w:r>
        <w:rPr>
          <w:rFonts w:hint="default" w:ascii="Times New Roman" w:hAnsi="Times New Roman" w:eastAsia="宋体" w:cs="Times New Roman"/>
          <w:color w:val="auto"/>
          <w:sz w:val="24"/>
          <w:szCs w:val="24"/>
          <w:highlight w:val="none"/>
          <w:lang w:val="en-US" w:eastAsia="zh-CN"/>
        </w:rPr>
        <w:t>设3个</w:t>
      </w:r>
      <w:r>
        <w:rPr>
          <w:rFonts w:hint="eastAsia"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点。</w:t>
      </w:r>
    </w:p>
    <w:p w14:paraId="09C22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（2）监测时间和频率：监测时间为</w:t>
      </w:r>
      <w:r>
        <w:rPr>
          <w:rFonts w:hint="eastAsia" w:cs="Times New Roman"/>
          <w:color w:val="auto"/>
          <w:sz w:val="24"/>
          <w:szCs w:val="24"/>
          <w:highlight w:val="none"/>
          <w:lang w:val="en-US" w:eastAsia="zh-CN"/>
        </w:rPr>
        <w:t>每年</w:t>
      </w:r>
      <w:r>
        <w:rPr>
          <w:rFonts w:hint="default" w:ascii="Times New Roman" w:hAnsi="Times New Roman" w:eastAsia="宋体" w:cs="Times New Roman"/>
          <w:color w:val="auto"/>
          <w:sz w:val="24"/>
          <w:szCs w:val="24"/>
          <w:highlight w:val="none"/>
          <w:lang w:val="en-US" w:eastAsia="zh-CN"/>
        </w:rPr>
        <w:t>枯水期</w:t>
      </w:r>
      <w:r>
        <w:rPr>
          <w:rFonts w:hint="eastAsia" w:cs="Times New Roman"/>
          <w:color w:val="auto"/>
          <w:sz w:val="24"/>
          <w:szCs w:val="24"/>
          <w:highlight w:val="none"/>
          <w:lang w:val="en-US" w:eastAsia="zh-CN"/>
        </w:rPr>
        <w:t>，次/年，</w:t>
      </w:r>
      <w:r>
        <w:rPr>
          <w:rFonts w:hint="default" w:ascii="Times New Roman" w:hAnsi="Times New Roman" w:eastAsia="宋体" w:cs="Times New Roman"/>
          <w:color w:val="auto"/>
          <w:sz w:val="24"/>
          <w:szCs w:val="24"/>
          <w:highlight w:val="none"/>
          <w:lang w:val="en-US" w:eastAsia="zh-CN"/>
        </w:rPr>
        <w:t>每次连续2天。</w:t>
      </w:r>
    </w:p>
    <w:p w14:paraId="0697E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监测项目：水温、pH、悬浮物、溶解氧、高锰酸盐指数、化学需氧量、五日生化需氧量、挥发酚、石油类、粪大肠菌群、氰化物、汞、六价铬、铜、锌、氟化物、硒、砷、铅、镉、氨氮、总氮、总磷、硝酸盐、硫酸盐、铁、锰、氯化物、叶绿素a。</w:t>
      </w:r>
    </w:p>
    <w:p w14:paraId="1BE06FC5">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14、地表水专项评价结论</w:t>
      </w:r>
    </w:p>
    <w:p w14:paraId="358D0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aps w:val="0"/>
          <w:color w:val="000000"/>
          <w:spacing w:val="0"/>
          <w:sz w:val="24"/>
          <w:szCs w:val="24"/>
        </w:rPr>
        <w:t>本项目作为张掖经济技术开发区循环经济示范园供水工程的核心调蓄环节，取水水源为黑河干流地表水，年取水量207.48万m³，占流域径流量比例极小，且通过黄藏寺水利枢纽协同调节，不会影响区域水资源供需平衡。 施工期废水经处理后不外排，泥沙和油污污染可通过有效措施控制，对地表水环境影响短暂且轻微；运营期库区水质可维持 Ⅳ 类标准，输水过程无二次污染，生态用水得到保障，对下游水文情势和水环境质量无显著不利影响。 项目严格落实本次评价提出的地表水环境保护措施，符合国家及地方水资源管理要求，从地表水环境影响角度分析，项目建设可行。</w:t>
      </w:r>
    </w:p>
    <w:sectPr>
      <w:headerReference r:id="rId6" w:type="default"/>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font-weight : 40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06F" w:usb1="1200FBEF" w:usb2="0004C000" w:usb3="00000000" w:csb0="00000001" w:csb1="4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6DE2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0150">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7A0FB">
                          <w:pPr>
                            <w:pStyle w:val="18"/>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907A0FB">
                    <w:pPr>
                      <w:pStyle w:val="1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543C2">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9CE84">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639CE84">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E3A7C">
    <w:pPr>
      <w:spacing w:line="169" w:lineRule="auto"/>
      <w:ind w:left="4466"/>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22A7A">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0122A7A">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90F8">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68092"/>
    <w:multiLevelType w:val="singleLevel"/>
    <w:tmpl w:val="82968092"/>
    <w:lvl w:ilvl="0" w:tentative="0">
      <w:start w:val="1"/>
      <w:numFmt w:val="decimal"/>
      <w:suff w:val="space"/>
      <w:lvlText w:val="%1."/>
      <w:lvlJc w:val="left"/>
    </w:lvl>
  </w:abstractNum>
  <w:abstractNum w:abstractNumId="1">
    <w:nsid w:val="B161A1F0"/>
    <w:multiLevelType w:val="singleLevel"/>
    <w:tmpl w:val="B161A1F0"/>
    <w:lvl w:ilvl="0" w:tentative="0">
      <w:start w:val="1"/>
      <w:numFmt w:val="decimal"/>
      <w:suff w:val="nothing"/>
      <w:lvlText w:val="（%1）"/>
      <w:lvlJc w:val="left"/>
    </w:lvl>
  </w:abstractNum>
  <w:abstractNum w:abstractNumId="2">
    <w:nsid w:val="B26E2EF3"/>
    <w:multiLevelType w:val="singleLevel"/>
    <w:tmpl w:val="B26E2EF3"/>
    <w:lvl w:ilvl="0" w:tentative="0">
      <w:start w:val="1"/>
      <w:numFmt w:val="decimal"/>
      <w:suff w:val="nothing"/>
      <w:lvlText w:val="%1、"/>
      <w:lvlJc w:val="left"/>
    </w:lvl>
  </w:abstractNum>
  <w:abstractNum w:abstractNumId="3">
    <w:nsid w:val="01022EF0"/>
    <w:multiLevelType w:val="singleLevel"/>
    <w:tmpl w:val="01022EF0"/>
    <w:lvl w:ilvl="0" w:tentative="0">
      <w:start w:val="1"/>
      <w:numFmt w:val="decimal"/>
      <w:suff w:val="nothing"/>
      <w:lvlText w:val="（%1）"/>
      <w:lvlJc w:val="left"/>
    </w:lvl>
  </w:abstractNum>
  <w:abstractNum w:abstractNumId="4">
    <w:nsid w:val="1794EC38"/>
    <w:multiLevelType w:val="singleLevel"/>
    <w:tmpl w:val="1794EC38"/>
    <w:lvl w:ilvl="0" w:tentative="0">
      <w:start w:val="3"/>
      <w:numFmt w:val="decimal"/>
      <w:lvlText w:val="%1."/>
      <w:lvlJc w:val="left"/>
      <w:pPr>
        <w:tabs>
          <w:tab w:val="left" w:pos="312"/>
        </w:tabs>
      </w:pPr>
    </w:lvl>
  </w:abstractNum>
  <w:abstractNum w:abstractNumId="5">
    <w:nsid w:val="470CFC44"/>
    <w:multiLevelType w:val="singleLevel"/>
    <w:tmpl w:val="470CFC44"/>
    <w:lvl w:ilvl="0" w:tentative="0">
      <w:start w:val="1"/>
      <w:numFmt w:val="chineseCounting"/>
      <w:suff w:val="nothing"/>
      <w:lvlText w:val="%1、"/>
      <w:lvlJc w:val="left"/>
      <w:rPr>
        <w:rFonts w:hint="eastAsia"/>
      </w:rPr>
    </w:lvl>
  </w:abstractNum>
  <w:abstractNum w:abstractNumId="6">
    <w:nsid w:val="4918A13B"/>
    <w:multiLevelType w:val="singleLevel"/>
    <w:tmpl w:val="4918A13B"/>
    <w:lvl w:ilvl="0" w:tentative="0">
      <w:start w:val="1"/>
      <w:numFmt w:val="decimal"/>
      <w:suff w:val="nothing"/>
      <w:lvlText w:val="（%1）"/>
      <w:lvlJc w:val="left"/>
    </w:lvl>
  </w:abstractNum>
  <w:abstractNum w:abstractNumId="7">
    <w:nsid w:val="694D086F"/>
    <w:multiLevelType w:val="singleLevel"/>
    <w:tmpl w:val="694D086F"/>
    <w:lvl w:ilvl="0" w:tentative="0">
      <w:start w:val="1"/>
      <w:numFmt w:val="decimal"/>
      <w:suff w:val="nothing"/>
      <w:lvlText w:val="（%1）"/>
      <w:lvlJc w:val="left"/>
    </w:lvl>
  </w:abstractNum>
  <w:abstractNum w:abstractNumId="8">
    <w:nsid w:val="74D27B3F"/>
    <w:multiLevelType w:val="singleLevel"/>
    <w:tmpl w:val="74D27B3F"/>
    <w:lvl w:ilvl="0" w:tentative="0">
      <w:start w:val="1"/>
      <w:numFmt w:val="decimal"/>
      <w:pStyle w:val="44"/>
      <w:suff w:val="nothing"/>
      <w:lvlText w:val="%1、"/>
      <w:lvlJc w:val="left"/>
    </w:lvl>
  </w:abstractNum>
  <w:num w:numId="1">
    <w:abstractNumId w:val="8"/>
  </w:num>
  <w:num w:numId="2">
    <w:abstractNumId w:val="3"/>
  </w:num>
  <w:num w:numId="3">
    <w:abstractNumId w:val="4"/>
  </w:num>
  <w:num w:numId="4">
    <w:abstractNumId w:val="5"/>
  </w:num>
  <w:num w:numId="5">
    <w:abstractNumId w:val="0"/>
  </w:num>
  <w:num w:numId="6">
    <w:abstractNumId w:val="2"/>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2MTQyMDEyOGY4ODZkMmY2MTgxMzRmODA5Zjc2OWIifQ=="/>
  </w:docVars>
  <w:rsids>
    <w:rsidRoot w:val="00022B31"/>
    <w:rsid w:val="00022B31"/>
    <w:rsid w:val="00032C0F"/>
    <w:rsid w:val="001113BD"/>
    <w:rsid w:val="0013411F"/>
    <w:rsid w:val="003827DA"/>
    <w:rsid w:val="00522102"/>
    <w:rsid w:val="00530F51"/>
    <w:rsid w:val="005D1948"/>
    <w:rsid w:val="007958E0"/>
    <w:rsid w:val="00810D5F"/>
    <w:rsid w:val="008501BD"/>
    <w:rsid w:val="008D313A"/>
    <w:rsid w:val="009A0A58"/>
    <w:rsid w:val="00B43D7A"/>
    <w:rsid w:val="00B867F5"/>
    <w:rsid w:val="00BA61DE"/>
    <w:rsid w:val="00C85F20"/>
    <w:rsid w:val="00DD6189"/>
    <w:rsid w:val="00E46AD2"/>
    <w:rsid w:val="00F05477"/>
    <w:rsid w:val="00FA00A3"/>
    <w:rsid w:val="00FC02BF"/>
    <w:rsid w:val="011863EE"/>
    <w:rsid w:val="01317F69"/>
    <w:rsid w:val="01361D70"/>
    <w:rsid w:val="01415CD2"/>
    <w:rsid w:val="01457570"/>
    <w:rsid w:val="014C6B51"/>
    <w:rsid w:val="01505F15"/>
    <w:rsid w:val="015275B6"/>
    <w:rsid w:val="0160084E"/>
    <w:rsid w:val="016F43BB"/>
    <w:rsid w:val="017460A8"/>
    <w:rsid w:val="018856AF"/>
    <w:rsid w:val="01C42B8B"/>
    <w:rsid w:val="01DE4F25"/>
    <w:rsid w:val="01E274B5"/>
    <w:rsid w:val="020F5EE1"/>
    <w:rsid w:val="02250EFF"/>
    <w:rsid w:val="02671768"/>
    <w:rsid w:val="027E3844"/>
    <w:rsid w:val="029831CE"/>
    <w:rsid w:val="02A429BD"/>
    <w:rsid w:val="02A93B2F"/>
    <w:rsid w:val="02AE096A"/>
    <w:rsid w:val="02BA6D6B"/>
    <w:rsid w:val="02BB0C4D"/>
    <w:rsid w:val="02BE1F19"/>
    <w:rsid w:val="02CC480C"/>
    <w:rsid w:val="02D36DFE"/>
    <w:rsid w:val="02DE5ECF"/>
    <w:rsid w:val="02DF23B3"/>
    <w:rsid w:val="02E4100B"/>
    <w:rsid w:val="02E80AFB"/>
    <w:rsid w:val="02F32FFC"/>
    <w:rsid w:val="02F456F2"/>
    <w:rsid w:val="031C07A5"/>
    <w:rsid w:val="03314235"/>
    <w:rsid w:val="034D095E"/>
    <w:rsid w:val="036B6A09"/>
    <w:rsid w:val="03737433"/>
    <w:rsid w:val="037D382B"/>
    <w:rsid w:val="0385634A"/>
    <w:rsid w:val="03A34A22"/>
    <w:rsid w:val="03AA4003"/>
    <w:rsid w:val="03C80545"/>
    <w:rsid w:val="03C9092D"/>
    <w:rsid w:val="03C926DB"/>
    <w:rsid w:val="03CA1FAF"/>
    <w:rsid w:val="03E5328D"/>
    <w:rsid w:val="04043713"/>
    <w:rsid w:val="040D5EB0"/>
    <w:rsid w:val="04114082"/>
    <w:rsid w:val="042B64D1"/>
    <w:rsid w:val="042F4508"/>
    <w:rsid w:val="0433224A"/>
    <w:rsid w:val="04333FF8"/>
    <w:rsid w:val="043A35D9"/>
    <w:rsid w:val="043F299D"/>
    <w:rsid w:val="044C1627"/>
    <w:rsid w:val="0451287C"/>
    <w:rsid w:val="045615CD"/>
    <w:rsid w:val="045768E7"/>
    <w:rsid w:val="04706FFA"/>
    <w:rsid w:val="04836CFC"/>
    <w:rsid w:val="048F5F7A"/>
    <w:rsid w:val="04AB0032"/>
    <w:rsid w:val="04B862AB"/>
    <w:rsid w:val="04C24726"/>
    <w:rsid w:val="04D550AF"/>
    <w:rsid w:val="04D74983"/>
    <w:rsid w:val="04D87187"/>
    <w:rsid w:val="05017C52"/>
    <w:rsid w:val="05031C1C"/>
    <w:rsid w:val="05036F0A"/>
    <w:rsid w:val="050A47E7"/>
    <w:rsid w:val="051D2C14"/>
    <w:rsid w:val="052F573E"/>
    <w:rsid w:val="053242B0"/>
    <w:rsid w:val="05330BAE"/>
    <w:rsid w:val="05541611"/>
    <w:rsid w:val="05597A8E"/>
    <w:rsid w:val="05687863"/>
    <w:rsid w:val="05690402"/>
    <w:rsid w:val="056D7096"/>
    <w:rsid w:val="057C377D"/>
    <w:rsid w:val="057E12A3"/>
    <w:rsid w:val="057F6DC9"/>
    <w:rsid w:val="05B82AAB"/>
    <w:rsid w:val="05D25D6D"/>
    <w:rsid w:val="05EC26B0"/>
    <w:rsid w:val="06075A5C"/>
    <w:rsid w:val="06242A7D"/>
    <w:rsid w:val="06292547"/>
    <w:rsid w:val="06430CCF"/>
    <w:rsid w:val="06465A4B"/>
    <w:rsid w:val="066A1827"/>
    <w:rsid w:val="06723038"/>
    <w:rsid w:val="069A766F"/>
    <w:rsid w:val="06A74829"/>
    <w:rsid w:val="06AA0E3B"/>
    <w:rsid w:val="06B75E22"/>
    <w:rsid w:val="06DD2008"/>
    <w:rsid w:val="06DF3FC3"/>
    <w:rsid w:val="06E710CA"/>
    <w:rsid w:val="070677A2"/>
    <w:rsid w:val="0710411E"/>
    <w:rsid w:val="072D11D3"/>
    <w:rsid w:val="07306FDE"/>
    <w:rsid w:val="073A689E"/>
    <w:rsid w:val="073C7668"/>
    <w:rsid w:val="0740520F"/>
    <w:rsid w:val="07407DAE"/>
    <w:rsid w:val="074F1149"/>
    <w:rsid w:val="07550729"/>
    <w:rsid w:val="07573D64"/>
    <w:rsid w:val="0757624F"/>
    <w:rsid w:val="0773068B"/>
    <w:rsid w:val="078C4E56"/>
    <w:rsid w:val="0797275A"/>
    <w:rsid w:val="07A54B0B"/>
    <w:rsid w:val="07A64AE1"/>
    <w:rsid w:val="07B54D24"/>
    <w:rsid w:val="07C1191B"/>
    <w:rsid w:val="07D01B5E"/>
    <w:rsid w:val="07D57174"/>
    <w:rsid w:val="07DC326E"/>
    <w:rsid w:val="07E35D35"/>
    <w:rsid w:val="08013D9B"/>
    <w:rsid w:val="080C3F71"/>
    <w:rsid w:val="08154140"/>
    <w:rsid w:val="082C0402"/>
    <w:rsid w:val="083640B7"/>
    <w:rsid w:val="0838123A"/>
    <w:rsid w:val="084F33CB"/>
    <w:rsid w:val="08512C9F"/>
    <w:rsid w:val="08553D69"/>
    <w:rsid w:val="085602B5"/>
    <w:rsid w:val="08713341"/>
    <w:rsid w:val="087203C4"/>
    <w:rsid w:val="08841607"/>
    <w:rsid w:val="088766C0"/>
    <w:rsid w:val="088E5CA1"/>
    <w:rsid w:val="08997B94"/>
    <w:rsid w:val="08B446D3"/>
    <w:rsid w:val="08BF5E5A"/>
    <w:rsid w:val="08C07850"/>
    <w:rsid w:val="08CF1E16"/>
    <w:rsid w:val="08DF02AB"/>
    <w:rsid w:val="08E12275"/>
    <w:rsid w:val="08EE63C5"/>
    <w:rsid w:val="08F31FA8"/>
    <w:rsid w:val="08FE1DF6"/>
    <w:rsid w:val="08FF1B9F"/>
    <w:rsid w:val="090D62B3"/>
    <w:rsid w:val="0934265E"/>
    <w:rsid w:val="094837C1"/>
    <w:rsid w:val="094B3730"/>
    <w:rsid w:val="095011A8"/>
    <w:rsid w:val="095625F4"/>
    <w:rsid w:val="096802A0"/>
    <w:rsid w:val="097B43EF"/>
    <w:rsid w:val="09855EF7"/>
    <w:rsid w:val="099948FD"/>
    <w:rsid w:val="09AA4D5C"/>
    <w:rsid w:val="09B01C47"/>
    <w:rsid w:val="09B41187"/>
    <w:rsid w:val="09B72FD5"/>
    <w:rsid w:val="09CE4371"/>
    <w:rsid w:val="09CF5B23"/>
    <w:rsid w:val="09D92B0A"/>
    <w:rsid w:val="09F675A4"/>
    <w:rsid w:val="09F6790F"/>
    <w:rsid w:val="0A031B7E"/>
    <w:rsid w:val="0A033827"/>
    <w:rsid w:val="0A0420EC"/>
    <w:rsid w:val="0A0C727C"/>
    <w:rsid w:val="0A3568A1"/>
    <w:rsid w:val="0A3B7763"/>
    <w:rsid w:val="0A3D797F"/>
    <w:rsid w:val="0A544CC8"/>
    <w:rsid w:val="0A5F6988"/>
    <w:rsid w:val="0A735943"/>
    <w:rsid w:val="0A7E3AF3"/>
    <w:rsid w:val="0A894972"/>
    <w:rsid w:val="0A8C0317"/>
    <w:rsid w:val="0AA62962"/>
    <w:rsid w:val="0AA95014"/>
    <w:rsid w:val="0AB53FFC"/>
    <w:rsid w:val="0AB67731"/>
    <w:rsid w:val="0AC0160E"/>
    <w:rsid w:val="0AC10F38"/>
    <w:rsid w:val="0AD83203"/>
    <w:rsid w:val="0AF142C5"/>
    <w:rsid w:val="0B0F2CB4"/>
    <w:rsid w:val="0B132622"/>
    <w:rsid w:val="0B2428ED"/>
    <w:rsid w:val="0B246449"/>
    <w:rsid w:val="0B300371"/>
    <w:rsid w:val="0B4E5BBB"/>
    <w:rsid w:val="0B6D6042"/>
    <w:rsid w:val="0B963AEC"/>
    <w:rsid w:val="0B9A481D"/>
    <w:rsid w:val="0BA13D85"/>
    <w:rsid w:val="0BC814CA"/>
    <w:rsid w:val="0BF21F5D"/>
    <w:rsid w:val="0BF77F46"/>
    <w:rsid w:val="0BFB5CEE"/>
    <w:rsid w:val="0C022F4C"/>
    <w:rsid w:val="0C040028"/>
    <w:rsid w:val="0C0D3381"/>
    <w:rsid w:val="0C0D3730"/>
    <w:rsid w:val="0C2801BA"/>
    <w:rsid w:val="0C2A08FD"/>
    <w:rsid w:val="0C3E353A"/>
    <w:rsid w:val="0C5C7E64"/>
    <w:rsid w:val="0C6D1703"/>
    <w:rsid w:val="0C717334"/>
    <w:rsid w:val="0C807FF6"/>
    <w:rsid w:val="0C9462C4"/>
    <w:rsid w:val="0C9F6CA2"/>
    <w:rsid w:val="0CA41DB2"/>
    <w:rsid w:val="0CA5180B"/>
    <w:rsid w:val="0CAF268A"/>
    <w:rsid w:val="0CCB6B37"/>
    <w:rsid w:val="0CCC6D98"/>
    <w:rsid w:val="0CCD43BF"/>
    <w:rsid w:val="0CCF0636"/>
    <w:rsid w:val="0CD21ED4"/>
    <w:rsid w:val="0CD345CA"/>
    <w:rsid w:val="0CE27DCE"/>
    <w:rsid w:val="0CF7474D"/>
    <w:rsid w:val="0CFD1647"/>
    <w:rsid w:val="0D044784"/>
    <w:rsid w:val="0D077DD0"/>
    <w:rsid w:val="0D095577"/>
    <w:rsid w:val="0D1D3133"/>
    <w:rsid w:val="0D1F778C"/>
    <w:rsid w:val="0D2A4A73"/>
    <w:rsid w:val="0D3F57BC"/>
    <w:rsid w:val="0D523741"/>
    <w:rsid w:val="0D5E3553"/>
    <w:rsid w:val="0D6E7E4F"/>
    <w:rsid w:val="0D731909"/>
    <w:rsid w:val="0D74379A"/>
    <w:rsid w:val="0D7A17DA"/>
    <w:rsid w:val="0D7A67F4"/>
    <w:rsid w:val="0D805053"/>
    <w:rsid w:val="0DA91EF6"/>
    <w:rsid w:val="0DB51A3F"/>
    <w:rsid w:val="0DBA6F5E"/>
    <w:rsid w:val="0DCD4B64"/>
    <w:rsid w:val="0DCF60DD"/>
    <w:rsid w:val="0DD7678B"/>
    <w:rsid w:val="0DDF1F83"/>
    <w:rsid w:val="0DE3525C"/>
    <w:rsid w:val="0DE75691"/>
    <w:rsid w:val="0DEE0F90"/>
    <w:rsid w:val="0DEE39B4"/>
    <w:rsid w:val="0DFA4B1E"/>
    <w:rsid w:val="0DFA7935"/>
    <w:rsid w:val="0E045AD2"/>
    <w:rsid w:val="0E0A1E1D"/>
    <w:rsid w:val="0E26072A"/>
    <w:rsid w:val="0E395B6A"/>
    <w:rsid w:val="0E3F1AD3"/>
    <w:rsid w:val="0E462B7A"/>
    <w:rsid w:val="0E547045"/>
    <w:rsid w:val="0E594D77"/>
    <w:rsid w:val="0E5C5A3F"/>
    <w:rsid w:val="0E603C3C"/>
    <w:rsid w:val="0E6454B7"/>
    <w:rsid w:val="0E9B4435"/>
    <w:rsid w:val="0EE77EB9"/>
    <w:rsid w:val="0EF97BEC"/>
    <w:rsid w:val="0F100DD1"/>
    <w:rsid w:val="0F232447"/>
    <w:rsid w:val="0F2C6214"/>
    <w:rsid w:val="0F323656"/>
    <w:rsid w:val="0F481BCB"/>
    <w:rsid w:val="0F566DED"/>
    <w:rsid w:val="0F773B4F"/>
    <w:rsid w:val="0F8110A9"/>
    <w:rsid w:val="0F9B5860"/>
    <w:rsid w:val="0FA316FB"/>
    <w:rsid w:val="0FB76B32"/>
    <w:rsid w:val="0FC57BC1"/>
    <w:rsid w:val="0FC71A98"/>
    <w:rsid w:val="0FCD552D"/>
    <w:rsid w:val="0FCF376A"/>
    <w:rsid w:val="0FCF7BC5"/>
    <w:rsid w:val="0FDB5ECD"/>
    <w:rsid w:val="0FDE17AA"/>
    <w:rsid w:val="0FE4089C"/>
    <w:rsid w:val="0FE443F8"/>
    <w:rsid w:val="0FFB6244"/>
    <w:rsid w:val="1017657C"/>
    <w:rsid w:val="102A0350"/>
    <w:rsid w:val="10390BE8"/>
    <w:rsid w:val="1045758D"/>
    <w:rsid w:val="105410B9"/>
    <w:rsid w:val="10615A49"/>
    <w:rsid w:val="107240FA"/>
    <w:rsid w:val="10A971AF"/>
    <w:rsid w:val="10AF1AC6"/>
    <w:rsid w:val="10B4201D"/>
    <w:rsid w:val="10B842E3"/>
    <w:rsid w:val="10CA380B"/>
    <w:rsid w:val="10D65B74"/>
    <w:rsid w:val="10F1501F"/>
    <w:rsid w:val="10F1692E"/>
    <w:rsid w:val="10FA2DD1"/>
    <w:rsid w:val="110C00AB"/>
    <w:rsid w:val="1122167C"/>
    <w:rsid w:val="113849FC"/>
    <w:rsid w:val="11405DAC"/>
    <w:rsid w:val="11493D02"/>
    <w:rsid w:val="114E2471"/>
    <w:rsid w:val="115A0519"/>
    <w:rsid w:val="116C52F1"/>
    <w:rsid w:val="11867E5D"/>
    <w:rsid w:val="11875983"/>
    <w:rsid w:val="118842BF"/>
    <w:rsid w:val="11914D72"/>
    <w:rsid w:val="119274F2"/>
    <w:rsid w:val="11927D7E"/>
    <w:rsid w:val="11B147AE"/>
    <w:rsid w:val="11B86D77"/>
    <w:rsid w:val="11CC15E8"/>
    <w:rsid w:val="11CD7FE3"/>
    <w:rsid w:val="11D81D3B"/>
    <w:rsid w:val="11E22BBA"/>
    <w:rsid w:val="11EB5F12"/>
    <w:rsid w:val="11F64BCE"/>
    <w:rsid w:val="11FA76C0"/>
    <w:rsid w:val="122D2087"/>
    <w:rsid w:val="12307FDC"/>
    <w:rsid w:val="12320E62"/>
    <w:rsid w:val="1235718D"/>
    <w:rsid w:val="124F5C67"/>
    <w:rsid w:val="12597320"/>
    <w:rsid w:val="125A4E46"/>
    <w:rsid w:val="12612E3B"/>
    <w:rsid w:val="127C300E"/>
    <w:rsid w:val="12905454"/>
    <w:rsid w:val="12934EE3"/>
    <w:rsid w:val="12955E7E"/>
    <w:rsid w:val="12AD766B"/>
    <w:rsid w:val="12B37893"/>
    <w:rsid w:val="12B75DF4"/>
    <w:rsid w:val="12BC6FE7"/>
    <w:rsid w:val="12E017EF"/>
    <w:rsid w:val="12F11306"/>
    <w:rsid w:val="130059ED"/>
    <w:rsid w:val="130628D8"/>
    <w:rsid w:val="130E2754"/>
    <w:rsid w:val="131500C1"/>
    <w:rsid w:val="13165211"/>
    <w:rsid w:val="131C5736"/>
    <w:rsid w:val="131F3B08"/>
    <w:rsid w:val="13201BEB"/>
    <w:rsid w:val="132905EA"/>
    <w:rsid w:val="13373EDF"/>
    <w:rsid w:val="133B3709"/>
    <w:rsid w:val="136746BD"/>
    <w:rsid w:val="137150A6"/>
    <w:rsid w:val="13785584"/>
    <w:rsid w:val="137B32C6"/>
    <w:rsid w:val="13806B2E"/>
    <w:rsid w:val="13985C26"/>
    <w:rsid w:val="13A04ADA"/>
    <w:rsid w:val="13AB3BAB"/>
    <w:rsid w:val="13B62550"/>
    <w:rsid w:val="13C44C6D"/>
    <w:rsid w:val="13D604FC"/>
    <w:rsid w:val="13DA4490"/>
    <w:rsid w:val="13F653D3"/>
    <w:rsid w:val="14180B15"/>
    <w:rsid w:val="141A488D"/>
    <w:rsid w:val="143D576D"/>
    <w:rsid w:val="146C450C"/>
    <w:rsid w:val="14941D0D"/>
    <w:rsid w:val="14A448DD"/>
    <w:rsid w:val="14AF1479"/>
    <w:rsid w:val="14CA62B3"/>
    <w:rsid w:val="14CF43E0"/>
    <w:rsid w:val="14E67CE0"/>
    <w:rsid w:val="14F37395"/>
    <w:rsid w:val="14F670A8"/>
    <w:rsid w:val="15115235"/>
    <w:rsid w:val="1511734C"/>
    <w:rsid w:val="151B6B0E"/>
    <w:rsid w:val="152F4368"/>
    <w:rsid w:val="15396499"/>
    <w:rsid w:val="15451DDD"/>
    <w:rsid w:val="154A7BC0"/>
    <w:rsid w:val="15673B02"/>
    <w:rsid w:val="156D6D79"/>
    <w:rsid w:val="157B34A2"/>
    <w:rsid w:val="157D476F"/>
    <w:rsid w:val="1594066F"/>
    <w:rsid w:val="15AA1BA7"/>
    <w:rsid w:val="15AE7982"/>
    <w:rsid w:val="15C6423D"/>
    <w:rsid w:val="15E163F4"/>
    <w:rsid w:val="15EF3AF7"/>
    <w:rsid w:val="15F07F9B"/>
    <w:rsid w:val="15F13B8A"/>
    <w:rsid w:val="16026D99"/>
    <w:rsid w:val="16105F47"/>
    <w:rsid w:val="16257572"/>
    <w:rsid w:val="163634D4"/>
    <w:rsid w:val="163F682C"/>
    <w:rsid w:val="165879B7"/>
    <w:rsid w:val="165F362F"/>
    <w:rsid w:val="166242C9"/>
    <w:rsid w:val="16655BAE"/>
    <w:rsid w:val="167D7355"/>
    <w:rsid w:val="168E50BE"/>
    <w:rsid w:val="16A1413C"/>
    <w:rsid w:val="16AF05F0"/>
    <w:rsid w:val="16B5089D"/>
    <w:rsid w:val="16B51DCD"/>
    <w:rsid w:val="16DA0303"/>
    <w:rsid w:val="16DA633E"/>
    <w:rsid w:val="16E8049F"/>
    <w:rsid w:val="170B2BB3"/>
    <w:rsid w:val="17141470"/>
    <w:rsid w:val="17193D80"/>
    <w:rsid w:val="172A128B"/>
    <w:rsid w:val="174E374F"/>
    <w:rsid w:val="176F3141"/>
    <w:rsid w:val="179901BE"/>
    <w:rsid w:val="179B3F36"/>
    <w:rsid w:val="179C363B"/>
    <w:rsid w:val="17B9260F"/>
    <w:rsid w:val="17D26918"/>
    <w:rsid w:val="17DA1C7A"/>
    <w:rsid w:val="17FE0021"/>
    <w:rsid w:val="17FE5EF9"/>
    <w:rsid w:val="17FF44C5"/>
    <w:rsid w:val="180E64B6"/>
    <w:rsid w:val="18182E78"/>
    <w:rsid w:val="182A4EC1"/>
    <w:rsid w:val="182C2DE0"/>
    <w:rsid w:val="18351C95"/>
    <w:rsid w:val="18360A65"/>
    <w:rsid w:val="183D0B4A"/>
    <w:rsid w:val="18522621"/>
    <w:rsid w:val="185F0FC1"/>
    <w:rsid w:val="18616F2E"/>
    <w:rsid w:val="187F4D45"/>
    <w:rsid w:val="187F73B4"/>
    <w:rsid w:val="188A386F"/>
    <w:rsid w:val="188E5849"/>
    <w:rsid w:val="18A64941"/>
    <w:rsid w:val="18A66D13"/>
    <w:rsid w:val="18A706B9"/>
    <w:rsid w:val="18B07A55"/>
    <w:rsid w:val="18C724A2"/>
    <w:rsid w:val="18CA2C3F"/>
    <w:rsid w:val="18CD6371"/>
    <w:rsid w:val="18E6357A"/>
    <w:rsid w:val="18F41CA0"/>
    <w:rsid w:val="18F6683D"/>
    <w:rsid w:val="1908306A"/>
    <w:rsid w:val="1912188E"/>
    <w:rsid w:val="19454013"/>
    <w:rsid w:val="194C312C"/>
    <w:rsid w:val="194C3354"/>
    <w:rsid w:val="195B5754"/>
    <w:rsid w:val="19600075"/>
    <w:rsid w:val="19781B17"/>
    <w:rsid w:val="19782037"/>
    <w:rsid w:val="198804EA"/>
    <w:rsid w:val="19A1335A"/>
    <w:rsid w:val="19A277FE"/>
    <w:rsid w:val="19BD5342"/>
    <w:rsid w:val="19C21571"/>
    <w:rsid w:val="19C57049"/>
    <w:rsid w:val="19CE23A1"/>
    <w:rsid w:val="19EB7622"/>
    <w:rsid w:val="19ED659F"/>
    <w:rsid w:val="19EE47F1"/>
    <w:rsid w:val="1A0F193E"/>
    <w:rsid w:val="1A255D39"/>
    <w:rsid w:val="1A420699"/>
    <w:rsid w:val="1A441E0D"/>
    <w:rsid w:val="1A587EBD"/>
    <w:rsid w:val="1A5B1B46"/>
    <w:rsid w:val="1A600465"/>
    <w:rsid w:val="1A8C6779"/>
    <w:rsid w:val="1A92257F"/>
    <w:rsid w:val="1A932F59"/>
    <w:rsid w:val="1A991D03"/>
    <w:rsid w:val="1A9A5B22"/>
    <w:rsid w:val="1AB073BF"/>
    <w:rsid w:val="1AB31597"/>
    <w:rsid w:val="1AB42F10"/>
    <w:rsid w:val="1ADD371E"/>
    <w:rsid w:val="1ADE1BE9"/>
    <w:rsid w:val="1AE02AFC"/>
    <w:rsid w:val="1B012302"/>
    <w:rsid w:val="1B027E29"/>
    <w:rsid w:val="1B0E4A1F"/>
    <w:rsid w:val="1B19278C"/>
    <w:rsid w:val="1B34415C"/>
    <w:rsid w:val="1B3A5814"/>
    <w:rsid w:val="1B3B23A6"/>
    <w:rsid w:val="1B435847"/>
    <w:rsid w:val="1B586FF5"/>
    <w:rsid w:val="1B5A5081"/>
    <w:rsid w:val="1B6320B5"/>
    <w:rsid w:val="1B75304D"/>
    <w:rsid w:val="1B7C19FE"/>
    <w:rsid w:val="1B7E7DF7"/>
    <w:rsid w:val="1B855497"/>
    <w:rsid w:val="1B860A5A"/>
    <w:rsid w:val="1B862808"/>
    <w:rsid w:val="1B9E3FF5"/>
    <w:rsid w:val="1BCA3249"/>
    <w:rsid w:val="1BCC18A5"/>
    <w:rsid w:val="1BCF376B"/>
    <w:rsid w:val="1BD01CD5"/>
    <w:rsid w:val="1BEA2D97"/>
    <w:rsid w:val="1BF57933"/>
    <w:rsid w:val="1C0D4CD7"/>
    <w:rsid w:val="1C1442B7"/>
    <w:rsid w:val="1C163B8C"/>
    <w:rsid w:val="1C1A25A1"/>
    <w:rsid w:val="1C220723"/>
    <w:rsid w:val="1C3E30E2"/>
    <w:rsid w:val="1C3F5422"/>
    <w:rsid w:val="1C5E1611"/>
    <w:rsid w:val="1C8B5D2B"/>
    <w:rsid w:val="1C907DE2"/>
    <w:rsid w:val="1C9B0535"/>
    <w:rsid w:val="1CBA06A7"/>
    <w:rsid w:val="1CBF06C7"/>
    <w:rsid w:val="1CE71497"/>
    <w:rsid w:val="1CE912A0"/>
    <w:rsid w:val="1CEE4B08"/>
    <w:rsid w:val="1D0B7468"/>
    <w:rsid w:val="1D13631D"/>
    <w:rsid w:val="1D1907E7"/>
    <w:rsid w:val="1D214EDE"/>
    <w:rsid w:val="1D2821E4"/>
    <w:rsid w:val="1D402A04"/>
    <w:rsid w:val="1D4666F2"/>
    <w:rsid w:val="1D484219"/>
    <w:rsid w:val="1D497F91"/>
    <w:rsid w:val="1D632D08"/>
    <w:rsid w:val="1D6372A4"/>
    <w:rsid w:val="1D7571E3"/>
    <w:rsid w:val="1D827349"/>
    <w:rsid w:val="1D9243E0"/>
    <w:rsid w:val="1D95178A"/>
    <w:rsid w:val="1DBC0763"/>
    <w:rsid w:val="1DC67833"/>
    <w:rsid w:val="1DF512A5"/>
    <w:rsid w:val="1DFD14A7"/>
    <w:rsid w:val="1DFE0D7B"/>
    <w:rsid w:val="1E107F6E"/>
    <w:rsid w:val="1E1F2075"/>
    <w:rsid w:val="1E210712"/>
    <w:rsid w:val="1E2F298D"/>
    <w:rsid w:val="1E3B3D7D"/>
    <w:rsid w:val="1E421268"/>
    <w:rsid w:val="1E4E1501"/>
    <w:rsid w:val="1E513FF3"/>
    <w:rsid w:val="1E69544E"/>
    <w:rsid w:val="1E7456E8"/>
    <w:rsid w:val="1E796654"/>
    <w:rsid w:val="1E7E1EBC"/>
    <w:rsid w:val="1EA9481E"/>
    <w:rsid w:val="1ECF0A05"/>
    <w:rsid w:val="1ED32853"/>
    <w:rsid w:val="1ED41ADC"/>
    <w:rsid w:val="1EDB10BC"/>
    <w:rsid w:val="1EE53CE9"/>
    <w:rsid w:val="1EFF3AD1"/>
    <w:rsid w:val="1F136AA8"/>
    <w:rsid w:val="1F207216"/>
    <w:rsid w:val="1F4147C1"/>
    <w:rsid w:val="1F501AAA"/>
    <w:rsid w:val="1F533349"/>
    <w:rsid w:val="1F672EB4"/>
    <w:rsid w:val="1F7E03C6"/>
    <w:rsid w:val="1F9951FF"/>
    <w:rsid w:val="1FA85A97"/>
    <w:rsid w:val="1FB817C9"/>
    <w:rsid w:val="1FC3402A"/>
    <w:rsid w:val="1FDA5E38"/>
    <w:rsid w:val="1FF26BAE"/>
    <w:rsid w:val="1FF937B7"/>
    <w:rsid w:val="20085EE1"/>
    <w:rsid w:val="200F7274"/>
    <w:rsid w:val="201605FE"/>
    <w:rsid w:val="2016357C"/>
    <w:rsid w:val="20196340"/>
    <w:rsid w:val="202B0BCD"/>
    <w:rsid w:val="203E386D"/>
    <w:rsid w:val="20407429"/>
    <w:rsid w:val="20594F5C"/>
    <w:rsid w:val="206C021E"/>
    <w:rsid w:val="20717F2A"/>
    <w:rsid w:val="207575E3"/>
    <w:rsid w:val="20825C93"/>
    <w:rsid w:val="20942B49"/>
    <w:rsid w:val="20971013"/>
    <w:rsid w:val="20992FDD"/>
    <w:rsid w:val="20AF7FE3"/>
    <w:rsid w:val="20B6593D"/>
    <w:rsid w:val="20DB53A4"/>
    <w:rsid w:val="20F546B7"/>
    <w:rsid w:val="2116462E"/>
    <w:rsid w:val="211712A5"/>
    <w:rsid w:val="21331240"/>
    <w:rsid w:val="214E201A"/>
    <w:rsid w:val="215533A8"/>
    <w:rsid w:val="216A1069"/>
    <w:rsid w:val="21785657"/>
    <w:rsid w:val="21893052"/>
    <w:rsid w:val="2190618E"/>
    <w:rsid w:val="219954B9"/>
    <w:rsid w:val="21AF5D06"/>
    <w:rsid w:val="21B31E7D"/>
    <w:rsid w:val="21B420FA"/>
    <w:rsid w:val="21BC51D5"/>
    <w:rsid w:val="21C25F89"/>
    <w:rsid w:val="21D73DBD"/>
    <w:rsid w:val="21D841C9"/>
    <w:rsid w:val="21FC77BC"/>
    <w:rsid w:val="22055B57"/>
    <w:rsid w:val="220D7D69"/>
    <w:rsid w:val="221B32F3"/>
    <w:rsid w:val="222A4ED8"/>
    <w:rsid w:val="22325497"/>
    <w:rsid w:val="223C00C4"/>
    <w:rsid w:val="22794E74"/>
    <w:rsid w:val="228757E3"/>
    <w:rsid w:val="22892265"/>
    <w:rsid w:val="229B1BDB"/>
    <w:rsid w:val="22A67075"/>
    <w:rsid w:val="22B8555A"/>
    <w:rsid w:val="22BA585A"/>
    <w:rsid w:val="22BB43D7"/>
    <w:rsid w:val="22BB548D"/>
    <w:rsid w:val="22C31939"/>
    <w:rsid w:val="22D447A0"/>
    <w:rsid w:val="22DA60FF"/>
    <w:rsid w:val="22EF5136"/>
    <w:rsid w:val="22FD3CF7"/>
    <w:rsid w:val="23387465"/>
    <w:rsid w:val="233E10F9"/>
    <w:rsid w:val="235654CA"/>
    <w:rsid w:val="236E3EB3"/>
    <w:rsid w:val="236F7CD9"/>
    <w:rsid w:val="23764A11"/>
    <w:rsid w:val="237D0994"/>
    <w:rsid w:val="23871813"/>
    <w:rsid w:val="23952182"/>
    <w:rsid w:val="23A10B26"/>
    <w:rsid w:val="23A23091"/>
    <w:rsid w:val="23B75C54"/>
    <w:rsid w:val="23C44815"/>
    <w:rsid w:val="23C9465D"/>
    <w:rsid w:val="23DA7B95"/>
    <w:rsid w:val="23EB3B50"/>
    <w:rsid w:val="23ED3D6C"/>
    <w:rsid w:val="24156E1F"/>
    <w:rsid w:val="24175420"/>
    <w:rsid w:val="24210ADD"/>
    <w:rsid w:val="24253506"/>
    <w:rsid w:val="242671BB"/>
    <w:rsid w:val="24297F60"/>
    <w:rsid w:val="24341478"/>
    <w:rsid w:val="244514B2"/>
    <w:rsid w:val="244E0F7E"/>
    <w:rsid w:val="24523BCF"/>
    <w:rsid w:val="245F009A"/>
    <w:rsid w:val="246758CC"/>
    <w:rsid w:val="24724271"/>
    <w:rsid w:val="24BC729A"/>
    <w:rsid w:val="24CD76F9"/>
    <w:rsid w:val="24CE259C"/>
    <w:rsid w:val="24D52A7D"/>
    <w:rsid w:val="24EA2059"/>
    <w:rsid w:val="24F917B8"/>
    <w:rsid w:val="24FA6740"/>
    <w:rsid w:val="25034EC9"/>
    <w:rsid w:val="25292A04"/>
    <w:rsid w:val="252C0BFF"/>
    <w:rsid w:val="252F0844"/>
    <w:rsid w:val="254F010E"/>
    <w:rsid w:val="2561612C"/>
    <w:rsid w:val="25626093"/>
    <w:rsid w:val="25673F74"/>
    <w:rsid w:val="2593624D"/>
    <w:rsid w:val="259B3353"/>
    <w:rsid w:val="25A466AC"/>
    <w:rsid w:val="25AE5C8C"/>
    <w:rsid w:val="25B328ED"/>
    <w:rsid w:val="25BC39F6"/>
    <w:rsid w:val="25C805EC"/>
    <w:rsid w:val="25DC0A27"/>
    <w:rsid w:val="25E35426"/>
    <w:rsid w:val="25E80121"/>
    <w:rsid w:val="25E96E54"/>
    <w:rsid w:val="25ED4D74"/>
    <w:rsid w:val="25F62228"/>
    <w:rsid w:val="25F747AF"/>
    <w:rsid w:val="2604634A"/>
    <w:rsid w:val="260638ED"/>
    <w:rsid w:val="2607261F"/>
    <w:rsid w:val="261D1FBA"/>
    <w:rsid w:val="264927F5"/>
    <w:rsid w:val="265C2AE3"/>
    <w:rsid w:val="26667E05"/>
    <w:rsid w:val="26671159"/>
    <w:rsid w:val="266A16A4"/>
    <w:rsid w:val="2677273A"/>
    <w:rsid w:val="26775B6F"/>
    <w:rsid w:val="267E5A4E"/>
    <w:rsid w:val="268A74F7"/>
    <w:rsid w:val="26A050C5"/>
    <w:rsid w:val="26A64B87"/>
    <w:rsid w:val="26B57364"/>
    <w:rsid w:val="26BE554B"/>
    <w:rsid w:val="26CD42BD"/>
    <w:rsid w:val="26E31456"/>
    <w:rsid w:val="26FE5E6C"/>
    <w:rsid w:val="27133AE9"/>
    <w:rsid w:val="27182EAE"/>
    <w:rsid w:val="27206206"/>
    <w:rsid w:val="27221F7E"/>
    <w:rsid w:val="2723183D"/>
    <w:rsid w:val="27337CE7"/>
    <w:rsid w:val="273534BD"/>
    <w:rsid w:val="27430C56"/>
    <w:rsid w:val="27475901"/>
    <w:rsid w:val="275E288B"/>
    <w:rsid w:val="27693709"/>
    <w:rsid w:val="276A122F"/>
    <w:rsid w:val="277F4D18"/>
    <w:rsid w:val="27800A53"/>
    <w:rsid w:val="27816AAD"/>
    <w:rsid w:val="279D482F"/>
    <w:rsid w:val="27BA21B7"/>
    <w:rsid w:val="27C60B5C"/>
    <w:rsid w:val="27E51136"/>
    <w:rsid w:val="28120F00"/>
    <w:rsid w:val="28123DA1"/>
    <w:rsid w:val="2832663E"/>
    <w:rsid w:val="28461C9C"/>
    <w:rsid w:val="28481571"/>
    <w:rsid w:val="284A1A95"/>
    <w:rsid w:val="285717B4"/>
    <w:rsid w:val="28661C5E"/>
    <w:rsid w:val="28697739"/>
    <w:rsid w:val="28836A4D"/>
    <w:rsid w:val="2895052E"/>
    <w:rsid w:val="289A5396"/>
    <w:rsid w:val="28A06E11"/>
    <w:rsid w:val="28AA3FD9"/>
    <w:rsid w:val="28B135BA"/>
    <w:rsid w:val="28BE7A85"/>
    <w:rsid w:val="28C33694"/>
    <w:rsid w:val="28C50E13"/>
    <w:rsid w:val="28CA01D8"/>
    <w:rsid w:val="28D21782"/>
    <w:rsid w:val="28D76D98"/>
    <w:rsid w:val="28E079FB"/>
    <w:rsid w:val="28FD5C97"/>
    <w:rsid w:val="29171A85"/>
    <w:rsid w:val="29236759"/>
    <w:rsid w:val="29274B33"/>
    <w:rsid w:val="29323FCF"/>
    <w:rsid w:val="29453736"/>
    <w:rsid w:val="29581C87"/>
    <w:rsid w:val="295A28B5"/>
    <w:rsid w:val="29750433"/>
    <w:rsid w:val="29916F47"/>
    <w:rsid w:val="29996E7D"/>
    <w:rsid w:val="29A7676B"/>
    <w:rsid w:val="29B669AE"/>
    <w:rsid w:val="29C72A75"/>
    <w:rsid w:val="29CB1A74"/>
    <w:rsid w:val="29E03A2B"/>
    <w:rsid w:val="29F86FC6"/>
    <w:rsid w:val="2A0B0AA8"/>
    <w:rsid w:val="2A197236"/>
    <w:rsid w:val="2A2517D0"/>
    <w:rsid w:val="2A30050E"/>
    <w:rsid w:val="2A4F6F0B"/>
    <w:rsid w:val="2A570191"/>
    <w:rsid w:val="2A583C4F"/>
    <w:rsid w:val="2A622692"/>
    <w:rsid w:val="2A670B7C"/>
    <w:rsid w:val="2A693A20"/>
    <w:rsid w:val="2A906CB5"/>
    <w:rsid w:val="2AAC46D1"/>
    <w:rsid w:val="2AB0164F"/>
    <w:rsid w:val="2ABC4FEF"/>
    <w:rsid w:val="2ABF11E3"/>
    <w:rsid w:val="2ACA2711"/>
    <w:rsid w:val="2AD93657"/>
    <w:rsid w:val="2AD97CE2"/>
    <w:rsid w:val="2AF459E0"/>
    <w:rsid w:val="2AF75775"/>
    <w:rsid w:val="2B011CF0"/>
    <w:rsid w:val="2B17347C"/>
    <w:rsid w:val="2B2D4A4E"/>
    <w:rsid w:val="2B32641C"/>
    <w:rsid w:val="2B471FB3"/>
    <w:rsid w:val="2B4D12A2"/>
    <w:rsid w:val="2B4D4F30"/>
    <w:rsid w:val="2B5B5A5F"/>
    <w:rsid w:val="2B5E54DD"/>
    <w:rsid w:val="2B65068C"/>
    <w:rsid w:val="2B7B18A0"/>
    <w:rsid w:val="2B863EAA"/>
    <w:rsid w:val="2B885500"/>
    <w:rsid w:val="2B8C3E6A"/>
    <w:rsid w:val="2B92177E"/>
    <w:rsid w:val="2B9B40AD"/>
    <w:rsid w:val="2BCF2778"/>
    <w:rsid w:val="2BDB25BD"/>
    <w:rsid w:val="2BE041B6"/>
    <w:rsid w:val="2BE66E26"/>
    <w:rsid w:val="2BEA06CD"/>
    <w:rsid w:val="2BF37A45"/>
    <w:rsid w:val="2C0C6D59"/>
    <w:rsid w:val="2C123D8E"/>
    <w:rsid w:val="2C2C601B"/>
    <w:rsid w:val="2C300C99"/>
    <w:rsid w:val="2C4446B7"/>
    <w:rsid w:val="2C475FE3"/>
    <w:rsid w:val="2C5E2660"/>
    <w:rsid w:val="2C7642D0"/>
    <w:rsid w:val="2C7C5C8D"/>
    <w:rsid w:val="2C7D17B3"/>
    <w:rsid w:val="2C8132A3"/>
    <w:rsid w:val="2C9C00DD"/>
    <w:rsid w:val="2CA3146B"/>
    <w:rsid w:val="2CAC3307"/>
    <w:rsid w:val="2CC713D9"/>
    <w:rsid w:val="2CE63FAE"/>
    <w:rsid w:val="2D0A14EA"/>
    <w:rsid w:val="2D0B5263"/>
    <w:rsid w:val="2D0D64A3"/>
    <w:rsid w:val="2D2203BC"/>
    <w:rsid w:val="2D2C76B3"/>
    <w:rsid w:val="2D2D2C93"/>
    <w:rsid w:val="2D2D63D2"/>
    <w:rsid w:val="2D2F7B08"/>
    <w:rsid w:val="2D314CC9"/>
    <w:rsid w:val="2D360531"/>
    <w:rsid w:val="2D450775"/>
    <w:rsid w:val="2D4C1B03"/>
    <w:rsid w:val="2D4F33A1"/>
    <w:rsid w:val="2D6F75A0"/>
    <w:rsid w:val="2D7921CC"/>
    <w:rsid w:val="2D7B5F44"/>
    <w:rsid w:val="2D9D410D"/>
    <w:rsid w:val="2D9E7E85"/>
    <w:rsid w:val="2DAF191F"/>
    <w:rsid w:val="2DB476A8"/>
    <w:rsid w:val="2DB72CF5"/>
    <w:rsid w:val="2DDB4C35"/>
    <w:rsid w:val="2DEA30CA"/>
    <w:rsid w:val="2DF45796"/>
    <w:rsid w:val="2DFA12E6"/>
    <w:rsid w:val="2E100D83"/>
    <w:rsid w:val="2E1D349F"/>
    <w:rsid w:val="2E351C22"/>
    <w:rsid w:val="2E6F255D"/>
    <w:rsid w:val="2E764E5E"/>
    <w:rsid w:val="2E7B108D"/>
    <w:rsid w:val="2E7C1A67"/>
    <w:rsid w:val="2E882A64"/>
    <w:rsid w:val="2E9021DA"/>
    <w:rsid w:val="2E9D1C0D"/>
    <w:rsid w:val="2EBC6814"/>
    <w:rsid w:val="2EC61441"/>
    <w:rsid w:val="2ECF7771"/>
    <w:rsid w:val="2ED97BCB"/>
    <w:rsid w:val="2EDC1D71"/>
    <w:rsid w:val="2EDF2503"/>
    <w:rsid w:val="2EE70873"/>
    <w:rsid w:val="2F1B08DB"/>
    <w:rsid w:val="2F305F8A"/>
    <w:rsid w:val="2F575E37"/>
    <w:rsid w:val="2F590507"/>
    <w:rsid w:val="2F5922B5"/>
    <w:rsid w:val="2F5E5B1E"/>
    <w:rsid w:val="2F776BDF"/>
    <w:rsid w:val="2F7E7F6E"/>
    <w:rsid w:val="2F8135BA"/>
    <w:rsid w:val="2F8465C8"/>
    <w:rsid w:val="2F866E22"/>
    <w:rsid w:val="2F886979"/>
    <w:rsid w:val="2F911EBE"/>
    <w:rsid w:val="2F960B66"/>
    <w:rsid w:val="2F9C21A2"/>
    <w:rsid w:val="2FB43990"/>
    <w:rsid w:val="2FC242FE"/>
    <w:rsid w:val="2FC647D1"/>
    <w:rsid w:val="2FD14541"/>
    <w:rsid w:val="2FE3598D"/>
    <w:rsid w:val="2FE75B13"/>
    <w:rsid w:val="2FE95D01"/>
    <w:rsid w:val="30112B90"/>
    <w:rsid w:val="30217113"/>
    <w:rsid w:val="30273B58"/>
    <w:rsid w:val="302E0A93"/>
    <w:rsid w:val="30316D8E"/>
    <w:rsid w:val="303F6897"/>
    <w:rsid w:val="30405CA0"/>
    <w:rsid w:val="3047303C"/>
    <w:rsid w:val="304E0B54"/>
    <w:rsid w:val="30534132"/>
    <w:rsid w:val="30546275"/>
    <w:rsid w:val="309733E0"/>
    <w:rsid w:val="30B91F68"/>
    <w:rsid w:val="30C324A1"/>
    <w:rsid w:val="30C35DB7"/>
    <w:rsid w:val="30C41A60"/>
    <w:rsid w:val="30D32C5B"/>
    <w:rsid w:val="30E16A06"/>
    <w:rsid w:val="30ED546B"/>
    <w:rsid w:val="30ED7159"/>
    <w:rsid w:val="31097D0B"/>
    <w:rsid w:val="310E0E7D"/>
    <w:rsid w:val="31121824"/>
    <w:rsid w:val="31194688"/>
    <w:rsid w:val="312132A7"/>
    <w:rsid w:val="31216E03"/>
    <w:rsid w:val="31306B17"/>
    <w:rsid w:val="315D04A6"/>
    <w:rsid w:val="316136A3"/>
    <w:rsid w:val="318A1295"/>
    <w:rsid w:val="31A94CC1"/>
    <w:rsid w:val="31B9528D"/>
    <w:rsid w:val="31C33082"/>
    <w:rsid w:val="31D976DD"/>
    <w:rsid w:val="323B715E"/>
    <w:rsid w:val="325D20BC"/>
    <w:rsid w:val="327A16BC"/>
    <w:rsid w:val="327D170B"/>
    <w:rsid w:val="32867865"/>
    <w:rsid w:val="32935ADE"/>
    <w:rsid w:val="32A73338"/>
    <w:rsid w:val="32B31A56"/>
    <w:rsid w:val="32CB171C"/>
    <w:rsid w:val="32CE636A"/>
    <w:rsid w:val="32D57EA5"/>
    <w:rsid w:val="32ED32F7"/>
    <w:rsid w:val="32F26CA9"/>
    <w:rsid w:val="330B1B18"/>
    <w:rsid w:val="330E5059"/>
    <w:rsid w:val="331039D5"/>
    <w:rsid w:val="332B3AC7"/>
    <w:rsid w:val="33346287"/>
    <w:rsid w:val="33386B85"/>
    <w:rsid w:val="33513241"/>
    <w:rsid w:val="33550FE6"/>
    <w:rsid w:val="33582884"/>
    <w:rsid w:val="335B7731"/>
    <w:rsid w:val="33614230"/>
    <w:rsid w:val="33633703"/>
    <w:rsid w:val="337A6C9E"/>
    <w:rsid w:val="337C39AE"/>
    <w:rsid w:val="337E1556"/>
    <w:rsid w:val="33823918"/>
    <w:rsid w:val="338344B6"/>
    <w:rsid w:val="339B5EE8"/>
    <w:rsid w:val="339F04B3"/>
    <w:rsid w:val="33A361F5"/>
    <w:rsid w:val="33A90EA2"/>
    <w:rsid w:val="33AD0E22"/>
    <w:rsid w:val="33BA063B"/>
    <w:rsid w:val="33D12D62"/>
    <w:rsid w:val="33DB56BC"/>
    <w:rsid w:val="33E22E17"/>
    <w:rsid w:val="33F00D0E"/>
    <w:rsid w:val="33F238E5"/>
    <w:rsid w:val="34000F51"/>
    <w:rsid w:val="342245EE"/>
    <w:rsid w:val="344C063B"/>
    <w:rsid w:val="344C185A"/>
    <w:rsid w:val="346239BA"/>
    <w:rsid w:val="34666563"/>
    <w:rsid w:val="3474171E"/>
    <w:rsid w:val="34781430"/>
    <w:rsid w:val="3481537F"/>
    <w:rsid w:val="34974234"/>
    <w:rsid w:val="34B3387E"/>
    <w:rsid w:val="34B91993"/>
    <w:rsid w:val="34BD4BA2"/>
    <w:rsid w:val="34C82653"/>
    <w:rsid w:val="34DF4C62"/>
    <w:rsid w:val="34E61A2F"/>
    <w:rsid w:val="34E70363"/>
    <w:rsid w:val="34F673A3"/>
    <w:rsid w:val="34F82570"/>
    <w:rsid w:val="34FD1935"/>
    <w:rsid w:val="35050E48"/>
    <w:rsid w:val="3505205F"/>
    <w:rsid w:val="35095FB6"/>
    <w:rsid w:val="350B0C1D"/>
    <w:rsid w:val="35103416"/>
    <w:rsid w:val="353335A8"/>
    <w:rsid w:val="35335357"/>
    <w:rsid w:val="35466E38"/>
    <w:rsid w:val="356261C8"/>
    <w:rsid w:val="3577485D"/>
    <w:rsid w:val="35875F72"/>
    <w:rsid w:val="358918C4"/>
    <w:rsid w:val="358955D4"/>
    <w:rsid w:val="358B5193"/>
    <w:rsid w:val="359E01CA"/>
    <w:rsid w:val="35A623D8"/>
    <w:rsid w:val="35AB75E3"/>
    <w:rsid w:val="35AF70D3"/>
    <w:rsid w:val="35B244CD"/>
    <w:rsid w:val="35C91817"/>
    <w:rsid w:val="35D07049"/>
    <w:rsid w:val="35DF0B77"/>
    <w:rsid w:val="35E12C8E"/>
    <w:rsid w:val="362966B9"/>
    <w:rsid w:val="36362D5B"/>
    <w:rsid w:val="364B035D"/>
    <w:rsid w:val="364D069A"/>
    <w:rsid w:val="36631C6B"/>
    <w:rsid w:val="366C4464"/>
    <w:rsid w:val="36714543"/>
    <w:rsid w:val="367252A6"/>
    <w:rsid w:val="367D2D2D"/>
    <w:rsid w:val="368A369C"/>
    <w:rsid w:val="36A007CA"/>
    <w:rsid w:val="36AA6330"/>
    <w:rsid w:val="36B9703B"/>
    <w:rsid w:val="36C02C1A"/>
    <w:rsid w:val="36C812F7"/>
    <w:rsid w:val="36D026DB"/>
    <w:rsid w:val="36E96AA7"/>
    <w:rsid w:val="36F079A3"/>
    <w:rsid w:val="36F30DF9"/>
    <w:rsid w:val="370451FC"/>
    <w:rsid w:val="370621EB"/>
    <w:rsid w:val="371134BE"/>
    <w:rsid w:val="371241A3"/>
    <w:rsid w:val="371F6F48"/>
    <w:rsid w:val="372D1AA0"/>
    <w:rsid w:val="37307DA0"/>
    <w:rsid w:val="373F6235"/>
    <w:rsid w:val="374B6019"/>
    <w:rsid w:val="374C5422"/>
    <w:rsid w:val="375869AC"/>
    <w:rsid w:val="37590B61"/>
    <w:rsid w:val="375A7DB4"/>
    <w:rsid w:val="37751F8F"/>
    <w:rsid w:val="3776484C"/>
    <w:rsid w:val="37985945"/>
    <w:rsid w:val="379C71E3"/>
    <w:rsid w:val="37A10C9D"/>
    <w:rsid w:val="37A3390F"/>
    <w:rsid w:val="37D06939"/>
    <w:rsid w:val="37D83F93"/>
    <w:rsid w:val="37E1109A"/>
    <w:rsid w:val="38376F0C"/>
    <w:rsid w:val="384E7BEB"/>
    <w:rsid w:val="38651CCB"/>
    <w:rsid w:val="387C7014"/>
    <w:rsid w:val="387E5179"/>
    <w:rsid w:val="38A26A7B"/>
    <w:rsid w:val="38A74DA6"/>
    <w:rsid w:val="38C033A5"/>
    <w:rsid w:val="38C641BE"/>
    <w:rsid w:val="38D16B5E"/>
    <w:rsid w:val="38D440A8"/>
    <w:rsid w:val="38DE3553"/>
    <w:rsid w:val="38E86458"/>
    <w:rsid w:val="38EC7CF6"/>
    <w:rsid w:val="38FA68B7"/>
    <w:rsid w:val="39077989"/>
    <w:rsid w:val="393B3C5A"/>
    <w:rsid w:val="39495149"/>
    <w:rsid w:val="394C4C39"/>
    <w:rsid w:val="39553AED"/>
    <w:rsid w:val="395A5B28"/>
    <w:rsid w:val="396401AD"/>
    <w:rsid w:val="39662B65"/>
    <w:rsid w:val="396A4218"/>
    <w:rsid w:val="398119E4"/>
    <w:rsid w:val="398C590D"/>
    <w:rsid w:val="39916AF0"/>
    <w:rsid w:val="39AC4D26"/>
    <w:rsid w:val="39BE097C"/>
    <w:rsid w:val="39BE3DA7"/>
    <w:rsid w:val="39C02DE1"/>
    <w:rsid w:val="39C62C3D"/>
    <w:rsid w:val="39D92F6E"/>
    <w:rsid w:val="39E14020"/>
    <w:rsid w:val="39F7221A"/>
    <w:rsid w:val="3A1A2BE3"/>
    <w:rsid w:val="3A455684"/>
    <w:rsid w:val="3A575AF9"/>
    <w:rsid w:val="3A6164C2"/>
    <w:rsid w:val="3A777A93"/>
    <w:rsid w:val="3A7D77A0"/>
    <w:rsid w:val="3A940645"/>
    <w:rsid w:val="3A9839D5"/>
    <w:rsid w:val="3AAA396F"/>
    <w:rsid w:val="3AB042CB"/>
    <w:rsid w:val="3AB14E6A"/>
    <w:rsid w:val="3AC70A1B"/>
    <w:rsid w:val="3AED1748"/>
    <w:rsid w:val="3AED2E24"/>
    <w:rsid w:val="3AEF2CC1"/>
    <w:rsid w:val="3AFB781A"/>
    <w:rsid w:val="3B3360B0"/>
    <w:rsid w:val="3B384FDA"/>
    <w:rsid w:val="3B3B4F65"/>
    <w:rsid w:val="3B5B73B5"/>
    <w:rsid w:val="3B605CFC"/>
    <w:rsid w:val="3B672905"/>
    <w:rsid w:val="3B7364AD"/>
    <w:rsid w:val="3B9052B1"/>
    <w:rsid w:val="3B950B19"/>
    <w:rsid w:val="3BAA5C47"/>
    <w:rsid w:val="3BD11425"/>
    <w:rsid w:val="3BDC6748"/>
    <w:rsid w:val="3BE455FD"/>
    <w:rsid w:val="3BE850ED"/>
    <w:rsid w:val="3BF43E26"/>
    <w:rsid w:val="3BF64543"/>
    <w:rsid w:val="3BFA5677"/>
    <w:rsid w:val="3BFC64A2"/>
    <w:rsid w:val="3C092323"/>
    <w:rsid w:val="3C095063"/>
    <w:rsid w:val="3C1557B6"/>
    <w:rsid w:val="3C1C4D96"/>
    <w:rsid w:val="3C353C10"/>
    <w:rsid w:val="3C3C2D43"/>
    <w:rsid w:val="3C3D6D89"/>
    <w:rsid w:val="3C573A8F"/>
    <w:rsid w:val="3C5C1637"/>
    <w:rsid w:val="3C642299"/>
    <w:rsid w:val="3C650E53"/>
    <w:rsid w:val="3C6978B0"/>
    <w:rsid w:val="3C6C3DF2"/>
    <w:rsid w:val="3C6D114E"/>
    <w:rsid w:val="3C722C08"/>
    <w:rsid w:val="3C7524EC"/>
    <w:rsid w:val="3C756255"/>
    <w:rsid w:val="3C770B48"/>
    <w:rsid w:val="3C7E58DE"/>
    <w:rsid w:val="3C991F43"/>
    <w:rsid w:val="3C9B3DA4"/>
    <w:rsid w:val="3D0D46DF"/>
    <w:rsid w:val="3D175178"/>
    <w:rsid w:val="3D2757A1"/>
    <w:rsid w:val="3D3B124C"/>
    <w:rsid w:val="3D4072AC"/>
    <w:rsid w:val="3D605266"/>
    <w:rsid w:val="3D656D67"/>
    <w:rsid w:val="3D6F7148"/>
    <w:rsid w:val="3D7D2741"/>
    <w:rsid w:val="3DA82244"/>
    <w:rsid w:val="3DCC00F6"/>
    <w:rsid w:val="3DE85EAC"/>
    <w:rsid w:val="3DEB2C72"/>
    <w:rsid w:val="3DED6BC5"/>
    <w:rsid w:val="3DF22256"/>
    <w:rsid w:val="3DF24244"/>
    <w:rsid w:val="3DF66D78"/>
    <w:rsid w:val="3E173A3F"/>
    <w:rsid w:val="3E23065E"/>
    <w:rsid w:val="3E2A77F1"/>
    <w:rsid w:val="3E3B17BE"/>
    <w:rsid w:val="3E52627A"/>
    <w:rsid w:val="3E723A22"/>
    <w:rsid w:val="3E75078E"/>
    <w:rsid w:val="3E825452"/>
    <w:rsid w:val="3E886713"/>
    <w:rsid w:val="3E8B1D5F"/>
    <w:rsid w:val="3E950E30"/>
    <w:rsid w:val="3E9E2778"/>
    <w:rsid w:val="3EAD43CC"/>
    <w:rsid w:val="3EAE391C"/>
    <w:rsid w:val="3EB2553E"/>
    <w:rsid w:val="3EC15757"/>
    <w:rsid w:val="3EC90A0B"/>
    <w:rsid w:val="3ED6167F"/>
    <w:rsid w:val="3ED6747E"/>
    <w:rsid w:val="3ED82DBD"/>
    <w:rsid w:val="3EDE497D"/>
    <w:rsid w:val="3EE93D37"/>
    <w:rsid w:val="3F051733"/>
    <w:rsid w:val="3F253D28"/>
    <w:rsid w:val="3F283A52"/>
    <w:rsid w:val="3F2E4ADC"/>
    <w:rsid w:val="3F402B4A"/>
    <w:rsid w:val="3F4C3BAB"/>
    <w:rsid w:val="3F6A25B2"/>
    <w:rsid w:val="3F6A2768"/>
    <w:rsid w:val="3F717310"/>
    <w:rsid w:val="3F7E6EC2"/>
    <w:rsid w:val="3F7F7B16"/>
    <w:rsid w:val="3F8A0269"/>
    <w:rsid w:val="3FB90E32"/>
    <w:rsid w:val="3FC868B9"/>
    <w:rsid w:val="3FE26357"/>
    <w:rsid w:val="3FE71217"/>
    <w:rsid w:val="3FEE7EAC"/>
    <w:rsid w:val="3FF12096"/>
    <w:rsid w:val="3FFB233D"/>
    <w:rsid w:val="40125A1B"/>
    <w:rsid w:val="401C35B7"/>
    <w:rsid w:val="401D10DD"/>
    <w:rsid w:val="40296AF8"/>
    <w:rsid w:val="402C30CE"/>
    <w:rsid w:val="405215CC"/>
    <w:rsid w:val="405A7AFC"/>
    <w:rsid w:val="406311E6"/>
    <w:rsid w:val="406665E0"/>
    <w:rsid w:val="40730CFD"/>
    <w:rsid w:val="409B3443"/>
    <w:rsid w:val="40B94B83"/>
    <w:rsid w:val="40BF3F42"/>
    <w:rsid w:val="40CD2B03"/>
    <w:rsid w:val="40E34A44"/>
    <w:rsid w:val="40E97A0E"/>
    <w:rsid w:val="40F2178D"/>
    <w:rsid w:val="40F300AD"/>
    <w:rsid w:val="411C75E7"/>
    <w:rsid w:val="412907A1"/>
    <w:rsid w:val="41766631"/>
    <w:rsid w:val="41774FF8"/>
    <w:rsid w:val="417B60BB"/>
    <w:rsid w:val="41864563"/>
    <w:rsid w:val="418751B6"/>
    <w:rsid w:val="4194717D"/>
    <w:rsid w:val="41A33D4E"/>
    <w:rsid w:val="41A8516E"/>
    <w:rsid w:val="41B034B4"/>
    <w:rsid w:val="41B06F6C"/>
    <w:rsid w:val="41B617E9"/>
    <w:rsid w:val="41BD2B78"/>
    <w:rsid w:val="41BE244C"/>
    <w:rsid w:val="41EC6AFB"/>
    <w:rsid w:val="41FF4F3E"/>
    <w:rsid w:val="420E7F0F"/>
    <w:rsid w:val="42187DAE"/>
    <w:rsid w:val="421C20FC"/>
    <w:rsid w:val="4226500F"/>
    <w:rsid w:val="423B3F81"/>
    <w:rsid w:val="424752C4"/>
    <w:rsid w:val="42510207"/>
    <w:rsid w:val="425C7C82"/>
    <w:rsid w:val="427E7F72"/>
    <w:rsid w:val="42843695"/>
    <w:rsid w:val="42884F34"/>
    <w:rsid w:val="42927B60"/>
    <w:rsid w:val="429B5B87"/>
    <w:rsid w:val="42C24431"/>
    <w:rsid w:val="42C341BE"/>
    <w:rsid w:val="42D633EC"/>
    <w:rsid w:val="42D83D09"/>
    <w:rsid w:val="42DE59E4"/>
    <w:rsid w:val="42F00D2B"/>
    <w:rsid w:val="42FC25A7"/>
    <w:rsid w:val="43036368"/>
    <w:rsid w:val="431B1F06"/>
    <w:rsid w:val="431E31A2"/>
    <w:rsid w:val="43317379"/>
    <w:rsid w:val="4346094B"/>
    <w:rsid w:val="434626F9"/>
    <w:rsid w:val="434F77FF"/>
    <w:rsid w:val="435A7F52"/>
    <w:rsid w:val="435C3CCA"/>
    <w:rsid w:val="435E5C94"/>
    <w:rsid w:val="4364538A"/>
    <w:rsid w:val="436F39FE"/>
    <w:rsid w:val="43727992"/>
    <w:rsid w:val="43746378"/>
    <w:rsid w:val="437C436D"/>
    <w:rsid w:val="43B35FE0"/>
    <w:rsid w:val="43C006FD"/>
    <w:rsid w:val="43D13E35"/>
    <w:rsid w:val="43DA67B6"/>
    <w:rsid w:val="43DB1093"/>
    <w:rsid w:val="43DB72E5"/>
    <w:rsid w:val="43F14D5A"/>
    <w:rsid w:val="43F403A7"/>
    <w:rsid w:val="43FF1225"/>
    <w:rsid w:val="44046EB0"/>
    <w:rsid w:val="44103433"/>
    <w:rsid w:val="442073EE"/>
    <w:rsid w:val="442F19E9"/>
    <w:rsid w:val="44380293"/>
    <w:rsid w:val="44415C92"/>
    <w:rsid w:val="445873A3"/>
    <w:rsid w:val="44597F42"/>
    <w:rsid w:val="445C45F0"/>
    <w:rsid w:val="447B737A"/>
    <w:rsid w:val="447D65EE"/>
    <w:rsid w:val="448A4586"/>
    <w:rsid w:val="449A491B"/>
    <w:rsid w:val="44A21BB1"/>
    <w:rsid w:val="44AA3B64"/>
    <w:rsid w:val="44AE49FA"/>
    <w:rsid w:val="44BA6EFA"/>
    <w:rsid w:val="44C0425C"/>
    <w:rsid w:val="44CF7A97"/>
    <w:rsid w:val="44D97CC8"/>
    <w:rsid w:val="44E977E0"/>
    <w:rsid w:val="44EE2D42"/>
    <w:rsid w:val="44EE3FA4"/>
    <w:rsid w:val="4513485D"/>
    <w:rsid w:val="451924DA"/>
    <w:rsid w:val="45216E60"/>
    <w:rsid w:val="453170D2"/>
    <w:rsid w:val="45367410"/>
    <w:rsid w:val="454B2644"/>
    <w:rsid w:val="45542AAA"/>
    <w:rsid w:val="45583E57"/>
    <w:rsid w:val="45634690"/>
    <w:rsid w:val="45687946"/>
    <w:rsid w:val="45783434"/>
    <w:rsid w:val="45822CF4"/>
    <w:rsid w:val="45905EAD"/>
    <w:rsid w:val="459C78D2"/>
    <w:rsid w:val="45A71B75"/>
    <w:rsid w:val="45C75D73"/>
    <w:rsid w:val="45D86F40"/>
    <w:rsid w:val="45E43276"/>
    <w:rsid w:val="45E76415"/>
    <w:rsid w:val="45F823D0"/>
    <w:rsid w:val="46386C71"/>
    <w:rsid w:val="46552D95"/>
    <w:rsid w:val="466435C2"/>
    <w:rsid w:val="466B634C"/>
    <w:rsid w:val="467C4DAF"/>
    <w:rsid w:val="46936EA4"/>
    <w:rsid w:val="46AB7443"/>
    <w:rsid w:val="46AF3B9A"/>
    <w:rsid w:val="46B1432D"/>
    <w:rsid w:val="46F30DEA"/>
    <w:rsid w:val="46F5205E"/>
    <w:rsid w:val="46F9684D"/>
    <w:rsid w:val="47040901"/>
    <w:rsid w:val="471748B1"/>
    <w:rsid w:val="4718206C"/>
    <w:rsid w:val="47195E2A"/>
    <w:rsid w:val="47221A93"/>
    <w:rsid w:val="472815AA"/>
    <w:rsid w:val="47543636"/>
    <w:rsid w:val="47777325"/>
    <w:rsid w:val="477D7E06"/>
    <w:rsid w:val="47833F1C"/>
    <w:rsid w:val="4799373F"/>
    <w:rsid w:val="47AC3472"/>
    <w:rsid w:val="47AF2F63"/>
    <w:rsid w:val="47BE4F54"/>
    <w:rsid w:val="47C572D2"/>
    <w:rsid w:val="47D91D8D"/>
    <w:rsid w:val="47DC27CF"/>
    <w:rsid w:val="47F06A69"/>
    <w:rsid w:val="47FC782A"/>
    <w:rsid w:val="481D4BC7"/>
    <w:rsid w:val="483B2A48"/>
    <w:rsid w:val="483D49AD"/>
    <w:rsid w:val="484E1850"/>
    <w:rsid w:val="484F2050"/>
    <w:rsid w:val="486024AF"/>
    <w:rsid w:val="486D24D6"/>
    <w:rsid w:val="48742EFF"/>
    <w:rsid w:val="48834C9A"/>
    <w:rsid w:val="48841F8F"/>
    <w:rsid w:val="48931F3C"/>
    <w:rsid w:val="489B5295"/>
    <w:rsid w:val="48A15663"/>
    <w:rsid w:val="48A1626A"/>
    <w:rsid w:val="48AF383A"/>
    <w:rsid w:val="48CA190C"/>
    <w:rsid w:val="48CA4EAD"/>
    <w:rsid w:val="48E857AF"/>
    <w:rsid w:val="491A7D6C"/>
    <w:rsid w:val="49217A8E"/>
    <w:rsid w:val="49296D45"/>
    <w:rsid w:val="4929734E"/>
    <w:rsid w:val="493A02D3"/>
    <w:rsid w:val="493C6A78"/>
    <w:rsid w:val="4940541F"/>
    <w:rsid w:val="49415E3C"/>
    <w:rsid w:val="49691876"/>
    <w:rsid w:val="497F6965"/>
    <w:rsid w:val="498839D7"/>
    <w:rsid w:val="49886DB4"/>
    <w:rsid w:val="49952BCA"/>
    <w:rsid w:val="499F1387"/>
    <w:rsid w:val="49A909E4"/>
    <w:rsid w:val="49BF4FB3"/>
    <w:rsid w:val="49E8275C"/>
    <w:rsid w:val="49ED4347"/>
    <w:rsid w:val="49F20EE5"/>
    <w:rsid w:val="49FB31BE"/>
    <w:rsid w:val="49FF0015"/>
    <w:rsid w:val="4A08695A"/>
    <w:rsid w:val="4A336491"/>
    <w:rsid w:val="4A363CAF"/>
    <w:rsid w:val="4A464AE8"/>
    <w:rsid w:val="4A581AD8"/>
    <w:rsid w:val="4A58343D"/>
    <w:rsid w:val="4A62250E"/>
    <w:rsid w:val="4A745D9D"/>
    <w:rsid w:val="4A7D2EA4"/>
    <w:rsid w:val="4A8C758B"/>
    <w:rsid w:val="4A9B4979"/>
    <w:rsid w:val="4A9B5A20"/>
    <w:rsid w:val="4AAA2D8A"/>
    <w:rsid w:val="4AB12B4E"/>
    <w:rsid w:val="4AB810A7"/>
    <w:rsid w:val="4AC8276C"/>
    <w:rsid w:val="4ACF7478"/>
    <w:rsid w:val="4AEA6060"/>
    <w:rsid w:val="4AF62C56"/>
    <w:rsid w:val="4AFF7D5D"/>
    <w:rsid w:val="4B1233AB"/>
    <w:rsid w:val="4B137364"/>
    <w:rsid w:val="4B1B446B"/>
    <w:rsid w:val="4B4B6F6D"/>
    <w:rsid w:val="4B615AEA"/>
    <w:rsid w:val="4B6978CC"/>
    <w:rsid w:val="4B6A71C8"/>
    <w:rsid w:val="4B6B0F4E"/>
    <w:rsid w:val="4B6E4EE3"/>
    <w:rsid w:val="4B736055"/>
    <w:rsid w:val="4B751DCD"/>
    <w:rsid w:val="4B810772"/>
    <w:rsid w:val="4B8E2E8F"/>
    <w:rsid w:val="4B8F0599"/>
    <w:rsid w:val="4B9530C4"/>
    <w:rsid w:val="4BB46D99"/>
    <w:rsid w:val="4BB739C1"/>
    <w:rsid w:val="4BB86723"/>
    <w:rsid w:val="4BBC7BF0"/>
    <w:rsid w:val="4BC347F9"/>
    <w:rsid w:val="4BC863A1"/>
    <w:rsid w:val="4BF83AF4"/>
    <w:rsid w:val="4C001FDF"/>
    <w:rsid w:val="4C094415"/>
    <w:rsid w:val="4C1847D4"/>
    <w:rsid w:val="4C21300A"/>
    <w:rsid w:val="4C2430DE"/>
    <w:rsid w:val="4C243D45"/>
    <w:rsid w:val="4C31118F"/>
    <w:rsid w:val="4C473333"/>
    <w:rsid w:val="4C5C2F8D"/>
    <w:rsid w:val="4C5D11DF"/>
    <w:rsid w:val="4C6D6F48"/>
    <w:rsid w:val="4C7C718B"/>
    <w:rsid w:val="4CA87F80"/>
    <w:rsid w:val="4CAC0017"/>
    <w:rsid w:val="4CAC17E1"/>
    <w:rsid w:val="4CAF130F"/>
    <w:rsid w:val="4CB22BAD"/>
    <w:rsid w:val="4CB34C20"/>
    <w:rsid w:val="4CB67A9B"/>
    <w:rsid w:val="4CB87E8C"/>
    <w:rsid w:val="4CC84B02"/>
    <w:rsid w:val="4CDB2104"/>
    <w:rsid w:val="4CDF172A"/>
    <w:rsid w:val="4CE92A73"/>
    <w:rsid w:val="4CEF795D"/>
    <w:rsid w:val="4CF87845"/>
    <w:rsid w:val="4CFE2BED"/>
    <w:rsid w:val="4D0F0ADB"/>
    <w:rsid w:val="4D155616"/>
    <w:rsid w:val="4D27359B"/>
    <w:rsid w:val="4D405120"/>
    <w:rsid w:val="4D41465D"/>
    <w:rsid w:val="4D5C1497"/>
    <w:rsid w:val="4D5D0D6B"/>
    <w:rsid w:val="4D6D5F10"/>
    <w:rsid w:val="4D700A9E"/>
    <w:rsid w:val="4D891B60"/>
    <w:rsid w:val="4D897DB2"/>
    <w:rsid w:val="4D8F4F60"/>
    <w:rsid w:val="4D92171C"/>
    <w:rsid w:val="4D92310A"/>
    <w:rsid w:val="4D930C30"/>
    <w:rsid w:val="4DAB7D28"/>
    <w:rsid w:val="4DB90697"/>
    <w:rsid w:val="4DCD4142"/>
    <w:rsid w:val="4DD84EE0"/>
    <w:rsid w:val="4DE8173E"/>
    <w:rsid w:val="4DEA6AA2"/>
    <w:rsid w:val="4DEB45C9"/>
    <w:rsid w:val="4DF0398D"/>
    <w:rsid w:val="4DF94F37"/>
    <w:rsid w:val="4DFA5A36"/>
    <w:rsid w:val="4E1B35C4"/>
    <w:rsid w:val="4E2A14DC"/>
    <w:rsid w:val="4E4D5283"/>
    <w:rsid w:val="4E572490"/>
    <w:rsid w:val="4E582E6B"/>
    <w:rsid w:val="4E6600F3"/>
    <w:rsid w:val="4E6B6B36"/>
    <w:rsid w:val="4E7B4F3A"/>
    <w:rsid w:val="4E8E1B2A"/>
    <w:rsid w:val="4EB923B7"/>
    <w:rsid w:val="4ECA2430"/>
    <w:rsid w:val="4ECE0172"/>
    <w:rsid w:val="4ECE0985"/>
    <w:rsid w:val="4EDF13E6"/>
    <w:rsid w:val="4EF31987"/>
    <w:rsid w:val="4F195165"/>
    <w:rsid w:val="4F391364"/>
    <w:rsid w:val="4F433012"/>
    <w:rsid w:val="4F440434"/>
    <w:rsid w:val="4F443F90"/>
    <w:rsid w:val="4F697E9B"/>
    <w:rsid w:val="4F6B59C1"/>
    <w:rsid w:val="4F714724"/>
    <w:rsid w:val="4F882E85"/>
    <w:rsid w:val="4F9071D6"/>
    <w:rsid w:val="4FA64C4B"/>
    <w:rsid w:val="4FAA0348"/>
    <w:rsid w:val="4FB54096"/>
    <w:rsid w:val="4FE63299"/>
    <w:rsid w:val="4FE811D3"/>
    <w:rsid w:val="4FEC4A28"/>
    <w:rsid w:val="4FF5172F"/>
    <w:rsid w:val="4FF63749"/>
    <w:rsid w:val="4FFB7978"/>
    <w:rsid w:val="50091D29"/>
    <w:rsid w:val="50096F88"/>
    <w:rsid w:val="50150F18"/>
    <w:rsid w:val="501F1883"/>
    <w:rsid w:val="50242014"/>
    <w:rsid w:val="50250266"/>
    <w:rsid w:val="50267B3A"/>
    <w:rsid w:val="503201EC"/>
    <w:rsid w:val="50357D7D"/>
    <w:rsid w:val="503C19ED"/>
    <w:rsid w:val="50446212"/>
    <w:rsid w:val="50447FC0"/>
    <w:rsid w:val="505462D7"/>
    <w:rsid w:val="50686F15"/>
    <w:rsid w:val="507B573E"/>
    <w:rsid w:val="507C59AC"/>
    <w:rsid w:val="509F0570"/>
    <w:rsid w:val="50A307F2"/>
    <w:rsid w:val="50A3118B"/>
    <w:rsid w:val="50AE34C0"/>
    <w:rsid w:val="50CE7DD4"/>
    <w:rsid w:val="50D92DFE"/>
    <w:rsid w:val="50DD5829"/>
    <w:rsid w:val="50E05F3B"/>
    <w:rsid w:val="50E13A61"/>
    <w:rsid w:val="510746C6"/>
    <w:rsid w:val="510819DD"/>
    <w:rsid w:val="510A2FB8"/>
    <w:rsid w:val="510B1E2B"/>
    <w:rsid w:val="511646DB"/>
    <w:rsid w:val="5119769F"/>
    <w:rsid w:val="511A07A8"/>
    <w:rsid w:val="51237AAF"/>
    <w:rsid w:val="51281F4E"/>
    <w:rsid w:val="51383FC9"/>
    <w:rsid w:val="51414310"/>
    <w:rsid w:val="51603F96"/>
    <w:rsid w:val="516C2F33"/>
    <w:rsid w:val="517F21F7"/>
    <w:rsid w:val="517F5754"/>
    <w:rsid w:val="518965D2"/>
    <w:rsid w:val="518B2AF9"/>
    <w:rsid w:val="519A0C31"/>
    <w:rsid w:val="51A92236"/>
    <w:rsid w:val="51AB479B"/>
    <w:rsid w:val="51B00003"/>
    <w:rsid w:val="51B568D7"/>
    <w:rsid w:val="51D23371"/>
    <w:rsid w:val="51D23892"/>
    <w:rsid w:val="51D27F79"/>
    <w:rsid w:val="51FF0AD3"/>
    <w:rsid w:val="52102850"/>
    <w:rsid w:val="52154215"/>
    <w:rsid w:val="52257019"/>
    <w:rsid w:val="522D3402"/>
    <w:rsid w:val="52307DC0"/>
    <w:rsid w:val="52377DDC"/>
    <w:rsid w:val="52392D6D"/>
    <w:rsid w:val="52397FF8"/>
    <w:rsid w:val="523B6BA5"/>
    <w:rsid w:val="523F0C82"/>
    <w:rsid w:val="52414247"/>
    <w:rsid w:val="527E021F"/>
    <w:rsid w:val="52B6146D"/>
    <w:rsid w:val="52CA29FF"/>
    <w:rsid w:val="52D40070"/>
    <w:rsid w:val="52F201A7"/>
    <w:rsid w:val="5303259D"/>
    <w:rsid w:val="531169F3"/>
    <w:rsid w:val="531243A6"/>
    <w:rsid w:val="532F6D06"/>
    <w:rsid w:val="53335E7F"/>
    <w:rsid w:val="5338150F"/>
    <w:rsid w:val="53430A03"/>
    <w:rsid w:val="535350EA"/>
    <w:rsid w:val="536270DB"/>
    <w:rsid w:val="53810A8B"/>
    <w:rsid w:val="53B51901"/>
    <w:rsid w:val="53B8749A"/>
    <w:rsid w:val="53D14261"/>
    <w:rsid w:val="53E53868"/>
    <w:rsid w:val="53FB08DE"/>
    <w:rsid w:val="540F7D39"/>
    <w:rsid w:val="54297BF9"/>
    <w:rsid w:val="542A3A4D"/>
    <w:rsid w:val="542D76E9"/>
    <w:rsid w:val="54363EAB"/>
    <w:rsid w:val="54417AF7"/>
    <w:rsid w:val="544557B3"/>
    <w:rsid w:val="5447287D"/>
    <w:rsid w:val="54540E6A"/>
    <w:rsid w:val="54680721"/>
    <w:rsid w:val="546D52BE"/>
    <w:rsid w:val="54704F4A"/>
    <w:rsid w:val="54774E08"/>
    <w:rsid w:val="5488491F"/>
    <w:rsid w:val="54905ECA"/>
    <w:rsid w:val="54AE00FE"/>
    <w:rsid w:val="54BC6CBF"/>
    <w:rsid w:val="54BF40B9"/>
    <w:rsid w:val="54F2448F"/>
    <w:rsid w:val="54F834E2"/>
    <w:rsid w:val="54FA3343"/>
    <w:rsid w:val="5503317B"/>
    <w:rsid w:val="551B39E5"/>
    <w:rsid w:val="551E176E"/>
    <w:rsid w:val="5522370D"/>
    <w:rsid w:val="552F05FE"/>
    <w:rsid w:val="554B73AC"/>
    <w:rsid w:val="554C3B9F"/>
    <w:rsid w:val="55690BF5"/>
    <w:rsid w:val="557C3F5E"/>
    <w:rsid w:val="558C6691"/>
    <w:rsid w:val="558D41B7"/>
    <w:rsid w:val="55986DE4"/>
    <w:rsid w:val="559D7181"/>
    <w:rsid w:val="55B55D4B"/>
    <w:rsid w:val="55B61960"/>
    <w:rsid w:val="55B654BC"/>
    <w:rsid w:val="55BD3B21"/>
    <w:rsid w:val="55C20305"/>
    <w:rsid w:val="55D45328"/>
    <w:rsid w:val="55E97640"/>
    <w:rsid w:val="55EC0C16"/>
    <w:rsid w:val="55FE394D"/>
    <w:rsid w:val="560763AD"/>
    <w:rsid w:val="56097CE2"/>
    <w:rsid w:val="562C598F"/>
    <w:rsid w:val="56436613"/>
    <w:rsid w:val="56666EE2"/>
    <w:rsid w:val="5697709C"/>
    <w:rsid w:val="56AB6FEB"/>
    <w:rsid w:val="56AE5057"/>
    <w:rsid w:val="56C515BF"/>
    <w:rsid w:val="56D9078D"/>
    <w:rsid w:val="56E10C5F"/>
    <w:rsid w:val="56E115BC"/>
    <w:rsid w:val="56E90F5B"/>
    <w:rsid w:val="56E9366F"/>
    <w:rsid w:val="56F21ED5"/>
    <w:rsid w:val="56FD6E02"/>
    <w:rsid w:val="56FE3FB2"/>
    <w:rsid w:val="56FE51EF"/>
    <w:rsid w:val="57001653"/>
    <w:rsid w:val="570C10BF"/>
    <w:rsid w:val="570D0833"/>
    <w:rsid w:val="57241464"/>
    <w:rsid w:val="57266671"/>
    <w:rsid w:val="5729778D"/>
    <w:rsid w:val="574625F1"/>
    <w:rsid w:val="57584D64"/>
    <w:rsid w:val="575E5E0B"/>
    <w:rsid w:val="57747B59"/>
    <w:rsid w:val="57792C45"/>
    <w:rsid w:val="578F06BB"/>
    <w:rsid w:val="57A04676"/>
    <w:rsid w:val="57A23F4A"/>
    <w:rsid w:val="57BC34FD"/>
    <w:rsid w:val="57C335DE"/>
    <w:rsid w:val="57C974C9"/>
    <w:rsid w:val="57CF2661"/>
    <w:rsid w:val="57D2239F"/>
    <w:rsid w:val="57D61E46"/>
    <w:rsid w:val="57DD1426"/>
    <w:rsid w:val="57E44562"/>
    <w:rsid w:val="57EA58F1"/>
    <w:rsid w:val="57F347A6"/>
    <w:rsid w:val="57FE314A"/>
    <w:rsid w:val="580469B3"/>
    <w:rsid w:val="580D50DF"/>
    <w:rsid w:val="5818245E"/>
    <w:rsid w:val="582C5F09"/>
    <w:rsid w:val="58315A42"/>
    <w:rsid w:val="58472D43"/>
    <w:rsid w:val="5851388B"/>
    <w:rsid w:val="585B5F86"/>
    <w:rsid w:val="58721B1C"/>
    <w:rsid w:val="58726012"/>
    <w:rsid w:val="587B52B5"/>
    <w:rsid w:val="58836B83"/>
    <w:rsid w:val="58977827"/>
    <w:rsid w:val="589C4E3D"/>
    <w:rsid w:val="58A4109F"/>
    <w:rsid w:val="58A67A66"/>
    <w:rsid w:val="58AD0F7A"/>
    <w:rsid w:val="58DD0FB2"/>
    <w:rsid w:val="58F84BCB"/>
    <w:rsid w:val="58F85DEC"/>
    <w:rsid w:val="591C7D2C"/>
    <w:rsid w:val="59301A29"/>
    <w:rsid w:val="59396B30"/>
    <w:rsid w:val="595C45CC"/>
    <w:rsid w:val="595D68B2"/>
    <w:rsid w:val="596B480F"/>
    <w:rsid w:val="597F334B"/>
    <w:rsid w:val="599975CF"/>
    <w:rsid w:val="59A22076"/>
    <w:rsid w:val="59B60656"/>
    <w:rsid w:val="59CA7788"/>
    <w:rsid w:val="59CF2FF0"/>
    <w:rsid w:val="59D24F7D"/>
    <w:rsid w:val="59EB4913"/>
    <w:rsid w:val="59EF4473"/>
    <w:rsid w:val="59F362D1"/>
    <w:rsid w:val="59F45F23"/>
    <w:rsid w:val="59F842F5"/>
    <w:rsid w:val="5A0F3B18"/>
    <w:rsid w:val="5A113609"/>
    <w:rsid w:val="5A115C65"/>
    <w:rsid w:val="5A386DE8"/>
    <w:rsid w:val="5A584D94"/>
    <w:rsid w:val="5A5D05FC"/>
    <w:rsid w:val="5A733899"/>
    <w:rsid w:val="5A853B90"/>
    <w:rsid w:val="5A875679"/>
    <w:rsid w:val="5A900F23"/>
    <w:rsid w:val="5AA131CC"/>
    <w:rsid w:val="5AA224B3"/>
    <w:rsid w:val="5AA4622B"/>
    <w:rsid w:val="5AB83A84"/>
    <w:rsid w:val="5ADC59C5"/>
    <w:rsid w:val="5AEF6D32"/>
    <w:rsid w:val="5AFA22EF"/>
    <w:rsid w:val="5AFF16B3"/>
    <w:rsid w:val="5B060C94"/>
    <w:rsid w:val="5B172EA1"/>
    <w:rsid w:val="5B1F58B2"/>
    <w:rsid w:val="5B3F5F54"/>
    <w:rsid w:val="5B857E0A"/>
    <w:rsid w:val="5B890A02"/>
    <w:rsid w:val="5BB24688"/>
    <w:rsid w:val="5BB57758"/>
    <w:rsid w:val="5BCF1086"/>
    <w:rsid w:val="5BD25946"/>
    <w:rsid w:val="5BD41FC1"/>
    <w:rsid w:val="5BDE751B"/>
    <w:rsid w:val="5BE15A6C"/>
    <w:rsid w:val="5BE72873"/>
    <w:rsid w:val="5BFF1238"/>
    <w:rsid w:val="5C000D17"/>
    <w:rsid w:val="5C072B21"/>
    <w:rsid w:val="5C0F2C68"/>
    <w:rsid w:val="5C1717C2"/>
    <w:rsid w:val="5C367357"/>
    <w:rsid w:val="5C450529"/>
    <w:rsid w:val="5C566F61"/>
    <w:rsid w:val="5C5E240A"/>
    <w:rsid w:val="5C6B34A4"/>
    <w:rsid w:val="5C79623E"/>
    <w:rsid w:val="5C9A3482"/>
    <w:rsid w:val="5CA3732E"/>
    <w:rsid w:val="5CAB38A1"/>
    <w:rsid w:val="5CC04E72"/>
    <w:rsid w:val="5CEC5C67"/>
    <w:rsid w:val="5D034CF6"/>
    <w:rsid w:val="5D135E9A"/>
    <w:rsid w:val="5D2A2868"/>
    <w:rsid w:val="5D302478"/>
    <w:rsid w:val="5D3C274B"/>
    <w:rsid w:val="5D4B0BE0"/>
    <w:rsid w:val="5D4C58D2"/>
    <w:rsid w:val="5D5206E8"/>
    <w:rsid w:val="5D5C131E"/>
    <w:rsid w:val="5D752101"/>
    <w:rsid w:val="5D87118C"/>
    <w:rsid w:val="5D973E25"/>
    <w:rsid w:val="5DA87DE0"/>
    <w:rsid w:val="5DAD53F7"/>
    <w:rsid w:val="5DB37135"/>
    <w:rsid w:val="5DBE7604"/>
    <w:rsid w:val="5DC50992"/>
    <w:rsid w:val="5DE33377"/>
    <w:rsid w:val="5DED1C97"/>
    <w:rsid w:val="5DED7EE9"/>
    <w:rsid w:val="5DFC3365"/>
    <w:rsid w:val="5DFD224D"/>
    <w:rsid w:val="5E084D23"/>
    <w:rsid w:val="5E101863"/>
    <w:rsid w:val="5E196F30"/>
    <w:rsid w:val="5E285DD7"/>
    <w:rsid w:val="5E3B6EA6"/>
    <w:rsid w:val="5E4E7AE2"/>
    <w:rsid w:val="5E530AA5"/>
    <w:rsid w:val="5E581806"/>
    <w:rsid w:val="5E5C0A2E"/>
    <w:rsid w:val="5E6F64A1"/>
    <w:rsid w:val="5E702CD8"/>
    <w:rsid w:val="5E7F7645"/>
    <w:rsid w:val="5E826883"/>
    <w:rsid w:val="5E916AC6"/>
    <w:rsid w:val="5E9465B6"/>
    <w:rsid w:val="5E9D3BBE"/>
    <w:rsid w:val="5EA57AD5"/>
    <w:rsid w:val="5EA815FD"/>
    <w:rsid w:val="5EC7698C"/>
    <w:rsid w:val="5EC944B2"/>
    <w:rsid w:val="5ED87C0A"/>
    <w:rsid w:val="5EDF7832"/>
    <w:rsid w:val="5EE40830"/>
    <w:rsid w:val="5EEF00C4"/>
    <w:rsid w:val="5F0B4827"/>
    <w:rsid w:val="5F1F168D"/>
    <w:rsid w:val="5F3A0F0C"/>
    <w:rsid w:val="5F546378"/>
    <w:rsid w:val="5F700DD2"/>
    <w:rsid w:val="5FA56CCD"/>
    <w:rsid w:val="5FA913B5"/>
    <w:rsid w:val="5FAF0A58"/>
    <w:rsid w:val="5FB62BC7"/>
    <w:rsid w:val="5FCB1F0B"/>
    <w:rsid w:val="602B08B8"/>
    <w:rsid w:val="60344795"/>
    <w:rsid w:val="604007A4"/>
    <w:rsid w:val="60427B6A"/>
    <w:rsid w:val="605129B1"/>
    <w:rsid w:val="60545FFD"/>
    <w:rsid w:val="605B3830"/>
    <w:rsid w:val="60600E46"/>
    <w:rsid w:val="606A2105"/>
    <w:rsid w:val="60945F86"/>
    <w:rsid w:val="609805E0"/>
    <w:rsid w:val="60A52CFD"/>
    <w:rsid w:val="60AF592A"/>
    <w:rsid w:val="60B62814"/>
    <w:rsid w:val="60C018E5"/>
    <w:rsid w:val="60DD3A26"/>
    <w:rsid w:val="611D2DF6"/>
    <w:rsid w:val="611F2AAF"/>
    <w:rsid w:val="61237025"/>
    <w:rsid w:val="61412A26"/>
    <w:rsid w:val="61487E4A"/>
    <w:rsid w:val="61622F10"/>
    <w:rsid w:val="616927E9"/>
    <w:rsid w:val="616E7593"/>
    <w:rsid w:val="61730824"/>
    <w:rsid w:val="617E2781"/>
    <w:rsid w:val="619A0532"/>
    <w:rsid w:val="619C5EAE"/>
    <w:rsid w:val="619F6C92"/>
    <w:rsid w:val="61A06982"/>
    <w:rsid w:val="61A42FB4"/>
    <w:rsid w:val="61AB4343"/>
    <w:rsid w:val="61B50D1E"/>
    <w:rsid w:val="61B76844"/>
    <w:rsid w:val="61C30C5E"/>
    <w:rsid w:val="61C7415B"/>
    <w:rsid w:val="61CF0031"/>
    <w:rsid w:val="61D81859"/>
    <w:rsid w:val="61DA69D6"/>
    <w:rsid w:val="61F84262"/>
    <w:rsid w:val="620579B7"/>
    <w:rsid w:val="621023F8"/>
    <w:rsid w:val="621E2D67"/>
    <w:rsid w:val="622163B3"/>
    <w:rsid w:val="623F0D34"/>
    <w:rsid w:val="62411FDB"/>
    <w:rsid w:val="62487DE4"/>
    <w:rsid w:val="624B1238"/>
    <w:rsid w:val="625213DB"/>
    <w:rsid w:val="62650996"/>
    <w:rsid w:val="6279241D"/>
    <w:rsid w:val="627E3805"/>
    <w:rsid w:val="62A212A2"/>
    <w:rsid w:val="62A50D92"/>
    <w:rsid w:val="62AA63A9"/>
    <w:rsid w:val="62B114E5"/>
    <w:rsid w:val="62B47227"/>
    <w:rsid w:val="62C6396E"/>
    <w:rsid w:val="62CF4061"/>
    <w:rsid w:val="62DB2A06"/>
    <w:rsid w:val="62EE2739"/>
    <w:rsid w:val="62EE428B"/>
    <w:rsid w:val="62FE38FF"/>
    <w:rsid w:val="630A191C"/>
    <w:rsid w:val="63416D0D"/>
    <w:rsid w:val="635011B8"/>
    <w:rsid w:val="63617C53"/>
    <w:rsid w:val="6363661A"/>
    <w:rsid w:val="63672613"/>
    <w:rsid w:val="636F7816"/>
    <w:rsid w:val="6370279B"/>
    <w:rsid w:val="63710DF7"/>
    <w:rsid w:val="637F7835"/>
    <w:rsid w:val="639A01CB"/>
    <w:rsid w:val="63A159FD"/>
    <w:rsid w:val="63C61514"/>
    <w:rsid w:val="63CA30D8"/>
    <w:rsid w:val="63CC234F"/>
    <w:rsid w:val="63DC07E4"/>
    <w:rsid w:val="63F41FD1"/>
    <w:rsid w:val="64011AE5"/>
    <w:rsid w:val="640146EE"/>
    <w:rsid w:val="64195594"/>
    <w:rsid w:val="64342AD1"/>
    <w:rsid w:val="646625F9"/>
    <w:rsid w:val="649015CE"/>
    <w:rsid w:val="649E3B6D"/>
    <w:rsid w:val="64A86918"/>
    <w:rsid w:val="64C25C2B"/>
    <w:rsid w:val="64CE0B72"/>
    <w:rsid w:val="64DB4988"/>
    <w:rsid w:val="64E060B2"/>
    <w:rsid w:val="651915C4"/>
    <w:rsid w:val="652A25AB"/>
    <w:rsid w:val="65402820"/>
    <w:rsid w:val="6543326D"/>
    <w:rsid w:val="656839B7"/>
    <w:rsid w:val="657B5F8E"/>
    <w:rsid w:val="659155FE"/>
    <w:rsid w:val="65960E66"/>
    <w:rsid w:val="65B50264"/>
    <w:rsid w:val="65CA5314"/>
    <w:rsid w:val="65D34577"/>
    <w:rsid w:val="65DA6FA5"/>
    <w:rsid w:val="660067B8"/>
    <w:rsid w:val="66486BB8"/>
    <w:rsid w:val="664A412A"/>
    <w:rsid w:val="66521231"/>
    <w:rsid w:val="6655119C"/>
    <w:rsid w:val="66807B4C"/>
    <w:rsid w:val="66910D2B"/>
    <w:rsid w:val="66C67529"/>
    <w:rsid w:val="66CF4630"/>
    <w:rsid w:val="66E53E53"/>
    <w:rsid w:val="66F2031E"/>
    <w:rsid w:val="66F3668F"/>
    <w:rsid w:val="66FF7F3D"/>
    <w:rsid w:val="6707201B"/>
    <w:rsid w:val="671367FA"/>
    <w:rsid w:val="671D539B"/>
    <w:rsid w:val="673035FE"/>
    <w:rsid w:val="67463B56"/>
    <w:rsid w:val="6751773B"/>
    <w:rsid w:val="67542D87"/>
    <w:rsid w:val="67702502"/>
    <w:rsid w:val="677150C7"/>
    <w:rsid w:val="67787D50"/>
    <w:rsid w:val="677D1965"/>
    <w:rsid w:val="67892A30"/>
    <w:rsid w:val="679B2764"/>
    <w:rsid w:val="67A07D7A"/>
    <w:rsid w:val="67B33099"/>
    <w:rsid w:val="67B943E8"/>
    <w:rsid w:val="67C47D6E"/>
    <w:rsid w:val="67CE6524"/>
    <w:rsid w:val="67D04DBA"/>
    <w:rsid w:val="67D31EFE"/>
    <w:rsid w:val="67F24A7A"/>
    <w:rsid w:val="67F85C34"/>
    <w:rsid w:val="68064081"/>
    <w:rsid w:val="680D3662"/>
    <w:rsid w:val="68110608"/>
    <w:rsid w:val="681D13CB"/>
    <w:rsid w:val="68273FF7"/>
    <w:rsid w:val="68281AB8"/>
    <w:rsid w:val="68444BA9"/>
    <w:rsid w:val="68476448"/>
    <w:rsid w:val="68506292"/>
    <w:rsid w:val="685226D3"/>
    <w:rsid w:val="68614B44"/>
    <w:rsid w:val="686236C1"/>
    <w:rsid w:val="68880F3A"/>
    <w:rsid w:val="689B59A1"/>
    <w:rsid w:val="68A76C8B"/>
    <w:rsid w:val="68AB231B"/>
    <w:rsid w:val="68B03FED"/>
    <w:rsid w:val="68BC0BE4"/>
    <w:rsid w:val="68BE2BAE"/>
    <w:rsid w:val="68C53F3C"/>
    <w:rsid w:val="68C74A62"/>
    <w:rsid w:val="68CA50AF"/>
    <w:rsid w:val="68CD1043"/>
    <w:rsid w:val="68D50A5C"/>
    <w:rsid w:val="68F4269F"/>
    <w:rsid w:val="68F774D8"/>
    <w:rsid w:val="6917406C"/>
    <w:rsid w:val="691B590A"/>
    <w:rsid w:val="692C0C80"/>
    <w:rsid w:val="693D0363"/>
    <w:rsid w:val="693E3CEF"/>
    <w:rsid w:val="69675B47"/>
    <w:rsid w:val="696B2119"/>
    <w:rsid w:val="69714616"/>
    <w:rsid w:val="697459BD"/>
    <w:rsid w:val="6976016E"/>
    <w:rsid w:val="69796AD5"/>
    <w:rsid w:val="698614C8"/>
    <w:rsid w:val="69924CAF"/>
    <w:rsid w:val="69A51678"/>
    <w:rsid w:val="69A84119"/>
    <w:rsid w:val="69BC28BE"/>
    <w:rsid w:val="69CA10DE"/>
    <w:rsid w:val="69DA1BE5"/>
    <w:rsid w:val="69DF498D"/>
    <w:rsid w:val="69E00902"/>
    <w:rsid w:val="69E3747F"/>
    <w:rsid w:val="69E937CB"/>
    <w:rsid w:val="6A350C4E"/>
    <w:rsid w:val="6A4115E1"/>
    <w:rsid w:val="6A4E1D0F"/>
    <w:rsid w:val="6A6E23B2"/>
    <w:rsid w:val="6A7177BA"/>
    <w:rsid w:val="6A7A2B04"/>
    <w:rsid w:val="6A7C687C"/>
    <w:rsid w:val="6A843983"/>
    <w:rsid w:val="6A8C42A6"/>
    <w:rsid w:val="6A9A589E"/>
    <w:rsid w:val="6A9C0CCD"/>
    <w:rsid w:val="6AAC36BF"/>
    <w:rsid w:val="6ABF49BB"/>
    <w:rsid w:val="6AC67AF8"/>
    <w:rsid w:val="6AD26D06"/>
    <w:rsid w:val="6AEC2E18"/>
    <w:rsid w:val="6AFE7291"/>
    <w:rsid w:val="6B0C26E9"/>
    <w:rsid w:val="6B0D3978"/>
    <w:rsid w:val="6B105217"/>
    <w:rsid w:val="6B1D0E25"/>
    <w:rsid w:val="6B252A70"/>
    <w:rsid w:val="6B286B57"/>
    <w:rsid w:val="6B380F1E"/>
    <w:rsid w:val="6B382482"/>
    <w:rsid w:val="6B5F7207"/>
    <w:rsid w:val="6B62131E"/>
    <w:rsid w:val="6B811C71"/>
    <w:rsid w:val="6B9419A4"/>
    <w:rsid w:val="6B9B0F84"/>
    <w:rsid w:val="6BAB4390"/>
    <w:rsid w:val="6BB02E29"/>
    <w:rsid w:val="6BB07F32"/>
    <w:rsid w:val="6BBC2A03"/>
    <w:rsid w:val="6BBC4607"/>
    <w:rsid w:val="6BD12C1C"/>
    <w:rsid w:val="6BE37CC5"/>
    <w:rsid w:val="6BFC2657"/>
    <w:rsid w:val="6BFF476F"/>
    <w:rsid w:val="6C044D7B"/>
    <w:rsid w:val="6C092392"/>
    <w:rsid w:val="6C1A04F7"/>
    <w:rsid w:val="6C2B5723"/>
    <w:rsid w:val="6C2D6AD7"/>
    <w:rsid w:val="6C2D6C9C"/>
    <w:rsid w:val="6C3D203B"/>
    <w:rsid w:val="6C3F4006"/>
    <w:rsid w:val="6C543D68"/>
    <w:rsid w:val="6C5A7C87"/>
    <w:rsid w:val="6C5C0714"/>
    <w:rsid w:val="6C6770B8"/>
    <w:rsid w:val="6C681E3D"/>
    <w:rsid w:val="6C726189"/>
    <w:rsid w:val="6C7819B1"/>
    <w:rsid w:val="6C7A2185"/>
    <w:rsid w:val="6C866D48"/>
    <w:rsid w:val="6C9C4FB4"/>
    <w:rsid w:val="6CB53FE8"/>
    <w:rsid w:val="6CBE13CE"/>
    <w:rsid w:val="6CC624EA"/>
    <w:rsid w:val="6CD0141F"/>
    <w:rsid w:val="6CDE10A7"/>
    <w:rsid w:val="6CFE0684"/>
    <w:rsid w:val="6D0C2BFA"/>
    <w:rsid w:val="6D194538"/>
    <w:rsid w:val="6D65184A"/>
    <w:rsid w:val="6D6C15A7"/>
    <w:rsid w:val="6D7B3E74"/>
    <w:rsid w:val="6D8C327A"/>
    <w:rsid w:val="6DA32372"/>
    <w:rsid w:val="6DB70DD5"/>
    <w:rsid w:val="6DC17CBB"/>
    <w:rsid w:val="6DCF13B9"/>
    <w:rsid w:val="6DD82022"/>
    <w:rsid w:val="6DEF55B7"/>
    <w:rsid w:val="6DFB3F5C"/>
    <w:rsid w:val="6DFD1A82"/>
    <w:rsid w:val="6E0E0C26"/>
    <w:rsid w:val="6E290AC9"/>
    <w:rsid w:val="6E6813FF"/>
    <w:rsid w:val="6E84712D"/>
    <w:rsid w:val="6E873A42"/>
    <w:rsid w:val="6E9543B1"/>
    <w:rsid w:val="6E964D33"/>
    <w:rsid w:val="6E970129"/>
    <w:rsid w:val="6EB26D11"/>
    <w:rsid w:val="6EB333C4"/>
    <w:rsid w:val="6EBE7983"/>
    <w:rsid w:val="6EDC3D8E"/>
    <w:rsid w:val="6EEB5DB6"/>
    <w:rsid w:val="6EF174B1"/>
    <w:rsid w:val="6EF90E1F"/>
    <w:rsid w:val="6F235519"/>
    <w:rsid w:val="6F255735"/>
    <w:rsid w:val="6F3277A9"/>
    <w:rsid w:val="6F437969"/>
    <w:rsid w:val="6F4F27B2"/>
    <w:rsid w:val="6F6B7630"/>
    <w:rsid w:val="6F977CB5"/>
    <w:rsid w:val="6F992790"/>
    <w:rsid w:val="6F9D14AD"/>
    <w:rsid w:val="6FB658FC"/>
    <w:rsid w:val="6FB673DF"/>
    <w:rsid w:val="6FBC64DE"/>
    <w:rsid w:val="6FE80510"/>
    <w:rsid w:val="700914C6"/>
    <w:rsid w:val="701A11C1"/>
    <w:rsid w:val="705931BC"/>
    <w:rsid w:val="706158BE"/>
    <w:rsid w:val="70634D1B"/>
    <w:rsid w:val="70694748"/>
    <w:rsid w:val="706E7F9D"/>
    <w:rsid w:val="70700C31"/>
    <w:rsid w:val="70726C6C"/>
    <w:rsid w:val="707E38C7"/>
    <w:rsid w:val="70810A07"/>
    <w:rsid w:val="70980188"/>
    <w:rsid w:val="70A22DB5"/>
    <w:rsid w:val="70A703CB"/>
    <w:rsid w:val="70A97C9F"/>
    <w:rsid w:val="70AE6124"/>
    <w:rsid w:val="70BD374B"/>
    <w:rsid w:val="70E909E4"/>
    <w:rsid w:val="70E94540"/>
    <w:rsid w:val="71045209"/>
    <w:rsid w:val="710F6A7D"/>
    <w:rsid w:val="714F4CEB"/>
    <w:rsid w:val="7157594D"/>
    <w:rsid w:val="71864485"/>
    <w:rsid w:val="71983564"/>
    <w:rsid w:val="71AB5738"/>
    <w:rsid w:val="71B11502"/>
    <w:rsid w:val="71B44B4E"/>
    <w:rsid w:val="71BB4C59"/>
    <w:rsid w:val="71D7083C"/>
    <w:rsid w:val="71DF6DDE"/>
    <w:rsid w:val="71F14AF3"/>
    <w:rsid w:val="720A6E64"/>
    <w:rsid w:val="721101F2"/>
    <w:rsid w:val="722C2936"/>
    <w:rsid w:val="72420550"/>
    <w:rsid w:val="724D07EA"/>
    <w:rsid w:val="72522CC7"/>
    <w:rsid w:val="725400DF"/>
    <w:rsid w:val="72800ED4"/>
    <w:rsid w:val="7298621E"/>
    <w:rsid w:val="729B6301"/>
    <w:rsid w:val="72A946A6"/>
    <w:rsid w:val="72B42230"/>
    <w:rsid w:val="72D500BF"/>
    <w:rsid w:val="72E71B23"/>
    <w:rsid w:val="72F378F8"/>
    <w:rsid w:val="72F4359E"/>
    <w:rsid w:val="73016AAA"/>
    <w:rsid w:val="73071100"/>
    <w:rsid w:val="731A6C33"/>
    <w:rsid w:val="732B25B2"/>
    <w:rsid w:val="733749E1"/>
    <w:rsid w:val="733D0B73"/>
    <w:rsid w:val="734B14E2"/>
    <w:rsid w:val="7352461E"/>
    <w:rsid w:val="73532145"/>
    <w:rsid w:val="73661E78"/>
    <w:rsid w:val="736B56E0"/>
    <w:rsid w:val="73903399"/>
    <w:rsid w:val="739369E5"/>
    <w:rsid w:val="73972979"/>
    <w:rsid w:val="73B2330F"/>
    <w:rsid w:val="73C02A69"/>
    <w:rsid w:val="73C66DBA"/>
    <w:rsid w:val="73C848E1"/>
    <w:rsid w:val="73C87B98"/>
    <w:rsid w:val="73DC213A"/>
    <w:rsid w:val="73DE4104"/>
    <w:rsid w:val="73EB2CA7"/>
    <w:rsid w:val="73EC3188"/>
    <w:rsid w:val="73F94F64"/>
    <w:rsid w:val="73FB2F08"/>
    <w:rsid w:val="74033665"/>
    <w:rsid w:val="74037D2D"/>
    <w:rsid w:val="74054476"/>
    <w:rsid w:val="74070338"/>
    <w:rsid w:val="7416243F"/>
    <w:rsid w:val="741C4C2C"/>
    <w:rsid w:val="742B065D"/>
    <w:rsid w:val="745F53A2"/>
    <w:rsid w:val="747B2BE8"/>
    <w:rsid w:val="74820F33"/>
    <w:rsid w:val="74830E88"/>
    <w:rsid w:val="74844CAB"/>
    <w:rsid w:val="749D5D6D"/>
    <w:rsid w:val="74A7141D"/>
    <w:rsid w:val="74B44EC7"/>
    <w:rsid w:val="74BE262B"/>
    <w:rsid w:val="74BF5CE3"/>
    <w:rsid w:val="74D3178F"/>
    <w:rsid w:val="74DB1A28"/>
    <w:rsid w:val="75184E92"/>
    <w:rsid w:val="751B4DE5"/>
    <w:rsid w:val="75390090"/>
    <w:rsid w:val="7553467E"/>
    <w:rsid w:val="756D2878"/>
    <w:rsid w:val="75703482"/>
    <w:rsid w:val="75722D56"/>
    <w:rsid w:val="758B02BC"/>
    <w:rsid w:val="75906E08"/>
    <w:rsid w:val="759F5B15"/>
    <w:rsid w:val="75BC4F67"/>
    <w:rsid w:val="75BE0CA2"/>
    <w:rsid w:val="75C12BF5"/>
    <w:rsid w:val="75D27C98"/>
    <w:rsid w:val="75E83018"/>
    <w:rsid w:val="75E874BC"/>
    <w:rsid w:val="75F54172"/>
    <w:rsid w:val="75F714AD"/>
    <w:rsid w:val="75FE283B"/>
    <w:rsid w:val="760E166A"/>
    <w:rsid w:val="76133454"/>
    <w:rsid w:val="76263B40"/>
    <w:rsid w:val="762D1373"/>
    <w:rsid w:val="76386FE0"/>
    <w:rsid w:val="763B75EC"/>
    <w:rsid w:val="763D5EC9"/>
    <w:rsid w:val="764F3097"/>
    <w:rsid w:val="76607F98"/>
    <w:rsid w:val="766A10B5"/>
    <w:rsid w:val="766C3C49"/>
    <w:rsid w:val="767A2C9B"/>
    <w:rsid w:val="768C03AE"/>
    <w:rsid w:val="76A76B2F"/>
    <w:rsid w:val="76B93F19"/>
    <w:rsid w:val="76C41554"/>
    <w:rsid w:val="76C770D1"/>
    <w:rsid w:val="76CA4E14"/>
    <w:rsid w:val="76CC7B07"/>
    <w:rsid w:val="76D23B71"/>
    <w:rsid w:val="76D773C6"/>
    <w:rsid w:val="77057BFA"/>
    <w:rsid w:val="770C0F88"/>
    <w:rsid w:val="77147E3D"/>
    <w:rsid w:val="77194CE2"/>
    <w:rsid w:val="771A36A5"/>
    <w:rsid w:val="771C566F"/>
    <w:rsid w:val="773710A5"/>
    <w:rsid w:val="77414717"/>
    <w:rsid w:val="776E014A"/>
    <w:rsid w:val="776E65E7"/>
    <w:rsid w:val="779276DF"/>
    <w:rsid w:val="779D7E32"/>
    <w:rsid w:val="77B238DE"/>
    <w:rsid w:val="77B86B25"/>
    <w:rsid w:val="77B92EBE"/>
    <w:rsid w:val="77C2671B"/>
    <w:rsid w:val="77CA50CB"/>
    <w:rsid w:val="77D54204"/>
    <w:rsid w:val="77D912A0"/>
    <w:rsid w:val="77ED0DBA"/>
    <w:rsid w:val="781B08C4"/>
    <w:rsid w:val="78276B74"/>
    <w:rsid w:val="784604CA"/>
    <w:rsid w:val="7858337E"/>
    <w:rsid w:val="7859644F"/>
    <w:rsid w:val="7863107C"/>
    <w:rsid w:val="7866291A"/>
    <w:rsid w:val="78BC253A"/>
    <w:rsid w:val="78CC398B"/>
    <w:rsid w:val="78E678E8"/>
    <w:rsid w:val="78EA354B"/>
    <w:rsid w:val="79121A2E"/>
    <w:rsid w:val="792F20D7"/>
    <w:rsid w:val="7936053E"/>
    <w:rsid w:val="793B7903"/>
    <w:rsid w:val="793F3897"/>
    <w:rsid w:val="794246E2"/>
    <w:rsid w:val="79494343"/>
    <w:rsid w:val="79587293"/>
    <w:rsid w:val="798C015E"/>
    <w:rsid w:val="79974FB4"/>
    <w:rsid w:val="79975481"/>
    <w:rsid w:val="79982FA7"/>
    <w:rsid w:val="79A04AE9"/>
    <w:rsid w:val="79BD2A0E"/>
    <w:rsid w:val="79BD656A"/>
    <w:rsid w:val="79C1605A"/>
    <w:rsid w:val="79D00993"/>
    <w:rsid w:val="79D07A75"/>
    <w:rsid w:val="79D74B58"/>
    <w:rsid w:val="79E45206"/>
    <w:rsid w:val="79E83AEF"/>
    <w:rsid w:val="79F503F9"/>
    <w:rsid w:val="79FF4DD4"/>
    <w:rsid w:val="79FF6B82"/>
    <w:rsid w:val="7A122D59"/>
    <w:rsid w:val="7A2A00A3"/>
    <w:rsid w:val="7A33053A"/>
    <w:rsid w:val="7A4078C7"/>
    <w:rsid w:val="7A5213A8"/>
    <w:rsid w:val="7A680BCB"/>
    <w:rsid w:val="7A6B4218"/>
    <w:rsid w:val="7A6C06BC"/>
    <w:rsid w:val="7A735C28"/>
    <w:rsid w:val="7A7B26AD"/>
    <w:rsid w:val="7A8A0B42"/>
    <w:rsid w:val="7A950625"/>
    <w:rsid w:val="7A9C0875"/>
    <w:rsid w:val="7AA17C39"/>
    <w:rsid w:val="7AB160CE"/>
    <w:rsid w:val="7AB930CE"/>
    <w:rsid w:val="7AB94F83"/>
    <w:rsid w:val="7ACA53E2"/>
    <w:rsid w:val="7AD149C3"/>
    <w:rsid w:val="7AD70CC3"/>
    <w:rsid w:val="7ADC6EC3"/>
    <w:rsid w:val="7AE6171D"/>
    <w:rsid w:val="7AF749EC"/>
    <w:rsid w:val="7B03623F"/>
    <w:rsid w:val="7B0F7299"/>
    <w:rsid w:val="7B137904"/>
    <w:rsid w:val="7B29035B"/>
    <w:rsid w:val="7B310FBD"/>
    <w:rsid w:val="7B5A7B6A"/>
    <w:rsid w:val="7B643141"/>
    <w:rsid w:val="7B7D4202"/>
    <w:rsid w:val="7B841A35"/>
    <w:rsid w:val="7B88353D"/>
    <w:rsid w:val="7BA07D28"/>
    <w:rsid w:val="7BA15DC2"/>
    <w:rsid w:val="7BA63759"/>
    <w:rsid w:val="7BB809A9"/>
    <w:rsid w:val="7BC428B0"/>
    <w:rsid w:val="7BE6624C"/>
    <w:rsid w:val="7BFB59C6"/>
    <w:rsid w:val="7C0466D2"/>
    <w:rsid w:val="7C0B6B6A"/>
    <w:rsid w:val="7C173577"/>
    <w:rsid w:val="7C1903CF"/>
    <w:rsid w:val="7C1E3C37"/>
    <w:rsid w:val="7C266648"/>
    <w:rsid w:val="7C613B24"/>
    <w:rsid w:val="7C6453C2"/>
    <w:rsid w:val="7C6A6EAB"/>
    <w:rsid w:val="7C6F042B"/>
    <w:rsid w:val="7C7750F6"/>
    <w:rsid w:val="7C86358B"/>
    <w:rsid w:val="7C885DE0"/>
    <w:rsid w:val="7CA8270B"/>
    <w:rsid w:val="7CAE2BAE"/>
    <w:rsid w:val="7CB92E6E"/>
    <w:rsid w:val="7CD40F84"/>
    <w:rsid w:val="7CD75B94"/>
    <w:rsid w:val="7CE87DA1"/>
    <w:rsid w:val="7CFE6A51"/>
    <w:rsid w:val="7D0C1CE2"/>
    <w:rsid w:val="7D342FE7"/>
    <w:rsid w:val="7D4937F0"/>
    <w:rsid w:val="7D513B99"/>
    <w:rsid w:val="7D570460"/>
    <w:rsid w:val="7D5F5C08"/>
    <w:rsid w:val="7D625DA6"/>
    <w:rsid w:val="7D627B54"/>
    <w:rsid w:val="7D641B1E"/>
    <w:rsid w:val="7D7B0C16"/>
    <w:rsid w:val="7D7C30CE"/>
    <w:rsid w:val="7D8076C0"/>
    <w:rsid w:val="7D8F646F"/>
    <w:rsid w:val="7DBE54A9"/>
    <w:rsid w:val="7DDA033E"/>
    <w:rsid w:val="7DED5D95"/>
    <w:rsid w:val="7DFD787D"/>
    <w:rsid w:val="7E175980"/>
    <w:rsid w:val="7E1B0471"/>
    <w:rsid w:val="7E3808B5"/>
    <w:rsid w:val="7E3A6980"/>
    <w:rsid w:val="7E3D126D"/>
    <w:rsid w:val="7E3D731F"/>
    <w:rsid w:val="7E3F1C43"/>
    <w:rsid w:val="7E671069"/>
    <w:rsid w:val="7E7F1C99"/>
    <w:rsid w:val="7E9300B5"/>
    <w:rsid w:val="7E98034C"/>
    <w:rsid w:val="7E9A585D"/>
    <w:rsid w:val="7EA92836"/>
    <w:rsid w:val="7EAA7A04"/>
    <w:rsid w:val="7EB443DF"/>
    <w:rsid w:val="7EB4618D"/>
    <w:rsid w:val="7EB566C7"/>
    <w:rsid w:val="7ECC2A41"/>
    <w:rsid w:val="7ED06D3F"/>
    <w:rsid w:val="7EDC652F"/>
    <w:rsid w:val="7EE73BF6"/>
    <w:rsid w:val="7F0B0898"/>
    <w:rsid w:val="7F121106"/>
    <w:rsid w:val="7F25708B"/>
    <w:rsid w:val="7F271055"/>
    <w:rsid w:val="7F2A45EB"/>
    <w:rsid w:val="7F315A30"/>
    <w:rsid w:val="7F484B27"/>
    <w:rsid w:val="7F4C286A"/>
    <w:rsid w:val="7F547198"/>
    <w:rsid w:val="7F59582E"/>
    <w:rsid w:val="7F5C05D3"/>
    <w:rsid w:val="7F6406A7"/>
    <w:rsid w:val="7F7113C7"/>
    <w:rsid w:val="7F7E5BAF"/>
    <w:rsid w:val="7F9A4CEF"/>
    <w:rsid w:val="7F9F1199"/>
    <w:rsid w:val="7FA06711"/>
    <w:rsid w:val="7FB95B5C"/>
    <w:rsid w:val="7FCE0093"/>
    <w:rsid w:val="7FD10FC1"/>
    <w:rsid w:val="7FD25273"/>
    <w:rsid w:val="7FE2704E"/>
    <w:rsid w:val="7FE726DE"/>
    <w:rsid w:val="7FEA5394"/>
    <w:rsid w:val="7FEB3B6B"/>
    <w:rsid w:val="7FF13411"/>
    <w:rsid w:val="7FF57F11"/>
    <w:rsid w:val="7FF66C44"/>
    <w:rsid w:val="7FFA0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beforeLines="0" w:after="240" w:afterLines="0"/>
      <w:ind w:firstLine="0" w:firstLineChars="0"/>
      <w:jc w:val="center"/>
      <w:outlineLvl w:val="0"/>
    </w:pPr>
    <w:rPr>
      <w:rFonts w:eastAsia="黑体"/>
      <w:b/>
      <w:bCs/>
      <w:kern w:val="44"/>
      <w:sz w:val="36"/>
      <w:szCs w:val="44"/>
    </w:rPr>
  </w:style>
  <w:style w:type="paragraph" w:styleId="3">
    <w:name w:val="heading 2"/>
    <w:basedOn w:val="1"/>
    <w:next w:val="1"/>
    <w:qFormat/>
    <w:uiPriority w:val="0"/>
    <w:pPr>
      <w:keepNext/>
      <w:keepLines/>
      <w:outlineLvl w:val="1"/>
    </w:pPr>
    <w:rPr>
      <w:rFonts w:ascii="黑体" w:eastAsia="黑体"/>
    </w:rPr>
  </w:style>
  <w:style w:type="paragraph" w:styleId="4">
    <w:name w:val="heading 3"/>
    <w:basedOn w:val="1"/>
    <w:next w:val="1"/>
    <w:qFormat/>
    <w:uiPriority w:val="0"/>
    <w:pPr>
      <w:keepNext/>
      <w:keepLines/>
      <w:outlineLvl w:val="2"/>
    </w:pPr>
    <w:rPr>
      <w:rFonts w:eastAsia="黑体"/>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7"/>
    <w:basedOn w:val="1"/>
    <w:next w:val="1"/>
    <w:qFormat/>
    <w:uiPriority w:val="1"/>
    <w:pPr>
      <w:ind w:left="216"/>
      <w:outlineLvl w:val="7"/>
    </w:pPr>
    <w:rPr>
      <w:rFonts w:ascii="Microsoft JhengHei" w:hAnsi="Microsoft JhengHei" w:eastAsia="Microsoft JhengHei" w:cs="Microsoft JhengHei"/>
      <w:b/>
      <w:bCs/>
      <w:sz w:val="24"/>
      <w:szCs w:val="24"/>
      <w:lang w:val="zh-CN" w:eastAsia="zh-CN" w:bidi="zh-CN"/>
    </w:rPr>
  </w:style>
  <w:style w:type="character" w:default="1" w:styleId="29">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qFormat/>
    <w:uiPriority w:val="0"/>
    <w:pPr>
      <w:ind w:firstLine="420"/>
    </w:pPr>
  </w:style>
  <w:style w:type="paragraph" w:styleId="8">
    <w:name w:val="Body Text First Indent 2"/>
    <w:basedOn w:val="1"/>
    <w:next w:val="1"/>
    <w:qFormat/>
    <w:uiPriority w:val="0"/>
    <w:pPr>
      <w:ind w:firstLine="420"/>
    </w:pPr>
  </w:style>
  <w:style w:type="paragraph" w:styleId="9">
    <w:name w:val="annotation text"/>
    <w:basedOn w:val="1"/>
    <w:qFormat/>
    <w:uiPriority w:val="0"/>
    <w:pPr>
      <w:jc w:val="left"/>
    </w:pPr>
  </w:style>
  <w:style w:type="paragraph" w:styleId="10">
    <w:name w:val="Body Text"/>
    <w:basedOn w:val="1"/>
    <w:qFormat/>
    <w:uiPriority w:val="0"/>
    <w:rPr>
      <w:sz w:val="18"/>
    </w:rPr>
  </w:style>
  <w:style w:type="paragraph" w:styleId="11">
    <w:name w:val="Body Text Indent"/>
    <w:basedOn w:val="1"/>
    <w:next w:val="12"/>
    <w:qFormat/>
    <w:uiPriority w:val="0"/>
    <w:pPr>
      <w:spacing w:line="560" w:lineRule="exact"/>
      <w:ind w:firstLine="560" w:firstLineChars="200"/>
    </w:pPr>
    <w:rPr>
      <w:sz w:val="28"/>
    </w:rPr>
  </w:style>
  <w:style w:type="paragraph" w:styleId="12">
    <w:name w:val="header"/>
    <w:basedOn w:val="1"/>
    <w:next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3">
    <w:name w:val="样式5"/>
    <w:basedOn w:val="14"/>
    <w:qFormat/>
    <w:uiPriority w:val="0"/>
    <w:pPr>
      <w:keepNext/>
      <w:keepLines/>
      <w:spacing w:line="240" w:lineRule="atLeast"/>
      <w:ind w:firstLine="0" w:firstLineChars="0"/>
      <w:jc w:val="center"/>
      <w:outlineLvl w:val="3"/>
    </w:pPr>
    <w:rPr>
      <w:rFonts w:hAnsi="宋体"/>
      <w:color w:val="000000"/>
      <w:sz w:val="20"/>
      <w:szCs w:val="21"/>
    </w:rPr>
  </w:style>
  <w:style w:type="paragraph" w:customStyle="1" w:styleId="14">
    <w:name w:val="正文1"/>
    <w:basedOn w:val="11"/>
    <w:next w:val="1"/>
    <w:qFormat/>
    <w:uiPriority w:val="0"/>
    <w:pPr>
      <w:adjustRightInd w:val="0"/>
      <w:spacing w:line="360" w:lineRule="atLeast"/>
      <w:textAlignment w:val="baseline"/>
    </w:pPr>
    <w:rPr>
      <w:rFonts w:ascii="宋体"/>
      <w:szCs w:val="22"/>
    </w:rPr>
  </w:style>
  <w:style w:type="paragraph" w:styleId="15">
    <w:name w:val="List 2"/>
    <w:basedOn w:val="1"/>
    <w:qFormat/>
    <w:uiPriority w:val="0"/>
    <w:pPr>
      <w:ind w:left="100" w:leftChars="200" w:hanging="200" w:hangingChars="200"/>
      <w:contextualSpacing/>
    </w:pPr>
  </w:style>
  <w:style w:type="paragraph" w:styleId="16">
    <w:name w:val="Plain Text"/>
    <w:basedOn w:val="1"/>
    <w:next w:val="1"/>
    <w:autoRedefine/>
    <w:qFormat/>
    <w:uiPriority w:val="99"/>
    <w:rPr>
      <w:rFonts w:ascii="宋体" w:hAnsi="Courier New"/>
      <w:sz w:val="28"/>
    </w:rPr>
  </w:style>
  <w:style w:type="paragraph" w:styleId="17">
    <w:name w:val="Body Text Indent 2"/>
    <w:basedOn w:val="1"/>
    <w:next w:val="10"/>
    <w:qFormat/>
    <w:uiPriority w:val="0"/>
    <w:pPr>
      <w:widowControl w:val="0"/>
      <w:spacing w:line="480" w:lineRule="auto"/>
      <w:ind w:left="200" w:leftChars="200"/>
      <w:jc w:val="both"/>
    </w:pPr>
    <w:rPr>
      <w:rFonts w:ascii="Calibri" w:hAnsi="Calibri" w:eastAsia="宋体" w:cs="Arial"/>
      <w:kern w:val="2"/>
      <w:sz w:val="21"/>
      <w:szCs w:val="24"/>
      <w:lang w:val="en-US" w:eastAsia="zh-CN" w:bidi="ar-SA"/>
    </w:rPr>
  </w:style>
  <w:style w:type="paragraph" w:styleId="18">
    <w:name w:val="footer"/>
    <w:basedOn w:val="1"/>
    <w:autoRedefine/>
    <w:qFormat/>
    <w:uiPriority w:val="0"/>
    <w:pPr>
      <w:tabs>
        <w:tab w:val="center" w:pos="4153"/>
        <w:tab w:val="right" w:pos="8306"/>
      </w:tabs>
      <w:snapToGrid w:val="0"/>
      <w:jc w:val="left"/>
    </w:pPr>
    <w:rPr>
      <w:sz w:val="18"/>
      <w:szCs w:val="18"/>
    </w:rPr>
  </w:style>
  <w:style w:type="paragraph" w:styleId="19">
    <w:name w:val="toc 1"/>
    <w:basedOn w:val="1"/>
    <w:next w:val="1"/>
    <w:autoRedefine/>
    <w:qFormat/>
    <w:uiPriority w:val="0"/>
  </w:style>
  <w:style w:type="paragraph" w:styleId="20">
    <w:name w:val="Subtitle"/>
    <w:basedOn w:val="1"/>
    <w:next w:val="1"/>
    <w:autoRedefine/>
    <w:qFormat/>
    <w:uiPriority w:val="0"/>
    <w:pPr>
      <w:jc w:val="center"/>
    </w:pPr>
    <w:rPr>
      <w:rFonts w:ascii="font-weight : 400" w:hAnsi="font-weight : 400" w:eastAsia="宋体"/>
      <w:bCs/>
      <w:kern w:val="28"/>
      <w:sz w:val="21"/>
      <w:szCs w:val="32"/>
    </w:rPr>
  </w:style>
  <w:style w:type="paragraph" w:styleId="21">
    <w:name w:val="List"/>
    <w:basedOn w:val="1"/>
    <w:autoRedefine/>
    <w:qFormat/>
    <w:uiPriority w:val="0"/>
    <w:pPr>
      <w:spacing w:after="120" w:line="360" w:lineRule="auto"/>
      <w:jc w:val="center"/>
    </w:pPr>
    <w:rPr>
      <w:sz w:val="28"/>
      <w:szCs w:val="20"/>
    </w:rPr>
  </w:style>
  <w:style w:type="paragraph" w:styleId="22">
    <w:name w:val="table of figures"/>
    <w:basedOn w:val="1"/>
    <w:next w:val="1"/>
    <w:autoRedefine/>
    <w:qFormat/>
    <w:uiPriority w:val="0"/>
    <w:pPr>
      <w:ind w:left="200" w:leftChars="200" w:hanging="200" w:hangingChars="200"/>
    </w:p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4">
    <w:name w:val="Title"/>
    <w:basedOn w:val="1"/>
    <w:autoRedefine/>
    <w:qFormat/>
    <w:uiPriority w:val="0"/>
    <w:pPr>
      <w:keepNext w:val="0"/>
      <w:keepLines w:val="0"/>
      <w:widowControl w:val="0"/>
      <w:suppressLineNumbers w:val="0"/>
      <w:spacing w:before="240" w:beforeAutospacing="0" w:after="60" w:afterAutospacing="0"/>
      <w:jc w:val="center"/>
      <w:outlineLvl w:val="0"/>
    </w:pPr>
    <w:rPr>
      <w:rFonts w:hint="default" w:ascii="Cambria" w:hAnsi="Cambria" w:eastAsia="宋体" w:cs="Times New Roman"/>
      <w:b/>
      <w:kern w:val="36"/>
      <w:sz w:val="32"/>
      <w:szCs w:val="32"/>
      <w:lang w:val="en-US" w:eastAsia="zh-CN" w:bidi="ar"/>
    </w:rPr>
  </w:style>
  <w:style w:type="paragraph" w:styleId="25">
    <w:name w:val="Body Text First Indent"/>
    <w:basedOn w:val="10"/>
    <w:semiHidden/>
    <w:unhideWhenUsed/>
    <w:qFormat/>
    <w:uiPriority w:val="0"/>
    <w:pPr>
      <w:spacing w:beforeLines="0" w:afterLines="0" w:line="240" w:lineRule="auto"/>
      <w:ind w:firstLine="420" w:firstLineChars="100"/>
      <w:jc w:val="both"/>
    </w:pPr>
    <w:rPr>
      <w:rFonts w:ascii="Times New Roman" w:hAnsi="Times New Roman" w:eastAsia="宋体"/>
      <w:kern w:val="2"/>
      <w:sz w:val="21"/>
      <w:szCs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Elegant"/>
    <w:basedOn w:val="26"/>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30">
    <w:name w:val="Strong"/>
    <w:basedOn w:val="29"/>
    <w:qFormat/>
    <w:uiPriority w:val="0"/>
    <w:rPr>
      <w:b/>
    </w:rPr>
  </w:style>
  <w:style w:type="character" w:styleId="31">
    <w:name w:val="page number"/>
    <w:basedOn w:val="29"/>
    <w:autoRedefine/>
    <w:qFormat/>
    <w:uiPriority w:val="0"/>
  </w:style>
  <w:style w:type="character" w:styleId="32">
    <w:name w:val="Emphasis"/>
    <w:basedOn w:val="29"/>
    <w:autoRedefine/>
    <w:qFormat/>
    <w:uiPriority w:val="20"/>
    <w:rPr>
      <w:i/>
      <w:iCs/>
    </w:rPr>
  </w:style>
  <w:style w:type="character" w:styleId="33">
    <w:name w:val="Hyperlink"/>
    <w:basedOn w:val="29"/>
    <w:autoRedefine/>
    <w:qFormat/>
    <w:uiPriority w:val="0"/>
    <w:rPr>
      <w:color w:val="0000FF"/>
      <w:u w:val="single"/>
    </w:rPr>
  </w:style>
  <w:style w:type="paragraph" w:customStyle="1" w:styleId="34">
    <w:name w:val="表头"/>
    <w:basedOn w:val="21"/>
    <w:next w:val="1"/>
    <w:autoRedefine/>
    <w:qFormat/>
    <w:uiPriority w:val="0"/>
    <w:pPr>
      <w:tabs>
        <w:tab w:val="left" w:pos="893"/>
      </w:tabs>
    </w:pPr>
    <w:rPr>
      <w:rFonts w:eastAsia="黑体" w:cstheme="minorBidi"/>
    </w:rPr>
  </w:style>
  <w:style w:type="paragraph" w:customStyle="1" w:styleId="35">
    <w:name w:val="表格"/>
    <w:basedOn w:val="34"/>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36">
    <w:name w:val="Table Text"/>
    <w:basedOn w:val="37"/>
    <w:qFormat/>
    <w:uiPriority w:val="0"/>
    <w:rPr>
      <w:b w:val="0"/>
    </w:rPr>
  </w:style>
  <w:style w:type="paragraph" w:customStyle="1" w:styleId="37">
    <w:name w:val="Table Column Headings"/>
    <w:qFormat/>
    <w:uiPriority w:val="0"/>
    <w:pPr>
      <w:keepLines/>
      <w:jc w:val="center"/>
    </w:pPr>
    <w:rPr>
      <w:rFonts w:ascii="Cambria" w:hAnsi="Cambria" w:eastAsia="宋体" w:cs="Times New Roman"/>
      <w:b/>
      <w:szCs w:val="18"/>
      <w:lang w:val="en-US" w:eastAsia="en-US" w:bidi="ar-SA"/>
    </w:rPr>
  </w:style>
  <w:style w:type="paragraph" w:customStyle="1" w:styleId="38">
    <w:name w:val="Default"/>
    <w:basedOn w:val="39"/>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纯文本1"/>
    <w:basedOn w:val="1"/>
    <w:autoRedefine/>
    <w:qFormat/>
    <w:uiPriority w:val="0"/>
    <w:rPr>
      <w:rFonts w:ascii="宋体" w:hAnsi="Courier New"/>
      <w:kern w:val="0"/>
      <w:sz w:val="20"/>
      <w:szCs w:val="20"/>
    </w:rPr>
  </w:style>
  <w:style w:type="paragraph" w:customStyle="1" w:styleId="40">
    <w:name w:val="表内式样"/>
    <w:qFormat/>
    <w:uiPriority w:val="0"/>
    <w:pPr>
      <w:widowControl w:val="0"/>
      <w:snapToGrid w:val="0"/>
      <w:jc w:val="center"/>
    </w:pPr>
    <w:rPr>
      <w:rFonts w:ascii="Times New Roman" w:hAnsi="Times New Roman" w:eastAsia="宋体" w:cs="Times New Roman"/>
      <w:color w:val="000000"/>
      <w:kern w:val="2"/>
      <w:sz w:val="21"/>
      <w:lang w:val="en-US" w:eastAsia="zh-CN" w:bidi="ar-SA"/>
    </w:rPr>
  </w:style>
  <w:style w:type="paragraph" w:customStyle="1" w:styleId="41">
    <w:name w:val="样式 正文缩进正文缩进2正文缩进 Char Char正文缩进 Char Char Char Char正文缩进 Char ..."/>
    <w:basedOn w:val="7"/>
    <w:autoRedefine/>
    <w:qFormat/>
    <w:uiPriority w:val="0"/>
    <w:pPr>
      <w:spacing w:line="360" w:lineRule="auto"/>
      <w:ind w:firstLine="200"/>
    </w:pPr>
    <w:rPr>
      <w:rFonts w:cs="宋体"/>
      <w:sz w:val="24"/>
    </w:rPr>
  </w:style>
  <w:style w:type="paragraph" w:customStyle="1" w:styleId="42">
    <w:name w:val="[1]正文"/>
    <w:basedOn w:val="1"/>
    <w:qFormat/>
    <w:uiPriority w:val="0"/>
    <w:pPr>
      <w:autoSpaceDE w:val="0"/>
      <w:autoSpaceDN w:val="0"/>
    </w:pPr>
    <w:rPr>
      <w:color w:val="000000"/>
      <w:kern w:val="0"/>
      <w:lang w:val="zh-CN"/>
    </w:rPr>
  </w:style>
  <w:style w:type="paragraph" w:customStyle="1" w:styleId="43">
    <w:name w:val="BodyText"/>
    <w:basedOn w:val="1"/>
    <w:next w:val="44"/>
    <w:autoRedefine/>
    <w:qFormat/>
    <w:uiPriority w:val="0"/>
    <w:pPr>
      <w:widowControl/>
      <w:spacing w:after="200"/>
      <w:jc w:val="center"/>
      <w:textAlignment w:val="baseline"/>
    </w:pPr>
    <w:rPr>
      <w:rFonts w:ascii="Calibri" w:hAnsi="Calibri" w:eastAsia="宋体" w:cs="Times New Roman"/>
      <w:kern w:val="0"/>
      <w:szCs w:val="24"/>
      <w:lang w:eastAsia="en-US" w:bidi="en-US"/>
    </w:rPr>
  </w:style>
  <w:style w:type="paragraph" w:customStyle="1" w:styleId="44">
    <w:name w:val="ListBullet5"/>
    <w:basedOn w:val="1"/>
    <w:qFormat/>
    <w:uiPriority w:val="0"/>
    <w:pPr>
      <w:numPr>
        <w:ilvl w:val="0"/>
        <w:numId w:val="1"/>
      </w:numPr>
      <w:textAlignment w:val="baseline"/>
    </w:pPr>
    <w:rPr>
      <w:rFonts w:ascii="Times New Roman" w:hAnsi="Times New Roman" w:eastAsia="宋体" w:cs="Times New Roman"/>
      <w:szCs w:val="24"/>
    </w:rPr>
  </w:style>
  <w:style w:type="paragraph" w:customStyle="1" w:styleId="45">
    <w:name w:val="A正文"/>
    <w:basedOn w:val="1"/>
    <w:autoRedefine/>
    <w:qFormat/>
    <w:uiPriority w:val="0"/>
    <w:pPr>
      <w:tabs>
        <w:tab w:val="left" w:pos="893"/>
      </w:tabs>
      <w:spacing w:before="100" w:beforeAutospacing="1"/>
      <w:jc w:val="left"/>
    </w:pPr>
    <w:rPr>
      <w:snapToGrid w:val="0"/>
      <w:kern w:val="0"/>
      <w:szCs w:val="20"/>
      <w:lang w:val="zh-CN"/>
    </w:rPr>
  </w:style>
  <w:style w:type="paragraph" w:customStyle="1" w:styleId="46">
    <w:name w:val="表格标题"/>
    <w:basedOn w:val="1"/>
    <w:autoRedefine/>
    <w:qFormat/>
    <w:uiPriority w:val="0"/>
    <w:pPr>
      <w:adjustRightInd w:val="0"/>
      <w:snapToGrid w:val="0"/>
      <w:spacing w:after="124" w:afterLines="40"/>
      <w:jc w:val="center"/>
    </w:pPr>
    <w:rPr>
      <w:b/>
    </w:rPr>
  </w:style>
  <w:style w:type="paragraph" w:customStyle="1" w:styleId="47">
    <w:name w:val="4正文"/>
    <w:basedOn w:val="11"/>
    <w:next w:val="15"/>
    <w:qFormat/>
    <w:uiPriority w:val="0"/>
    <w:rPr>
      <w:szCs w:val="22"/>
      <w:lang w:val="zh-CN"/>
    </w:rPr>
  </w:style>
  <w:style w:type="paragraph" w:customStyle="1" w:styleId="48">
    <w:name w:val="表格五号"/>
    <w:basedOn w:val="1"/>
    <w:qFormat/>
    <w:uiPriority w:val="0"/>
    <w:pPr>
      <w:jc w:val="center"/>
    </w:pPr>
    <w:rPr>
      <w:rFonts w:eastAsiaTheme="minorEastAsia" w:cstheme="minorBidi"/>
      <w:szCs w:val="15"/>
    </w:rPr>
  </w:style>
  <w:style w:type="paragraph" w:customStyle="1" w:styleId="49">
    <w:name w:val="表格小五"/>
    <w:basedOn w:val="1"/>
    <w:qFormat/>
    <w:uiPriority w:val="0"/>
    <w:pPr>
      <w:jc w:val="center"/>
      <w:textAlignment w:val="center"/>
    </w:pPr>
    <w:rPr>
      <w:rFonts w:eastAsiaTheme="minorEastAsia" w:cstheme="minorBidi"/>
      <w:sz w:val="18"/>
      <w:szCs w:val="22"/>
    </w:rPr>
  </w:style>
  <w:style w:type="paragraph" w:customStyle="1" w:styleId="50">
    <w:name w:val="表头居中"/>
    <w:basedOn w:val="34"/>
    <w:next w:val="34"/>
    <w:qFormat/>
    <w:uiPriority w:val="0"/>
    <w:rPr>
      <w:sz w:val="21"/>
    </w:rPr>
  </w:style>
  <w:style w:type="paragraph" w:customStyle="1" w:styleId="51">
    <w:name w:val="紧凑表格"/>
    <w:basedOn w:val="1"/>
    <w:qFormat/>
    <w:uiPriority w:val="0"/>
    <w:pPr>
      <w:jc w:val="center"/>
    </w:pPr>
  </w:style>
  <w:style w:type="paragraph" w:customStyle="1" w:styleId="52">
    <w:name w:val="Table Paragraph"/>
    <w:basedOn w:val="1"/>
    <w:qFormat/>
    <w:uiPriority w:val="1"/>
    <w:pPr>
      <w:spacing w:before="121"/>
      <w:jc w:val="center"/>
    </w:pPr>
    <w:rPr>
      <w:rFonts w:eastAsia="Times New Roman"/>
      <w:lang w:eastAsia="en-US" w:bidi="en-US"/>
    </w:rPr>
  </w:style>
  <w:style w:type="paragraph" w:customStyle="1" w:styleId="53">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
    <w:name w:val="表格内容"/>
    <w:basedOn w:val="16"/>
    <w:qFormat/>
    <w:uiPriority w:val="0"/>
    <w:pPr>
      <w:jc w:val="center"/>
    </w:pPr>
  </w:style>
  <w:style w:type="paragraph" w:customStyle="1" w:styleId="55">
    <w:name w:val="p0"/>
    <w:basedOn w:val="1"/>
    <w:qFormat/>
    <w:uiPriority w:val="0"/>
    <w:pPr>
      <w:widowControl/>
      <w:spacing w:line="360" w:lineRule="auto"/>
      <w:ind w:firstLine="420"/>
    </w:pPr>
    <w:rPr>
      <w:kern w:val="0"/>
      <w:sz w:val="28"/>
      <w:szCs w:val="2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正文-1"/>
    <w:basedOn w:val="1"/>
    <w:qFormat/>
    <w:uiPriority w:val="0"/>
    <w:pPr>
      <w:adjustRightInd/>
      <w:spacing w:line="360" w:lineRule="auto"/>
      <w:ind w:firstLine="200" w:firstLineChars="200"/>
      <w:jc w:val="both"/>
      <w:textAlignment w:val="auto"/>
    </w:pPr>
    <w:rPr>
      <w:rFonts w:ascii="宋体" w:hAnsi="宋体"/>
      <w:sz w:val="24"/>
      <w:szCs w:val="20"/>
    </w:rPr>
  </w:style>
  <w:style w:type="paragraph" w:styleId="58">
    <w:name w:val="List Paragraph"/>
    <w:basedOn w:val="1"/>
    <w:qFormat/>
    <w:uiPriority w:val="1"/>
    <w:pPr>
      <w:ind w:left="1300" w:hanging="602"/>
    </w:pPr>
    <w:rPr>
      <w:rFonts w:ascii="宋体" w:hAnsi="宋体" w:eastAsia="宋体" w:cs="宋体"/>
      <w:lang w:val="zh-CN" w:eastAsia="zh-CN" w:bidi="zh-CN"/>
    </w:rPr>
  </w:style>
  <w:style w:type="paragraph" w:customStyle="1" w:styleId="59">
    <w:name w:val="样式 环保正文 + Times New Roman 首行缩进:  2 字符"/>
    <w:basedOn w:val="1"/>
    <w:qFormat/>
    <w:uiPriority w:val="0"/>
    <w:pPr>
      <w:keepNext/>
      <w:keepLines w:val="0"/>
      <w:widowControl/>
      <w:suppressLineNumbers w:val="0"/>
      <w:autoSpaceDE w:val="0"/>
      <w:autoSpaceDN w:val="0"/>
      <w:spacing w:before="0" w:beforeAutospacing="0" w:after="0" w:afterAutospacing="0" w:line="360" w:lineRule="auto"/>
      <w:ind w:left="0" w:right="0"/>
      <w:jc w:val="left"/>
    </w:pPr>
    <w:rPr>
      <w:rFonts w:hint="eastAsia" w:ascii="宋体" w:hAnsi="宋体" w:eastAsia="宋体" w:cs="Times New Roman"/>
      <w:kern w:val="0"/>
      <w:sz w:val="26"/>
      <w:szCs w:val="26"/>
      <w:lang w:val="en-US" w:eastAsia="zh-CN" w:bidi="ar"/>
    </w:rPr>
  </w:style>
  <w:style w:type="paragraph" w:customStyle="1" w:styleId="60">
    <w:name w:val="正文(首行缩进)"/>
    <w:qFormat/>
    <w:uiPriority w:val="0"/>
    <w:pPr>
      <w:spacing w:line="360" w:lineRule="auto"/>
      <w:ind w:firstLine="561" w:firstLineChars="200"/>
    </w:pPr>
    <w:rPr>
      <w:rFonts w:ascii="Calibri" w:hAnsi="Calibri" w:eastAsia="宋体" w:cs="Times New Roman"/>
      <w:snapToGrid w:val="0"/>
      <w:kern w:val="2"/>
      <w:sz w:val="24"/>
      <w:szCs w:val="24"/>
      <w:lang w:val="en-US" w:eastAsia="zh-CN" w:bidi="ar-SA"/>
    </w:rPr>
  </w:style>
  <w:style w:type="paragraph" w:customStyle="1" w:styleId="61">
    <w:name w:val="正文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2">
    <w:name w:val="图表标题5"/>
    <w:basedOn w:val="1"/>
    <w:qFormat/>
    <w:uiPriority w:val="0"/>
    <w:pPr>
      <w:snapToGrid w:val="0"/>
      <w:spacing w:line="240" w:lineRule="auto"/>
      <w:ind w:firstLine="0" w:firstLineChars="0"/>
      <w:jc w:val="center"/>
    </w:pPr>
    <w:rPr>
      <w:rFonts w:eastAsia="黑体"/>
      <w:b/>
      <w:sz w:val="21"/>
    </w:rPr>
  </w:style>
  <w:style w:type="paragraph" w:customStyle="1" w:styleId="63">
    <w:name w:val="表中"/>
    <w:basedOn w:val="1"/>
    <w:qFormat/>
    <w:uiPriority w:val="99"/>
    <w:pPr>
      <w:adjustRightInd w:val="0"/>
      <w:snapToGrid w:val="0"/>
      <w:spacing w:line="240" w:lineRule="atLeast"/>
      <w:ind w:firstLine="720" w:firstLineChars="200"/>
    </w:pPr>
    <w:rPr>
      <w:rFonts w:asciiTheme="minorHAnsi" w:hAnsiTheme="minorHAnsi" w:eastAsiaTheme="minorEastAsia" w:cstheme="minorBidi"/>
      <w:sz w:val="24"/>
    </w:rPr>
  </w:style>
  <w:style w:type="paragraph" w:customStyle="1" w:styleId="64">
    <w:name w:val="【表头】"/>
    <w:basedOn w:val="1"/>
    <w:qFormat/>
    <w:uiPriority w:val="0"/>
    <w:pPr>
      <w:adjustRightInd/>
      <w:spacing w:beforeLines="20"/>
      <w:jc w:val="center"/>
      <w:textAlignment w:val="auto"/>
    </w:pPr>
    <w:rPr>
      <w:b/>
      <w:kern w:val="0"/>
    </w:rPr>
  </w:style>
  <w:style w:type="paragraph" w:customStyle="1" w:styleId="65">
    <w:name w:val="正文11"/>
    <w:basedOn w:val="1"/>
    <w:qFormat/>
    <w:uiPriority w:val="0"/>
    <w:pPr>
      <w:adjustRightInd/>
      <w:spacing w:line="460" w:lineRule="exact"/>
      <w:ind w:firstLine="480" w:firstLineChars="200"/>
      <w:textAlignment w:val="auto"/>
    </w:pPr>
    <w:rPr>
      <w:bCs/>
      <w:color w:val="FF0000"/>
      <w:kern w:val="0"/>
      <w:sz w:val="24"/>
    </w:rPr>
  </w:style>
  <w:style w:type="paragraph" w:customStyle="1" w:styleId="66">
    <w:name w:val="txt"/>
    <w:basedOn w:val="1"/>
    <w:qFormat/>
    <w:uiPriority w:val="0"/>
    <w:pPr>
      <w:widowControl/>
      <w:adjustRightInd/>
      <w:spacing w:before="100" w:beforeAutospacing="1" w:after="100" w:afterAutospacing="1"/>
      <w:jc w:val="left"/>
      <w:textAlignment w:val="auto"/>
    </w:pPr>
    <w:rPr>
      <w:rFonts w:ascii="宋体" w:hAnsi="宋体" w:cs="宋体"/>
      <w:kern w:val="0"/>
      <w:sz w:val="24"/>
      <w:szCs w:val="24"/>
    </w:rPr>
  </w:style>
  <w:style w:type="paragraph" w:customStyle="1" w:styleId="67">
    <w:name w:val="表格文字"/>
    <w:basedOn w:val="35"/>
    <w:next w:val="1"/>
    <w:qFormat/>
    <w:uiPriority w:val="0"/>
    <w:pPr>
      <w:adjustRightInd/>
      <w:spacing w:line="240" w:lineRule="auto"/>
    </w:pPr>
    <w:rPr>
      <w:rFonts w:hAnsi="黑体"/>
      <w:kern w:val="44"/>
    </w:rPr>
  </w:style>
  <w:style w:type="paragraph" w:customStyle="1" w:styleId="68">
    <w:name w:val="中文报告书样式"/>
    <w:basedOn w:val="1"/>
    <w:qFormat/>
    <w:uiPriority w:val="0"/>
    <w:pPr>
      <w:adjustRightInd w:val="0"/>
      <w:snapToGrid w:val="0"/>
      <w:spacing w:line="360" w:lineRule="auto"/>
      <w:ind w:firstLine="480" w:firstLineChars="200"/>
      <w:textAlignment w:val="baseline"/>
    </w:pPr>
    <w:rPr>
      <w:rFonts w:ascii="Times New Roman" w:hAnsi="Times New Roman" w:eastAsia="宋体" w:cs="Times New Roman"/>
      <w:kern w:val="24"/>
      <w:sz w:val="24"/>
      <w:szCs w:val="20"/>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xl27"/>
    <w:basedOn w:val="1"/>
    <w:qFormat/>
    <w:uiPriority w:val="0"/>
    <w:pPr>
      <w:widowControl/>
      <w:spacing w:before="100" w:beforeAutospacing="1" w:after="100" w:afterAutospacing="1"/>
      <w:jc w:val="center"/>
      <w:textAlignment w:val="center"/>
    </w:pPr>
    <w:rPr>
      <w:rFonts w:ascii="Arial Unicode MS" w:hAnsi="Arial Unicode MS" w:eastAsia="Arial Unicode MS"/>
      <w:bCs/>
      <w:kern w:val="0"/>
      <w:sz w:val="20"/>
      <w:szCs w:val="32"/>
    </w:rPr>
  </w:style>
  <w:style w:type="paragraph" w:customStyle="1" w:styleId="71">
    <w:name w:val="【正文】"/>
    <w:basedOn w:val="1"/>
    <w:qFormat/>
    <w:uiPriority w:val="0"/>
    <w:pPr>
      <w:spacing w:line="360" w:lineRule="auto"/>
      <w:ind w:firstLine="480" w:firstLineChars="200"/>
    </w:pPr>
    <w:rPr>
      <w:rFonts w:eastAsia="仿宋" w:cs="宋体"/>
      <w:sz w:val="24"/>
      <w:szCs w:val="22"/>
    </w:rPr>
  </w:style>
  <w:style w:type="paragraph" w:customStyle="1" w:styleId="72">
    <w:name w:val="表头1"/>
    <w:qFormat/>
    <w:uiPriority w:val="0"/>
    <w:pPr>
      <w:widowControl w:val="0"/>
      <w:adjustRightInd w:val="0"/>
      <w:snapToGrid w:val="0"/>
      <w:jc w:val="center"/>
    </w:pPr>
    <w:rPr>
      <w:rFonts w:ascii="Times New Roman" w:hAnsi="Times New Roman" w:eastAsia="仿宋" w:cs="Times New Roman"/>
      <w:b/>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2.wmf"/><Relationship Id="rId37" Type="http://schemas.openxmlformats.org/officeDocument/2006/relationships/oleObject" Target="embeddings/oleObject8.bin"/><Relationship Id="rId36" Type="http://schemas.openxmlformats.org/officeDocument/2006/relationships/image" Target="media/image21.wmf"/><Relationship Id="rId35" Type="http://schemas.openxmlformats.org/officeDocument/2006/relationships/oleObject" Target="embeddings/oleObject7.bin"/><Relationship Id="rId34" Type="http://schemas.openxmlformats.org/officeDocument/2006/relationships/image" Target="media/image20.wmf"/><Relationship Id="rId33" Type="http://schemas.openxmlformats.org/officeDocument/2006/relationships/oleObject" Target="embeddings/oleObject6.bin"/><Relationship Id="rId32" Type="http://schemas.openxmlformats.org/officeDocument/2006/relationships/image" Target="media/image19.wmf"/><Relationship Id="rId31" Type="http://schemas.openxmlformats.org/officeDocument/2006/relationships/oleObject" Target="embeddings/oleObject5.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7.wmf"/><Relationship Id="rId27" Type="http://schemas.openxmlformats.org/officeDocument/2006/relationships/oleObject" Target="embeddings/oleObject3.bin"/><Relationship Id="rId26" Type="http://schemas.openxmlformats.org/officeDocument/2006/relationships/image" Target="media/image16.wmf"/><Relationship Id="rId25" Type="http://schemas.openxmlformats.org/officeDocument/2006/relationships/oleObject" Target="embeddings/oleObject2.bin"/><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7127</Words>
  <Characters>7444</Characters>
  <Lines>583</Lines>
  <Paragraphs>164</Paragraphs>
  <TotalTime>3</TotalTime>
  <ScaleCrop>false</ScaleCrop>
  <LinksUpToDate>false</LinksUpToDate>
  <CharactersWithSpaces>7477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hk</cp:lastModifiedBy>
  <dcterms:modified xsi:type="dcterms:W3CDTF">2026-04-09T07:54:28Z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158C3B5E33B0408CA566838A5AFFF8DC_13</vt:lpwstr>
  </property>
  <property fmtid="{D5CDD505-2E9C-101B-9397-08002B2CF9AE}" pid="4" name="KSOTemplateDocerSaveRecord">
    <vt:lpwstr>eyJoZGlkIjoiNWQ2NGFjYTM3OTc4YTA1M2FhNDRlODFhNDUzYTFlM2YiLCJ1c2VySWQiOiIxNDgxOTQ2MDUzIn0=</vt:lpwstr>
  </property>
</Properties>
</file>