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ind w:firstLine="0" w:firstLineChars="0"/>
        <w:jc w:val="center"/>
        <w:rPr>
          <w:rFonts w:hint="eastAsia" w:ascii="宋体" w:hAnsi="宋体"/>
          <w:b/>
          <w:bCs/>
          <w:color w:val="000000"/>
          <w:sz w:val="44"/>
          <w:szCs w:val="4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Times New Roman"/>
          <w:b/>
          <w:color w:val="000000"/>
          <w:sz w:val="44"/>
          <w:szCs w:val="44"/>
        </w:rPr>
      </w:pPr>
      <w:r>
        <w:rPr>
          <w:rFonts w:hint="eastAsia" w:cs="Times New Roman"/>
          <w:b/>
          <w:color w:val="000000"/>
          <w:sz w:val="44"/>
          <w:szCs w:val="44"/>
        </w:rPr>
        <w:t>张掖盛泰纸业有限公司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Times New Roman"/>
          <w:b/>
          <w:color w:val="000000"/>
          <w:sz w:val="44"/>
          <w:szCs w:val="44"/>
        </w:rPr>
      </w:pPr>
      <w:r>
        <w:rPr>
          <w:rFonts w:hint="eastAsia" w:cs="Times New Roman"/>
          <w:b/>
          <w:color w:val="000000"/>
          <w:sz w:val="44"/>
          <w:szCs w:val="44"/>
        </w:rPr>
        <w:t>年产10万吨高强瓦楞纸项目</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环</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境</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影</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响</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评</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价</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公</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众</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参</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与</w:t>
      </w:r>
    </w:p>
    <w:p>
      <w:pPr>
        <w:spacing w:line="620" w:lineRule="exact"/>
        <w:ind w:firstLine="0" w:firstLineChars="0"/>
        <w:jc w:val="center"/>
        <w:rPr>
          <w:rFonts w:hint="eastAsia" w:eastAsia="华文楷体"/>
          <w:b/>
          <w:bCs/>
          <w:sz w:val="52"/>
          <w:szCs w:val="52"/>
        </w:rPr>
      </w:pPr>
      <w:r>
        <w:rPr>
          <w:rFonts w:hint="eastAsia" w:eastAsia="华文楷体"/>
          <w:b/>
          <w:bCs/>
          <w:sz w:val="52"/>
          <w:szCs w:val="52"/>
        </w:rPr>
        <w:t>说</w:t>
      </w:r>
    </w:p>
    <w:p>
      <w:pPr>
        <w:spacing w:line="620" w:lineRule="exact"/>
        <w:ind w:firstLine="0" w:firstLineChars="0"/>
        <w:jc w:val="center"/>
        <w:rPr>
          <w:rFonts w:hint="eastAsia" w:ascii="楷体" w:hAnsi="楷体" w:eastAsia="楷体" w:cs="Times New Roman"/>
          <w:b/>
          <w:kern w:val="0"/>
          <w:sz w:val="52"/>
          <w:szCs w:val="52"/>
          <w:lang w:eastAsia="zh-CN"/>
        </w:rPr>
      </w:pPr>
      <w:r>
        <w:rPr>
          <w:rFonts w:hint="eastAsia" w:eastAsia="华文楷体"/>
          <w:b/>
          <w:bCs/>
          <w:sz w:val="52"/>
          <w:szCs w:val="52"/>
        </w:rPr>
        <w:t>明</w:t>
      </w:r>
    </w:p>
    <w:p>
      <w:pPr>
        <w:ind w:firstLine="0" w:firstLineChars="0"/>
        <w:jc w:val="center"/>
        <w:rPr>
          <w:rFonts w:cs="Times New Roman"/>
          <w:b/>
          <w:color w:val="000000"/>
          <w:sz w:val="32"/>
          <w:szCs w:val="32"/>
        </w:rPr>
      </w:pPr>
    </w:p>
    <w:p>
      <w:pPr>
        <w:ind w:firstLine="0" w:firstLineChars="0"/>
        <w:jc w:val="center"/>
        <w:rPr>
          <w:rFonts w:cs="Times New Roman"/>
          <w:b/>
          <w:color w:val="000000"/>
          <w:sz w:val="32"/>
          <w:szCs w:val="32"/>
        </w:rPr>
      </w:pPr>
      <w:r>
        <w:rPr>
          <w:rFonts w:hint="eastAsia" w:cs="Times New Roman"/>
          <w:b/>
          <w:color w:val="000000"/>
          <w:sz w:val="32"/>
          <w:szCs w:val="32"/>
        </w:rPr>
        <w:t>张掖盛泰纸业有限公司</w:t>
      </w:r>
    </w:p>
    <w:p>
      <w:pPr>
        <w:ind w:firstLine="0" w:firstLineChars="0"/>
        <w:jc w:val="center"/>
        <w:rPr>
          <w:rFonts w:hint="eastAsia" w:ascii="宋体" w:hAnsi="宋体" w:eastAsia="宋体" w:cs="宋体"/>
          <w:b/>
          <w:kern w:val="0"/>
          <w:sz w:val="32"/>
          <w:szCs w:val="32"/>
        </w:rPr>
      </w:pPr>
      <w:r>
        <w:rPr>
          <w:rFonts w:hint="eastAsia" w:ascii="宋体" w:hAnsi="宋体" w:eastAsia="宋体" w:cs="宋体"/>
          <w:b/>
          <w:kern w:val="0"/>
          <w:sz w:val="32"/>
          <w:szCs w:val="32"/>
        </w:rPr>
        <w:t>二〇一</w:t>
      </w:r>
      <w:r>
        <w:rPr>
          <w:rFonts w:hint="eastAsia" w:ascii="宋体" w:hAnsi="宋体" w:eastAsia="宋体" w:cs="宋体"/>
          <w:b/>
          <w:kern w:val="0"/>
          <w:sz w:val="32"/>
          <w:szCs w:val="32"/>
          <w:lang w:val="en-US" w:eastAsia="zh-CN"/>
        </w:rPr>
        <w:t>九</w:t>
      </w:r>
      <w:r>
        <w:rPr>
          <w:rFonts w:hint="eastAsia" w:ascii="宋体" w:hAnsi="宋体" w:eastAsia="宋体" w:cs="宋体"/>
          <w:b/>
          <w:kern w:val="0"/>
          <w:sz w:val="32"/>
          <w:szCs w:val="32"/>
        </w:rPr>
        <w:t>年</w:t>
      </w:r>
      <w:r>
        <w:rPr>
          <w:rFonts w:hint="eastAsia" w:ascii="宋体" w:hAnsi="宋体" w:cs="宋体"/>
          <w:b/>
          <w:kern w:val="0"/>
          <w:sz w:val="32"/>
          <w:szCs w:val="32"/>
          <w:lang w:val="en-US" w:eastAsia="zh-CN"/>
        </w:rPr>
        <w:t>九</w:t>
      </w:r>
      <w:r>
        <w:rPr>
          <w:rFonts w:hint="eastAsia" w:ascii="宋体" w:hAnsi="宋体" w:eastAsia="宋体" w:cs="宋体"/>
          <w:b/>
          <w:kern w:val="0"/>
          <w:sz w:val="32"/>
          <w:szCs w:val="32"/>
        </w:rPr>
        <w:t>月</w:t>
      </w:r>
    </w:p>
    <w:p>
      <w:pPr>
        <w:ind w:firstLine="480"/>
      </w:pPr>
    </w:p>
    <w:p>
      <w:pPr>
        <w:pStyle w:val="22"/>
        <w:spacing w:before="0" w:beforeLines="0"/>
        <w:rPr>
          <w:sz w:val="32"/>
          <w:szCs w:val="32"/>
        </w:rPr>
        <w:sectPr>
          <w:footerReference r:id="rId3" w:type="default"/>
          <w:footerReference r:id="rId4" w:type="even"/>
          <w:pgSz w:w="11906" w:h="16838"/>
          <w:pgMar w:top="1418" w:right="1418" w:bottom="1418" w:left="1474" w:header="964" w:footer="964" w:gutter="0"/>
          <w:pgBorders>
            <w:top w:val="none" w:sz="0" w:space="0"/>
            <w:left w:val="none" w:sz="0" w:space="0"/>
            <w:bottom w:val="none" w:sz="0" w:space="0"/>
            <w:right w:val="none" w:sz="0" w:space="0"/>
          </w:pgBorders>
          <w:cols w:space="425" w:num="1"/>
          <w:docGrid w:type="lines" w:linePitch="326" w:charSpace="741"/>
        </w:sectPr>
      </w:pPr>
      <w:bookmarkStart w:id="0" w:name="_Toc293838147"/>
      <w:bookmarkStart w:id="1" w:name="_Toc452487997"/>
    </w:p>
    <w:p>
      <w:pPr>
        <w:pStyle w:val="22"/>
        <w:spacing w:before="0" w:beforeLines="0"/>
        <w:rPr>
          <w:sz w:val="32"/>
          <w:szCs w:val="32"/>
        </w:rPr>
      </w:pPr>
      <w:r>
        <w:rPr>
          <w:rFonts w:hint="eastAsia"/>
          <w:sz w:val="32"/>
          <w:szCs w:val="32"/>
        </w:rPr>
        <w:t>目  录</w:t>
      </w:r>
      <w:bookmarkStart w:id="40" w:name="_GoBack"/>
      <w:bookmarkEnd w:id="40"/>
    </w:p>
    <w:p>
      <w:pPr>
        <w:pStyle w:val="12"/>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b/>
          <w:bCs/>
          <w:sz w:val="28"/>
          <w:szCs w:val="28"/>
        </w:rPr>
      </w:pPr>
      <w:r>
        <w:rPr>
          <w:sz w:val="28"/>
          <w:szCs w:val="28"/>
        </w:rPr>
        <w:fldChar w:fldCharType="begin"/>
      </w:r>
      <w:r>
        <w:rPr>
          <w:sz w:val="28"/>
          <w:szCs w:val="28"/>
        </w:rPr>
        <w:instrText xml:space="preserve">TOC \o "1-2" \h \u </w:instrText>
      </w:r>
      <w:r>
        <w:rPr>
          <w:sz w:val="28"/>
          <w:szCs w:val="28"/>
        </w:rPr>
        <w:fldChar w:fldCharType="separate"/>
      </w:r>
      <w:r>
        <w:rPr>
          <w:b/>
          <w:bCs/>
          <w:sz w:val="28"/>
          <w:szCs w:val="28"/>
        </w:rPr>
        <w:fldChar w:fldCharType="begin"/>
      </w:r>
      <w:r>
        <w:rPr>
          <w:b/>
          <w:bCs/>
          <w:sz w:val="28"/>
          <w:szCs w:val="28"/>
        </w:rPr>
        <w:instrText xml:space="preserve"> HYPERLINK \l _Toc2803 </w:instrText>
      </w:r>
      <w:r>
        <w:rPr>
          <w:b/>
          <w:bCs/>
          <w:sz w:val="28"/>
          <w:szCs w:val="28"/>
        </w:rPr>
        <w:fldChar w:fldCharType="separate"/>
      </w:r>
      <w:r>
        <w:rPr>
          <w:rFonts w:hint="eastAsia"/>
          <w:b/>
          <w:bCs/>
          <w:sz w:val="28"/>
          <w:szCs w:val="28"/>
          <w:lang w:val="en-US" w:eastAsia="zh-CN"/>
        </w:rPr>
        <w:t>1、项目概述</w:t>
      </w:r>
      <w:r>
        <w:rPr>
          <w:b/>
          <w:bCs/>
          <w:sz w:val="28"/>
          <w:szCs w:val="28"/>
        </w:rPr>
        <w:tab/>
      </w:r>
      <w:r>
        <w:rPr>
          <w:b/>
          <w:bCs/>
          <w:sz w:val="28"/>
          <w:szCs w:val="28"/>
        </w:rPr>
        <w:fldChar w:fldCharType="begin"/>
      </w:r>
      <w:r>
        <w:rPr>
          <w:b/>
          <w:bCs/>
          <w:sz w:val="28"/>
          <w:szCs w:val="28"/>
        </w:rPr>
        <w:instrText xml:space="preserve"> PAGEREF _Toc2803 </w:instrText>
      </w:r>
      <w:r>
        <w:rPr>
          <w:b/>
          <w:bCs/>
          <w:sz w:val="28"/>
          <w:szCs w:val="28"/>
        </w:rPr>
        <w:fldChar w:fldCharType="separate"/>
      </w:r>
      <w:r>
        <w:rPr>
          <w:b/>
          <w:bCs/>
          <w:sz w:val="28"/>
          <w:szCs w:val="28"/>
        </w:rPr>
        <w:t>1</w:t>
      </w:r>
      <w:r>
        <w:rPr>
          <w:b/>
          <w:bCs/>
          <w:sz w:val="28"/>
          <w:szCs w:val="28"/>
        </w:rPr>
        <w:fldChar w:fldCharType="end"/>
      </w:r>
      <w:r>
        <w:rPr>
          <w:b/>
          <w:bCs/>
          <w:sz w:val="28"/>
          <w:szCs w:val="28"/>
        </w:rPr>
        <w:fldChar w:fldCharType="end"/>
      </w:r>
    </w:p>
    <w:p>
      <w:pPr>
        <w:pStyle w:val="12"/>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b/>
          <w:bCs/>
          <w:sz w:val="28"/>
          <w:szCs w:val="28"/>
        </w:rPr>
      </w:pPr>
      <w:r>
        <w:rPr>
          <w:b/>
          <w:bCs/>
          <w:sz w:val="28"/>
          <w:szCs w:val="28"/>
        </w:rPr>
        <w:fldChar w:fldCharType="begin"/>
      </w:r>
      <w:r>
        <w:rPr>
          <w:b/>
          <w:bCs/>
          <w:sz w:val="28"/>
          <w:szCs w:val="28"/>
        </w:rPr>
        <w:instrText xml:space="preserve"> HYPERLINK \l _Toc28207 </w:instrText>
      </w:r>
      <w:r>
        <w:rPr>
          <w:b/>
          <w:bCs/>
          <w:sz w:val="28"/>
          <w:szCs w:val="28"/>
        </w:rPr>
        <w:fldChar w:fldCharType="separate"/>
      </w:r>
      <w:r>
        <w:rPr>
          <w:rFonts w:hint="eastAsia"/>
          <w:b/>
          <w:bCs/>
          <w:sz w:val="28"/>
          <w:szCs w:val="28"/>
          <w:lang w:val="en-US" w:eastAsia="zh-CN"/>
        </w:rPr>
        <w:t>2、首次环境影响评价信息公开情况</w:t>
      </w:r>
      <w:r>
        <w:rPr>
          <w:b/>
          <w:bCs/>
          <w:sz w:val="28"/>
          <w:szCs w:val="28"/>
        </w:rPr>
        <w:tab/>
      </w:r>
      <w:r>
        <w:rPr>
          <w:b/>
          <w:bCs/>
          <w:sz w:val="28"/>
          <w:szCs w:val="28"/>
        </w:rPr>
        <w:fldChar w:fldCharType="begin"/>
      </w:r>
      <w:r>
        <w:rPr>
          <w:b/>
          <w:bCs/>
          <w:sz w:val="28"/>
          <w:szCs w:val="28"/>
        </w:rPr>
        <w:instrText xml:space="preserve"> PAGEREF _Toc28207 </w:instrText>
      </w:r>
      <w:r>
        <w:rPr>
          <w:b/>
          <w:bCs/>
          <w:sz w:val="28"/>
          <w:szCs w:val="28"/>
        </w:rPr>
        <w:fldChar w:fldCharType="separate"/>
      </w:r>
      <w:r>
        <w:rPr>
          <w:b/>
          <w:bCs/>
          <w:sz w:val="28"/>
          <w:szCs w:val="28"/>
        </w:rPr>
        <w:t>2</w:t>
      </w:r>
      <w:r>
        <w:rPr>
          <w:b/>
          <w:bCs/>
          <w:sz w:val="28"/>
          <w:szCs w:val="28"/>
        </w:rPr>
        <w:fldChar w:fldCharType="end"/>
      </w:r>
      <w:r>
        <w:rPr>
          <w:b/>
          <w:bCs/>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_Toc26867 </w:instrText>
      </w:r>
      <w:r>
        <w:rPr>
          <w:sz w:val="28"/>
          <w:szCs w:val="28"/>
        </w:rPr>
        <w:fldChar w:fldCharType="separate"/>
      </w:r>
      <w:r>
        <w:rPr>
          <w:rFonts w:hint="eastAsia"/>
          <w:sz w:val="28"/>
          <w:szCs w:val="28"/>
          <w:lang w:val="en-US" w:eastAsia="zh-CN"/>
        </w:rPr>
        <w:t>2.1公开内容及日期</w:t>
      </w:r>
      <w:r>
        <w:rPr>
          <w:sz w:val="28"/>
          <w:szCs w:val="28"/>
        </w:rPr>
        <w:tab/>
      </w:r>
      <w:r>
        <w:rPr>
          <w:sz w:val="28"/>
          <w:szCs w:val="28"/>
        </w:rPr>
        <w:fldChar w:fldCharType="begin"/>
      </w:r>
      <w:r>
        <w:rPr>
          <w:sz w:val="28"/>
          <w:szCs w:val="28"/>
        </w:rPr>
        <w:instrText xml:space="preserve"> PAGEREF _Toc26867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_Toc12077 </w:instrText>
      </w:r>
      <w:r>
        <w:rPr>
          <w:sz w:val="28"/>
          <w:szCs w:val="28"/>
        </w:rPr>
        <w:fldChar w:fldCharType="separate"/>
      </w:r>
      <w:r>
        <w:rPr>
          <w:rFonts w:hint="eastAsia"/>
          <w:sz w:val="28"/>
          <w:szCs w:val="28"/>
          <w:lang w:val="en-US" w:eastAsia="zh-CN"/>
        </w:rPr>
        <w:t>2.2公开方式</w:t>
      </w:r>
      <w:r>
        <w:rPr>
          <w:sz w:val="28"/>
          <w:szCs w:val="28"/>
        </w:rPr>
        <w:tab/>
      </w:r>
      <w:r>
        <w:rPr>
          <w:sz w:val="28"/>
          <w:szCs w:val="28"/>
        </w:rPr>
        <w:fldChar w:fldCharType="begin"/>
      </w:r>
      <w:r>
        <w:rPr>
          <w:sz w:val="28"/>
          <w:szCs w:val="28"/>
        </w:rPr>
        <w:instrText xml:space="preserve"> PAGEREF _Toc12077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_Toc3354 </w:instrText>
      </w:r>
      <w:r>
        <w:rPr>
          <w:sz w:val="28"/>
          <w:szCs w:val="28"/>
        </w:rPr>
        <w:fldChar w:fldCharType="separate"/>
      </w:r>
      <w:r>
        <w:rPr>
          <w:rFonts w:hint="eastAsia"/>
          <w:sz w:val="28"/>
          <w:szCs w:val="28"/>
          <w:lang w:val="en-US" w:eastAsia="zh-CN"/>
        </w:rPr>
        <w:t>2.3公众意见情况</w:t>
      </w:r>
      <w:r>
        <w:rPr>
          <w:sz w:val="28"/>
          <w:szCs w:val="28"/>
        </w:rPr>
        <w:tab/>
      </w:r>
      <w:r>
        <w:rPr>
          <w:sz w:val="28"/>
          <w:szCs w:val="28"/>
        </w:rPr>
        <w:fldChar w:fldCharType="begin"/>
      </w:r>
      <w:r>
        <w:rPr>
          <w:sz w:val="28"/>
          <w:szCs w:val="28"/>
        </w:rPr>
        <w:instrText xml:space="preserve"> PAGEREF _Toc3354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12"/>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b/>
          <w:bCs/>
          <w:sz w:val="28"/>
          <w:szCs w:val="28"/>
        </w:rPr>
      </w:pPr>
      <w:r>
        <w:rPr>
          <w:b/>
          <w:bCs/>
          <w:sz w:val="28"/>
          <w:szCs w:val="28"/>
        </w:rPr>
        <w:fldChar w:fldCharType="begin"/>
      </w:r>
      <w:r>
        <w:rPr>
          <w:b/>
          <w:bCs/>
          <w:sz w:val="28"/>
          <w:szCs w:val="28"/>
        </w:rPr>
        <w:instrText xml:space="preserve"> HYPERLINK \l _Toc9461 </w:instrText>
      </w:r>
      <w:r>
        <w:rPr>
          <w:b/>
          <w:bCs/>
          <w:sz w:val="28"/>
          <w:szCs w:val="28"/>
        </w:rPr>
        <w:fldChar w:fldCharType="separate"/>
      </w:r>
      <w:r>
        <w:rPr>
          <w:rFonts w:hint="eastAsia"/>
          <w:b/>
          <w:bCs/>
          <w:sz w:val="28"/>
          <w:szCs w:val="28"/>
          <w:lang w:val="en-US" w:eastAsia="zh-CN"/>
        </w:rPr>
        <w:t>3、征求意见稿公示情况</w:t>
      </w:r>
      <w:r>
        <w:rPr>
          <w:b/>
          <w:bCs/>
          <w:sz w:val="28"/>
          <w:szCs w:val="28"/>
        </w:rPr>
        <w:tab/>
      </w:r>
      <w:r>
        <w:rPr>
          <w:b/>
          <w:bCs/>
          <w:sz w:val="28"/>
          <w:szCs w:val="28"/>
        </w:rPr>
        <w:fldChar w:fldCharType="begin"/>
      </w:r>
      <w:r>
        <w:rPr>
          <w:b/>
          <w:bCs/>
          <w:sz w:val="28"/>
          <w:szCs w:val="28"/>
        </w:rPr>
        <w:instrText xml:space="preserve"> PAGEREF _Toc9461 </w:instrText>
      </w:r>
      <w:r>
        <w:rPr>
          <w:b/>
          <w:bCs/>
          <w:sz w:val="28"/>
          <w:szCs w:val="28"/>
        </w:rPr>
        <w:fldChar w:fldCharType="separate"/>
      </w:r>
      <w:r>
        <w:rPr>
          <w:b/>
          <w:bCs/>
          <w:sz w:val="28"/>
          <w:szCs w:val="28"/>
        </w:rPr>
        <w:t>6</w:t>
      </w:r>
      <w:r>
        <w:rPr>
          <w:b/>
          <w:bCs/>
          <w:sz w:val="28"/>
          <w:szCs w:val="28"/>
        </w:rPr>
        <w:fldChar w:fldCharType="end"/>
      </w:r>
      <w:r>
        <w:rPr>
          <w:b/>
          <w:bCs/>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_Toc15918 </w:instrText>
      </w:r>
      <w:r>
        <w:rPr>
          <w:sz w:val="28"/>
          <w:szCs w:val="28"/>
        </w:rPr>
        <w:fldChar w:fldCharType="separate"/>
      </w:r>
      <w:r>
        <w:rPr>
          <w:rFonts w:hint="eastAsia"/>
          <w:sz w:val="28"/>
          <w:szCs w:val="28"/>
          <w:lang w:val="en-US" w:eastAsia="zh-CN"/>
        </w:rPr>
        <w:t>3.1公示内容及时限</w:t>
      </w:r>
      <w:r>
        <w:rPr>
          <w:sz w:val="28"/>
          <w:szCs w:val="28"/>
        </w:rPr>
        <w:tab/>
      </w:r>
      <w:r>
        <w:rPr>
          <w:sz w:val="28"/>
          <w:szCs w:val="28"/>
        </w:rPr>
        <w:fldChar w:fldCharType="begin"/>
      </w:r>
      <w:r>
        <w:rPr>
          <w:sz w:val="28"/>
          <w:szCs w:val="28"/>
        </w:rPr>
        <w:instrText xml:space="preserve"> PAGEREF _Toc15918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_Toc770 </w:instrText>
      </w:r>
      <w:r>
        <w:rPr>
          <w:sz w:val="28"/>
          <w:szCs w:val="28"/>
        </w:rPr>
        <w:fldChar w:fldCharType="separate"/>
      </w:r>
      <w:r>
        <w:rPr>
          <w:rFonts w:hint="eastAsia"/>
          <w:sz w:val="28"/>
          <w:szCs w:val="28"/>
          <w:lang w:val="en-US" w:eastAsia="zh-CN"/>
        </w:rPr>
        <w:t>3.2公示方式</w:t>
      </w:r>
      <w:r>
        <w:rPr>
          <w:sz w:val="28"/>
          <w:szCs w:val="28"/>
        </w:rPr>
        <w:tab/>
      </w:r>
      <w:r>
        <w:rPr>
          <w:sz w:val="28"/>
          <w:szCs w:val="28"/>
        </w:rPr>
        <w:fldChar w:fldCharType="begin"/>
      </w:r>
      <w:r>
        <w:rPr>
          <w:sz w:val="28"/>
          <w:szCs w:val="28"/>
        </w:rPr>
        <w:instrText xml:space="preserve"> PAGEREF _Toc770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_Toc5157 </w:instrText>
      </w:r>
      <w:r>
        <w:rPr>
          <w:sz w:val="28"/>
          <w:szCs w:val="28"/>
        </w:rPr>
        <w:fldChar w:fldCharType="separate"/>
      </w:r>
      <w:r>
        <w:rPr>
          <w:rFonts w:hint="eastAsia"/>
          <w:sz w:val="28"/>
          <w:szCs w:val="28"/>
          <w:lang w:val="en-US" w:eastAsia="zh-CN"/>
        </w:rPr>
        <w:t>3.3查阅情况</w:t>
      </w:r>
      <w:r>
        <w:rPr>
          <w:sz w:val="28"/>
          <w:szCs w:val="28"/>
        </w:rPr>
        <w:tab/>
      </w:r>
      <w:r>
        <w:rPr>
          <w:sz w:val="28"/>
          <w:szCs w:val="28"/>
        </w:rPr>
        <w:fldChar w:fldCharType="begin"/>
      </w:r>
      <w:r>
        <w:rPr>
          <w:sz w:val="28"/>
          <w:szCs w:val="28"/>
        </w:rPr>
        <w:instrText xml:space="preserve"> PAGEREF _Toc5157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_Toc31036 </w:instrText>
      </w:r>
      <w:r>
        <w:rPr>
          <w:sz w:val="28"/>
          <w:szCs w:val="28"/>
        </w:rPr>
        <w:fldChar w:fldCharType="separate"/>
      </w:r>
      <w:r>
        <w:rPr>
          <w:rFonts w:hint="eastAsia"/>
          <w:sz w:val="28"/>
          <w:szCs w:val="28"/>
          <w:lang w:val="en-US" w:eastAsia="zh-CN"/>
        </w:rPr>
        <w:t>3.4公众提出意见情况</w:t>
      </w:r>
      <w:r>
        <w:rPr>
          <w:sz w:val="28"/>
          <w:szCs w:val="28"/>
        </w:rPr>
        <w:tab/>
      </w:r>
      <w:r>
        <w:rPr>
          <w:sz w:val="28"/>
          <w:szCs w:val="28"/>
        </w:rPr>
        <w:fldChar w:fldCharType="begin"/>
      </w:r>
      <w:r>
        <w:rPr>
          <w:sz w:val="28"/>
          <w:szCs w:val="28"/>
        </w:rPr>
        <w:instrText xml:space="preserve"> PAGEREF _Toc31036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2"/>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b/>
          <w:bCs/>
          <w:sz w:val="28"/>
          <w:szCs w:val="28"/>
        </w:rPr>
      </w:pPr>
      <w:r>
        <w:rPr>
          <w:b/>
          <w:bCs/>
          <w:sz w:val="28"/>
          <w:szCs w:val="28"/>
        </w:rPr>
        <w:fldChar w:fldCharType="begin"/>
      </w:r>
      <w:r>
        <w:rPr>
          <w:b/>
          <w:bCs/>
          <w:sz w:val="28"/>
          <w:szCs w:val="28"/>
        </w:rPr>
        <w:instrText xml:space="preserve"> HYPERLINK \l _Toc12835 </w:instrText>
      </w:r>
      <w:r>
        <w:rPr>
          <w:b/>
          <w:bCs/>
          <w:sz w:val="28"/>
          <w:szCs w:val="28"/>
        </w:rPr>
        <w:fldChar w:fldCharType="separate"/>
      </w:r>
      <w:r>
        <w:rPr>
          <w:rFonts w:hint="eastAsia"/>
          <w:b/>
          <w:bCs/>
          <w:sz w:val="28"/>
          <w:szCs w:val="28"/>
          <w:lang w:val="en-US" w:eastAsia="zh-CN"/>
        </w:rPr>
        <w:t>4、其他公众参与情况</w:t>
      </w:r>
      <w:r>
        <w:rPr>
          <w:b/>
          <w:bCs/>
          <w:sz w:val="28"/>
          <w:szCs w:val="28"/>
        </w:rPr>
        <w:tab/>
      </w:r>
      <w:r>
        <w:rPr>
          <w:b/>
          <w:bCs/>
          <w:sz w:val="28"/>
          <w:szCs w:val="28"/>
        </w:rPr>
        <w:fldChar w:fldCharType="begin"/>
      </w:r>
      <w:r>
        <w:rPr>
          <w:b/>
          <w:bCs/>
          <w:sz w:val="28"/>
          <w:szCs w:val="28"/>
        </w:rPr>
        <w:instrText xml:space="preserve"> PAGEREF _Toc12835 </w:instrText>
      </w:r>
      <w:r>
        <w:rPr>
          <w:b/>
          <w:bCs/>
          <w:sz w:val="28"/>
          <w:szCs w:val="28"/>
        </w:rPr>
        <w:fldChar w:fldCharType="separate"/>
      </w:r>
      <w:r>
        <w:rPr>
          <w:b/>
          <w:bCs/>
          <w:sz w:val="28"/>
          <w:szCs w:val="28"/>
        </w:rPr>
        <w:t>11</w:t>
      </w:r>
      <w:r>
        <w:rPr>
          <w:b/>
          <w:bCs/>
          <w:sz w:val="28"/>
          <w:szCs w:val="28"/>
        </w:rPr>
        <w:fldChar w:fldCharType="end"/>
      </w:r>
      <w:r>
        <w:rPr>
          <w:b/>
          <w:bCs/>
          <w:sz w:val="28"/>
          <w:szCs w:val="28"/>
        </w:rPr>
        <w:fldChar w:fldCharType="end"/>
      </w:r>
    </w:p>
    <w:p>
      <w:pPr>
        <w:pStyle w:val="12"/>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b/>
          <w:bCs/>
          <w:sz w:val="28"/>
          <w:szCs w:val="28"/>
        </w:rPr>
      </w:pPr>
      <w:r>
        <w:rPr>
          <w:b/>
          <w:bCs/>
          <w:sz w:val="28"/>
          <w:szCs w:val="28"/>
        </w:rPr>
        <w:fldChar w:fldCharType="begin"/>
      </w:r>
      <w:r>
        <w:rPr>
          <w:b/>
          <w:bCs/>
          <w:sz w:val="28"/>
          <w:szCs w:val="28"/>
        </w:rPr>
        <w:instrText xml:space="preserve"> HYPERLINK \l _Toc31190 </w:instrText>
      </w:r>
      <w:r>
        <w:rPr>
          <w:b/>
          <w:bCs/>
          <w:sz w:val="28"/>
          <w:szCs w:val="28"/>
        </w:rPr>
        <w:fldChar w:fldCharType="separate"/>
      </w:r>
      <w:r>
        <w:rPr>
          <w:rFonts w:hint="eastAsia"/>
          <w:b/>
          <w:bCs/>
          <w:sz w:val="28"/>
          <w:szCs w:val="28"/>
          <w:lang w:val="en-US" w:eastAsia="zh-CN"/>
        </w:rPr>
        <w:t>5、公众意见处理情况</w:t>
      </w:r>
      <w:r>
        <w:rPr>
          <w:b/>
          <w:bCs/>
          <w:sz w:val="28"/>
          <w:szCs w:val="28"/>
        </w:rPr>
        <w:tab/>
      </w:r>
      <w:r>
        <w:rPr>
          <w:b/>
          <w:bCs/>
          <w:sz w:val="28"/>
          <w:szCs w:val="28"/>
        </w:rPr>
        <w:fldChar w:fldCharType="begin"/>
      </w:r>
      <w:r>
        <w:rPr>
          <w:b/>
          <w:bCs/>
          <w:sz w:val="28"/>
          <w:szCs w:val="28"/>
        </w:rPr>
        <w:instrText xml:space="preserve"> PAGEREF _Toc31190 </w:instrText>
      </w:r>
      <w:r>
        <w:rPr>
          <w:b/>
          <w:bCs/>
          <w:sz w:val="28"/>
          <w:szCs w:val="28"/>
        </w:rPr>
        <w:fldChar w:fldCharType="separate"/>
      </w:r>
      <w:r>
        <w:rPr>
          <w:b/>
          <w:bCs/>
          <w:sz w:val="28"/>
          <w:szCs w:val="28"/>
        </w:rPr>
        <w:t>11</w:t>
      </w:r>
      <w:r>
        <w:rPr>
          <w:b/>
          <w:bCs/>
          <w:sz w:val="28"/>
          <w:szCs w:val="28"/>
        </w:rPr>
        <w:fldChar w:fldCharType="end"/>
      </w:r>
      <w:r>
        <w:rPr>
          <w:b/>
          <w:bCs/>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_Toc2747 </w:instrText>
      </w:r>
      <w:r>
        <w:rPr>
          <w:sz w:val="28"/>
          <w:szCs w:val="28"/>
        </w:rPr>
        <w:fldChar w:fldCharType="separate"/>
      </w:r>
      <w:r>
        <w:rPr>
          <w:rFonts w:hint="eastAsia"/>
          <w:sz w:val="28"/>
          <w:szCs w:val="28"/>
          <w:lang w:val="en-US" w:eastAsia="zh-CN"/>
        </w:rPr>
        <w:t>5.1公众意见概述和分析</w:t>
      </w:r>
      <w:r>
        <w:rPr>
          <w:sz w:val="28"/>
          <w:szCs w:val="28"/>
        </w:rPr>
        <w:tab/>
      </w:r>
      <w:r>
        <w:rPr>
          <w:sz w:val="28"/>
          <w:szCs w:val="28"/>
        </w:rPr>
        <w:fldChar w:fldCharType="begin"/>
      </w:r>
      <w:r>
        <w:rPr>
          <w:sz w:val="28"/>
          <w:szCs w:val="28"/>
        </w:rPr>
        <w:instrText xml:space="preserve"> PAGEREF _Toc2747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_Toc8833 </w:instrText>
      </w:r>
      <w:r>
        <w:rPr>
          <w:sz w:val="28"/>
          <w:szCs w:val="28"/>
        </w:rPr>
        <w:fldChar w:fldCharType="separate"/>
      </w:r>
      <w:r>
        <w:rPr>
          <w:rFonts w:hint="eastAsia"/>
          <w:sz w:val="28"/>
          <w:szCs w:val="28"/>
          <w:lang w:val="en-US" w:eastAsia="zh-CN"/>
        </w:rPr>
        <w:t>5.2公众意见采纳情况</w:t>
      </w:r>
      <w:r>
        <w:rPr>
          <w:sz w:val="28"/>
          <w:szCs w:val="28"/>
        </w:rPr>
        <w:tab/>
      </w:r>
      <w:r>
        <w:rPr>
          <w:sz w:val="28"/>
          <w:szCs w:val="28"/>
        </w:rPr>
        <w:fldChar w:fldCharType="begin"/>
      </w:r>
      <w:r>
        <w:rPr>
          <w:sz w:val="28"/>
          <w:szCs w:val="28"/>
        </w:rPr>
        <w:instrText xml:space="preserve"> PAGEREF _Toc8833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3"/>
        <w:keepNext w:val="0"/>
        <w:keepLines w:val="0"/>
        <w:pageBreakBefore w:val="0"/>
        <w:widowControl w:val="0"/>
        <w:tabs>
          <w:tab w:val="right" w:leader="dot" w:pos="9014"/>
          <w:tab w:val="clear" w:pos="9004"/>
        </w:tabs>
        <w:kinsoku/>
        <w:wordWrap/>
        <w:overflowPunct/>
        <w:topLinePunct w:val="0"/>
        <w:autoSpaceDE/>
        <w:autoSpaceDN/>
        <w:bidi w:val="0"/>
        <w:adjustRightInd/>
        <w:snapToGrid/>
        <w:textAlignment w:val="auto"/>
        <w:rPr>
          <w:sz w:val="28"/>
          <w:szCs w:val="28"/>
        </w:rPr>
      </w:pPr>
      <w:r>
        <w:rPr>
          <w:sz w:val="28"/>
          <w:szCs w:val="28"/>
        </w:rPr>
        <w:fldChar w:fldCharType="begin"/>
      </w:r>
      <w:r>
        <w:rPr>
          <w:sz w:val="28"/>
          <w:szCs w:val="28"/>
        </w:rPr>
        <w:instrText xml:space="preserve"> HYPERLINK \l _Toc13436 </w:instrText>
      </w:r>
      <w:r>
        <w:rPr>
          <w:sz w:val="28"/>
          <w:szCs w:val="28"/>
        </w:rPr>
        <w:fldChar w:fldCharType="separate"/>
      </w:r>
      <w:r>
        <w:rPr>
          <w:rFonts w:hint="eastAsia"/>
          <w:sz w:val="28"/>
          <w:szCs w:val="28"/>
          <w:lang w:val="en-US" w:eastAsia="zh-CN"/>
        </w:rPr>
        <w:t>5.3公众意见未采纳情况</w:t>
      </w:r>
      <w:r>
        <w:rPr>
          <w:sz w:val="28"/>
          <w:szCs w:val="28"/>
        </w:rPr>
        <w:tab/>
      </w:r>
      <w:r>
        <w:rPr>
          <w:sz w:val="28"/>
          <w:szCs w:val="28"/>
        </w:rPr>
        <w:fldChar w:fldCharType="begin"/>
      </w:r>
      <w:r>
        <w:rPr>
          <w:sz w:val="28"/>
          <w:szCs w:val="28"/>
        </w:rPr>
        <w:instrText xml:space="preserve"> PAGEREF _Toc13436 </w:instrText>
      </w:r>
      <w:r>
        <w:rPr>
          <w:sz w:val="28"/>
          <w:szCs w:val="28"/>
        </w:rPr>
        <w:fldChar w:fldCharType="separate"/>
      </w:r>
      <w:r>
        <w:rPr>
          <w:sz w:val="28"/>
          <w:szCs w:val="28"/>
        </w:rPr>
        <w:t>11</w:t>
      </w:r>
      <w:r>
        <w:rPr>
          <w:sz w:val="28"/>
          <w:szCs w:val="28"/>
        </w:rPr>
        <w:fldChar w:fldCharType="end"/>
      </w:r>
      <w:r>
        <w:rPr>
          <w:sz w:val="28"/>
          <w:szCs w:val="28"/>
        </w:rP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rPr>
          <w:sz w:val="28"/>
          <w:szCs w:val="28"/>
        </w:rPr>
        <w:fldChar w:fldCharType="end"/>
      </w:r>
    </w:p>
    <w:p>
      <w:pPr>
        <w:pStyle w:val="2"/>
        <w:sectPr>
          <w:footerReference r:id="rId5" w:type="default"/>
          <w:pgSz w:w="11906" w:h="16838"/>
          <w:pgMar w:top="1418" w:right="1418" w:bottom="1418" w:left="1474" w:header="964" w:footer="964" w:gutter="0"/>
          <w:pgBorders>
            <w:top w:val="none" w:sz="0" w:space="0"/>
            <w:left w:val="none" w:sz="0" w:space="0"/>
            <w:bottom w:val="none" w:sz="0" w:space="0"/>
            <w:right w:val="none" w:sz="0" w:space="0"/>
          </w:pgBorders>
          <w:pgNumType w:fmt="upperRoman" w:start="1"/>
          <w:cols w:space="425" w:num="1"/>
          <w:docGrid w:type="lines" w:linePitch="326" w:charSpace="741"/>
        </w:sectPr>
      </w:pPr>
    </w:p>
    <w:bookmarkEnd w:id="0"/>
    <w:bookmarkEnd w:id="1"/>
    <w:p>
      <w:pPr>
        <w:pStyle w:val="6"/>
        <w:rPr>
          <w:rFonts w:hint="eastAsia" w:eastAsia="宋体"/>
          <w:lang w:val="en-US" w:eastAsia="zh-CN"/>
        </w:rPr>
      </w:pPr>
      <w:bookmarkStart w:id="2" w:name="_Toc2803"/>
      <w:r>
        <w:rPr>
          <w:rFonts w:hint="eastAsia"/>
          <w:lang w:val="en-US" w:eastAsia="zh-CN"/>
        </w:rPr>
        <w:t>1、项目概述</w:t>
      </w:r>
      <w:bookmarkEnd w:id="2"/>
    </w:p>
    <w:p>
      <w:pPr>
        <w:rPr>
          <w:rFonts w:hint="eastAsia"/>
          <w:lang w:val="en-US" w:eastAsia="zh-CN"/>
        </w:rPr>
      </w:pPr>
      <w:r>
        <w:rPr>
          <w:rFonts w:hint="eastAsia"/>
          <w:lang w:val="en-US" w:eastAsia="zh-CN"/>
        </w:rPr>
        <w:t>公众参与是环境影响评价工作中一项重要的工作内容，是公众参与环境管理的一种必要形式。公众参与的目的是为了全面了解项目评价范围内公众及相关团体对项目的认识程度，让广大公众对项目建设过程中和实施后可能带来的环境问题提出意见和建议，保障项目在建设决策中的科学化、民主化，通过公众参与促使项目的设计、施工和运营更加完善、合理，从而最大限度的发挥项目建成后带来的社会效益、经济效益和环境效益。</w:t>
      </w:r>
    </w:p>
    <w:p>
      <w:pPr>
        <w:rPr>
          <w:rFonts w:hint="eastAsia" w:cs="Times New Roman"/>
          <w:lang w:val="en-US" w:eastAsia="zh-CN"/>
        </w:rPr>
      </w:pPr>
      <w:r>
        <w:rPr>
          <w:rFonts w:hint="eastAsia" w:cs="Times New Roman"/>
          <w:lang w:val="en-US" w:eastAsia="zh-CN"/>
        </w:rPr>
        <w:t>张掖盛泰纸业有限公司年产10万吨高强瓦楞纸项目位于张掖经济技术开发区循环经济示范园区，占地面积约134686.4m</w:t>
      </w:r>
      <w:r>
        <w:rPr>
          <w:rFonts w:hint="eastAsia" w:cs="Times New Roman"/>
          <w:vertAlign w:val="superscript"/>
          <w:lang w:val="en-US" w:eastAsia="zh-CN"/>
        </w:rPr>
        <w:t>2</w:t>
      </w:r>
      <w:r>
        <w:rPr>
          <w:rFonts w:hint="eastAsia" w:cs="Times New Roman"/>
          <w:lang w:val="en-US" w:eastAsia="zh-CN"/>
        </w:rPr>
        <w:t>，建筑面积35592.6m</w:t>
      </w:r>
      <w:r>
        <w:rPr>
          <w:rFonts w:hint="eastAsia" w:cs="Times New Roman"/>
          <w:vertAlign w:val="superscript"/>
          <w:lang w:val="en-US" w:eastAsia="zh-CN"/>
        </w:rPr>
        <w:t>2</w:t>
      </w:r>
      <w:r>
        <w:rPr>
          <w:rFonts w:hint="eastAsia" w:cs="Times New Roman"/>
          <w:lang w:val="en-US" w:eastAsia="zh-CN"/>
        </w:rPr>
        <w:t>，利用废纸制浆年生产10万吨高强瓦楞纸。工程建设内容包括制浆车间、造纸车间、原料库、成品库、办公楼、职工宿舍以及配套的给排水、环保工程治理设施等，总投资20564.50万元。</w:t>
      </w:r>
    </w:p>
    <w:p>
      <w:pPr>
        <w:rPr>
          <w:rFonts w:hint="default" w:eastAsia="宋体"/>
          <w:lang w:val="en-US" w:eastAsia="zh-CN"/>
        </w:rPr>
      </w:pPr>
      <w:r>
        <w:rPr>
          <w:rFonts w:hint="eastAsia"/>
          <w:lang w:val="en-US" w:eastAsia="zh-CN"/>
        </w:rPr>
        <w:t>我单位于2017年7月28日委托陕西优和安环工程咨询有限公司承担《</w:t>
      </w:r>
      <w:r>
        <w:rPr>
          <w:rFonts w:hint="eastAsia" w:cs="Times New Roman"/>
          <w:lang w:val="en-US" w:eastAsia="zh-CN"/>
        </w:rPr>
        <w:t>张掖盛泰纸业有限公司年产10万吨高强瓦楞纸项目</w:t>
      </w:r>
      <w:r>
        <w:rPr>
          <w:rFonts w:hint="eastAsia"/>
          <w:lang w:val="en-US" w:eastAsia="zh-CN"/>
        </w:rPr>
        <w:t>环境影响报告书》（简称“报告书”）的编制工作。</w:t>
      </w:r>
      <w:r>
        <w:rPr>
          <w:rFonts w:hint="default" w:ascii="Times New Roman" w:hAnsi="Times New Roman" w:cs="Times New Roman"/>
          <w:color w:val="auto"/>
        </w:rPr>
        <w:t>评价期间，</w:t>
      </w:r>
      <w:r>
        <w:rPr>
          <w:rFonts w:hint="eastAsia" w:cs="Times New Roman"/>
          <w:lang w:val="en-US" w:eastAsia="zh-CN"/>
        </w:rPr>
        <w:t>张掖盛泰纸业有限公司年产10万吨高强瓦楞纸项目</w:t>
      </w:r>
      <w:r>
        <w:rPr>
          <w:rFonts w:hint="eastAsia"/>
          <w:lang w:val="en-US" w:eastAsia="zh-CN"/>
        </w:rPr>
        <w:t>按照原《环评公众参与暂行办法》（2006年3月18日）要求先后进行了两次公示；生态环境部于2018年7月发布《环境影响评价公众参与办法》，该办法实施日期为2019年1月1日，根据该办法解释，在实施之日以前已经进行过公示的建设项目，按照新的公参办法，可以不再进行第一次公众参与公示，但是需要按照新的公参办法进行征求意见稿阶段公示，因此，我单位于</w:t>
      </w:r>
      <w:r>
        <w:rPr>
          <w:rFonts w:hint="default" w:ascii="Times New Roman" w:hAnsi="Times New Roman" w:cs="Times New Roman"/>
          <w:color w:val="auto"/>
        </w:rPr>
        <w:t>201</w:t>
      </w:r>
      <w:r>
        <w:rPr>
          <w:rFonts w:hint="default" w:ascii="Times New Roman" w:hAnsi="Times New Roman" w:cs="Times New Roman"/>
          <w:color w:val="auto"/>
          <w:lang w:val="en-US" w:eastAsia="zh-CN"/>
        </w:rPr>
        <w:t>9</w:t>
      </w:r>
      <w:r>
        <w:rPr>
          <w:rFonts w:hint="default" w:ascii="Times New Roman" w:hAnsi="Times New Roman" w:cs="Times New Roman"/>
          <w:color w:val="auto"/>
        </w:rPr>
        <w:t>年</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23</w:t>
      </w:r>
      <w:r>
        <w:rPr>
          <w:rFonts w:hint="default" w:ascii="Times New Roman" w:hAnsi="Times New Roman" w:cs="Times New Roman"/>
          <w:color w:val="auto"/>
        </w:rPr>
        <w:t>日</w:t>
      </w:r>
      <w:r>
        <w:rPr>
          <w:rFonts w:hint="eastAsia" w:ascii="Times New Roman" w:hAnsi="Times New Roman" w:cs="Times New Roman"/>
          <w:color w:val="auto"/>
          <w:lang w:val="en-US" w:eastAsia="zh-CN"/>
        </w:rPr>
        <w:t>在项目所在地的公开网络甘州区政府网甘州在线上进行了网站公示，在此期间，</w:t>
      </w:r>
      <w:r>
        <w:rPr>
          <w:rFonts w:hint="eastAsia"/>
          <w:lang w:val="en-US" w:eastAsia="zh-CN"/>
        </w:rPr>
        <w:t>我单位分别</w:t>
      </w:r>
      <w:r>
        <w:rPr>
          <w:rFonts w:hint="default" w:ascii="Times New Roman" w:hAnsi="Times New Roman" w:cs="Times New Roman"/>
          <w:color w:val="auto"/>
        </w:rPr>
        <w:t>于201</w:t>
      </w:r>
      <w:r>
        <w:rPr>
          <w:rFonts w:hint="default" w:ascii="Times New Roman" w:hAnsi="Times New Roman" w:cs="Times New Roman"/>
          <w:color w:val="auto"/>
          <w:lang w:val="en-US" w:eastAsia="zh-CN"/>
        </w:rPr>
        <w:t>9</w:t>
      </w:r>
      <w:r>
        <w:rPr>
          <w:rFonts w:hint="default" w:ascii="Times New Roman" w:hAnsi="Times New Roman" w:cs="Times New Roman"/>
          <w:color w:val="auto"/>
        </w:rPr>
        <w:t>年</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25</w:t>
      </w:r>
      <w:r>
        <w:rPr>
          <w:rFonts w:hint="default" w:ascii="Times New Roman" w:hAnsi="Times New Roman" w:cs="Times New Roman"/>
          <w:color w:val="auto"/>
        </w:rPr>
        <w:t>日至</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30</w:t>
      </w:r>
      <w:r>
        <w:rPr>
          <w:rFonts w:hint="default" w:ascii="Times New Roman" w:hAnsi="Times New Roman" w:cs="Times New Roman"/>
          <w:color w:val="auto"/>
        </w:rPr>
        <w:t>日</w:t>
      </w:r>
      <w:r>
        <w:rPr>
          <w:rFonts w:hint="eastAsia" w:cs="Times New Roman"/>
          <w:color w:val="auto"/>
          <w:lang w:val="en-US" w:eastAsia="zh-CN"/>
        </w:rPr>
        <w:t>在张掖日报上</w:t>
      </w:r>
      <w:r>
        <w:rPr>
          <w:rFonts w:hint="default" w:ascii="Times New Roman" w:hAnsi="Times New Roman" w:cs="Times New Roman"/>
          <w:color w:val="auto"/>
        </w:rPr>
        <w:t>对本项目进行了两次报纸公示，同时在第二次信息</w:t>
      </w:r>
      <w:r>
        <w:rPr>
          <w:rFonts w:hint="default" w:ascii="Times New Roman" w:hAnsi="Times New Roman" w:cs="Times New Roman"/>
          <w:color w:val="auto"/>
          <w:lang w:val="en-US" w:eastAsia="zh-CN"/>
        </w:rPr>
        <w:t>公</w:t>
      </w:r>
      <w:r>
        <w:rPr>
          <w:rFonts w:hint="default" w:ascii="Times New Roman" w:hAnsi="Times New Roman" w:cs="Times New Roman"/>
          <w:color w:val="auto"/>
        </w:rPr>
        <w:t>示期间</w:t>
      </w:r>
      <w:r>
        <w:rPr>
          <w:rFonts w:hint="eastAsia" w:cs="Times New Roman"/>
          <w:color w:val="auto"/>
          <w:lang w:val="en-US" w:eastAsia="zh-CN"/>
        </w:rPr>
        <w:t>在</w:t>
      </w:r>
      <w:r>
        <w:rPr>
          <w:rFonts w:hint="default" w:ascii="Times New Roman" w:hAnsi="Times New Roman" w:cs="Times New Roman"/>
          <w:color w:val="auto"/>
          <w:lang w:val="en-US" w:eastAsia="zh-CN"/>
        </w:rPr>
        <w:t>周围</w:t>
      </w:r>
      <w:r>
        <w:rPr>
          <w:rFonts w:hint="default" w:ascii="Times New Roman" w:hAnsi="Times New Roman" w:cs="Times New Roman"/>
          <w:color w:val="auto"/>
        </w:rPr>
        <w:t>张贴了第二次信息公示。</w:t>
      </w:r>
      <w:r>
        <w:rPr>
          <w:rFonts w:hint="eastAsia" w:cs="Times New Roman"/>
          <w:color w:val="auto"/>
          <w:lang w:val="en-US" w:eastAsia="zh-CN"/>
        </w:rPr>
        <w:t>现公示已完成，报告准备报批，我单位按照</w:t>
      </w:r>
      <w:r>
        <w:rPr>
          <w:rFonts w:hint="eastAsia"/>
          <w:lang w:val="en-US" w:eastAsia="zh-CN"/>
        </w:rPr>
        <w:t>《环境影响评价公众参与办法》编制完成了《</w:t>
      </w:r>
      <w:r>
        <w:rPr>
          <w:rFonts w:hint="eastAsia" w:cs="Times New Roman"/>
          <w:lang w:val="en-US" w:eastAsia="zh-CN"/>
        </w:rPr>
        <w:t>张掖盛泰纸业有限公司年产10万吨高强瓦楞纸项目环境影响评价公众参与说明</w:t>
      </w:r>
      <w:r>
        <w:rPr>
          <w:rFonts w:hint="eastAsia"/>
          <w:lang w:val="en-US" w:eastAsia="zh-CN"/>
        </w:rPr>
        <w:t>》，呈报贵局。</w:t>
      </w:r>
    </w:p>
    <w:p>
      <w:pPr>
        <w:pStyle w:val="2"/>
      </w:pPr>
    </w:p>
    <w:p>
      <w:pPr>
        <w:pStyle w:val="6"/>
        <w:sectPr>
          <w:footerReference r:id="rId6" w:type="default"/>
          <w:pgSz w:w="11906" w:h="16838"/>
          <w:pgMar w:top="1418" w:right="1418" w:bottom="1418" w:left="1474" w:header="964" w:footer="964" w:gutter="0"/>
          <w:pgBorders>
            <w:top w:val="none" w:sz="0" w:space="0"/>
            <w:left w:val="none" w:sz="0" w:space="0"/>
            <w:bottom w:val="none" w:sz="0" w:space="0"/>
            <w:right w:val="none" w:sz="0" w:space="0"/>
          </w:pgBorders>
          <w:pgNumType w:fmt="decimal" w:start="1"/>
          <w:cols w:space="425" w:num="1"/>
          <w:docGrid w:type="lines" w:linePitch="326" w:charSpace="741"/>
        </w:sectPr>
      </w:pPr>
      <w:bookmarkStart w:id="3" w:name="_Toc458249104"/>
      <w:bookmarkStart w:id="4" w:name="_Toc471371560"/>
      <w:bookmarkStart w:id="5" w:name="_Toc461444548"/>
      <w:bookmarkStart w:id="6" w:name="_Toc458249199"/>
      <w:bookmarkStart w:id="7" w:name="_Toc455669670"/>
    </w:p>
    <w:p>
      <w:pPr>
        <w:pStyle w:val="6"/>
      </w:pPr>
      <w:bookmarkStart w:id="8" w:name="_Toc30988"/>
      <w:bookmarkStart w:id="9" w:name="_Toc7196"/>
      <w:bookmarkStart w:id="10" w:name="_Toc28207"/>
      <w:r>
        <w:rPr>
          <w:rFonts w:hint="eastAsia"/>
          <w:lang w:val="en-US" w:eastAsia="zh-CN"/>
        </w:rPr>
        <w:t>2、</w:t>
      </w:r>
      <w:bookmarkEnd w:id="3"/>
      <w:bookmarkEnd w:id="4"/>
      <w:bookmarkEnd w:id="5"/>
      <w:bookmarkEnd w:id="6"/>
      <w:bookmarkEnd w:id="7"/>
      <w:bookmarkEnd w:id="8"/>
      <w:bookmarkEnd w:id="9"/>
      <w:r>
        <w:rPr>
          <w:rFonts w:hint="eastAsia"/>
          <w:lang w:val="en-US" w:eastAsia="zh-CN"/>
        </w:rPr>
        <w:t>首次环境影响评价信息公开情况</w:t>
      </w:r>
      <w:bookmarkEnd w:id="10"/>
    </w:p>
    <w:p>
      <w:pPr>
        <w:pStyle w:val="7"/>
        <w:rPr>
          <w:rFonts w:hint="eastAsia"/>
          <w:lang w:val="en-US" w:eastAsia="zh-CN"/>
        </w:rPr>
      </w:pPr>
      <w:bookmarkStart w:id="11" w:name="_Toc26867"/>
      <w:bookmarkStart w:id="12" w:name="_Toc17447"/>
      <w:bookmarkStart w:id="13" w:name="_Toc455669671"/>
      <w:bookmarkStart w:id="14" w:name="_Toc4629"/>
      <w:r>
        <w:rPr>
          <w:rFonts w:hint="eastAsia"/>
          <w:lang w:val="en-US" w:eastAsia="zh-CN"/>
        </w:rPr>
        <w:t>2.1公开内容及日期</w:t>
      </w:r>
      <w:bookmarkEnd w:id="11"/>
    </w:p>
    <w:p>
      <w:pPr>
        <w:pStyle w:val="8"/>
        <w:rPr>
          <w:rFonts w:hint="eastAsia"/>
          <w:lang w:val="en-US" w:eastAsia="zh-CN"/>
        </w:rPr>
      </w:pPr>
      <w:r>
        <w:rPr>
          <w:rFonts w:hint="eastAsia"/>
          <w:lang w:val="en-US" w:eastAsia="zh-CN"/>
        </w:rPr>
        <w:t>2.1.1公开日期</w:t>
      </w:r>
    </w:p>
    <w:p>
      <w:pPr>
        <w:pStyle w:val="2"/>
        <w:rPr>
          <w:rFonts w:hint="eastAsia"/>
          <w:kern w:val="0"/>
        </w:rPr>
      </w:pPr>
      <w:r>
        <w:rPr>
          <w:rFonts w:hint="eastAsia"/>
          <w:kern w:val="0"/>
          <w:lang w:val="en-US" w:eastAsia="zh-CN"/>
        </w:rPr>
        <w:t>第一次公示采取现场张贴公告及网络公示相结合的方式</w:t>
      </w:r>
      <w:r>
        <w:rPr>
          <w:rFonts w:hint="eastAsia"/>
          <w:kern w:val="0"/>
        </w:rPr>
        <w:t>对</w:t>
      </w:r>
      <w:r>
        <w:rPr>
          <w:rFonts w:hint="eastAsia" w:cs="Times New Roman"/>
          <w:lang w:val="en-US" w:eastAsia="zh-CN"/>
        </w:rPr>
        <w:t>张掖盛泰纸业有限公司年产10万吨高强瓦楞纸项目</w:t>
      </w:r>
      <w:r>
        <w:rPr>
          <w:rFonts w:hint="eastAsia"/>
          <w:kern w:val="0"/>
          <w:lang w:val="en-US" w:eastAsia="zh-CN"/>
        </w:rPr>
        <w:t>进行了公示</w:t>
      </w:r>
      <w:r>
        <w:rPr>
          <w:rFonts w:hint="eastAsia"/>
          <w:kern w:val="0"/>
          <w:lang w:eastAsia="zh-CN"/>
        </w:rPr>
        <w:t>，</w:t>
      </w:r>
      <w:r>
        <w:rPr>
          <w:rFonts w:hint="eastAsia"/>
          <w:kern w:val="0"/>
          <w:lang w:val="en-US" w:eastAsia="zh-CN"/>
        </w:rPr>
        <w:t>公示时间为2017年8月10日，公示期为10个工作日</w:t>
      </w:r>
      <w:r>
        <w:rPr>
          <w:rFonts w:hint="eastAsia"/>
          <w:kern w:val="0"/>
        </w:rPr>
        <w:t>。</w:t>
      </w:r>
    </w:p>
    <w:p>
      <w:pPr>
        <w:pStyle w:val="8"/>
        <w:rPr>
          <w:rFonts w:hint="eastAsia"/>
          <w:lang w:val="en-US" w:eastAsia="zh-CN"/>
        </w:rPr>
      </w:pPr>
      <w:r>
        <w:rPr>
          <w:rFonts w:hint="eastAsia"/>
          <w:lang w:val="en-US" w:eastAsia="zh-CN"/>
        </w:rPr>
        <w:t>2.1.2公开内容</w:t>
      </w:r>
    </w:p>
    <w:p>
      <w:pPr>
        <w:pStyle w:val="2"/>
        <w:rPr>
          <w:rFonts w:hint="eastAsia"/>
          <w:kern w:val="0"/>
        </w:rPr>
      </w:pPr>
      <w:r>
        <w:rPr>
          <w:rFonts w:hint="eastAsia"/>
          <w:kern w:val="0"/>
          <w:lang w:eastAsia="zh-CN"/>
        </w:rPr>
        <w:t>一</w:t>
      </w:r>
      <w:r>
        <w:rPr>
          <w:rFonts w:hint="eastAsia"/>
          <w:kern w:val="0"/>
        </w:rPr>
        <w:t>、工程概况</w:t>
      </w:r>
    </w:p>
    <w:p>
      <w:pPr>
        <w:pStyle w:val="2"/>
        <w:rPr>
          <w:rFonts w:hint="eastAsia"/>
          <w:kern w:val="0"/>
          <w:lang w:val="en-US" w:eastAsia="zh-CN"/>
        </w:rPr>
      </w:pPr>
      <w:r>
        <w:rPr>
          <w:rFonts w:hint="eastAsia"/>
          <w:kern w:val="0"/>
          <w:lang w:val="en-US" w:eastAsia="zh-CN"/>
        </w:rPr>
        <w:t>张掖盛泰纸业有限公司年产10万吨高强瓦楞纸项目位于张掖市经济技术开发区循环经济示范园，占地约200亩，利用废纸年产10万吨高强瓦楞原纸，总投资20564.50万元。</w:t>
      </w:r>
    </w:p>
    <w:p>
      <w:pPr>
        <w:pStyle w:val="2"/>
        <w:rPr>
          <w:rFonts w:hint="eastAsia"/>
          <w:kern w:val="0"/>
          <w:lang w:val="en-US" w:eastAsia="zh-CN"/>
        </w:rPr>
      </w:pPr>
      <w:r>
        <w:rPr>
          <w:rFonts w:hint="eastAsia"/>
          <w:kern w:val="0"/>
          <w:lang w:val="en-US" w:eastAsia="zh-CN"/>
        </w:rPr>
        <w:t>二、建设单位名称</w:t>
      </w:r>
    </w:p>
    <w:p>
      <w:pPr>
        <w:pStyle w:val="2"/>
        <w:rPr>
          <w:rFonts w:hint="eastAsia"/>
          <w:kern w:val="0"/>
          <w:lang w:val="en-US" w:eastAsia="zh-CN"/>
        </w:rPr>
      </w:pPr>
      <w:r>
        <w:rPr>
          <w:rFonts w:hint="eastAsia"/>
          <w:kern w:val="0"/>
          <w:lang w:val="en-US" w:eastAsia="zh-CN"/>
        </w:rPr>
        <w:t>建设单位：张掖盛泰纸业有限公司；联系地址：甘肃省张掖工业园区峨博岭路中段新明阳集团；联系人：付清林；联系电话：13909368082。</w:t>
      </w:r>
    </w:p>
    <w:p>
      <w:pPr>
        <w:pStyle w:val="2"/>
        <w:rPr>
          <w:rFonts w:hint="eastAsia"/>
          <w:kern w:val="0"/>
          <w:lang w:val="en-US" w:eastAsia="zh-CN"/>
        </w:rPr>
      </w:pPr>
      <w:r>
        <w:rPr>
          <w:rFonts w:hint="eastAsia"/>
          <w:kern w:val="0"/>
          <w:lang w:val="en-US" w:eastAsia="zh-CN"/>
        </w:rPr>
        <w:t>三、环境影响评价机构</w:t>
      </w:r>
    </w:p>
    <w:p>
      <w:pPr>
        <w:pStyle w:val="2"/>
        <w:rPr>
          <w:rFonts w:hint="eastAsia"/>
          <w:kern w:val="0"/>
          <w:lang w:val="en-US" w:eastAsia="zh-CN"/>
        </w:rPr>
      </w:pPr>
      <w:r>
        <w:rPr>
          <w:rFonts w:hint="eastAsia"/>
          <w:kern w:val="0"/>
          <w:lang w:val="en-US" w:eastAsia="zh-CN"/>
        </w:rPr>
        <w:t>评价单位：陕西优和安环工程咨询有限公司；联系地址：陕西省西安市南门外世纪金花东门；联系人：丁佩；联系电话：18092138376。</w:t>
      </w:r>
    </w:p>
    <w:p>
      <w:pPr>
        <w:pStyle w:val="2"/>
        <w:rPr>
          <w:rFonts w:hint="eastAsia"/>
          <w:kern w:val="0"/>
          <w:lang w:val="en-US" w:eastAsia="zh-CN"/>
        </w:rPr>
      </w:pPr>
      <w:r>
        <w:rPr>
          <w:rFonts w:hint="eastAsia"/>
          <w:kern w:val="0"/>
          <w:lang w:val="en-US" w:eastAsia="zh-CN"/>
        </w:rPr>
        <w:t>四、工作程序和主要工作内容：我单位承接委托后，立即组建环评工作小组进行现场踏勘，在资料收集和现状监测的基础上，按照《导则》要求，对项目区因工程建设所涉及到的环境问题进行认真详尽的分析，并结合项目区自然、社会环境现状及建设特点，针对工程建设可能带来的环境影响进行了预测及分析；并提出相应的措施。</w:t>
      </w:r>
    </w:p>
    <w:p>
      <w:pPr>
        <w:pStyle w:val="2"/>
        <w:rPr>
          <w:rFonts w:hint="eastAsia"/>
          <w:kern w:val="0"/>
          <w:lang w:val="en-US" w:eastAsia="zh-CN"/>
        </w:rPr>
      </w:pPr>
      <w:r>
        <w:rPr>
          <w:rFonts w:hint="eastAsia"/>
          <w:kern w:val="0"/>
          <w:lang w:val="en-US" w:eastAsia="zh-CN"/>
        </w:rPr>
        <w:t>五、征求公众意见的主要事项：1、拟建项目选址、布局等合理性建议和意见；2、工程对周围环境的影响、污染治理和防治措施方面的意见以及建议；3、环评工作中应该关注的问题。</w:t>
      </w:r>
    </w:p>
    <w:p>
      <w:pPr>
        <w:pStyle w:val="2"/>
        <w:rPr>
          <w:rFonts w:hint="eastAsia"/>
          <w:kern w:val="0"/>
          <w:lang w:val="en-US" w:eastAsia="zh-CN"/>
        </w:rPr>
      </w:pPr>
      <w:r>
        <w:rPr>
          <w:rFonts w:hint="eastAsia"/>
          <w:kern w:val="0"/>
          <w:lang w:val="en-US" w:eastAsia="zh-CN"/>
        </w:rPr>
        <w:t>六、公众提出意见的主要方式：公众可通过电话、电子邮件或书信以及面谈等方式提出意见及建议。本公告从公示之日起10个工作日内有效。</w:t>
      </w:r>
    </w:p>
    <w:p>
      <w:pPr>
        <w:pStyle w:val="8"/>
        <w:rPr>
          <w:rFonts w:hint="eastAsia"/>
          <w:lang w:val="en-US" w:eastAsia="zh-CN"/>
        </w:rPr>
      </w:pPr>
      <w:r>
        <w:rPr>
          <w:rFonts w:hint="eastAsia"/>
          <w:lang w:val="en-US" w:eastAsia="zh-CN"/>
        </w:rPr>
        <w:t>2.1.3与《环境影响评价公众参与办法》的符合性分析</w:t>
      </w:r>
    </w:p>
    <w:p>
      <w:pPr>
        <w:rPr>
          <w:rFonts w:hint="eastAsia"/>
          <w:lang w:val="en-US" w:eastAsia="zh-CN"/>
        </w:rPr>
      </w:pPr>
      <w:r>
        <w:rPr>
          <w:rFonts w:hint="eastAsia"/>
          <w:lang w:val="en-US" w:eastAsia="zh-CN"/>
        </w:rPr>
        <w:t>本项目2017年7月28日委托环评单位编制该项目的环评报告，而生态环境部于2018年7月发布《环境影响评价工作参与办法》，自2019年1月1日起施行。因此，未能满足《环境影响评价工作参与办法》第九条：建设单位应当在确定环境影响报告书编制单位后7个工作日内，通过其网站、建设项目所在地公共网站网站或者建设项目所在地相关政府网站进行第一次公示，但根据该管理办法解释，处于过渡期的建设项目，可利用原公众参与第一次公示。</w:t>
      </w:r>
    </w:p>
    <w:p>
      <w:pPr>
        <w:pStyle w:val="2"/>
        <w:rPr>
          <w:rFonts w:hint="eastAsia"/>
          <w:lang w:val="en-US" w:eastAsia="zh-CN"/>
        </w:rPr>
      </w:pPr>
      <w:r>
        <w:rPr>
          <w:rFonts w:hint="eastAsia"/>
          <w:lang w:val="en-US" w:eastAsia="zh-CN"/>
        </w:rPr>
        <w:t>因此，首次环境影响评价信息公开符合《环境影响评价公众参与办法》要求。</w:t>
      </w:r>
    </w:p>
    <w:p>
      <w:pPr>
        <w:pStyle w:val="7"/>
        <w:rPr>
          <w:rFonts w:hint="eastAsia"/>
          <w:lang w:val="en-US" w:eastAsia="zh-CN"/>
        </w:rPr>
      </w:pPr>
      <w:bookmarkStart w:id="15" w:name="_Toc12077"/>
      <w:r>
        <w:rPr>
          <w:rFonts w:hint="eastAsia"/>
          <w:lang w:val="en-US" w:eastAsia="zh-CN"/>
        </w:rPr>
        <w:t>2.2公开方式</w:t>
      </w:r>
      <w:bookmarkEnd w:id="15"/>
    </w:p>
    <w:p>
      <w:pPr>
        <w:pStyle w:val="8"/>
        <w:rPr>
          <w:rFonts w:hint="default"/>
          <w:lang w:val="en-US" w:eastAsia="zh-CN"/>
        </w:rPr>
      </w:pPr>
      <w:r>
        <w:rPr>
          <w:rFonts w:hint="eastAsia"/>
          <w:lang w:val="en-US" w:eastAsia="zh-CN"/>
        </w:rPr>
        <w:t>2.2.1建设场地张贴公告</w:t>
      </w:r>
    </w:p>
    <w:p>
      <w:pPr>
        <w:rPr>
          <w:rFonts w:hint="default"/>
          <w:lang w:val="en-US" w:eastAsia="zh-CN"/>
        </w:rPr>
      </w:pPr>
      <w:r>
        <w:rPr>
          <w:rFonts w:hint="eastAsia"/>
          <w:lang w:val="en-US" w:eastAsia="zh-CN"/>
        </w:rPr>
        <w:t>本项目第一次公示在建设场地周围张贴公告。</w:t>
      </w:r>
    </w:p>
    <w:p>
      <w:pPr>
        <w:pStyle w:val="2"/>
        <w:ind w:left="0" w:leftChars="0" w:firstLine="0" w:firstLineChars="0"/>
        <w:jc w:val="center"/>
        <w:rPr>
          <w:rFonts w:hint="eastAsia" w:eastAsia="宋体"/>
          <w:kern w:val="0"/>
          <w:lang w:eastAsia="zh-CN"/>
        </w:rPr>
      </w:pPr>
      <w:r>
        <w:rPr>
          <w:rFonts w:hint="eastAsia" w:eastAsia="宋体"/>
          <w:kern w:val="0"/>
          <w:lang w:eastAsia="zh-CN"/>
        </w:rPr>
        <w:drawing>
          <wp:inline distT="0" distB="0" distL="114300" distR="114300">
            <wp:extent cx="2379345" cy="2454910"/>
            <wp:effectExtent l="0" t="0" r="1905" b="2540"/>
            <wp:docPr id="5" name="图片 5" descr="微信图片_2019042909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429093819"/>
                    <pic:cNvPicPr>
                      <a:picLocks noChangeAspect="1"/>
                    </pic:cNvPicPr>
                  </pic:nvPicPr>
                  <pic:blipFill>
                    <a:blip r:embed="rId8"/>
                    <a:srcRect l="25475" t="14226" r="31117" b="52136"/>
                    <a:stretch>
                      <a:fillRect/>
                    </a:stretch>
                  </pic:blipFill>
                  <pic:spPr>
                    <a:xfrm>
                      <a:off x="0" y="0"/>
                      <a:ext cx="2379345" cy="2454910"/>
                    </a:xfrm>
                    <a:prstGeom prst="rect">
                      <a:avLst/>
                    </a:prstGeom>
                  </pic:spPr>
                </pic:pic>
              </a:graphicData>
            </a:graphic>
          </wp:inline>
        </w:drawing>
      </w:r>
      <w:r>
        <w:rPr>
          <w:rFonts w:hint="eastAsia"/>
          <w:kern w:val="0"/>
          <w:lang w:val="en-US" w:eastAsia="zh-CN"/>
        </w:rPr>
        <w:t xml:space="preserve">   </w:t>
      </w:r>
      <w:r>
        <w:rPr>
          <w:rFonts w:hint="eastAsia" w:eastAsia="宋体"/>
          <w:kern w:val="0"/>
          <w:lang w:eastAsia="zh-CN"/>
        </w:rPr>
        <w:drawing>
          <wp:inline distT="0" distB="0" distL="114300" distR="114300">
            <wp:extent cx="2116455" cy="3133090"/>
            <wp:effectExtent l="0" t="0" r="17145" b="10160"/>
            <wp:docPr id="4" name="图片 4" descr="微信图片_2019042909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429093827"/>
                    <pic:cNvPicPr>
                      <a:picLocks noChangeAspect="1"/>
                    </pic:cNvPicPr>
                  </pic:nvPicPr>
                  <pic:blipFill>
                    <a:blip r:embed="rId9"/>
                    <a:srcRect l="29699" t="23930" r="33296" b="34988"/>
                    <a:stretch>
                      <a:fillRect/>
                    </a:stretch>
                  </pic:blipFill>
                  <pic:spPr>
                    <a:xfrm>
                      <a:off x="0" y="0"/>
                      <a:ext cx="2116455" cy="3133090"/>
                    </a:xfrm>
                    <a:prstGeom prst="rect">
                      <a:avLst/>
                    </a:prstGeom>
                  </pic:spPr>
                </pic:pic>
              </a:graphicData>
            </a:graphic>
          </wp:inline>
        </w:drawing>
      </w:r>
    </w:p>
    <w:p>
      <w:pPr>
        <w:pStyle w:val="2"/>
        <w:ind w:left="0" w:leftChars="0" w:firstLine="0" w:firstLineChars="0"/>
        <w:jc w:val="center"/>
        <w:rPr>
          <w:rFonts w:hint="default"/>
          <w:kern w:val="0"/>
          <w:lang w:val="en-US" w:eastAsia="zh-CN"/>
        </w:rPr>
      </w:pPr>
      <w:r>
        <w:rPr>
          <w:rFonts w:hint="eastAsia"/>
          <w:kern w:val="0"/>
          <w:lang w:val="en-US" w:eastAsia="zh-CN"/>
        </w:rPr>
        <w:t>现场照片</w:t>
      </w:r>
    </w:p>
    <w:p>
      <w:pPr>
        <w:pStyle w:val="8"/>
        <w:rPr>
          <w:rFonts w:hint="eastAsia"/>
          <w:lang w:val="en-US" w:eastAsia="zh-CN"/>
        </w:rPr>
      </w:pPr>
      <w:r>
        <w:rPr>
          <w:rFonts w:hint="eastAsia"/>
          <w:lang w:val="en-US" w:eastAsia="zh-CN"/>
        </w:rPr>
        <w:t>2.2.2其他</w:t>
      </w:r>
    </w:p>
    <w:p>
      <w:pPr>
        <w:rPr>
          <w:rFonts w:hint="eastAsia"/>
          <w:lang w:val="en-US" w:eastAsia="zh-CN"/>
        </w:rPr>
      </w:pPr>
      <w:r>
        <w:rPr>
          <w:rFonts w:hint="eastAsia"/>
          <w:lang w:val="en-US" w:eastAsia="zh-CN"/>
        </w:rPr>
        <w:t>第一次公示在场地周围张贴公告的同时采取公共网络平台方式进行了公示。公示网站为甘州区政府网站甘州在线，截图如下：</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721985" cy="8093710"/>
            <wp:effectExtent l="0" t="0" r="12065" b="2540"/>
            <wp:docPr id="6" name="图片 6" descr="2 造纸项目公众参与第一次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造纸项目公众参与第一次公告"/>
                    <pic:cNvPicPr>
                      <a:picLocks noChangeAspect="1"/>
                    </pic:cNvPicPr>
                  </pic:nvPicPr>
                  <pic:blipFill>
                    <a:blip r:embed="rId10"/>
                    <a:stretch>
                      <a:fillRect/>
                    </a:stretch>
                  </pic:blipFill>
                  <pic:spPr>
                    <a:xfrm>
                      <a:off x="0" y="0"/>
                      <a:ext cx="5721985" cy="8093710"/>
                    </a:xfrm>
                    <a:prstGeom prst="rect">
                      <a:avLst/>
                    </a:prstGeom>
                  </pic:spPr>
                </pic:pic>
              </a:graphicData>
            </a:graphic>
          </wp:inline>
        </w:drawing>
      </w:r>
    </w:p>
    <w:p>
      <w:pPr>
        <w:pStyle w:val="2"/>
        <w:ind w:left="0" w:leftChars="0" w:firstLine="0" w:firstLineChars="0"/>
        <w:jc w:val="center"/>
        <w:rPr>
          <w:rFonts w:hint="default"/>
          <w:lang w:val="en-US" w:eastAsia="zh-CN"/>
        </w:rPr>
      </w:pPr>
      <w:r>
        <w:rPr>
          <w:rFonts w:hint="eastAsia"/>
          <w:lang w:val="en-US" w:eastAsia="zh-CN"/>
        </w:rPr>
        <w:t>网络公示截图</w:t>
      </w:r>
    </w:p>
    <w:p>
      <w:pPr>
        <w:pStyle w:val="7"/>
        <w:rPr>
          <w:rFonts w:hint="eastAsia"/>
          <w:lang w:val="en-US" w:eastAsia="zh-CN"/>
        </w:rPr>
      </w:pPr>
      <w:bookmarkStart w:id="16" w:name="_Toc3354"/>
      <w:r>
        <w:rPr>
          <w:rFonts w:hint="eastAsia"/>
          <w:lang w:val="en-US" w:eastAsia="zh-CN"/>
        </w:rPr>
        <w:t>2.3公众意见情况</w:t>
      </w:r>
      <w:bookmarkEnd w:id="16"/>
    </w:p>
    <w:p>
      <w:pPr>
        <w:rPr>
          <w:rFonts w:hint="eastAsia"/>
          <w:lang w:val="en-US" w:eastAsia="zh-CN"/>
        </w:rPr>
        <w:sectPr>
          <w:pgSz w:w="11906" w:h="16838"/>
          <w:pgMar w:top="1418" w:right="1418" w:bottom="1418" w:left="1474" w:header="964" w:footer="964" w:gutter="0"/>
          <w:pgBorders>
            <w:top w:val="none" w:sz="0" w:space="0"/>
            <w:left w:val="none" w:sz="0" w:space="0"/>
            <w:bottom w:val="none" w:sz="0" w:space="0"/>
            <w:right w:val="none" w:sz="0" w:space="0"/>
          </w:pgBorders>
          <w:pgNumType w:fmt="decimal"/>
          <w:cols w:space="425" w:num="1"/>
          <w:docGrid w:type="lines" w:linePitch="326" w:charSpace="741"/>
        </w:sectPr>
      </w:pPr>
      <w:r>
        <w:rPr>
          <w:rFonts w:hint="eastAsia"/>
          <w:lang w:val="en-US" w:eastAsia="zh-CN"/>
        </w:rPr>
        <w:t>无。</w:t>
      </w:r>
    </w:p>
    <w:p>
      <w:pPr>
        <w:pStyle w:val="6"/>
        <w:rPr>
          <w:rFonts w:hint="eastAsia"/>
          <w:lang w:val="en-US" w:eastAsia="zh-CN"/>
        </w:rPr>
      </w:pPr>
      <w:bookmarkStart w:id="17" w:name="_Toc9461"/>
      <w:r>
        <w:rPr>
          <w:rFonts w:hint="eastAsia"/>
          <w:lang w:val="en-US" w:eastAsia="zh-CN"/>
        </w:rPr>
        <w:t>3、征求意见稿公示情况</w:t>
      </w:r>
      <w:bookmarkEnd w:id="17"/>
    </w:p>
    <w:p>
      <w:pPr>
        <w:pStyle w:val="7"/>
        <w:rPr>
          <w:rFonts w:hint="eastAsia"/>
          <w:lang w:val="en-US" w:eastAsia="zh-CN"/>
        </w:rPr>
      </w:pPr>
      <w:bookmarkStart w:id="18" w:name="_Toc15918"/>
      <w:r>
        <w:rPr>
          <w:rFonts w:hint="eastAsia"/>
          <w:lang w:val="en-US" w:eastAsia="zh-CN"/>
        </w:rPr>
        <w:t>3.1公示内容及时限</w:t>
      </w:r>
      <w:bookmarkEnd w:id="18"/>
    </w:p>
    <w:p>
      <w:pPr>
        <w:pStyle w:val="8"/>
        <w:rPr>
          <w:rFonts w:hint="eastAsia"/>
          <w:lang w:val="en-US" w:eastAsia="zh-CN"/>
        </w:rPr>
      </w:pPr>
      <w:r>
        <w:rPr>
          <w:rFonts w:hint="eastAsia"/>
          <w:lang w:val="en-US" w:eastAsia="zh-CN"/>
        </w:rPr>
        <w:t>3.1.1公示时限</w:t>
      </w:r>
    </w:p>
    <w:p>
      <w:pPr>
        <w:rPr>
          <w:rFonts w:hint="eastAsia" w:eastAsia="宋体"/>
          <w:lang w:val="en-US" w:eastAsia="zh-CN"/>
        </w:rPr>
      </w:pPr>
      <w:r>
        <w:rPr>
          <w:rFonts w:hint="eastAsia"/>
          <w:szCs w:val="21"/>
          <w:highlight w:val="none"/>
          <w:lang w:val="en-US" w:eastAsia="zh-CN"/>
        </w:rPr>
        <w:t>征求意见稿公示时限为10个工作日，公示时间从2019年4月23日开始。</w:t>
      </w:r>
      <w:r>
        <w:rPr>
          <w:rFonts w:hint="eastAsia"/>
          <w:lang w:val="en-US" w:eastAsia="zh-CN"/>
        </w:rPr>
        <w:t>我单位于</w:t>
      </w:r>
      <w:r>
        <w:rPr>
          <w:rFonts w:hint="default" w:ascii="Times New Roman" w:hAnsi="Times New Roman" w:cs="Times New Roman"/>
          <w:color w:val="auto"/>
        </w:rPr>
        <w:t>201</w:t>
      </w:r>
      <w:r>
        <w:rPr>
          <w:rFonts w:hint="default" w:ascii="Times New Roman" w:hAnsi="Times New Roman" w:cs="Times New Roman"/>
          <w:color w:val="auto"/>
          <w:lang w:val="en-US" w:eastAsia="zh-CN"/>
        </w:rPr>
        <w:t>9</w:t>
      </w:r>
      <w:r>
        <w:rPr>
          <w:rFonts w:hint="default" w:ascii="Times New Roman" w:hAnsi="Times New Roman" w:cs="Times New Roman"/>
          <w:color w:val="auto"/>
        </w:rPr>
        <w:t>年</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23</w:t>
      </w:r>
      <w:r>
        <w:rPr>
          <w:rFonts w:hint="default" w:ascii="Times New Roman" w:hAnsi="Times New Roman" w:cs="Times New Roman"/>
          <w:color w:val="auto"/>
        </w:rPr>
        <w:t>日</w:t>
      </w:r>
      <w:r>
        <w:rPr>
          <w:rFonts w:hint="eastAsia" w:ascii="Times New Roman" w:hAnsi="Times New Roman" w:cs="Times New Roman"/>
          <w:color w:val="auto"/>
          <w:lang w:val="en-US" w:eastAsia="zh-CN"/>
        </w:rPr>
        <w:t>在项目所在地的公开网络甘州区政府网甘州在线上进行了网站公示，在此期间，</w:t>
      </w:r>
      <w:r>
        <w:rPr>
          <w:rFonts w:hint="eastAsia"/>
          <w:lang w:val="en-US" w:eastAsia="zh-CN"/>
        </w:rPr>
        <w:t>分别</w:t>
      </w:r>
      <w:r>
        <w:rPr>
          <w:rFonts w:hint="default" w:ascii="Times New Roman" w:hAnsi="Times New Roman" w:cs="Times New Roman"/>
          <w:color w:val="auto"/>
        </w:rPr>
        <w:t>于201</w:t>
      </w:r>
      <w:r>
        <w:rPr>
          <w:rFonts w:hint="default" w:ascii="Times New Roman" w:hAnsi="Times New Roman" w:cs="Times New Roman"/>
          <w:color w:val="auto"/>
          <w:lang w:val="en-US" w:eastAsia="zh-CN"/>
        </w:rPr>
        <w:t>9</w:t>
      </w:r>
      <w:r>
        <w:rPr>
          <w:rFonts w:hint="default" w:ascii="Times New Roman" w:hAnsi="Times New Roman" w:cs="Times New Roman"/>
          <w:color w:val="auto"/>
        </w:rPr>
        <w:t>年</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25</w:t>
      </w:r>
      <w:r>
        <w:rPr>
          <w:rFonts w:hint="default" w:ascii="Times New Roman" w:hAnsi="Times New Roman" w:cs="Times New Roman"/>
          <w:color w:val="auto"/>
        </w:rPr>
        <w:t>日至</w:t>
      </w:r>
      <w:r>
        <w:rPr>
          <w:rFonts w:hint="eastAsia" w:cs="Times New Roman"/>
          <w:color w:val="auto"/>
          <w:lang w:val="en-US" w:eastAsia="zh-CN"/>
        </w:rPr>
        <w:t>4</w:t>
      </w:r>
      <w:r>
        <w:rPr>
          <w:rFonts w:hint="default" w:ascii="Times New Roman" w:hAnsi="Times New Roman" w:cs="Times New Roman"/>
          <w:color w:val="auto"/>
        </w:rPr>
        <w:t>月</w:t>
      </w:r>
      <w:r>
        <w:rPr>
          <w:rFonts w:hint="eastAsia" w:cs="Times New Roman"/>
          <w:color w:val="auto"/>
          <w:lang w:val="en-US" w:eastAsia="zh-CN"/>
        </w:rPr>
        <w:t>30</w:t>
      </w:r>
      <w:r>
        <w:rPr>
          <w:rFonts w:hint="default" w:ascii="Times New Roman" w:hAnsi="Times New Roman" w:cs="Times New Roman"/>
          <w:color w:val="auto"/>
        </w:rPr>
        <w:t>日</w:t>
      </w:r>
      <w:r>
        <w:rPr>
          <w:rFonts w:hint="eastAsia" w:ascii="Times New Roman" w:hAnsi="Times New Roman" w:cs="Times New Roman"/>
          <w:color w:val="auto"/>
          <w:lang w:val="en-US" w:eastAsia="zh-CN"/>
        </w:rPr>
        <w:t>在张掖日报上</w:t>
      </w:r>
      <w:r>
        <w:rPr>
          <w:rFonts w:hint="default" w:ascii="Times New Roman" w:hAnsi="Times New Roman" w:cs="Times New Roman"/>
          <w:color w:val="auto"/>
        </w:rPr>
        <w:t>对本项目进行了两次报纸公示</w:t>
      </w:r>
      <w:r>
        <w:rPr>
          <w:rFonts w:hint="eastAsia" w:ascii="Times New Roman" w:hAnsi="Times New Roman" w:cs="Times New Roman"/>
          <w:color w:val="auto"/>
          <w:lang w:eastAsia="zh-CN"/>
        </w:rPr>
        <w:t>。</w:t>
      </w:r>
    </w:p>
    <w:p>
      <w:pPr>
        <w:pStyle w:val="8"/>
        <w:rPr>
          <w:rFonts w:hint="eastAsia"/>
          <w:lang w:val="en-US" w:eastAsia="zh-CN"/>
        </w:rPr>
      </w:pPr>
      <w:r>
        <w:rPr>
          <w:rFonts w:hint="eastAsia"/>
          <w:lang w:val="en-US" w:eastAsia="zh-CN"/>
        </w:rPr>
        <w:t>3.1.2公示内容</w:t>
      </w:r>
    </w:p>
    <w:p>
      <w:pPr>
        <w:bidi w:val="0"/>
        <w:rPr>
          <w:rFonts w:hint="default"/>
          <w:lang w:val="en-US" w:eastAsia="zh-CN"/>
        </w:rPr>
      </w:pPr>
      <w:bookmarkStart w:id="19" w:name="_Toc12051"/>
      <w:r>
        <w:rPr>
          <w:rFonts w:hint="default"/>
          <w:lang w:val="en-US" w:eastAsia="zh-CN"/>
        </w:rPr>
        <w:t>一、项目概况</w:t>
      </w:r>
      <w:bookmarkEnd w:id="19"/>
    </w:p>
    <w:p>
      <w:pPr>
        <w:bidi w:val="0"/>
        <w:rPr>
          <w:rFonts w:hint="default"/>
          <w:lang w:val="en-US" w:eastAsia="zh-CN"/>
        </w:rPr>
      </w:pPr>
      <w:bookmarkStart w:id="20" w:name="_Toc18920"/>
      <w:r>
        <w:rPr>
          <w:rFonts w:hint="default"/>
          <w:lang w:val="en-US" w:eastAsia="zh-CN"/>
        </w:rPr>
        <w:t>张掖盛泰纸业有限公司年产10万吨高强瓦楞纸项目位于张掖经济技术开发区循环经济示范园区，占地面积约134686.4m2，建筑面积35592.6m2，利用废纸制浆年生产10万吨高强瓦楞纸。工程建设内容包括制浆车间、造纸车间、原料库、成品库、办公楼、职工宿舍以及配套的给排水、环保工程治理设施等，总投资20564.50万元。</w:t>
      </w:r>
      <w:bookmarkEnd w:id="20"/>
    </w:p>
    <w:p>
      <w:pPr>
        <w:bidi w:val="0"/>
        <w:rPr>
          <w:rFonts w:hint="default"/>
          <w:lang w:val="en-US" w:eastAsia="zh-CN"/>
        </w:rPr>
      </w:pPr>
      <w:bookmarkStart w:id="21" w:name="_Toc1871"/>
      <w:r>
        <w:rPr>
          <w:rFonts w:hint="default"/>
          <w:lang w:val="en-US" w:eastAsia="zh-CN"/>
        </w:rPr>
        <w:t>二、环境影响报告书征求意见稿全文的网络链接及查阅纸质报告书的方式和途径</w:t>
      </w:r>
      <w:bookmarkEnd w:id="21"/>
    </w:p>
    <w:p>
      <w:pPr>
        <w:bidi w:val="0"/>
        <w:rPr>
          <w:rFonts w:hint="default"/>
          <w:lang w:val="en-US" w:eastAsia="zh-CN"/>
        </w:rPr>
      </w:pPr>
      <w:bookmarkStart w:id="22" w:name="_Toc25109"/>
      <w:r>
        <w:rPr>
          <w:rFonts w:hint="default"/>
          <w:lang w:val="en-US" w:eastAsia="zh-CN"/>
        </w:rPr>
        <w:t>环境影响报告书征求意见稿全文的网络链接：</w:t>
      </w:r>
      <w:bookmarkEnd w:id="22"/>
    </w:p>
    <w:p>
      <w:pPr>
        <w:bidi w:val="0"/>
        <w:rPr>
          <w:rFonts w:hint="default"/>
          <w:lang w:val="en-US" w:eastAsia="zh-CN"/>
        </w:rPr>
      </w:pPr>
      <w:bookmarkStart w:id="23" w:name="_Toc8902"/>
      <w:r>
        <w:rPr>
          <w:rFonts w:hint="default"/>
          <w:lang w:val="en-US" w:eastAsia="zh-CN"/>
        </w:rPr>
        <w:t>http://www.gscxhj.com/htm/20194/13_1105.htm?tdsourcetag=s_pcqq_aiomsg。</w:t>
      </w:r>
      <w:bookmarkEnd w:id="23"/>
    </w:p>
    <w:p>
      <w:pPr>
        <w:bidi w:val="0"/>
        <w:rPr>
          <w:rFonts w:hint="default"/>
          <w:lang w:val="en-US" w:eastAsia="zh-CN"/>
        </w:rPr>
      </w:pPr>
      <w:bookmarkStart w:id="24" w:name="_Toc4058"/>
      <w:r>
        <w:rPr>
          <w:rFonts w:hint="default"/>
          <w:lang w:val="en-US" w:eastAsia="zh-CN"/>
        </w:rPr>
        <w:t>查阅纸质报告书的方式和途径：可通过电话、邮件或者来人面谈等方式索取报告书征求意见稿。建设单位：张掖盛泰纸业有限公司；联系地址：甘肃省张掖工业园区峨博岭路中段新明阳集团；联系人：付清林；联系电话：13909368082；评价单位：陕西优和安环工程咨询有限公司；联系地址：陕西省西安市南门外世纪金花东门；联系人：丁佩；联系电话：18092138376。</w:t>
      </w:r>
      <w:bookmarkEnd w:id="24"/>
    </w:p>
    <w:p>
      <w:pPr>
        <w:bidi w:val="0"/>
        <w:rPr>
          <w:rFonts w:hint="default"/>
          <w:lang w:val="en-US" w:eastAsia="zh-CN"/>
        </w:rPr>
      </w:pPr>
      <w:bookmarkStart w:id="25" w:name="_Toc5270"/>
      <w:r>
        <w:rPr>
          <w:rFonts w:hint="default"/>
          <w:lang w:val="en-US" w:eastAsia="zh-CN"/>
        </w:rPr>
        <w:t>三、征求意见的公众范围：与项目有关的周围群众及相关单位。</w:t>
      </w:r>
      <w:bookmarkEnd w:id="25"/>
    </w:p>
    <w:p>
      <w:pPr>
        <w:bidi w:val="0"/>
        <w:rPr>
          <w:rFonts w:hint="default"/>
          <w:lang w:val="en-US" w:eastAsia="zh-CN"/>
        </w:rPr>
      </w:pPr>
      <w:bookmarkStart w:id="26" w:name="_Toc22055"/>
      <w:r>
        <w:rPr>
          <w:rFonts w:hint="default"/>
          <w:lang w:val="en-US" w:eastAsia="zh-CN"/>
        </w:rPr>
        <w:t>四、公众意见表的网络链接：</w:t>
      </w:r>
      <w:bookmarkEnd w:id="26"/>
    </w:p>
    <w:p>
      <w:pPr>
        <w:bidi w:val="0"/>
        <w:rPr>
          <w:rFonts w:hint="default"/>
          <w:lang w:val="en-US" w:eastAsia="zh-CN"/>
        </w:rPr>
      </w:pPr>
      <w:bookmarkStart w:id="27" w:name="_Toc18198"/>
      <w:r>
        <w:rPr>
          <w:rFonts w:hint="default"/>
          <w:lang w:val="en-US" w:eastAsia="zh-CN"/>
        </w:rPr>
        <w:t>http://www.gscxhj.com/htm/20194/13_1105.htm?tdsourcetag=s_pcqq_aiomsg。</w:t>
      </w:r>
      <w:bookmarkEnd w:id="27"/>
    </w:p>
    <w:p>
      <w:pPr>
        <w:bidi w:val="0"/>
        <w:rPr>
          <w:rFonts w:hint="default"/>
          <w:lang w:val="en-US" w:eastAsia="zh-CN"/>
        </w:rPr>
      </w:pPr>
      <w:bookmarkStart w:id="28" w:name="_Toc9361"/>
      <w:r>
        <w:rPr>
          <w:rFonts w:hint="default"/>
          <w:lang w:val="en-US" w:eastAsia="zh-CN"/>
        </w:rPr>
        <w:t>五、公众提出意见的方式和途径：</w:t>
      </w:r>
      <w:bookmarkEnd w:id="28"/>
    </w:p>
    <w:p>
      <w:pPr>
        <w:bidi w:val="0"/>
        <w:rPr>
          <w:rFonts w:hint="default"/>
          <w:lang w:val="en-US" w:eastAsia="zh-CN"/>
        </w:rPr>
      </w:pPr>
      <w:bookmarkStart w:id="29" w:name="_Toc18361"/>
      <w:r>
        <w:rPr>
          <w:rFonts w:hint="default"/>
          <w:lang w:val="en-US" w:eastAsia="zh-CN"/>
        </w:rPr>
        <w:t>公众可通过电话、邮件、面谈或下载公众意见表的形式提出意见。</w:t>
      </w:r>
      <w:bookmarkEnd w:id="29"/>
    </w:p>
    <w:p>
      <w:pPr>
        <w:keepNext w:val="0"/>
        <w:keepLines w:val="0"/>
        <w:pageBreakBefore w:val="0"/>
        <w:widowControl/>
        <w:kinsoku/>
        <w:wordWrap/>
        <w:overflowPunct/>
        <w:topLinePunct w:val="0"/>
        <w:autoSpaceDE/>
        <w:autoSpaceDN/>
        <w:bidi w:val="0"/>
        <w:adjustRightInd/>
        <w:snapToGrid/>
        <w:spacing w:line="360" w:lineRule="auto"/>
        <w:ind w:left="0" w:leftChars="0"/>
        <w:jc w:val="left"/>
        <w:textAlignment w:val="auto"/>
        <w:outlineLvl w:val="0"/>
        <w:rPr>
          <w:rFonts w:hint="default" w:ascii="Times New Roman" w:hAnsi="Times New Roman" w:eastAsia="宋体" w:cs="Times New Roman"/>
          <w:lang w:val="en-US" w:eastAsia="zh-CN"/>
        </w:rPr>
      </w:pPr>
      <w:bookmarkStart w:id="30" w:name="_Toc1580"/>
      <w:r>
        <w:rPr>
          <w:rFonts w:hint="default" w:ascii="Times New Roman" w:hAnsi="Times New Roman" w:eastAsia="宋体" w:cs="Times New Roman"/>
          <w:lang w:val="en-US" w:eastAsia="zh-CN"/>
        </w:rPr>
        <w:t>六、公众提出意见的起止时间：公示之日起至公示结束期间，公示期为10个工作日。</w:t>
      </w:r>
      <w:bookmarkEnd w:id="30"/>
    </w:p>
    <w:p>
      <w:pPr>
        <w:pStyle w:val="8"/>
        <w:rPr>
          <w:rFonts w:hint="eastAsia"/>
          <w:lang w:val="en-US" w:eastAsia="zh-CN"/>
        </w:rPr>
      </w:pPr>
      <w:r>
        <w:rPr>
          <w:rFonts w:hint="eastAsia"/>
          <w:lang w:val="en-US" w:eastAsia="zh-CN"/>
        </w:rPr>
        <w:t>3.1.3与《环境影响评价公众参与办法》的符合性分析</w:t>
      </w:r>
    </w:p>
    <w:p>
      <w:pPr>
        <w:rPr>
          <w:rFonts w:hint="eastAsia"/>
          <w:lang w:val="en-US" w:eastAsia="zh-CN"/>
        </w:rPr>
      </w:pPr>
      <w:r>
        <w:rPr>
          <w:rFonts w:hint="eastAsia"/>
          <w:lang w:val="en-US" w:eastAsia="zh-CN"/>
        </w:rPr>
        <w:t>在该项目环境影响报告书征求意见稿完成之后，按照《环境影响评价工作参与办法》第十条：建设项目环境影响报告书征求意见稿形成后，向社会公开下列信息：</w:t>
      </w:r>
      <w:r>
        <w:rPr>
          <w:rFonts w:hint="eastAsia" w:ascii="宋体" w:hAnsi="宋体" w:eastAsia="宋体" w:cs="宋体"/>
          <w:lang w:val="en-US" w:eastAsia="zh-CN"/>
        </w:rPr>
        <w:t>①</w:t>
      </w:r>
      <w:r>
        <w:rPr>
          <w:rFonts w:hint="eastAsia"/>
          <w:lang w:val="en-US" w:eastAsia="zh-CN"/>
        </w:rPr>
        <w:t>环境影响报告书征求意见稿全文的网络链接及查阅纸质报告书的方式和途径;</w:t>
      </w:r>
      <w:r>
        <w:rPr>
          <w:rFonts w:hint="eastAsia" w:ascii="宋体" w:hAnsi="宋体" w:eastAsia="宋体" w:cs="宋体"/>
          <w:lang w:val="en-US" w:eastAsia="zh-CN"/>
        </w:rPr>
        <w:t>②</w:t>
      </w:r>
      <w:r>
        <w:rPr>
          <w:rFonts w:hint="eastAsia"/>
          <w:lang w:val="en-US" w:eastAsia="zh-CN"/>
        </w:rPr>
        <w:t>征求意见的公众范围；</w:t>
      </w:r>
      <w:r>
        <w:rPr>
          <w:rFonts w:hint="eastAsia" w:ascii="宋体" w:hAnsi="宋体" w:eastAsia="宋体" w:cs="宋体"/>
          <w:lang w:val="en-US" w:eastAsia="zh-CN"/>
        </w:rPr>
        <w:t>③</w:t>
      </w:r>
      <w:r>
        <w:rPr>
          <w:rFonts w:hint="eastAsia"/>
          <w:lang w:val="en-US" w:eastAsia="zh-CN"/>
        </w:rPr>
        <w:t>公众意见表的网络链接;</w:t>
      </w:r>
      <w:r>
        <w:rPr>
          <w:rFonts w:hint="eastAsia" w:ascii="宋体" w:hAnsi="宋体" w:eastAsia="宋体" w:cs="宋体"/>
          <w:lang w:val="en-US" w:eastAsia="zh-CN"/>
        </w:rPr>
        <w:t>④</w:t>
      </w:r>
      <w:r>
        <w:rPr>
          <w:rFonts w:hint="eastAsia"/>
          <w:lang w:val="en-US" w:eastAsia="zh-CN"/>
        </w:rPr>
        <w:t>公众提出意见的方式和途径;</w:t>
      </w:r>
      <w:r>
        <w:rPr>
          <w:rFonts w:hint="eastAsia" w:ascii="宋体" w:hAnsi="宋体" w:eastAsia="宋体" w:cs="宋体"/>
          <w:lang w:val="en-US" w:eastAsia="zh-CN"/>
        </w:rPr>
        <w:t>⑤</w:t>
      </w:r>
      <w:r>
        <w:rPr>
          <w:rFonts w:hint="eastAsia"/>
          <w:lang w:val="en-US" w:eastAsia="zh-CN"/>
        </w:rPr>
        <w:t>公众提出意见的起止时间。</w:t>
      </w:r>
    </w:p>
    <w:p>
      <w:pPr>
        <w:rPr>
          <w:rFonts w:hint="eastAsia"/>
          <w:lang w:val="en-US" w:eastAsia="zh-CN"/>
        </w:rPr>
      </w:pPr>
      <w:r>
        <w:rPr>
          <w:rFonts w:hint="eastAsia"/>
          <w:lang w:val="en-US" w:eastAsia="zh-CN"/>
        </w:rPr>
        <w:t>建设单位征求公众意见的期限不得少于10个工作日。</w:t>
      </w:r>
    </w:p>
    <w:p>
      <w:pPr>
        <w:rPr>
          <w:rFonts w:hint="eastAsia"/>
          <w:lang w:val="en-US" w:eastAsia="zh-CN"/>
        </w:rPr>
      </w:pPr>
      <w:r>
        <w:rPr>
          <w:rFonts w:hint="eastAsia"/>
          <w:lang w:val="en-US" w:eastAsia="zh-CN"/>
        </w:rPr>
        <w:t>本次公示满足《环境影响评价公众参与办法》中公示期限、公示内容等要求，与《环境影响评价公众参与办法》相符。</w:t>
      </w:r>
    </w:p>
    <w:p>
      <w:pPr>
        <w:pStyle w:val="7"/>
        <w:rPr>
          <w:rFonts w:hint="eastAsia"/>
          <w:lang w:val="en-US" w:eastAsia="zh-CN"/>
        </w:rPr>
      </w:pPr>
      <w:bookmarkStart w:id="31" w:name="_Toc770"/>
      <w:r>
        <w:rPr>
          <w:rFonts w:hint="eastAsia"/>
          <w:lang w:val="en-US" w:eastAsia="zh-CN"/>
        </w:rPr>
        <w:t>3.2公示方式</w:t>
      </w:r>
      <w:bookmarkEnd w:id="31"/>
    </w:p>
    <w:p>
      <w:pPr>
        <w:pStyle w:val="8"/>
        <w:rPr>
          <w:rFonts w:hint="eastAsia"/>
          <w:lang w:val="en-US" w:eastAsia="zh-CN"/>
        </w:rPr>
      </w:pPr>
      <w:r>
        <w:rPr>
          <w:rFonts w:hint="eastAsia"/>
          <w:lang w:val="en-US" w:eastAsia="zh-CN"/>
        </w:rPr>
        <w:t>3.2.1网络</w:t>
      </w:r>
    </w:p>
    <w:p>
      <w:pPr>
        <w:bidi w:val="0"/>
        <w:rPr>
          <w:rFonts w:hint="default"/>
          <w:lang w:val="en-US" w:eastAsia="zh-CN"/>
        </w:rPr>
      </w:pPr>
      <w:bookmarkStart w:id="32" w:name="_Toc24900"/>
      <w:r>
        <w:rPr>
          <w:rFonts w:hint="eastAsia"/>
          <w:lang w:val="en-US" w:eastAsia="zh-CN"/>
        </w:rPr>
        <w:t>征求意见稿环境影响评价信息在项目所在地的甘州区政府网甘州在线进行了网络公示</w:t>
      </w:r>
      <w:r>
        <w:rPr>
          <w:rFonts w:hint="eastAsia"/>
          <w:kern w:val="0"/>
          <w:lang w:val="en-US" w:eastAsia="zh-CN"/>
        </w:rPr>
        <w:t>。</w:t>
      </w:r>
      <w:bookmarkEnd w:id="32"/>
      <w:r>
        <w:rPr>
          <w:rFonts w:hint="eastAsia"/>
          <w:kern w:val="0"/>
          <w:lang w:val="en-US" w:eastAsia="zh-CN"/>
        </w:rPr>
        <w:t>截图如下：</w:t>
      </w:r>
    </w:p>
    <w:p>
      <w:pPr>
        <w:pStyle w:val="2"/>
        <w:ind w:left="0" w:leftChars="0" w:firstLine="0" w:firstLineChars="0"/>
        <w:rPr>
          <w:rFonts w:hint="eastAsia" w:eastAsia="宋体"/>
          <w:kern w:val="0"/>
          <w:lang w:eastAsia="zh-CN"/>
        </w:rPr>
      </w:pPr>
      <w:r>
        <w:drawing>
          <wp:inline distT="0" distB="0" distL="114300" distR="114300">
            <wp:extent cx="5266690" cy="4785995"/>
            <wp:effectExtent l="0" t="0" r="1016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66690" cy="4785995"/>
                    </a:xfrm>
                    <a:prstGeom prst="rect">
                      <a:avLst/>
                    </a:prstGeom>
                    <a:noFill/>
                    <a:ln>
                      <a:noFill/>
                    </a:ln>
                  </pic:spPr>
                </pic:pic>
              </a:graphicData>
            </a:graphic>
          </wp:inline>
        </w:drawing>
      </w:r>
    </w:p>
    <w:p>
      <w:pPr>
        <w:pStyle w:val="2"/>
        <w:jc w:val="center"/>
        <w:rPr>
          <w:rFonts w:hint="eastAsia" w:eastAsia="宋体"/>
          <w:kern w:val="0"/>
          <w:lang w:val="en-US" w:eastAsia="zh-CN"/>
        </w:rPr>
      </w:pPr>
      <w:r>
        <w:rPr>
          <w:rFonts w:hint="eastAsia"/>
          <w:kern w:val="0"/>
          <w:lang w:val="en-US" w:eastAsia="zh-CN"/>
        </w:rPr>
        <w:t>征求意见稿阶段网站公示截图</w:t>
      </w:r>
    </w:p>
    <w:p>
      <w:pPr>
        <w:pStyle w:val="8"/>
        <w:rPr>
          <w:rFonts w:hint="eastAsia"/>
          <w:lang w:val="en-US" w:eastAsia="zh-CN"/>
        </w:rPr>
      </w:pPr>
      <w:r>
        <w:rPr>
          <w:rFonts w:hint="eastAsia"/>
          <w:lang w:val="en-US" w:eastAsia="zh-CN"/>
        </w:rPr>
        <w:t>3.2.2报纸</w:t>
      </w:r>
    </w:p>
    <w:p>
      <w:pPr>
        <w:rPr>
          <w:rFonts w:hint="default"/>
          <w:lang w:val="en-US" w:eastAsia="zh-CN"/>
        </w:rPr>
      </w:pPr>
      <w:r>
        <w:rPr>
          <w:rFonts w:hint="eastAsia"/>
          <w:lang w:val="en-US" w:eastAsia="zh-CN"/>
        </w:rPr>
        <w:t>报纸公示时间为2019年4月25日和2019年4月30日，报纸名称为张掖日报。截图如下：</w:t>
      </w:r>
    </w:p>
    <w:p>
      <w:pPr>
        <w:ind w:left="0" w:leftChars="0" w:firstLine="0" w:firstLineChars="0"/>
        <w:jc w:val="center"/>
        <w:rPr>
          <w:rFonts w:hint="eastAsia" w:eastAsia="宋体"/>
          <w:kern w:val="0"/>
          <w:lang w:eastAsia="zh-CN"/>
        </w:rPr>
      </w:pPr>
    </w:p>
    <w:p>
      <w:pPr>
        <w:ind w:left="0" w:leftChars="0" w:firstLine="0" w:firstLineChars="0"/>
        <w:jc w:val="center"/>
        <w:rPr>
          <w:rFonts w:hint="eastAsia" w:eastAsia="宋体"/>
          <w:kern w:val="0"/>
          <w:lang w:eastAsia="zh-CN"/>
        </w:rPr>
      </w:pPr>
      <w:r>
        <w:rPr>
          <w:rFonts w:hint="eastAsia" w:eastAsia="宋体"/>
          <w:kern w:val="0"/>
          <w:lang w:eastAsia="zh-CN"/>
        </w:rPr>
        <w:drawing>
          <wp:inline distT="0" distB="0" distL="114300" distR="114300">
            <wp:extent cx="5201285" cy="3781425"/>
            <wp:effectExtent l="0" t="0" r="18415" b="9525"/>
            <wp:docPr id="8" name="图片 8" descr="征求意见稿公示（第一次见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征求意见稿公示（第一次见报）"/>
                    <pic:cNvPicPr>
                      <a:picLocks noChangeAspect="1"/>
                    </pic:cNvPicPr>
                  </pic:nvPicPr>
                  <pic:blipFill>
                    <a:blip r:embed="rId12"/>
                    <a:srcRect l="6831" t="6015" r="5915" b="4260"/>
                    <a:stretch>
                      <a:fillRect/>
                    </a:stretch>
                  </pic:blipFill>
                  <pic:spPr>
                    <a:xfrm>
                      <a:off x="0" y="0"/>
                      <a:ext cx="5201285" cy="3781425"/>
                    </a:xfrm>
                    <a:prstGeom prst="rect">
                      <a:avLst/>
                    </a:prstGeom>
                  </pic:spPr>
                </pic:pic>
              </a:graphicData>
            </a:graphic>
          </wp:inline>
        </w:drawing>
      </w:r>
    </w:p>
    <w:p>
      <w:pPr>
        <w:pStyle w:val="2"/>
        <w:ind w:left="0" w:leftChars="0" w:firstLine="0" w:firstLineChars="0"/>
        <w:jc w:val="center"/>
        <w:rPr>
          <w:rFonts w:hint="eastAsia" w:eastAsia="宋体"/>
          <w:kern w:val="0"/>
          <w:lang w:val="en-US" w:eastAsia="zh-CN"/>
        </w:rPr>
      </w:pPr>
      <w:r>
        <w:rPr>
          <w:rFonts w:hint="eastAsia"/>
          <w:kern w:val="0"/>
          <w:lang w:val="en-US" w:eastAsia="zh-CN"/>
        </w:rPr>
        <w:t>征求意见稿阶段第一次报纸公示</w:t>
      </w:r>
    </w:p>
    <w:p>
      <w:pPr>
        <w:pStyle w:val="2"/>
        <w:ind w:left="0" w:leftChars="0" w:firstLine="0" w:firstLineChars="0"/>
        <w:rPr>
          <w:rFonts w:hint="eastAsia" w:eastAsia="宋体"/>
          <w:kern w:val="0"/>
          <w:lang w:eastAsia="zh-CN"/>
        </w:rPr>
      </w:pPr>
      <w:r>
        <w:rPr>
          <w:rFonts w:hint="eastAsia" w:eastAsia="宋体"/>
          <w:kern w:val="0"/>
          <w:lang w:eastAsia="zh-CN"/>
        </w:rPr>
        <w:drawing>
          <wp:inline distT="0" distB="0" distL="114300" distR="114300">
            <wp:extent cx="2916555" cy="5186680"/>
            <wp:effectExtent l="0" t="0" r="13970" b="17145"/>
            <wp:docPr id="9" name="图片 9" descr="微信图片_2019090617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906170926"/>
                    <pic:cNvPicPr>
                      <a:picLocks noChangeAspect="1"/>
                    </pic:cNvPicPr>
                  </pic:nvPicPr>
                  <pic:blipFill>
                    <a:blip r:embed="rId13"/>
                    <a:stretch>
                      <a:fillRect/>
                    </a:stretch>
                  </pic:blipFill>
                  <pic:spPr>
                    <a:xfrm rot="16200000">
                      <a:off x="0" y="0"/>
                      <a:ext cx="2916555" cy="5186680"/>
                    </a:xfrm>
                    <a:prstGeom prst="rect">
                      <a:avLst/>
                    </a:prstGeom>
                  </pic:spPr>
                </pic:pic>
              </a:graphicData>
            </a:graphic>
          </wp:inline>
        </w:drawing>
      </w:r>
    </w:p>
    <w:p>
      <w:pPr>
        <w:pStyle w:val="2"/>
        <w:ind w:left="0" w:leftChars="0" w:firstLine="0" w:firstLineChars="0"/>
        <w:rPr>
          <w:rFonts w:hint="eastAsia" w:eastAsia="宋体"/>
          <w:kern w:val="0"/>
          <w:lang w:eastAsia="zh-CN"/>
        </w:rPr>
      </w:pPr>
      <w:r>
        <w:rPr>
          <w:rFonts w:hint="eastAsia" w:eastAsia="宋体"/>
          <w:kern w:val="0"/>
          <w:lang w:eastAsia="zh-CN"/>
        </w:rPr>
        <w:drawing>
          <wp:inline distT="0" distB="0" distL="114300" distR="114300">
            <wp:extent cx="2324100" cy="5265420"/>
            <wp:effectExtent l="0" t="0" r="11430" b="0"/>
            <wp:docPr id="10" name="图片 10" descr="微信图片_2019090617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906170225"/>
                    <pic:cNvPicPr>
                      <a:picLocks noChangeAspect="1"/>
                    </pic:cNvPicPr>
                  </pic:nvPicPr>
                  <pic:blipFill>
                    <a:blip r:embed="rId14"/>
                    <a:srcRect l="18266" r="56897"/>
                    <a:stretch>
                      <a:fillRect/>
                    </a:stretch>
                  </pic:blipFill>
                  <pic:spPr>
                    <a:xfrm rot="16200000">
                      <a:off x="0" y="0"/>
                      <a:ext cx="2324100" cy="5265420"/>
                    </a:xfrm>
                    <a:prstGeom prst="rect">
                      <a:avLst/>
                    </a:prstGeom>
                  </pic:spPr>
                </pic:pic>
              </a:graphicData>
            </a:graphic>
          </wp:inline>
        </w:drawing>
      </w:r>
    </w:p>
    <w:p>
      <w:pPr>
        <w:pStyle w:val="2"/>
        <w:ind w:left="0" w:leftChars="0" w:firstLine="0" w:firstLineChars="0"/>
        <w:jc w:val="center"/>
        <w:rPr>
          <w:rFonts w:hint="eastAsia" w:eastAsia="宋体"/>
          <w:kern w:val="0"/>
          <w:lang w:eastAsia="zh-CN"/>
        </w:rPr>
      </w:pPr>
      <w:r>
        <w:rPr>
          <w:rFonts w:hint="eastAsia"/>
          <w:kern w:val="0"/>
          <w:lang w:val="en-US" w:eastAsia="zh-CN"/>
        </w:rPr>
        <w:t>征求意见稿阶段第二次报纸公示</w:t>
      </w:r>
    </w:p>
    <w:p>
      <w:pPr>
        <w:pStyle w:val="8"/>
        <w:rPr>
          <w:rFonts w:hint="eastAsia"/>
          <w:lang w:val="en-US" w:eastAsia="zh-CN"/>
        </w:rPr>
      </w:pPr>
      <w:r>
        <w:rPr>
          <w:rFonts w:hint="eastAsia"/>
          <w:lang w:val="en-US" w:eastAsia="zh-CN"/>
        </w:rPr>
        <w:t>3.2.3张贴</w:t>
      </w:r>
    </w:p>
    <w:p>
      <w:pPr>
        <w:rPr>
          <w:rFonts w:hint="eastAsia"/>
          <w:lang w:val="en-US" w:eastAsia="zh-CN"/>
        </w:rPr>
      </w:pPr>
      <w:r>
        <w:rPr>
          <w:rFonts w:hint="eastAsia"/>
          <w:lang w:val="en-US" w:eastAsia="zh-CN"/>
        </w:rPr>
        <w:t>征求意见稿完成之后在项目项目区场址及周围居民区张贴公示，张贴的时间为2019年4月23日。</w:t>
      </w:r>
    </w:p>
    <w:p>
      <w:pPr>
        <w:pStyle w:val="2"/>
        <w:ind w:left="0" w:leftChars="0" w:firstLine="0" w:firstLineChars="0"/>
        <w:jc w:val="center"/>
        <w:rPr>
          <w:rFonts w:hint="eastAsia" w:eastAsia="宋体"/>
          <w:kern w:val="0"/>
          <w:lang w:eastAsia="zh-CN"/>
        </w:rPr>
      </w:pPr>
      <w:r>
        <w:rPr>
          <w:rFonts w:hint="eastAsia"/>
          <w:lang w:val="en-US" w:eastAsia="zh-CN"/>
        </w:rPr>
        <w:drawing>
          <wp:inline distT="0" distB="0" distL="114300" distR="114300">
            <wp:extent cx="2503170" cy="3338830"/>
            <wp:effectExtent l="0" t="0" r="11430" b="13970"/>
            <wp:docPr id="11" name="图片 11" descr="微信图片_2019042909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429093812"/>
                    <pic:cNvPicPr>
                      <a:picLocks noChangeAspect="1"/>
                    </pic:cNvPicPr>
                  </pic:nvPicPr>
                  <pic:blipFill>
                    <a:blip r:embed="rId15"/>
                    <a:stretch>
                      <a:fillRect/>
                    </a:stretch>
                  </pic:blipFill>
                  <pic:spPr>
                    <a:xfrm>
                      <a:off x="0" y="0"/>
                      <a:ext cx="2503170" cy="3338830"/>
                    </a:xfrm>
                    <a:prstGeom prst="rect">
                      <a:avLst/>
                    </a:prstGeom>
                  </pic:spPr>
                </pic:pic>
              </a:graphicData>
            </a:graphic>
          </wp:inline>
        </w:drawing>
      </w:r>
      <w:r>
        <w:rPr>
          <w:rFonts w:hint="eastAsia"/>
          <w:kern w:val="0"/>
          <w:lang w:val="en-US" w:eastAsia="zh-CN"/>
        </w:rPr>
        <w:t xml:space="preserve">  </w:t>
      </w:r>
      <w:r>
        <w:rPr>
          <w:rFonts w:hint="eastAsia"/>
          <w:lang w:val="en-US" w:eastAsia="zh-CN"/>
        </w:rPr>
        <w:drawing>
          <wp:inline distT="0" distB="0" distL="114300" distR="114300">
            <wp:extent cx="2296795" cy="3349625"/>
            <wp:effectExtent l="0" t="0" r="8255" b="3175"/>
            <wp:docPr id="12" name="图片 12" descr="微信图片_2019042909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0429093815"/>
                    <pic:cNvPicPr>
                      <a:picLocks noChangeAspect="1"/>
                    </pic:cNvPicPr>
                  </pic:nvPicPr>
                  <pic:blipFill>
                    <a:blip r:embed="rId16"/>
                    <a:srcRect l="37952" t="24694" r="18976" b="28198"/>
                    <a:stretch>
                      <a:fillRect/>
                    </a:stretch>
                  </pic:blipFill>
                  <pic:spPr>
                    <a:xfrm>
                      <a:off x="0" y="0"/>
                      <a:ext cx="2296795" cy="3349625"/>
                    </a:xfrm>
                    <a:prstGeom prst="rect">
                      <a:avLst/>
                    </a:prstGeom>
                  </pic:spPr>
                </pic:pic>
              </a:graphicData>
            </a:graphic>
          </wp:inline>
        </w:drawing>
      </w:r>
    </w:p>
    <w:p>
      <w:pPr>
        <w:bidi w:val="0"/>
        <w:ind w:left="0" w:leftChars="0" w:firstLine="0" w:firstLineChars="0"/>
        <w:jc w:val="center"/>
        <w:rPr>
          <w:rFonts w:hint="eastAsia"/>
          <w:lang w:val="en-US" w:eastAsia="zh-CN"/>
        </w:rPr>
      </w:pPr>
      <w:r>
        <w:rPr>
          <w:rFonts w:hint="eastAsia"/>
          <w:lang w:val="en-US" w:eastAsia="zh-CN"/>
        </w:rPr>
        <w:t>公示栏张贴公告</w:t>
      </w:r>
    </w:p>
    <w:p>
      <w:pPr>
        <w:pStyle w:val="8"/>
        <w:rPr>
          <w:rFonts w:hint="eastAsia"/>
          <w:lang w:val="en-US" w:eastAsia="zh-CN"/>
        </w:rPr>
      </w:pPr>
      <w:r>
        <w:rPr>
          <w:rFonts w:hint="eastAsia"/>
          <w:lang w:val="en-US" w:eastAsia="zh-CN"/>
        </w:rPr>
        <w:t>3.2.4其他</w:t>
      </w:r>
    </w:p>
    <w:p>
      <w:pPr>
        <w:rPr>
          <w:rFonts w:hint="eastAsia"/>
          <w:lang w:val="en-US" w:eastAsia="zh-CN"/>
        </w:rPr>
      </w:pPr>
      <w:r>
        <w:rPr>
          <w:rFonts w:hint="eastAsia"/>
          <w:lang w:val="en-US" w:eastAsia="zh-CN"/>
        </w:rPr>
        <w:t>无。</w:t>
      </w:r>
    </w:p>
    <w:p>
      <w:pPr>
        <w:pStyle w:val="7"/>
        <w:rPr>
          <w:rFonts w:hint="eastAsia"/>
          <w:lang w:val="en-US" w:eastAsia="zh-CN"/>
        </w:rPr>
      </w:pPr>
      <w:bookmarkStart w:id="33" w:name="_Toc5157"/>
      <w:r>
        <w:rPr>
          <w:rFonts w:hint="eastAsia"/>
          <w:lang w:val="en-US" w:eastAsia="zh-CN"/>
        </w:rPr>
        <w:t>3.3查阅情况</w:t>
      </w:r>
      <w:bookmarkEnd w:id="33"/>
    </w:p>
    <w:p>
      <w:pPr>
        <w:rPr>
          <w:rFonts w:hint="eastAsia"/>
          <w:lang w:val="en-US" w:eastAsia="zh-CN"/>
        </w:rPr>
      </w:pPr>
      <w:r>
        <w:rPr>
          <w:rFonts w:hint="eastAsia"/>
          <w:lang w:val="en-US" w:eastAsia="zh-CN"/>
        </w:rPr>
        <w:t>在公示内容中公告了查询报告书征求意见稿以及公众参与调查表的网址。在公示过程中未收到任何反馈意见。</w:t>
      </w:r>
    </w:p>
    <w:p>
      <w:pPr>
        <w:pStyle w:val="7"/>
        <w:rPr>
          <w:rFonts w:hint="eastAsia"/>
          <w:lang w:val="en-US" w:eastAsia="zh-CN"/>
        </w:rPr>
      </w:pPr>
      <w:bookmarkStart w:id="34" w:name="_Toc31036"/>
      <w:r>
        <w:rPr>
          <w:rFonts w:hint="eastAsia"/>
          <w:lang w:val="en-US" w:eastAsia="zh-CN"/>
        </w:rPr>
        <w:t>3.4公众提出意见情况</w:t>
      </w:r>
      <w:bookmarkEnd w:id="34"/>
    </w:p>
    <w:p>
      <w:pPr>
        <w:rPr>
          <w:rFonts w:hint="eastAsia"/>
          <w:lang w:val="en-US" w:eastAsia="zh-CN"/>
        </w:rPr>
      </w:pPr>
      <w:r>
        <w:rPr>
          <w:rFonts w:hint="eastAsia"/>
          <w:lang w:val="en-US" w:eastAsia="zh-CN"/>
        </w:rPr>
        <w:t>无。</w:t>
      </w:r>
    </w:p>
    <w:p>
      <w:pPr>
        <w:pStyle w:val="6"/>
        <w:rPr>
          <w:rFonts w:hint="eastAsia"/>
          <w:lang w:val="en-US" w:eastAsia="zh-CN"/>
        </w:rPr>
      </w:pPr>
      <w:bookmarkStart w:id="35" w:name="_Toc12835"/>
      <w:r>
        <w:rPr>
          <w:rFonts w:hint="eastAsia"/>
          <w:lang w:val="en-US" w:eastAsia="zh-CN"/>
        </w:rPr>
        <w:t>4、其他公众参与情况</w:t>
      </w:r>
      <w:bookmarkEnd w:id="35"/>
    </w:p>
    <w:p>
      <w:pPr>
        <w:adjustRightInd w:val="0"/>
        <w:snapToGrid w:val="0"/>
        <w:spacing w:line="360" w:lineRule="auto"/>
        <w:ind w:firstLine="480" w:firstLineChars="200"/>
        <w:rPr>
          <w:rFonts w:hint="eastAsia"/>
          <w:sz w:val="24"/>
        </w:rPr>
      </w:pPr>
      <w:r>
        <w:rPr>
          <w:rFonts w:hint="eastAsia"/>
          <w:lang w:val="en-US" w:eastAsia="zh-CN"/>
        </w:rPr>
        <w:t>根据《公众参与管理办法》对环境影响方面公众质疑性意见多的建设项目，建设单位应当开展深度公众参与。根据项目工程特点以及沿线环境特征，结合前两次公众参与结果，无公众提出</w:t>
      </w:r>
      <w:r>
        <w:rPr>
          <w:rFonts w:hint="eastAsia"/>
          <w:sz w:val="24"/>
        </w:rPr>
        <w:t>无反对意见，</w:t>
      </w:r>
      <w:r>
        <w:rPr>
          <w:rFonts w:hint="eastAsia"/>
          <w:sz w:val="24"/>
          <w:lang w:val="en-US" w:eastAsia="zh-CN"/>
        </w:rPr>
        <w:t>公示过程中</w:t>
      </w:r>
      <w:r>
        <w:rPr>
          <w:rFonts w:hint="eastAsia"/>
          <w:sz w:val="24"/>
        </w:rPr>
        <w:t>未收到任何公众意见，因此未开展深度公众参与。</w:t>
      </w:r>
    </w:p>
    <w:p>
      <w:pPr>
        <w:pStyle w:val="6"/>
        <w:rPr>
          <w:rFonts w:hint="eastAsia"/>
          <w:lang w:val="en-US" w:eastAsia="zh-CN"/>
        </w:rPr>
      </w:pPr>
      <w:bookmarkStart w:id="36" w:name="_Toc31190"/>
      <w:r>
        <w:rPr>
          <w:rFonts w:hint="eastAsia"/>
          <w:lang w:val="en-US" w:eastAsia="zh-CN"/>
        </w:rPr>
        <w:t>5、公众意见处理情况</w:t>
      </w:r>
      <w:bookmarkEnd w:id="36"/>
    </w:p>
    <w:p>
      <w:pPr>
        <w:pStyle w:val="7"/>
        <w:rPr>
          <w:rFonts w:hint="eastAsia"/>
          <w:lang w:val="en-US" w:eastAsia="zh-CN"/>
        </w:rPr>
      </w:pPr>
      <w:bookmarkStart w:id="37" w:name="_Toc2747"/>
      <w:r>
        <w:rPr>
          <w:rFonts w:hint="eastAsia"/>
          <w:lang w:val="en-US" w:eastAsia="zh-CN"/>
        </w:rPr>
        <w:t>5.1公众意见概述和分析</w:t>
      </w:r>
      <w:bookmarkEnd w:id="37"/>
    </w:p>
    <w:p>
      <w:pPr>
        <w:rPr>
          <w:rFonts w:hint="eastAsia"/>
          <w:lang w:val="en-US" w:eastAsia="zh-CN"/>
        </w:rPr>
      </w:pPr>
      <w:r>
        <w:rPr>
          <w:rFonts w:hint="eastAsia"/>
          <w:lang w:val="en-US" w:eastAsia="zh-CN"/>
        </w:rPr>
        <w:t>无。</w:t>
      </w:r>
    </w:p>
    <w:p>
      <w:pPr>
        <w:pStyle w:val="7"/>
        <w:rPr>
          <w:rFonts w:hint="eastAsia"/>
          <w:lang w:val="en-US" w:eastAsia="zh-CN"/>
        </w:rPr>
      </w:pPr>
      <w:bookmarkStart w:id="38" w:name="_Toc8833"/>
      <w:r>
        <w:rPr>
          <w:rFonts w:hint="eastAsia"/>
          <w:lang w:val="en-US" w:eastAsia="zh-CN"/>
        </w:rPr>
        <w:t>5.2公众意见采纳情况</w:t>
      </w:r>
      <w:bookmarkEnd w:id="38"/>
    </w:p>
    <w:p>
      <w:pPr>
        <w:rPr>
          <w:rFonts w:hint="eastAsia"/>
          <w:lang w:val="en-US" w:eastAsia="zh-CN"/>
        </w:rPr>
      </w:pPr>
      <w:r>
        <w:rPr>
          <w:rFonts w:hint="eastAsia"/>
          <w:lang w:val="en-US" w:eastAsia="zh-CN"/>
        </w:rPr>
        <w:t>无。</w:t>
      </w:r>
    </w:p>
    <w:p>
      <w:pPr>
        <w:pStyle w:val="7"/>
        <w:rPr>
          <w:rFonts w:hint="eastAsia"/>
          <w:lang w:val="en-US" w:eastAsia="zh-CN"/>
        </w:rPr>
      </w:pPr>
      <w:bookmarkStart w:id="39" w:name="_Toc13436"/>
      <w:r>
        <w:rPr>
          <w:rFonts w:hint="eastAsia"/>
          <w:lang w:val="en-US" w:eastAsia="zh-CN"/>
        </w:rPr>
        <w:t>5.3公众意见未采纳情况</w:t>
      </w:r>
      <w:bookmarkEnd w:id="39"/>
    </w:p>
    <w:p>
      <w:pPr>
        <w:rPr>
          <w:rFonts w:hint="eastAsia"/>
          <w:lang w:val="en-US" w:eastAsia="zh-CN"/>
        </w:rPr>
      </w:pPr>
      <w:r>
        <w:rPr>
          <w:rFonts w:hint="eastAsia"/>
          <w:lang w:val="en-US" w:eastAsia="zh-CN"/>
        </w:rPr>
        <w:t>无。</w:t>
      </w:r>
    </w:p>
    <w:bookmarkEnd w:id="12"/>
    <w:bookmarkEnd w:id="13"/>
    <w:bookmarkEnd w:id="14"/>
    <w:p>
      <w:pPr>
        <w:ind w:left="0" w:leftChars="0" w:firstLine="0" w:firstLineChars="0"/>
        <w:rPr>
          <w:rFonts w:hint="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620" w:lineRule="exact"/>
      <w:ind w:left="0" w:leftChars="0"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fldChar w:fldCharType="begin"/>
    </w:r>
    <w:r>
      <w:instrText xml:space="preserve">PAGE   \* MERGEFORMAT</w:instrText>
    </w:r>
    <w:r>
      <w:fldChar w:fldCharType="separate"/>
    </w:r>
    <w:r>
      <w:t>16</w:t>
    </w:r>
    <w:r>
      <w:fldChar w:fldCharType="end"/>
    </w:r>
    <w:r>
      <w:rPr>
        <w:rFonts w:hint="eastAsia"/>
      </w:rPr>
      <w:t xml:space="preserve">                                                                                 宕昌县交通运输局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620" w:lineRule="exact"/>
      <w:ind w:left="0" w:leftChars="0" w:firstLine="0" w:firstLineChars="0"/>
      <w:jc w:val="cente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Bdr>
                              <w:top w:val="none" w:color="auto" w:sz="0" w:space="1"/>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10"/>
                      <w:pBdr>
                        <w:top w:val="none" w:color="auto" w:sz="0" w:space="1"/>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07"/>
      </w:tabs>
      <w:spacing w:line="620" w:lineRule="exact"/>
      <w:ind w:left="0" w:leftChars="0" w:firstLine="0" w:firstLineChars="0"/>
      <w:jc w:val="both"/>
    </w:pPr>
    <w:r>
      <w:rPr>
        <w:sz w:val="24"/>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Bdr>
                              <w:top w:val="none" w:color="auto" w:sz="0" w:space="1"/>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0"/>
                      <w:pBdr>
                        <w:top w:val="none" w:color="auto" w:sz="0" w:space="1"/>
                        <w:left w:val="none" w:color="auto" w:sz="0" w:space="0"/>
                        <w:bottom w:val="none" w:color="auto" w:sz="0" w:space="0"/>
                        <w:right w:val="none" w:color="auto" w:sz="0" w:space="0"/>
                        <w:between w:val="none" w:color="auto" w:sz="0" w:space="0"/>
                      </w:pBd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8266C6"/>
    <w:rsid w:val="00174E63"/>
    <w:rsid w:val="00815C7D"/>
    <w:rsid w:val="01370213"/>
    <w:rsid w:val="01B06E36"/>
    <w:rsid w:val="02586463"/>
    <w:rsid w:val="02A936F6"/>
    <w:rsid w:val="032749A8"/>
    <w:rsid w:val="03E52FA9"/>
    <w:rsid w:val="03EC0258"/>
    <w:rsid w:val="04714D06"/>
    <w:rsid w:val="0486387E"/>
    <w:rsid w:val="04A672E1"/>
    <w:rsid w:val="04BD61FB"/>
    <w:rsid w:val="04EB350C"/>
    <w:rsid w:val="05F4159C"/>
    <w:rsid w:val="064E7A0D"/>
    <w:rsid w:val="0751133C"/>
    <w:rsid w:val="07601EB0"/>
    <w:rsid w:val="07676EE9"/>
    <w:rsid w:val="07D1696D"/>
    <w:rsid w:val="081568C5"/>
    <w:rsid w:val="08813272"/>
    <w:rsid w:val="088D39DA"/>
    <w:rsid w:val="08A929CB"/>
    <w:rsid w:val="08CC315B"/>
    <w:rsid w:val="08CC4B25"/>
    <w:rsid w:val="0A2A3182"/>
    <w:rsid w:val="0A7A35CF"/>
    <w:rsid w:val="0AE233C7"/>
    <w:rsid w:val="0AE65787"/>
    <w:rsid w:val="0B1A7AF8"/>
    <w:rsid w:val="0D4477B2"/>
    <w:rsid w:val="0D517A5C"/>
    <w:rsid w:val="0DD86180"/>
    <w:rsid w:val="0E8266C6"/>
    <w:rsid w:val="0E94719F"/>
    <w:rsid w:val="116630B9"/>
    <w:rsid w:val="1219559E"/>
    <w:rsid w:val="1243674D"/>
    <w:rsid w:val="124D204E"/>
    <w:rsid w:val="12937ED3"/>
    <w:rsid w:val="135D0B2B"/>
    <w:rsid w:val="14124E2D"/>
    <w:rsid w:val="149B37E8"/>
    <w:rsid w:val="155059D4"/>
    <w:rsid w:val="156B3E32"/>
    <w:rsid w:val="161B08A8"/>
    <w:rsid w:val="167F4F2F"/>
    <w:rsid w:val="16D156CF"/>
    <w:rsid w:val="16E33FB1"/>
    <w:rsid w:val="17057D66"/>
    <w:rsid w:val="171F5609"/>
    <w:rsid w:val="17605D8A"/>
    <w:rsid w:val="17F949A8"/>
    <w:rsid w:val="18577669"/>
    <w:rsid w:val="18712A09"/>
    <w:rsid w:val="19102780"/>
    <w:rsid w:val="191C1579"/>
    <w:rsid w:val="1A034A5F"/>
    <w:rsid w:val="1A0E3565"/>
    <w:rsid w:val="1B00473F"/>
    <w:rsid w:val="1BB366D9"/>
    <w:rsid w:val="1C0F4C3A"/>
    <w:rsid w:val="1C392236"/>
    <w:rsid w:val="1CE4595B"/>
    <w:rsid w:val="1D660FC7"/>
    <w:rsid w:val="1DB7396F"/>
    <w:rsid w:val="1E530ECC"/>
    <w:rsid w:val="1EB200DB"/>
    <w:rsid w:val="1FF2110A"/>
    <w:rsid w:val="20571564"/>
    <w:rsid w:val="213B772B"/>
    <w:rsid w:val="221E7FDB"/>
    <w:rsid w:val="224552A9"/>
    <w:rsid w:val="22BC4391"/>
    <w:rsid w:val="235C7C2F"/>
    <w:rsid w:val="235D295F"/>
    <w:rsid w:val="24421F05"/>
    <w:rsid w:val="24E17BFB"/>
    <w:rsid w:val="24FE7677"/>
    <w:rsid w:val="25754BDE"/>
    <w:rsid w:val="260B4A1E"/>
    <w:rsid w:val="27EA5F6D"/>
    <w:rsid w:val="280B6AFB"/>
    <w:rsid w:val="283C0292"/>
    <w:rsid w:val="28BE3882"/>
    <w:rsid w:val="294F2147"/>
    <w:rsid w:val="29564FA1"/>
    <w:rsid w:val="29CF63C3"/>
    <w:rsid w:val="2A316B35"/>
    <w:rsid w:val="2ACE12DE"/>
    <w:rsid w:val="2AFD21A3"/>
    <w:rsid w:val="2CED53FB"/>
    <w:rsid w:val="2D2331A2"/>
    <w:rsid w:val="2D9C3249"/>
    <w:rsid w:val="2E2C4CED"/>
    <w:rsid w:val="2EF860F0"/>
    <w:rsid w:val="2F49160C"/>
    <w:rsid w:val="30661236"/>
    <w:rsid w:val="30D14E9E"/>
    <w:rsid w:val="31586A55"/>
    <w:rsid w:val="31EB7784"/>
    <w:rsid w:val="322020EA"/>
    <w:rsid w:val="323829A2"/>
    <w:rsid w:val="32B83D82"/>
    <w:rsid w:val="32C72174"/>
    <w:rsid w:val="333A638E"/>
    <w:rsid w:val="33604BEB"/>
    <w:rsid w:val="337B4044"/>
    <w:rsid w:val="354B5425"/>
    <w:rsid w:val="35ED567A"/>
    <w:rsid w:val="36047623"/>
    <w:rsid w:val="360B3479"/>
    <w:rsid w:val="364E2C1C"/>
    <w:rsid w:val="3714696B"/>
    <w:rsid w:val="38F87C65"/>
    <w:rsid w:val="39B82825"/>
    <w:rsid w:val="39D525DB"/>
    <w:rsid w:val="3A7F62F0"/>
    <w:rsid w:val="3AA63DB6"/>
    <w:rsid w:val="3AE8303B"/>
    <w:rsid w:val="3AEA76E4"/>
    <w:rsid w:val="3B1D5C53"/>
    <w:rsid w:val="3B870813"/>
    <w:rsid w:val="3BE32610"/>
    <w:rsid w:val="3CE3626E"/>
    <w:rsid w:val="3D7B08D3"/>
    <w:rsid w:val="3DDA14FB"/>
    <w:rsid w:val="3E4E7D51"/>
    <w:rsid w:val="3EEA125C"/>
    <w:rsid w:val="3F814BE9"/>
    <w:rsid w:val="3FC42342"/>
    <w:rsid w:val="40BD3C4B"/>
    <w:rsid w:val="410E6832"/>
    <w:rsid w:val="41184E95"/>
    <w:rsid w:val="41A52AC0"/>
    <w:rsid w:val="42B406DE"/>
    <w:rsid w:val="431943F3"/>
    <w:rsid w:val="43235A55"/>
    <w:rsid w:val="441308F5"/>
    <w:rsid w:val="4435702C"/>
    <w:rsid w:val="459E3ECC"/>
    <w:rsid w:val="45FE52E9"/>
    <w:rsid w:val="466F7B8A"/>
    <w:rsid w:val="467F7801"/>
    <w:rsid w:val="46B111BA"/>
    <w:rsid w:val="46FF481C"/>
    <w:rsid w:val="47147D7C"/>
    <w:rsid w:val="48B153F9"/>
    <w:rsid w:val="494C1F1F"/>
    <w:rsid w:val="4965386D"/>
    <w:rsid w:val="4A871379"/>
    <w:rsid w:val="4A9E20C2"/>
    <w:rsid w:val="4B2401BC"/>
    <w:rsid w:val="4B9E718E"/>
    <w:rsid w:val="4BB11BE2"/>
    <w:rsid w:val="4BEE757B"/>
    <w:rsid w:val="4C2B09A6"/>
    <w:rsid w:val="4C477B62"/>
    <w:rsid w:val="4C795EA1"/>
    <w:rsid w:val="4CB96259"/>
    <w:rsid w:val="4CFC4A7B"/>
    <w:rsid w:val="4D5943B7"/>
    <w:rsid w:val="4E3C6765"/>
    <w:rsid w:val="4F0D7805"/>
    <w:rsid w:val="4FB170D8"/>
    <w:rsid w:val="503A39A2"/>
    <w:rsid w:val="50B06CD3"/>
    <w:rsid w:val="50BA17A1"/>
    <w:rsid w:val="50C76C96"/>
    <w:rsid w:val="51827F69"/>
    <w:rsid w:val="51AE704F"/>
    <w:rsid w:val="51B204BD"/>
    <w:rsid w:val="51C6512E"/>
    <w:rsid w:val="520741C5"/>
    <w:rsid w:val="528D1A8C"/>
    <w:rsid w:val="52EA127A"/>
    <w:rsid w:val="52F62578"/>
    <w:rsid w:val="53A7466D"/>
    <w:rsid w:val="546276CF"/>
    <w:rsid w:val="549A79E6"/>
    <w:rsid w:val="54BB748E"/>
    <w:rsid w:val="55154865"/>
    <w:rsid w:val="5563258C"/>
    <w:rsid w:val="579B0876"/>
    <w:rsid w:val="57C80A3A"/>
    <w:rsid w:val="57F0068B"/>
    <w:rsid w:val="57FC6289"/>
    <w:rsid w:val="592642C1"/>
    <w:rsid w:val="5981657E"/>
    <w:rsid w:val="59D42091"/>
    <w:rsid w:val="5BF05D69"/>
    <w:rsid w:val="5C2B08B0"/>
    <w:rsid w:val="5C3B1127"/>
    <w:rsid w:val="5C785F3C"/>
    <w:rsid w:val="5D7A6E68"/>
    <w:rsid w:val="5EAA1F74"/>
    <w:rsid w:val="5EC278CF"/>
    <w:rsid w:val="600B2058"/>
    <w:rsid w:val="604000D4"/>
    <w:rsid w:val="6067014D"/>
    <w:rsid w:val="60DA08F0"/>
    <w:rsid w:val="60EC04C9"/>
    <w:rsid w:val="60FA71C2"/>
    <w:rsid w:val="6129767D"/>
    <w:rsid w:val="618C6DB3"/>
    <w:rsid w:val="61A670E1"/>
    <w:rsid w:val="61AE1BF6"/>
    <w:rsid w:val="61E23A59"/>
    <w:rsid w:val="627D67DA"/>
    <w:rsid w:val="62FD45BC"/>
    <w:rsid w:val="6370608D"/>
    <w:rsid w:val="640B11D0"/>
    <w:rsid w:val="653057AB"/>
    <w:rsid w:val="655B661B"/>
    <w:rsid w:val="65873292"/>
    <w:rsid w:val="66003D16"/>
    <w:rsid w:val="662C534F"/>
    <w:rsid w:val="66307C03"/>
    <w:rsid w:val="66390A32"/>
    <w:rsid w:val="666E4151"/>
    <w:rsid w:val="67131A72"/>
    <w:rsid w:val="67232743"/>
    <w:rsid w:val="678914CF"/>
    <w:rsid w:val="67F470F3"/>
    <w:rsid w:val="6A69015D"/>
    <w:rsid w:val="6A9630D2"/>
    <w:rsid w:val="6ABF4772"/>
    <w:rsid w:val="6AEE6A05"/>
    <w:rsid w:val="6B567C5F"/>
    <w:rsid w:val="6B6A08F5"/>
    <w:rsid w:val="6B8D7762"/>
    <w:rsid w:val="6CAC7EC4"/>
    <w:rsid w:val="6D2C6241"/>
    <w:rsid w:val="6D367168"/>
    <w:rsid w:val="6D6B48AB"/>
    <w:rsid w:val="6D9525AC"/>
    <w:rsid w:val="6E3A1EAC"/>
    <w:rsid w:val="6E4811ED"/>
    <w:rsid w:val="6E982175"/>
    <w:rsid w:val="6EC31C7F"/>
    <w:rsid w:val="6F2216A3"/>
    <w:rsid w:val="6F791576"/>
    <w:rsid w:val="6F9656B6"/>
    <w:rsid w:val="6FA83628"/>
    <w:rsid w:val="6FD71100"/>
    <w:rsid w:val="70283E12"/>
    <w:rsid w:val="70DF3757"/>
    <w:rsid w:val="716C5D47"/>
    <w:rsid w:val="725C3401"/>
    <w:rsid w:val="72FA0CC2"/>
    <w:rsid w:val="74252C2B"/>
    <w:rsid w:val="742A38FC"/>
    <w:rsid w:val="744F22D7"/>
    <w:rsid w:val="75305F51"/>
    <w:rsid w:val="75EC7884"/>
    <w:rsid w:val="76131217"/>
    <w:rsid w:val="773C1D1A"/>
    <w:rsid w:val="77493DD9"/>
    <w:rsid w:val="77D57DF1"/>
    <w:rsid w:val="781E64E5"/>
    <w:rsid w:val="78C94DA2"/>
    <w:rsid w:val="78CD6CBD"/>
    <w:rsid w:val="792D6FA6"/>
    <w:rsid w:val="795D5F34"/>
    <w:rsid w:val="7A812453"/>
    <w:rsid w:val="7AAE4366"/>
    <w:rsid w:val="7ADC0EE9"/>
    <w:rsid w:val="7B21676C"/>
    <w:rsid w:val="7C9746D2"/>
    <w:rsid w:val="7C9A6350"/>
    <w:rsid w:val="7CE37155"/>
    <w:rsid w:val="7D4856E6"/>
    <w:rsid w:val="7EF1227C"/>
    <w:rsid w:val="7FC909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4"/>
      <w:lang w:val="en-US" w:eastAsia="zh-CN" w:bidi="ar-SA"/>
    </w:rPr>
  </w:style>
  <w:style w:type="paragraph" w:styleId="6">
    <w:name w:val="heading 1"/>
    <w:next w:val="1"/>
    <w:qFormat/>
    <w:uiPriority w:val="0"/>
    <w:pPr>
      <w:keepLines/>
      <w:spacing w:before="120" w:after="120" w:line="360" w:lineRule="auto"/>
      <w:jc w:val="both"/>
      <w:outlineLvl w:val="0"/>
    </w:pPr>
    <w:rPr>
      <w:rFonts w:ascii="Times New Roman" w:hAnsi="Times New Roman" w:eastAsia="宋体" w:cstheme="minorBidi"/>
      <w:b/>
      <w:bCs/>
      <w:kern w:val="44"/>
      <w:sz w:val="32"/>
      <w:szCs w:val="44"/>
      <w:lang w:val="en-US" w:eastAsia="zh-CN" w:bidi="ar-SA"/>
    </w:rPr>
  </w:style>
  <w:style w:type="paragraph" w:styleId="7">
    <w:name w:val="heading 2"/>
    <w:next w:val="1"/>
    <w:unhideWhenUsed/>
    <w:qFormat/>
    <w:uiPriority w:val="0"/>
    <w:pPr>
      <w:keepLines/>
      <w:spacing w:before="120" w:after="120" w:line="360" w:lineRule="auto"/>
      <w:jc w:val="both"/>
      <w:outlineLvl w:val="1"/>
    </w:pPr>
    <w:rPr>
      <w:rFonts w:ascii="Times New Roman" w:hAnsi="Times New Roman" w:eastAsia="宋体" w:cstheme="majorBidi"/>
      <w:b/>
      <w:bCs/>
      <w:kern w:val="2"/>
      <w:sz w:val="30"/>
      <w:szCs w:val="32"/>
      <w:lang w:val="en-US" w:eastAsia="zh-CN" w:bidi="ar-SA"/>
    </w:rPr>
  </w:style>
  <w:style w:type="paragraph" w:styleId="8">
    <w:name w:val="heading 3"/>
    <w:basedOn w:val="1"/>
    <w:next w:val="1"/>
    <w:unhideWhenUsed/>
    <w:qFormat/>
    <w:uiPriority w:val="0"/>
    <w:pPr>
      <w:keepLines/>
      <w:spacing w:line="360" w:lineRule="auto"/>
      <w:ind w:firstLine="0" w:firstLineChars="0"/>
      <w:jc w:val="both"/>
      <w:outlineLvl w:val="2"/>
    </w:pPr>
    <w:rPr>
      <w:rFonts w:ascii="Times New Roman" w:hAnsi="Times New Roman"/>
      <w:b/>
      <w:bCs/>
      <w:sz w:val="28"/>
      <w:szCs w:val="32"/>
    </w:rPr>
  </w:style>
  <w:style w:type="character" w:default="1" w:styleId="17">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firstLineChars="200"/>
    </w:pPr>
    <w:rPr>
      <w:rFonts w:cs="宋体"/>
      <w:sz w:val="24"/>
    </w:rPr>
  </w:style>
  <w:style w:type="paragraph" w:styleId="3">
    <w:name w:val="Normal Indent"/>
    <w:basedOn w:val="1"/>
    <w:next w:val="4"/>
    <w:qFormat/>
    <w:uiPriority w:val="0"/>
    <w:pPr>
      <w:ind w:firstLine="420" w:firstLineChars="200"/>
    </w:pPr>
  </w:style>
  <w:style w:type="paragraph" w:styleId="4">
    <w:name w:val="Body Text First Indent 2"/>
    <w:basedOn w:val="5"/>
    <w:next w:val="1"/>
    <w:qFormat/>
    <w:uiPriority w:val="0"/>
    <w:pPr>
      <w:ind w:firstLine="420"/>
    </w:pPr>
  </w:style>
  <w:style w:type="paragraph" w:styleId="5">
    <w:name w:val="Body Text Indent"/>
    <w:basedOn w:val="1"/>
    <w:semiHidden/>
    <w:qFormat/>
    <w:uiPriority w:val="0"/>
    <w:pPr>
      <w:widowControl/>
      <w:spacing w:before="100" w:beforeAutospacing="1" w:after="100" w:afterAutospacing="1" w:line="240" w:lineRule="auto"/>
      <w:ind w:firstLine="0" w:firstLineChars="0"/>
      <w:jc w:val="left"/>
    </w:pPr>
    <w:rPr>
      <w:rFonts w:ascii="宋体" w:hAnsi="宋体" w:cs="宋体"/>
      <w:szCs w:val="24"/>
    </w:rPr>
  </w:style>
  <w:style w:type="paragraph" w:styleId="9">
    <w:name w:val="Body Text"/>
    <w:basedOn w:val="1"/>
    <w:qFormat/>
    <w:uiPriority w:val="0"/>
    <w:pPr>
      <w:spacing w:after="120"/>
    </w:pPr>
  </w:style>
  <w:style w:type="paragraph" w:styleId="10">
    <w:name w:val="footer"/>
    <w:qFormat/>
    <w:uiPriority w:val="0"/>
    <w:pPr>
      <w:pBdr>
        <w:top w:val="single" w:color="auto" w:sz="12" w:space="1"/>
      </w:pBdr>
      <w:tabs>
        <w:tab w:val="center" w:pos="4153"/>
        <w:tab w:val="right" w:pos="8306"/>
      </w:tabs>
      <w:snapToGrid w:val="0"/>
    </w:pPr>
    <w:rPr>
      <w:rFonts w:ascii="Times New Roman" w:hAnsi="Times New Roman" w:eastAsia="楷体" w:cstheme="minorBidi"/>
      <w:b/>
      <w:kern w:val="2"/>
      <w:sz w:val="18"/>
      <w:szCs w:val="18"/>
      <w:lang w:val="en-US" w:eastAsia="zh-CN" w:bidi="ar-SA"/>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pPr>
      <w:tabs>
        <w:tab w:val="right" w:leader="dot" w:pos="9004"/>
      </w:tabs>
      <w:ind w:firstLine="0" w:firstLineChars="0"/>
    </w:pPr>
  </w:style>
  <w:style w:type="paragraph" w:styleId="13">
    <w:name w:val="toc 2"/>
    <w:basedOn w:val="1"/>
    <w:next w:val="1"/>
    <w:qFormat/>
    <w:uiPriority w:val="0"/>
    <w:pPr>
      <w:tabs>
        <w:tab w:val="right" w:leader="dot" w:pos="9004"/>
      </w:tabs>
      <w:ind w:firstLine="48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basedOn w:val="9"/>
    <w:qFormat/>
    <w:uiPriority w:val="0"/>
    <w:pPr>
      <w:ind w:firstLine="420" w:firstLineChars="100"/>
    </w:pPr>
  </w:style>
  <w:style w:type="character" w:styleId="18">
    <w:name w:val="Strong"/>
    <w:basedOn w:val="17"/>
    <w:qFormat/>
    <w:uiPriority w:val="0"/>
    <w:rPr>
      <w:b/>
    </w:rPr>
  </w:style>
  <w:style w:type="character" w:styleId="19">
    <w:name w:val="Hyperlink"/>
    <w:basedOn w:val="17"/>
    <w:qFormat/>
    <w:uiPriority w:val="0"/>
    <w:rPr>
      <w:color w:val="0563C1" w:themeColor="hyperlink"/>
      <w:u w:val="single"/>
      <w14:textFill>
        <w14:solidFill>
          <w14:schemeClr w14:val="hlink"/>
        </w14:solidFill>
      </w14:textFill>
    </w:rPr>
  </w:style>
  <w:style w:type="paragraph" w:customStyle="1" w:styleId="2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
    <w:name w:val="正文文本缩进 21"/>
    <w:basedOn w:val="1"/>
    <w:qFormat/>
    <w:uiPriority w:val="0"/>
    <w:pPr>
      <w:spacing w:line="480" w:lineRule="auto"/>
      <w:ind w:left="420" w:leftChars="200"/>
    </w:pPr>
  </w:style>
  <w:style w:type="paragraph" w:customStyle="1" w:styleId="22">
    <w:name w:val="表头"/>
    <w:next w:val="1"/>
    <w:qFormat/>
    <w:uiPriority w:val="0"/>
    <w:pPr>
      <w:spacing w:line="240" w:lineRule="auto"/>
      <w:jc w:val="center"/>
    </w:pPr>
    <w:rPr>
      <w:rFonts w:ascii="Times New Roman" w:hAnsi="Times New Roman" w:eastAsia="宋体" w:cstheme="minorBidi"/>
      <w:b/>
      <w:kern w:val="2"/>
      <w:sz w:val="24"/>
      <w:szCs w:val="24"/>
      <w:lang w:val="en-US" w:eastAsia="zh-CN" w:bidi="ar-SA"/>
    </w:rPr>
  </w:style>
  <w:style w:type="paragraph" w:customStyle="1" w:styleId="23">
    <w:name w:val="列出段落1"/>
    <w:basedOn w:val="1"/>
    <w:unhideWhenUsed/>
    <w:qFormat/>
    <w:uiPriority w:val="0"/>
    <w:pPr>
      <w:ind w:firstLine="420"/>
    </w:pPr>
  </w:style>
  <w:style w:type="paragraph" w:customStyle="1" w:styleId="24">
    <w:name w:val="【表格】"/>
    <w:next w:val="15"/>
    <w:qFormat/>
    <w:uiPriority w:val="0"/>
    <w:pPr>
      <w:framePr w:wrap="around" w:vAnchor="text" w:hAnchor="text" w:y="1"/>
      <w:jc w:val="center"/>
    </w:pPr>
    <w:rPr>
      <w:rFonts w:ascii="Times New Roman" w:hAnsi="Times New Roman" w:eastAsia="宋体" w:cs="Times New Roman"/>
      <w:sz w:val="21"/>
      <w:szCs w:val="24"/>
      <w:lang w:val="en-US" w:eastAsia="zh-CN" w:bidi="ar-SA"/>
    </w:rPr>
  </w:style>
  <w:style w:type="paragraph" w:customStyle="1" w:styleId="25">
    <w:name w:val="表内文字"/>
    <w:qFormat/>
    <w:uiPriority w:val="0"/>
    <w:pPr>
      <w:jc w:val="center"/>
    </w:pPr>
    <w:rPr>
      <w:rFonts w:ascii="Times New Roman" w:hAnsi="Times New Roman" w:eastAsia="宋体" w:cstheme="minorBidi"/>
      <w:kern w:val="2"/>
      <w:sz w:val="21"/>
      <w:szCs w:val="24"/>
      <w:lang w:val="en-US" w:eastAsia="zh-CN" w:bidi="ar-SA"/>
    </w:rPr>
  </w:style>
  <w:style w:type="character" w:customStyle="1" w:styleId="26">
    <w:name w:val="4正文 Char Char"/>
    <w:link w:val="27"/>
    <w:qFormat/>
    <w:uiPriority w:val="0"/>
    <w:rPr>
      <w:rFonts w:ascii="Times New Roman" w:hAnsi="Times New Roman" w:eastAsia="宋体" w:cs="宋体"/>
      <w:kern w:val="0"/>
      <w:sz w:val="24"/>
      <w:szCs w:val="20"/>
      <w:lang w:val="en-US" w:eastAsia="zh-CN" w:bidi="ar-SA"/>
    </w:rPr>
  </w:style>
  <w:style w:type="paragraph" w:customStyle="1" w:styleId="27">
    <w:name w:val="4正文"/>
    <w:next w:val="1"/>
    <w:link w:val="26"/>
    <w:qFormat/>
    <w:uiPriority w:val="0"/>
    <w:pPr>
      <w:widowControl w:val="0"/>
      <w:spacing w:line="360" w:lineRule="auto"/>
      <w:ind w:firstLine="200" w:firstLineChars="200"/>
      <w:jc w:val="both"/>
    </w:pPr>
    <w:rPr>
      <w:rFonts w:ascii="Times New Roman" w:hAnsi="Times New Roman" w:eastAsia="宋体" w:cs="宋体"/>
      <w:kern w:val="0"/>
      <w:sz w:val="24"/>
      <w:szCs w:val="20"/>
      <w:lang w:val="en-US" w:eastAsia="zh-CN" w:bidi="ar-SA"/>
    </w:rPr>
  </w:style>
  <w:style w:type="paragraph" w:customStyle="1" w:styleId="28">
    <w:name w:val="1"/>
    <w:basedOn w:val="1"/>
    <w:next w:val="3"/>
    <w:qFormat/>
    <w:uiPriority w:val="0"/>
    <w:pPr>
      <w:ind w:firstLine="420"/>
    </w:pPr>
    <w:rPr>
      <w:szCs w:val="20"/>
    </w:rPr>
  </w:style>
  <w:style w:type="paragraph" w:customStyle="1" w:styleId="29">
    <w:name w:val="1正文+d"/>
    <w:basedOn w:val="30"/>
    <w:qFormat/>
    <w:uiPriority w:val="0"/>
    <w:pPr>
      <w:spacing w:line="580" w:lineRule="exact"/>
      <w:ind w:firstLine="200"/>
    </w:pPr>
    <w:rPr>
      <w:rFonts w:hAnsi="宋体"/>
      <w:szCs w:val="28"/>
    </w:rPr>
  </w:style>
  <w:style w:type="paragraph" w:customStyle="1" w:styleId="30">
    <w:name w:val="1正文"/>
    <w:basedOn w:val="1"/>
    <w:qFormat/>
    <w:uiPriority w:val="0"/>
    <w:pPr>
      <w:spacing w:line="360" w:lineRule="auto"/>
      <w:ind w:firstLine="560" w:firstLineChars="200"/>
    </w:pPr>
    <w:rPr>
      <w:rFonts w:ascii="宋体"/>
      <w:kern w:val="2"/>
      <w:sz w:val="28"/>
    </w:rPr>
  </w:style>
  <w:style w:type="paragraph" w:customStyle="1" w:styleId="31">
    <w:name w:val="【正文】"/>
    <w:basedOn w:val="1"/>
    <w:qFormat/>
    <w:uiPriority w:val="0"/>
    <w:pPr>
      <w:spacing w:line="440" w:lineRule="exact"/>
      <w:ind w:firstLine="544" w:firstLineChars="200"/>
    </w:pPr>
    <w:rPr>
      <w:rFonts w:cs="宋体"/>
      <w:sz w:val="24"/>
      <w:szCs w:val="20"/>
    </w:rPr>
  </w:style>
  <w:style w:type="paragraph" w:customStyle="1" w:styleId="32">
    <w:name w:val="A正文"/>
    <w:basedOn w:val="1"/>
    <w:qFormat/>
    <w:uiPriority w:val="0"/>
    <w:pPr>
      <w:tabs>
        <w:tab w:val="left" w:pos="893"/>
      </w:tabs>
      <w:spacing w:before="100" w:beforeAutospacing="1"/>
      <w:jc w:val="left"/>
    </w:pPr>
    <w:rPr>
      <w:snapToGrid w:val="0"/>
      <w:kern w:val="0"/>
      <w:szCs w:val="20"/>
      <w:lang w:val="zh-CN"/>
    </w:rPr>
  </w:style>
  <w:style w:type="paragraph" w:customStyle="1" w:styleId="33">
    <w:name w:val="文本文件"/>
    <w:basedOn w:val="1"/>
    <w:uiPriority w:val="0"/>
    <w:pPr>
      <w:spacing w:line="360" w:lineRule="auto"/>
      <w:ind w:firstLine="480" w:firstLineChars="200"/>
    </w:pPr>
    <w:rPr>
      <w:rFonts w:ascii="宋体" w:hAnsi="宋体" w:eastAsia="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2017-05-03T08:53:00Z</dcterms:created>
  <dc:creator>Administrator</dc:creator>
  <cp:lastModifiedBy>hp</cp:lastModifiedBy>
  <dcterms:modified xsi:type="dcterms:W3CDTF">2019-09-06T09:50:48Z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KSORubyTemplateID" linkTarget="0">
    <vt:lpwstr>6</vt:lpwstr>
  </property>
</Properties>
</file>