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pStyle w:val="12"/>
        <w:rPr>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spacing w:line="360" w:lineRule="auto"/>
        <w:jc w:val="center"/>
        <w:outlineLvl w:val="0"/>
        <w:rPr>
          <w:rFonts w:ascii="华文中宋" w:hAnsi="华文中宋" w:eastAsia="华文中宋" w:cs="华文中宋"/>
          <w:b/>
          <w:sz w:val="72"/>
          <w:szCs w:val="72"/>
        </w:rPr>
      </w:pPr>
      <w:bookmarkStart w:id="1" w:name="_Toc17984"/>
      <w:r>
        <w:rPr>
          <w:rFonts w:hint="eastAsia" w:ascii="华文中宋" w:hAnsi="华文中宋" w:eastAsia="华文中宋" w:cs="华文中宋"/>
          <w:b/>
          <w:sz w:val="72"/>
          <w:szCs w:val="72"/>
        </w:rPr>
        <w:t>建设项目环境影响报告表</w:t>
      </w:r>
      <w:bookmarkEnd w:id="1"/>
    </w:p>
    <w:p>
      <w:pPr>
        <w:adjustRightInd w:val="0"/>
        <w:snapToGrid w:val="0"/>
        <w:spacing w:line="360" w:lineRule="auto"/>
        <w:jc w:val="center"/>
        <w:rPr>
          <w:rFonts w:ascii="楷体_GB2312" w:eastAsia="楷体_GB2312"/>
          <w:bCs/>
          <w:sz w:val="32"/>
          <w:szCs w:val="32"/>
        </w:rPr>
      </w:pPr>
      <w:r>
        <w:rPr>
          <w:rFonts w:hint="eastAsia" w:ascii="楷体_GB2312" w:eastAsia="楷体_GB2312"/>
          <w:bCs/>
          <w:sz w:val="32"/>
          <w:szCs w:val="32"/>
        </w:rPr>
        <w:t>（生态影响类）</w:t>
      </w:r>
    </w:p>
    <w:p>
      <w:pPr>
        <w:adjustRightInd w:val="0"/>
        <w:snapToGrid w:val="0"/>
        <w:spacing w:line="360" w:lineRule="auto"/>
        <w:jc w:val="center"/>
        <w:rPr>
          <w:rFonts w:ascii="楷体_GB2312" w:eastAsia="楷体_GB2312"/>
          <w:bCs/>
          <w:sz w:val="32"/>
          <w:szCs w:val="32"/>
        </w:rPr>
      </w:pPr>
      <w:bookmarkStart w:id="2" w:name="_Hlk57883728"/>
      <w:r>
        <w:rPr>
          <w:rFonts w:hint="eastAsia" w:ascii="楷体_GB2312" w:eastAsia="楷体_GB2312"/>
          <w:bCs/>
          <w:sz w:val="32"/>
          <w:szCs w:val="32"/>
        </w:rPr>
        <w:t>（送审稿）</w:t>
      </w:r>
    </w:p>
    <w:p>
      <w:pPr>
        <w:adjustRightInd w:val="0"/>
        <w:snapToGrid w:val="0"/>
        <w:spacing w:line="360" w:lineRule="auto"/>
        <w:rPr>
          <w:rFonts w:ascii="华文仿宋" w:hAnsi="华文仿宋" w:eastAsia="华文仿宋" w:cs="华文仿宋"/>
          <w:color w:val="000000"/>
          <w:kern w:val="44"/>
          <w:sz w:val="44"/>
          <w:szCs w:val="44"/>
        </w:rPr>
      </w:pPr>
    </w:p>
    <w:p>
      <w:pPr>
        <w:adjustRightInd w:val="0"/>
        <w:snapToGrid w:val="0"/>
        <w:spacing w:line="360" w:lineRule="auto"/>
        <w:rPr>
          <w:rFonts w:eastAsia="仿宋"/>
          <w:sz w:val="52"/>
          <w:szCs w:val="52"/>
        </w:rPr>
      </w:pPr>
    </w:p>
    <w:p>
      <w:pPr>
        <w:adjustRightInd w:val="0"/>
        <w:snapToGrid w:val="0"/>
        <w:spacing w:line="360" w:lineRule="auto"/>
        <w:rPr>
          <w:rFonts w:eastAsia="仿宋"/>
          <w:sz w:val="44"/>
          <w:szCs w:val="44"/>
        </w:rPr>
      </w:pPr>
    </w:p>
    <w:p>
      <w:pPr>
        <w:pStyle w:val="21"/>
        <w:adjustRightInd w:val="0"/>
        <w:snapToGrid w:val="0"/>
        <w:spacing w:before="0" w:after="0" w:line="360" w:lineRule="auto"/>
        <w:jc w:val="both"/>
        <w:outlineLvl w:val="9"/>
        <w:rPr>
          <w:lang w:eastAsia="zh-CN"/>
        </w:rPr>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8655"/>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PrEx>
        <w:trPr>
          <w:jc w:val="center"/>
        </w:trPr>
        <w:tc>
          <w:tcPr>
            <w:tcW w:w="8655" w:type="dxa"/>
            <w:tcBorders>
              <w:tl2br w:val="nil"/>
              <w:tr2bl w:val="nil"/>
            </w:tcBorders>
          </w:tcPr>
          <w:p>
            <w:pPr>
              <w:adjustRightInd w:val="0"/>
              <w:snapToGrid w:val="0"/>
              <w:spacing w:line="360" w:lineRule="auto"/>
              <w:ind w:left="1501" w:hanging="1502" w:hangingChars="500"/>
              <w:rPr>
                <w:rFonts w:eastAsia="华文中宋"/>
                <w:sz w:val="30"/>
                <w:szCs w:val="30"/>
              </w:rPr>
            </w:pPr>
            <w:r>
              <w:rPr>
                <w:rFonts w:eastAsia="华文中宋"/>
                <w:b/>
                <w:bCs/>
                <w:sz w:val="30"/>
                <w:szCs w:val="30"/>
              </w:rPr>
              <w:t>项目名称：</w:t>
            </w:r>
            <w:r>
              <w:rPr>
                <w:rFonts w:hint="eastAsia" w:eastAsia="华文中宋"/>
                <w:b/>
                <w:bCs/>
                <w:sz w:val="30"/>
                <w:szCs w:val="30"/>
                <w:u w:val="single"/>
              </w:rPr>
              <w:t xml:space="preserve">    民乐县500MW/1000MWh共享储能电站项目                    </w:t>
            </w:r>
            <w:r>
              <w:rPr>
                <w:rFonts w:eastAsia="华文中宋"/>
                <w:b/>
                <w:bCs/>
                <w:sz w:val="30"/>
                <w:szCs w:val="30"/>
                <w:u w:val="single"/>
              </w:rPr>
              <w:t xml:space="preserve">                   </w:t>
            </w:r>
            <w:r>
              <w:rPr>
                <w:rFonts w:hint="eastAsia" w:eastAsia="华文中宋"/>
                <w:b/>
                <w:bCs/>
                <w:sz w:val="30"/>
                <w:szCs w:val="30"/>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8655" w:type="dxa"/>
            <w:tcBorders>
              <w:tl2br w:val="nil"/>
              <w:tr2bl w:val="nil"/>
            </w:tcBorders>
          </w:tcPr>
          <w:p>
            <w:pPr>
              <w:spacing w:line="360" w:lineRule="auto"/>
              <w:rPr>
                <w:rFonts w:eastAsia="华文中宋"/>
                <w:sz w:val="30"/>
                <w:szCs w:val="30"/>
              </w:rPr>
            </w:pPr>
            <w:r>
              <w:rPr>
                <w:rFonts w:eastAsia="华文中宋"/>
                <w:b/>
                <w:bCs/>
                <w:sz w:val="30"/>
                <w:szCs w:val="30"/>
              </w:rPr>
              <w:t>建设单位（盖章）：</w:t>
            </w:r>
            <w:r>
              <w:rPr>
                <w:rFonts w:hint="eastAsia" w:eastAsia="华文中宋"/>
                <w:b/>
                <w:bCs/>
                <w:sz w:val="30"/>
                <w:szCs w:val="30"/>
                <w:u w:val="single"/>
              </w:rPr>
              <w:t xml:space="preserve">  </w:t>
            </w:r>
            <w:r>
              <w:rPr>
                <w:rFonts w:eastAsia="华文中宋"/>
                <w:b/>
                <w:bCs/>
                <w:sz w:val="30"/>
                <w:szCs w:val="30"/>
                <w:u w:val="single"/>
              </w:rPr>
              <w:t xml:space="preserve">民乐县丝路网能绿色能源科技有限公司 </w:t>
            </w:r>
            <w:r>
              <w:rPr>
                <w:rFonts w:hint="eastAsia" w:eastAsia="华文中宋"/>
                <w:b/>
                <w:bCs/>
                <w:sz w:val="30"/>
                <w:szCs w:val="30"/>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8655" w:type="dxa"/>
            <w:tcBorders>
              <w:tl2br w:val="nil"/>
              <w:tr2bl w:val="nil"/>
            </w:tcBorders>
          </w:tcPr>
          <w:p>
            <w:pPr>
              <w:spacing w:line="360" w:lineRule="auto"/>
              <w:rPr>
                <w:rFonts w:eastAsia="华文中宋"/>
                <w:sz w:val="30"/>
                <w:szCs w:val="30"/>
              </w:rPr>
            </w:pPr>
            <w:r>
              <w:rPr>
                <w:rFonts w:eastAsia="华文中宋"/>
                <w:b/>
                <w:bCs/>
                <w:sz w:val="30"/>
                <w:szCs w:val="30"/>
              </w:rPr>
              <w:t>编制日期：</w:t>
            </w:r>
            <w:r>
              <w:rPr>
                <w:rFonts w:eastAsia="华文中宋"/>
                <w:b/>
                <w:bCs/>
                <w:sz w:val="30"/>
                <w:szCs w:val="30"/>
                <w:u w:val="single"/>
              </w:rPr>
              <w:t xml:space="preserve">             </w:t>
            </w:r>
            <w:r>
              <w:rPr>
                <w:rFonts w:hint="eastAsia" w:eastAsia="华文中宋"/>
                <w:b/>
                <w:bCs/>
                <w:sz w:val="30"/>
                <w:szCs w:val="30"/>
                <w:u w:val="single"/>
              </w:rPr>
              <w:t xml:space="preserve"> </w:t>
            </w:r>
            <w:r>
              <w:rPr>
                <w:rFonts w:eastAsia="华文中宋"/>
                <w:b/>
                <w:bCs/>
                <w:sz w:val="30"/>
                <w:szCs w:val="30"/>
                <w:u w:val="single"/>
              </w:rPr>
              <w:t xml:space="preserve"> 二零二二年四月                 </w:t>
            </w:r>
          </w:p>
        </w:tc>
      </w:tr>
    </w:tbl>
    <w:p>
      <w:pPr>
        <w:adjustRightInd w:val="0"/>
        <w:snapToGrid w:val="0"/>
        <w:spacing w:line="360" w:lineRule="auto"/>
        <w:rPr>
          <w:rFonts w:eastAsia="仿宋"/>
          <w:sz w:val="44"/>
          <w:szCs w:val="44"/>
        </w:rPr>
      </w:pPr>
    </w:p>
    <w:bookmarkEnd w:id="2"/>
    <w:p>
      <w:pPr>
        <w:adjustRightInd w:val="0"/>
        <w:snapToGrid w:val="0"/>
        <w:spacing w:line="360" w:lineRule="auto"/>
        <w:rPr>
          <w:rFonts w:ascii="仿宋_GB2312" w:eastAsia="仿宋_GB2312"/>
          <w:sz w:val="36"/>
          <w:szCs w:val="36"/>
        </w:rPr>
      </w:pPr>
    </w:p>
    <w:p>
      <w:pPr>
        <w:adjustRightInd w:val="0"/>
        <w:snapToGrid w:val="0"/>
        <w:spacing w:line="288" w:lineRule="auto"/>
        <w:jc w:val="center"/>
        <w:rPr>
          <w:rFonts w:ascii="楷体_GB2312" w:eastAsia="楷体_GB2312"/>
          <w:sz w:val="36"/>
          <w:szCs w:val="36"/>
        </w:rPr>
        <w:sectPr>
          <w:footerReference r:id="rId3" w:type="default"/>
          <w:footerReference r:id="rId4" w:type="even"/>
          <w:pgSz w:w="11905" w:h="16838"/>
          <w:pgMar w:top="1417" w:right="1417" w:bottom="1417" w:left="1417" w:header="851" w:footer="992" w:gutter="0"/>
          <w:pgNumType w:start="0"/>
          <w:cols w:space="720" w:num="1"/>
          <w:docGrid w:linePitch="312" w:charSpace="0"/>
        </w:sectPr>
      </w:pPr>
      <w:r>
        <w:rPr>
          <w:rFonts w:hint="eastAsia" w:ascii="楷体_GB2312" w:eastAsia="楷体_GB2312"/>
          <w:sz w:val="36"/>
          <w:szCs w:val="36"/>
        </w:rPr>
        <w:t>中华人民共和国生态环境部制</w:t>
      </w:r>
    </w:p>
    <w:p>
      <w:pPr>
        <w:pStyle w:val="12"/>
        <w:sectPr>
          <w:pgSz w:w="11905" w:h="16838"/>
          <w:pgMar w:top="1417" w:right="1417" w:bottom="1417" w:left="1417" w:header="851" w:footer="992" w:gutter="0"/>
          <w:pgNumType w:start="0"/>
          <w:cols w:space="720" w:num="1"/>
          <w:docGrid w:linePitch="312" w:charSpace="0"/>
        </w:sectPr>
      </w:pPr>
    </w:p>
    <w:sdt>
      <w:sdtPr>
        <w:rPr>
          <w:rFonts w:ascii="宋体" w:hAnsi="宋体"/>
        </w:rPr>
        <w:id w:val="147480234"/>
        <w15:color w:val="DBDBDB"/>
        <w:docPartObj>
          <w:docPartGallery w:val="Table of Contents"/>
          <w:docPartUnique/>
        </w:docPartObj>
      </w:sdtPr>
      <w:sdtEndPr>
        <w:rPr>
          <w:rFonts w:ascii="Times New Roman" w:hAnsi="Times New Roman"/>
        </w:rPr>
      </w:sdtEndPr>
      <w:sdtContent>
        <w:p>
          <w:pPr>
            <w:adjustRightInd w:val="0"/>
            <w:snapToGrid w:val="0"/>
            <w:spacing w:line="360" w:lineRule="auto"/>
            <w:jc w:val="center"/>
            <w:rPr>
              <w:sz w:val="24"/>
            </w:rPr>
          </w:pPr>
          <w:r>
            <w:rPr>
              <w:sz w:val="24"/>
            </w:rPr>
            <w:t>目录</w:t>
          </w:r>
        </w:p>
        <w:p>
          <w:pPr>
            <w:pStyle w:val="12"/>
          </w:pPr>
        </w:p>
        <w:p>
          <w:pPr>
            <w:pStyle w:val="61"/>
            <w:tabs>
              <w:tab w:val="right" w:leader="dot" w:pos="9071"/>
            </w:tabs>
            <w:adjustRightInd w:val="0"/>
            <w:snapToGrid w:val="0"/>
            <w:spacing w:line="360" w:lineRule="auto"/>
            <w:jc w:val="center"/>
            <w:rPr>
              <w:sz w:val="24"/>
              <w:szCs w:val="24"/>
            </w:rPr>
          </w:pPr>
          <w:r>
            <w:rPr>
              <w:sz w:val="24"/>
              <w:szCs w:val="24"/>
            </w:rPr>
            <w:fldChar w:fldCharType="begin"/>
          </w:r>
          <w:r>
            <w:rPr>
              <w:sz w:val="24"/>
              <w:szCs w:val="24"/>
            </w:rPr>
            <w:instrText xml:space="preserve">TOC \o "1-1" \h \u </w:instrText>
          </w:r>
          <w:r>
            <w:rPr>
              <w:sz w:val="24"/>
              <w:szCs w:val="24"/>
            </w:rPr>
            <w:fldChar w:fldCharType="separate"/>
          </w:r>
          <w:r>
            <w:fldChar w:fldCharType="begin"/>
          </w:r>
          <w:r>
            <w:instrText xml:space="preserve"> HYPERLINK \l "_Toc13203" </w:instrText>
          </w:r>
          <w:r>
            <w:fldChar w:fldCharType="separate"/>
          </w:r>
          <w:r>
            <w:rPr>
              <w:rFonts w:eastAsia="黑体"/>
              <w:snapToGrid w:val="0"/>
              <w:sz w:val="24"/>
              <w:szCs w:val="24"/>
            </w:rPr>
            <w:t>一、建设项目基本情况</w:t>
          </w:r>
          <w:r>
            <w:rPr>
              <w:sz w:val="24"/>
              <w:szCs w:val="24"/>
            </w:rPr>
            <w:tab/>
          </w:r>
          <w:r>
            <w:rPr>
              <w:sz w:val="24"/>
              <w:szCs w:val="24"/>
            </w:rPr>
            <w:fldChar w:fldCharType="begin"/>
          </w:r>
          <w:r>
            <w:rPr>
              <w:sz w:val="24"/>
              <w:szCs w:val="24"/>
            </w:rPr>
            <w:instrText xml:space="preserve"> PAGEREF _Toc13203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r>
            <w:fldChar w:fldCharType="begin"/>
          </w:r>
          <w:r>
            <w:instrText xml:space="preserve"> HYPERLINK \l "_Toc30620" </w:instrText>
          </w:r>
          <w:r>
            <w:fldChar w:fldCharType="separate"/>
          </w:r>
          <w:r>
            <w:rPr>
              <w:rFonts w:eastAsia="黑体"/>
              <w:snapToGrid w:val="0"/>
              <w:sz w:val="24"/>
              <w:szCs w:val="24"/>
            </w:rPr>
            <w:t>二、建设内容</w:t>
          </w:r>
          <w:r>
            <w:rPr>
              <w:sz w:val="24"/>
              <w:szCs w:val="24"/>
            </w:rPr>
            <w:tab/>
          </w:r>
          <w:r>
            <w:rPr>
              <w:sz w:val="24"/>
              <w:szCs w:val="24"/>
            </w:rPr>
            <w:fldChar w:fldCharType="begin"/>
          </w:r>
          <w:r>
            <w:rPr>
              <w:sz w:val="24"/>
              <w:szCs w:val="24"/>
            </w:rPr>
            <w:instrText xml:space="preserve"> PAGEREF _Toc30620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r>
            <w:fldChar w:fldCharType="begin"/>
          </w:r>
          <w:r>
            <w:instrText xml:space="preserve"> HYPERLINK \l "_Toc30559" </w:instrText>
          </w:r>
          <w:r>
            <w:fldChar w:fldCharType="separate"/>
          </w:r>
          <w:r>
            <w:rPr>
              <w:rFonts w:eastAsia="黑体"/>
              <w:snapToGrid w:val="0"/>
              <w:sz w:val="24"/>
              <w:szCs w:val="24"/>
            </w:rPr>
            <w:t>三、生态环境现状、保护目标及评价标准</w:t>
          </w:r>
          <w:r>
            <w:rPr>
              <w:sz w:val="24"/>
              <w:szCs w:val="24"/>
            </w:rPr>
            <w:tab/>
          </w:r>
          <w:r>
            <w:rPr>
              <w:sz w:val="24"/>
              <w:szCs w:val="24"/>
            </w:rPr>
            <w:fldChar w:fldCharType="begin"/>
          </w:r>
          <w:r>
            <w:rPr>
              <w:sz w:val="24"/>
              <w:szCs w:val="24"/>
            </w:rPr>
            <w:instrText xml:space="preserve"> PAGEREF _Toc30559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r>
            <w:fldChar w:fldCharType="begin"/>
          </w:r>
          <w:r>
            <w:instrText xml:space="preserve"> HYPERLINK \l "_Toc24371" </w:instrText>
          </w:r>
          <w:r>
            <w:fldChar w:fldCharType="separate"/>
          </w:r>
          <w:r>
            <w:rPr>
              <w:rFonts w:eastAsia="黑体"/>
              <w:snapToGrid w:val="0"/>
              <w:sz w:val="24"/>
              <w:szCs w:val="24"/>
            </w:rPr>
            <w:t>四、生态环境影响分析</w:t>
          </w:r>
          <w:r>
            <w:rPr>
              <w:sz w:val="24"/>
              <w:szCs w:val="24"/>
            </w:rPr>
            <w:tab/>
          </w:r>
          <w:r>
            <w:rPr>
              <w:sz w:val="24"/>
              <w:szCs w:val="24"/>
            </w:rPr>
            <w:fldChar w:fldCharType="begin"/>
          </w:r>
          <w:r>
            <w:rPr>
              <w:sz w:val="24"/>
              <w:szCs w:val="24"/>
            </w:rPr>
            <w:instrText xml:space="preserve"> PAGEREF _Toc24371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r>
            <w:fldChar w:fldCharType="begin"/>
          </w:r>
          <w:r>
            <w:instrText xml:space="preserve"> HYPERLINK \l "_Toc3681" </w:instrText>
          </w:r>
          <w:r>
            <w:fldChar w:fldCharType="separate"/>
          </w:r>
          <w:r>
            <w:rPr>
              <w:rFonts w:eastAsia="黑体"/>
              <w:snapToGrid w:val="0"/>
              <w:sz w:val="24"/>
              <w:szCs w:val="24"/>
            </w:rPr>
            <w:t>五、主要生态环境保护措施</w:t>
          </w:r>
          <w:r>
            <w:rPr>
              <w:sz w:val="24"/>
              <w:szCs w:val="24"/>
            </w:rPr>
            <w:tab/>
          </w:r>
          <w:r>
            <w:rPr>
              <w:sz w:val="24"/>
              <w:szCs w:val="24"/>
            </w:rPr>
            <w:fldChar w:fldCharType="begin"/>
          </w:r>
          <w:r>
            <w:rPr>
              <w:sz w:val="24"/>
              <w:szCs w:val="24"/>
            </w:rPr>
            <w:instrText xml:space="preserve"> PAGEREF _Toc3681 \h </w:instrText>
          </w:r>
          <w:r>
            <w:rPr>
              <w:sz w:val="24"/>
              <w:szCs w:val="24"/>
            </w:rPr>
            <w:fldChar w:fldCharType="separate"/>
          </w:r>
          <w:r>
            <w:rPr>
              <w:sz w:val="24"/>
              <w:szCs w:val="24"/>
            </w:rPr>
            <w:t>66</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r>
            <w:fldChar w:fldCharType="begin"/>
          </w:r>
          <w:r>
            <w:instrText xml:space="preserve"> HYPERLINK \l "_Toc21255" </w:instrText>
          </w:r>
          <w:r>
            <w:fldChar w:fldCharType="separate"/>
          </w:r>
          <w:r>
            <w:rPr>
              <w:rFonts w:eastAsia="黑体"/>
              <w:snapToGrid w:val="0"/>
              <w:sz w:val="24"/>
              <w:szCs w:val="24"/>
            </w:rPr>
            <w:t>六、生态环境保护措施监督检查清单</w:t>
          </w:r>
          <w:r>
            <w:rPr>
              <w:sz w:val="24"/>
              <w:szCs w:val="24"/>
            </w:rPr>
            <w:tab/>
          </w:r>
          <w:r>
            <w:rPr>
              <w:sz w:val="24"/>
              <w:szCs w:val="24"/>
            </w:rPr>
            <w:fldChar w:fldCharType="begin"/>
          </w:r>
          <w:r>
            <w:rPr>
              <w:sz w:val="24"/>
              <w:szCs w:val="24"/>
            </w:rPr>
            <w:instrText xml:space="preserve"> PAGEREF _Toc21255 \h </w:instrText>
          </w:r>
          <w:r>
            <w:rPr>
              <w:sz w:val="24"/>
              <w:szCs w:val="24"/>
            </w:rPr>
            <w:fldChar w:fldCharType="separate"/>
          </w:r>
          <w:r>
            <w:rPr>
              <w:sz w:val="24"/>
              <w:szCs w:val="24"/>
            </w:rPr>
            <w:t>79</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r>
            <w:fldChar w:fldCharType="begin"/>
          </w:r>
          <w:r>
            <w:instrText xml:space="preserve"> HYPERLINK \l "_Toc18136" </w:instrText>
          </w:r>
          <w:r>
            <w:fldChar w:fldCharType="separate"/>
          </w:r>
          <w:r>
            <w:rPr>
              <w:rFonts w:eastAsia="黑体"/>
              <w:snapToGrid w:val="0"/>
              <w:sz w:val="24"/>
              <w:szCs w:val="24"/>
            </w:rPr>
            <w:t>七、结论</w:t>
          </w:r>
          <w:r>
            <w:rPr>
              <w:sz w:val="24"/>
              <w:szCs w:val="24"/>
            </w:rPr>
            <w:tab/>
          </w:r>
          <w:r>
            <w:rPr>
              <w:sz w:val="24"/>
              <w:szCs w:val="24"/>
            </w:rPr>
            <w:fldChar w:fldCharType="begin"/>
          </w:r>
          <w:r>
            <w:rPr>
              <w:sz w:val="24"/>
              <w:szCs w:val="24"/>
            </w:rPr>
            <w:instrText xml:space="preserve"> PAGEREF _Toc18136 \h </w:instrText>
          </w:r>
          <w:r>
            <w:rPr>
              <w:sz w:val="24"/>
              <w:szCs w:val="24"/>
            </w:rPr>
            <w:fldChar w:fldCharType="separate"/>
          </w:r>
          <w:r>
            <w:rPr>
              <w:sz w:val="24"/>
              <w:szCs w:val="24"/>
            </w:rPr>
            <w:t>82</w:t>
          </w:r>
          <w:r>
            <w:rPr>
              <w:sz w:val="24"/>
              <w:szCs w:val="24"/>
            </w:rPr>
            <w:fldChar w:fldCharType="end"/>
          </w:r>
          <w:r>
            <w:rPr>
              <w:sz w:val="24"/>
              <w:szCs w:val="24"/>
            </w:rPr>
            <w:fldChar w:fldCharType="end"/>
          </w:r>
        </w:p>
        <w:p>
          <w:pPr>
            <w:pStyle w:val="61"/>
            <w:tabs>
              <w:tab w:val="right" w:leader="dot" w:pos="9071"/>
            </w:tabs>
            <w:adjustRightInd w:val="0"/>
            <w:snapToGrid w:val="0"/>
            <w:spacing w:line="360" w:lineRule="auto"/>
            <w:jc w:val="center"/>
            <w:rPr>
              <w:sz w:val="24"/>
              <w:szCs w:val="24"/>
            </w:rPr>
          </w:pPr>
        </w:p>
        <w:p>
          <w:pPr>
            <w:rPr>
              <w:b/>
              <w:bCs/>
              <w:sz w:val="24"/>
            </w:rPr>
          </w:pPr>
          <w:r>
            <w:rPr>
              <w:sz w:val="24"/>
            </w:rPr>
            <w:fldChar w:fldCharType="end"/>
          </w:r>
          <w:r>
            <w:rPr>
              <w:b/>
              <w:bCs/>
              <w:sz w:val="24"/>
            </w:rPr>
            <w:t>附件：</w:t>
          </w:r>
        </w:p>
        <w:p>
          <w:pPr>
            <w:adjustRightInd w:val="0"/>
            <w:snapToGrid w:val="0"/>
            <w:spacing w:line="360" w:lineRule="auto"/>
            <w:ind w:firstLine="480" w:firstLineChars="200"/>
            <w:rPr>
              <w:sz w:val="24"/>
            </w:rPr>
          </w:pPr>
          <w:r>
            <w:rPr>
              <w:sz w:val="24"/>
            </w:rPr>
            <w:t>附件1  项目环境影响评价委托书</w:t>
          </w:r>
        </w:p>
        <w:p>
          <w:pPr>
            <w:pStyle w:val="31"/>
            <w:adjustRightInd w:val="0"/>
            <w:snapToGrid w:val="0"/>
            <w:ind w:firstLine="480" w:firstLineChars="200"/>
            <w:rPr>
              <w:rFonts w:ascii="Times New Roman" w:cs="Times New Roman"/>
            </w:rPr>
          </w:pPr>
          <w:r>
            <w:rPr>
              <w:rFonts w:ascii="Times New Roman" w:cs="Times New Roman"/>
            </w:rPr>
            <w:t xml:space="preserve">附件2  </w:t>
          </w:r>
          <w:r>
            <w:rPr>
              <w:rFonts w:hint="eastAsia" w:ascii="Times New Roman" w:cs="Times New Roman"/>
            </w:rPr>
            <w:t>项目备案文件</w:t>
          </w:r>
        </w:p>
        <w:p>
          <w:pPr>
            <w:pStyle w:val="31"/>
            <w:adjustRightInd w:val="0"/>
            <w:snapToGrid w:val="0"/>
            <w:ind w:firstLine="480" w:firstLineChars="200"/>
            <w:rPr>
              <w:rFonts w:ascii="Times New Roman" w:cs="Times New Roman"/>
            </w:rPr>
          </w:pPr>
          <w:r>
            <w:rPr>
              <w:rFonts w:ascii="Times New Roman" w:cs="Times New Roman"/>
            </w:rPr>
            <w:t xml:space="preserve">附件3 </w:t>
          </w:r>
          <w:r>
            <w:rPr>
              <w:rFonts w:hint="eastAsia" w:ascii="Times New Roman" w:cs="Times New Roman"/>
            </w:rPr>
            <w:t xml:space="preserve"> </w:t>
          </w:r>
          <w:r>
            <w:rPr>
              <w:rFonts w:ascii="Times New Roman" w:cs="Times New Roman"/>
            </w:rPr>
            <w:t>项目用地</w:t>
          </w:r>
          <w:r>
            <w:rPr>
              <w:rFonts w:hint="eastAsia" w:ascii="Times New Roman" w:cs="Times New Roman"/>
            </w:rPr>
            <w:t>预审与选址意见的初审意见</w:t>
          </w:r>
        </w:p>
        <w:p>
          <w:pPr>
            <w:pStyle w:val="31"/>
            <w:adjustRightInd w:val="0"/>
            <w:snapToGrid w:val="0"/>
            <w:ind w:firstLine="480" w:firstLineChars="200"/>
            <w:rPr>
              <w:rFonts w:ascii="Times New Roman" w:cs="Times New Roman"/>
            </w:rPr>
          </w:pPr>
          <w:r>
            <w:rPr>
              <w:rFonts w:ascii="Times New Roman" w:cs="Times New Roman"/>
            </w:rPr>
            <w:t xml:space="preserve">附件4  </w:t>
          </w:r>
          <w:r>
            <w:rPr>
              <w:rFonts w:hint="eastAsia" w:ascii="Times New Roman" w:cs="Times New Roman"/>
            </w:rPr>
            <w:t>顺化330kV变电站环评及验收手续</w:t>
          </w:r>
        </w:p>
        <w:p>
          <w:pPr>
            <w:pStyle w:val="31"/>
            <w:adjustRightInd w:val="0"/>
            <w:snapToGrid w:val="0"/>
            <w:ind w:firstLine="480" w:firstLineChars="200"/>
            <w:rPr>
              <w:rFonts w:ascii="Times New Roman" w:cs="Times New Roman"/>
            </w:rPr>
          </w:pPr>
          <w:r>
            <w:rPr>
              <w:rFonts w:hint="eastAsia" w:ascii="Times New Roman" w:cs="Times New Roman"/>
            </w:rPr>
            <w:t xml:space="preserve">附件5  </w:t>
          </w:r>
          <w:r>
            <w:rPr>
              <w:rFonts w:ascii="Times New Roman" w:cs="Times New Roman"/>
            </w:rPr>
            <w:t>项目环境质量现状监测报告</w:t>
          </w:r>
        </w:p>
        <w:p>
          <w:pPr>
            <w:pStyle w:val="31"/>
            <w:adjustRightInd w:val="0"/>
            <w:snapToGrid w:val="0"/>
            <w:ind w:firstLine="480" w:firstLineChars="200"/>
            <w:rPr>
              <w:rFonts w:ascii="Times New Roman" w:cs="Times New Roman"/>
            </w:rPr>
          </w:pPr>
          <w:r>
            <w:rPr>
              <w:rFonts w:ascii="Times New Roman" w:cs="Times New Roman"/>
            </w:rPr>
            <w:t>附件</w:t>
          </w:r>
          <w:r>
            <w:rPr>
              <w:rFonts w:hint="eastAsia" w:ascii="Times New Roman" w:cs="Times New Roman"/>
            </w:rPr>
            <w:t>6</w:t>
          </w:r>
          <w:r>
            <w:rPr>
              <w:rFonts w:ascii="Times New Roman" w:cs="Times New Roman"/>
            </w:rPr>
            <w:t xml:space="preserve">  各相关部门关于项目</w:t>
          </w:r>
          <w:r>
            <w:rPr>
              <w:rFonts w:hint="eastAsia" w:ascii="Times New Roman" w:cs="Times New Roman"/>
            </w:rPr>
            <w:t>用地</w:t>
          </w:r>
          <w:r>
            <w:rPr>
              <w:rFonts w:ascii="Times New Roman" w:cs="Times New Roman"/>
            </w:rPr>
            <w:t>征询函的复函</w:t>
          </w:r>
        </w:p>
        <w:p>
          <w:pPr>
            <w:pStyle w:val="31"/>
            <w:adjustRightInd w:val="0"/>
            <w:snapToGrid w:val="0"/>
            <w:ind w:firstLine="480" w:firstLineChars="200"/>
            <w:rPr>
              <w:rFonts w:ascii="Times New Roman" w:cs="Times New Roman"/>
            </w:rPr>
          </w:pPr>
          <w:r>
            <w:rPr>
              <w:rFonts w:ascii="Times New Roman" w:cs="Times New Roman"/>
            </w:rPr>
            <w:t>附件</w:t>
          </w:r>
          <w:r>
            <w:rPr>
              <w:rFonts w:hint="eastAsia" w:ascii="Times New Roman" w:cs="Times New Roman"/>
            </w:rPr>
            <w:t>7</w:t>
          </w:r>
          <w:r>
            <w:rPr>
              <w:rFonts w:ascii="Times New Roman" w:cs="Times New Roman"/>
            </w:rPr>
            <w:t xml:space="preserve">  </w:t>
          </w:r>
          <w:r>
            <w:rPr>
              <w:rFonts w:hint="eastAsia" w:ascii="Times New Roman" w:cs="Times New Roman"/>
            </w:rPr>
            <w:t>类比对象竣工环保验收调查报告及其竣工验收意见</w:t>
          </w:r>
        </w:p>
        <w:p>
          <w:pPr>
            <w:pStyle w:val="31"/>
            <w:adjustRightInd w:val="0"/>
            <w:snapToGrid w:val="0"/>
            <w:ind w:firstLine="0"/>
            <w:rPr>
              <w:rFonts w:ascii="Times New Roman" w:cs="Times New Roman"/>
            </w:rPr>
          </w:pPr>
        </w:p>
        <w:p>
          <w:pPr>
            <w:pStyle w:val="31"/>
            <w:adjustRightInd w:val="0"/>
            <w:snapToGrid w:val="0"/>
            <w:ind w:firstLine="0"/>
            <w:rPr>
              <w:rFonts w:ascii="Times New Roman" w:cs="Times New Roman"/>
              <w:b/>
              <w:bCs/>
            </w:rPr>
          </w:pPr>
          <w:r>
            <w:rPr>
              <w:rFonts w:ascii="Times New Roman" w:cs="Times New Roman"/>
              <w:b/>
              <w:bCs/>
            </w:rPr>
            <w:t>附图：</w:t>
          </w:r>
        </w:p>
        <w:p>
          <w:pPr>
            <w:pStyle w:val="31"/>
            <w:adjustRightInd w:val="0"/>
            <w:snapToGrid w:val="0"/>
            <w:ind w:firstLine="480" w:firstLineChars="200"/>
            <w:rPr>
              <w:rFonts w:ascii="Times New Roman" w:cs="Times New Roman"/>
            </w:rPr>
          </w:pPr>
          <w:r>
            <w:rPr>
              <w:rFonts w:ascii="Times New Roman" w:cs="Times New Roman"/>
            </w:rPr>
            <w:t>附图1  项目在甘肃省环境管控单元分布图中的位置</w:t>
          </w:r>
        </w:p>
        <w:p>
          <w:pPr>
            <w:pStyle w:val="31"/>
            <w:adjustRightInd w:val="0"/>
            <w:snapToGrid w:val="0"/>
            <w:ind w:firstLine="480" w:firstLineChars="200"/>
            <w:rPr>
              <w:rFonts w:ascii="Times New Roman" w:cs="Times New Roman"/>
            </w:rPr>
          </w:pPr>
          <w:r>
            <w:rPr>
              <w:rFonts w:ascii="Times New Roman" w:cs="Times New Roman"/>
            </w:rPr>
            <w:t>附图</w:t>
          </w:r>
          <w:r>
            <w:rPr>
              <w:rFonts w:hint="eastAsia" w:ascii="Times New Roman" w:cs="Times New Roman"/>
            </w:rPr>
            <w:t xml:space="preserve">2 </w:t>
          </w:r>
          <w:r>
            <w:rPr>
              <w:rFonts w:ascii="Times New Roman" w:cs="Times New Roman"/>
            </w:rPr>
            <w:t xml:space="preserve"> 项目在张掖市环境管控单元分布图中的位置</w:t>
          </w:r>
        </w:p>
        <w:p>
          <w:pPr>
            <w:pStyle w:val="31"/>
            <w:adjustRightInd w:val="0"/>
            <w:snapToGrid w:val="0"/>
            <w:ind w:firstLine="480" w:firstLineChars="200"/>
            <w:rPr>
              <w:rFonts w:ascii="Times New Roman" w:cs="Times New Roman"/>
            </w:rPr>
          </w:pPr>
          <w:r>
            <w:rPr>
              <w:rFonts w:hint="eastAsia" w:ascii="Times New Roman" w:cs="Times New Roman"/>
            </w:rPr>
            <w:t xml:space="preserve">附图3  </w:t>
          </w:r>
          <w:r>
            <w:rPr>
              <w:rFonts w:ascii="Times New Roman" w:cs="Times New Roman"/>
            </w:rPr>
            <w:t>项目地理位置图</w:t>
          </w:r>
        </w:p>
        <w:p>
          <w:pPr>
            <w:pStyle w:val="31"/>
            <w:adjustRightInd w:val="0"/>
            <w:snapToGrid w:val="0"/>
            <w:ind w:firstLine="480" w:firstLineChars="200"/>
            <w:rPr>
              <w:rFonts w:ascii="Times New Roman" w:cs="Times New Roman"/>
            </w:rPr>
          </w:pPr>
          <w:r>
            <w:rPr>
              <w:rFonts w:hint="eastAsia" w:ascii="Times New Roman" w:cs="Times New Roman"/>
            </w:rPr>
            <w:t>附图4</w:t>
          </w:r>
          <w:r>
            <w:rPr>
              <w:rFonts w:ascii="Times New Roman" w:cs="Times New Roman"/>
            </w:rPr>
            <w:t xml:space="preserve">  项目施工期平面布置示意图</w:t>
          </w:r>
        </w:p>
        <w:p>
          <w:pPr>
            <w:pStyle w:val="31"/>
            <w:adjustRightInd w:val="0"/>
            <w:snapToGrid w:val="0"/>
            <w:ind w:firstLine="480" w:firstLineChars="200"/>
            <w:rPr>
              <w:rFonts w:ascii="Times New Roman" w:cs="Times New Roman"/>
            </w:rPr>
          </w:pPr>
          <w:r>
            <w:rPr>
              <w:rFonts w:ascii="Times New Roman" w:cs="Times New Roman"/>
            </w:rPr>
            <w:t>附图</w:t>
          </w:r>
          <w:r>
            <w:rPr>
              <w:rFonts w:hint="eastAsia" w:ascii="Times New Roman" w:cs="Times New Roman"/>
            </w:rPr>
            <w:t>5.1</w:t>
          </w:r>
          <w:r>
            <w:rPr>
              <w:rFonts w:ascii="Times New Roman" w:cs="Times New Roman"/>
            </w:rPr>
            <w:t xml:space="preserve">  </w:t>
          </w:r>
          <w:r>
            <w:rPr>
              <w:rFonts w:hint="eastAsia" w:ascii="Times New Roman" w:cs="Times New Roman"/>
            </w:rPr>
            <w:t>储能电站电气总</w:t>
          </w:r>
          <w:r>
            <w:rPr>
              <w:rFonts w:ascii="Times New Roman" w:cs="Times New Roman"/>
            </w:rPr>
            <w:t>平面布置图</w:t>
          </w:r>
        </w:p>
        <w:p>
          <w:pPr>
            <w:pStyle w:val="31"/>
            <w:adjustRightInd w:val="0"/>
            <w:snapToGrid w:val="0"/>
            <w:ind w:firstLine="480" w:firstLineChars="200"/>
            <w:rPr>
              <w:rFonts w:ascii="Times New Roman" w:cs="Times New Roman"/>
            </w:rPr>
          </w:pPr>
          <w:r>
            <w:rPr>
              <w:rFonts w:hint="eastAsia" w:ascii="Times New Roman" w:cs="Times New Roman"/>
            </w:rPr>
            <w:t>附图5.2  储能电站电气主接线图</w:t>
          </w:r>
        </w:p>
        <w:p>
          <w:pPr>
            <w:pStyle w:val="31"/>
            <w:adjustRightInd w:val="0"/>
            <w:snapToGrid w:val="0"/>
            <w:ind w:firstLine="480" w:firstLineChars="200"/>
            <w:rPr>
              <w:rFonts w:ascii="Times New Roman" w:cs="Times New Roman"/>
            </w:rPr>
          </w:pPr>
          <w:r>
            <w:rPr>
              <w:rFonts w:hint="eastAsia" w:ascii="Times New Roman" w:cs="Times New Roman"/>
            </w:rPr>
            <w:t>附图5.3  330kV升压站平面布置图</w:t>
          </w:r>
        </w:p>
        <w:p>
          <w:pPr>
            <w:pStyle w:val="31"/>
            <w:adjustRightInd w:val="0"/>
            <w:snapToGrid w:val="0"/>
            <w:ind w:firstLine="480" w:firstLineChars="200"/>
            <w:rPr>
              <w:rFonts w:ascii="Times New Roman" w:cs="Times New Roman"/>
            </w:rPr>
          </w:pPr>
          <w:r>
            <w:rPr>
              <w:rFonts w:ascii="Times New Roman" w:cs="Times New Roman"/>
            </w:rPr>
            <w:t>附图</w:t>
          </w:r>
          <w:r>
            <w:rPr>
              <w:rFonts w:hint="eastAsia" w:ascii="Times New Roman" w:cs="Times New Roman"/>
            </w:rPr>
            <w:t>6.1</w:t>
          </w:r>
          <w:r>
            <w:rPr>
              <w:rFonts w:ascii="Times New Roman" w:cs="Times New Roman"/>
            </w:rPr>
            <w:t xml:space="preserve">  </w:t>
          </w:r>
          <w:r>
            <w:rPr>
              <w:rFonts w:hint="eastAsia" w:ascii="Times New Roman" w:cs="Times New Roman"/>
            </w:rPr>
            <w:t>顺化330kV变电站电气平面布置图</w:t>
          </w:r>
        </w:p>
        <w:p>
          <w:pPr>
            <w:pStyle w:val="31"/>
            <w:adjustRightInd w:val="0"/>
            <w:snapToGrid w:val="0"/>
            <w:ind w:firstLine="480" w:firstLineChars="200"/>
            <w:rPr>
              <w:rFonts w:ascii="Times New Roman" w:cs="Times New Roman"/>
            </w:rPr>
          </w:pPr>
          <w:r>
            <w:rPr>
              <w:rFonts w:hint="eastAsia" w:ascii="Times New Roman" w:cs="Times New Roman"/>
            </w:rPr>
            <w:t>附图6.2  顺化330kV变电站330kV线路进出线示意图</w:t>
          </w:r>
        </w:p>
        <w:p>
          <w:pPr>
            <w:pStyle w:val="31"/>
            <w:adjustRightInd w:val="0"/>
            <w:snapToGrid w:val="0"/>
            <w:ind w:firstLine="480" w:firstLineChars="200"/>
            <w:rPr>
              <w:rFonts w:ascii="Times New Roman" w:cs="Times New Roman"/>
            </w:rPr>
          </w:pPr>
          <w:r>
            <w:rPr>
              <w:rFonts w:hint="eastAsia" w:ascii="Times New Roman" w:cs="Times New Roman"/>
            </w:rPr>
            <w:t xml:space="preserve">附图7  </w:t>
          </w:r>
          <w:r>
            <w:rPr>
              <w:rFonts w:ascii="Times New Roman" w:cs="Times New Roman"/>
            </w:rPr>
            <w:t>项目在甘肃省生态功能区划图中的位置</w:t>
          </w:r>
        </w:p>
        <w:p>
          <w:pPr>
            <w:pStyle w:val="31"/>
            <w:adjustRightInd w:val="0"/>
            <w:snapToGrid w:val="0"/>
            <w:ind w:firstLine="480" w:firstLineChars="200"/>
            <w:rPr>
              <w:rFonts w:ascii="Times New Roman" w:cs="Times New Roman"/>
            </w:rPr>
          </w:pPr>
          <w:r>
            <w:rPr>
              <w:rFonts w:ascii="Times New Roman" w:cs="Times New Roman"/>
            </w:rPr>
            <w:t>附图</w:t>
          </w:r>
          <w:r>
            <w:rPr>
              <w:rFonts w:hint="eastAsia" w:ascii="Times New Roman" w:cs="Times New Roman"/>
            </w:rPr>
            <w:t>8</w:t>
          </w:r>
          <w:r>
            <w:rPr>
              <w:rFonts w:ascii="Times New Roman" w:cs="Times New Roman"/>
            </w:rPr>
            <w:t xml:space="preserve">  项目在张掖市生态功能区划图中的位置</w:t>
          </w:r>
        </w:p>
        <w:p>
          <w:pPr>
            <w:pStyle w:val="31"/>
            <w:adjustRightInd w:val="0"/>
            <w:snapToGrid w:val="0"/>
            <w:ind w:firstLine="480" w:firstLineChars="200"/>
            <w:rPr>
              <w:rFonts w:ascii="Times New Roman" w:cs="Times New Roman"/>
            </w:rPr>
          </w:pPr>
          <w:r>
            <w:rPr>
              <w:rFonts w:ascii="Times New Roman" w:cs="Times New Roman"/>
            </w:rPr>
            <w:t>附图</w:t>
          </w:r>
          <w:r>
            <w:rPr>
              <w:rFonts w:hint="eastAsia" w:ascii="Times New Roman" w:cs="Times New Roman"/>
            </w:rPr>
            <w:t>9</w:t>
          </w:r>
          <w:r>
            <w:rPr>
              <w:rFonts w:ascii="Times New Roman" w:cs="Times New Roman"/>
            </w:rPr>
            <w:t xml:space="preserve">  </w:t>
          </w:r>
          <w:r>
            <w:rPr>
              <w:rFonts w:hint="eastAsia" w:ascii="Times New Roman" w:cs="Times New Roman"/>
            </w:rPr>
            <w:t>项目区域植被类型分布图</w:t>
          </w:r>
        </w:p>
        <w:p>
          <w:pPr>
            <w:pStyle w:val="31"/>
            <w:adjustRightInd w:val="0"/>
            <w:snapToGrid w:val="0"/>
            <w:ind w:firstLine="480" w:firstLineChars="200"/>
            <w:rPr>
              <w:rFonts w:ascii="Times New Roman" w:cs="Times New Roman"/>
            </w:rPr>
          </w:pPr>
          <w:r>
            <w:rPr>
              <w:rFonts w:hint="eastAsia" w:ascii="Times New Roman" w:cs="Times New Roman"/>
            </w:rPr>
            <w:t>附图10  项目区域土地利用类型分布图</w:t>
          </w:r>
        </w:p>
        <w:p>
          <w:pPr>
            <w:pStyle w:val="31"/>
            <w:adjustRightInd w:val="0"/>
            <w:snapToGrid w:val="0"/>
            <w:ind w:firstLine="480" w:firstLineChars="200"/>
            <w:rPr>
              <w:rFonts w:ascii="Times New Roman" w:cs="Times New Roman"/>
            </w:rPr>
          </w:pPr>
          <w:r>
            <w:rPr>
              <w:rFonts w:hint="eastAsia" w:ascii="Times New Roman" w:cs="Times New Roman"/>
            </w:rPr>
            <w:t>附图11  项目区域土壤侵蚀强度与类型分布图</w:t>
          </w:r>
        </w:p>
        <w:p>
          <w:pPr>
            <w:pStyle w:val="31"/>
            <w:adjustRightInd w:val="0"/>
            <w:snapToGrid w:val="0"/>
            <w:ind w:firstLine="480" w:firstLineChars="200"/>
            <w:rPr>
              <w:rFonts w:ascii="Times New Roman" w:cs="Times New Roman"/>
            </w:rPr>
          </w:pPr>
          <w:r>
            <w:rPr>
              <w:rFonts w:hint="eastAsia" w:ascii="Times New Roman" w:cs="Times New Roman"/>
            </w:rPr>
            <w:t>附图12  项目评价范围及外环境关系图</w:t>
          </w:r>
        </w:p>
        <w:p>
          <w:pPr>
            <w:pStyle w:val="31"/>
            <w:adjustRightInd w:val="0"/>
            <w:snapToGrid w:val="0"/>
            <w:ind w:firstLine="480" w:firstLineChars="200"/>
            <w:rPr>
              <w:rFonts w:ascii="Times New Roman" w:cs="Times New Roman"/>
            </w:rPr>
          </w:pPr>
          <w:r>
            <w:rPr>
              <w:rFonts w:hint="eastAsia" w:ascii="Times New Roman" w:cs="Times New Roman"/>
            </w:rPr>
            <w:t>附图13  项目现状监测点位分布图</w:t>
          </w:r>
        </w:p>
        <w:p>
          <w:pPr>
            <w:pStyle w:val="31"/>
            <w:adjustRightInd w:val="0"/>
            <w:snapToGrid w:val="0"/>
            <w:ind w:firstLine="480" w:firstLineChars="200"/>
            <w:rPr>
              <w:rFonts w:ascii="Times New Roman" w:cs="Times New Roman"/>
            </w:rPr>
          </w:pPr>
        </w:p>
        <w:p>
          <w:pPr>
            <w:pStyle w:val="31"/>
            <w:adjustRightInd w:val="0"/>
            <w:snapToGrid w:val="0"/>
            <w:ind w:firstLine="480" w:firstLineChars="200"/>
            <w:rPr>
              <w:rFonts w:ascii="Times New Roman" w:cs="Times New Roman"/>
            </w:rPr>
          </w:pPr>
        </w:p>
        <w:p>
          <w:pPr>
            <w:adjustRightInd w:val="0"/>
            <w:snapToGrid w:val="0"/>
            <w:spacing w:line="360" w:lineRule="auto"/>
            <w:jc w:val="center"/>
          </w:pPr>
        </w:p>
      </w:sdtContent>
    </w:sdt>
    <w:p>
      <w:pPr>
        <w:adjustRightInd w:val="0"/>
        <w:snapToGrid w:val="0"/>
        <w:spacing w:line="288" w:lineRule="auto"/>
        <w:ind w:firstLine="1040"/>
        <w:rPr>
          <w:rFonts w:ascii="仿宋_GB2312" w:eastAsia="仿宋_GB2312"/>
          <w:sz w:val="36"/>
          <w:szCs w:val="36"/>
        </w:rPr>
        <w:sectPr>
          <w:pgSz w:w="11905" w:h="16838"/>
          <w:pgMar w:top="1417" w:right="1417" w:bottom="1417" w:left="1417" w:header="851" w:footer="992" w:gutter="0"/>
          <w:pgNumType w:start="0"/>
          <w:cols w:space="720" w:num="1"/>
          <w:docGrid w:linePitch="312" w:charSpace="0"/>
        </w:sectPr>
      </w:pPr>
    </w:p>
    <w:p>
      <w:pPr>
        <w:pStyle w:val="20"/>
        <w:jc w:val="center"/>
        <w:outlineLvl w:val="0"/>
        <w:rPr>
          <w:rFonts w:ascii="黑体" w:hAnsi="黑体" w:eastAsia="黑体"/>
          <w:snapToGrid w:val="0"/>
          <w:sz w:val="30"/>
          <w:szCs w:val="30"/>
        </w:rPr>
      </w:pPr>
      <w:bookmarkStart w:id="3" w:name="_Toc13203"/>
      <w:r>
        <w:rPr>
          <w:rFonts w:hint="eastAsia" w:ascii="黑体" w:hAnsi="黑体" w:eastAsia="黑体"/>
          <w:snapToGrid w:val="0"/>
          <w:sz w:val="30"/>
          <w:szCs w:val="30"/>
        </w:rPr>
        <w:t>一、建设项目基本情况</w:t>
      </w:r>
      <w:bookmarkEnd w:id="3"/>
    </w:p>
    <w:tbl>
      <w:tblPr>
        <w:tblStyle w:val="24"/>
        <w:tblW w:w="9071"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34"/>
        <w:gridCol w:w="2050"/>
        <w:gridCol w:w="2226"/>
        <w:gridCol w:w="10"/>
        <w:gridCol w:w="25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34" w:type="dxa"/>
            <w:tcMar>
              <w:top w:w="16" w:type="dxa"/>
              <w:left w:w="16" w:type="dxa"/>
              <w:right w:w="16" w:type="dxa"/>
            </w:tcMar>
            <w:vAlign w:val="center"/>
          </w:tcPr>
          <w:p>
            <w:pPr>
              <w:adjustRightInd w:val="0"/>
              <w:snapToGrid w:val="0"/>
              <w:jc w:val="center"/>
              <w:rPr>
                <w:sz w:val="24"/>
              </w:rPr>
            </w:pPr>
            <w:r>
              <w:rPr>
                <w:sz w:val="24"/>
              </w:rPr>
              <w:t>建设项目名称</w:t>
            </w:r>
          </w:p>
        </w:tc>
        <w:tc>
          <w:tcPr>
            <w:tcW w:w="6837" w:type="dxa"/>
            <w:gridSpan w:val="4"/>
            <w:vAlign w:val="center"/>
          </w:tcPr>
          <w:p>
            <w:pPr>
              <w:adjustRightInd w:val="0"/>
              <w:snapToGrid w:val="0"/>
              <w:jc w:val="center"/>
              <w:rPr>
                <w:sz w:val="24"/>
              </w:rPr>
            </w:pPr>
            <w:r>
              <w:rPr>
                <w:rFonts w:hint="eastAsia"/>
                <w:sz w:val="24"/>
              </w:rPr>
              <w:t>民乐县500MW/1000MWh共享储能电站项目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34" w:type="dxa"/>
            <w:tcMar>
              <w:top w:w="16" w:type="dxa"/>
              <w:left w:w="16" w:type="dxa"/>
              <w:right w:w="16" w:type="dxa"/>
            </w:tcMar>
            <w:vAlign w:val="center"/>
          </w:tcPr>
          <w:p>
            <w:pPr>
              <w:adjustRightInd w:val="0"/>
              <w:snapToGrid w:val="0"/>
              <w:jc w:val="center"/>
              <w:rPr>
                <w:sz w:val="24"/>
              </w:rPr>
            </w:pPr>
            <w:r>
              <w:rPr>
                <w:sz w:val="24"/>
              </w:rPr>
              <w:t>项目代码</w:t>
            </w:r>
          </w:p>
        </w:tc>
        <w:tc>
          <w:tcPr>
            <w:tcW w:w="6837" w:type="dxa"/>
            <w:gridSpan w:val="4"/>
            <w:vAlign w:val="center"/>
          </w:tcPr>
          <w:p>
            <w:pPr>
              <w:adjustRightInd w:val="0"/>
              <w:snapToGrid w:val="0"/>
              <w:jc w:val="center"/>
              <w:rPr>
                <w:sz w:val="24"/>
              </w:rPr>
            </w:pPr>
            <w:r>
              <w:rPr>
                <w:sz w:val="24"/>
              </w:rPr>
              <w:t>210</w:t>
            </w:r>
            <w:r>
              <w:rPr>
                <w:rFonts w:hint="eastAsia"/>
                <w:sz w:val="24"/>
              </w:rPr>
              <w:t>8</w:t>
            </w:r>
            <w:r>
              <w:rPr>
                <w:sz w:val="24"/>
              </w:rPr>
              <w:t>-620700-04-01-</w:t>
            </w:r>
            <w:r>
              <w:rPr>
                <w:rFonts w:hint="eastAsia"/>
                <w:sz w:val="24"/>
              </w:rPr>
              <w:t>867896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34" w:type="dxa"/>
            <w:tcMar>
              <w:top w:w="16" w:type="dxa"/>
              <w:left w:w="16" w:type="dxa"/>
              <w:right w:w="16" w:type="dxa"/>
            </w:tcMar>
            <w:vAlign w:val="center"/>
          </w:tcPr>
          <w:p>
            <w:pPr>
              <w:adjustRightInd w:val="0"/>
              <w:snapToGrid w:val="0"/>
              <w:jc w:val="center"/>
              <w:rPr>
                <w:sz w:val="24"/>
              </w:rPr>
            </w:pPr>
            <w:r>
              <w:rPr>
                <w:sz w:val="24"/>
              </w:rPr>
              <w:t>建设单位联系人</w:t>
            </w:r>
          </w:p>
        </w:tc>
        <w:tc>
          <w:tcPr>
            <w:tcW w:w="2050" w:type="dxa"/>
            <w:vAlign w:val="center"/>
          </w:tcPr>
          <w:p>
            <w:pPr>
              <w:adjustRightInd w:val="0"/>
              <w:snapToGrid w:val="0"/>
              <w:jc w:val="center"/>
              <w:rPr>
                <w:sz w:val="24"/>
              </w:rPr>
            </w:pPr>
            <w:r>
              <w:rPr>
                <w:rFonts w:hint="eastAsia"/>
                <w:sz w:val="24"/>
              </w:rPr>
              <w:t>刚雨欣</w:t>
            </w:r>
          </w:p>
        </w:tc>
        <w:tc>
          <w:tcPr>
            <w:tcW w:w="2236" w:type="dxa"/>
            <w:gridSpan w:val="2"/>
            <w:vAlign w:val="center"/>
          </w:tcPr>
          <w:p>
            <w:pPr>
              <w:adjustRightInd w:val="0"/>
              <w:snapToGrid w:val="0"/>
              <w:jc w:val="center"/>
              <w:rPr>
                <w:sz w:val="24"/>
              </w:rPr>
            </w:pPr>
            <w:r>
              <w:rPr>
                <w:sz w:val="24"/>
              </w:rPr>
              <w:t>联系方式</w:t>
            </w:r>
          </w:p>
        </w:tc>
        <w:tc>
          <w:tcPr>
            <w:tcW w:w="2551" w:type="dxa"/>
            <w:vAlign w:val="center"/>
          </w:tcPr>
          <w:p>
            <w:pPr>
              <w:adjustRightInd w:val="0"/>
              <w:snapToGrid w:val="0"/>
              <w:jc w:val="center"/>
              <w:rPr>
                <w:sz w:val="24"/>
              </w:rPr>
            </w:pPr>
            <w:r>
              <w:rPr>
                <w:rFonts w:hint="eastAsia"/>
                <w:sz w:val="24"/>
              </w:rPr>
              <w:t>18556370200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34" w:type="dxa"/>
            <w:tcMar>
              <w:top w:w="16" w:type="dxa"/>
              <w:left w:w="16" w:type="dxa"/>
              <w:right w:w="16" w:type="dxa"/>
            </w:tcMar>
            <w:vAlign w:val="center"/>
          </w:tcPr>
          <w:p>
            <w:pPr>
              <w:adjustRightInd w:val="0"/>
              <w:snapToGrid w:val="0"/>
              <w:jc w:val="center"/>
              <w:rPr>
                <w:sz w:val="24"/>
              </w:rPr>
            </w:pPr>
            <w:r>
              <w:rPr>
                <w:sz w:val="24"/>
              </w:rPr>
              <w:t>建设地点</w:t>
            </w:r>
          </w:p>
        </w:tc>
        <w:tc>
          <w:tcPr>
            <w:tcW w:w="6837" w:type="dxa"/>
            <w:gridSpan w:val="4"/>
            <w:vAlign w:val="center"/>
          </w:tcPr>
          <w:p>
            <w:pPr>
              <w:adjustRightInd w:val="0"/>
              <w:snapToGrid w:val="0"/>
              <w:jc w:val="center"/>
              <w:rPr>
                <w:sz w:val="24"/>
                <w:u w:val="single"/>
              </w:rPr>
            </w:pPr>
            <w:r>
              <w:rPr>
                <w:sz w:val="24"/>
                <w:u w:val="single"/>
              </w:rPr>
              <w:t xml:space="preserve"> 甘肃 </w:t>
            </w:r>
            <w:r>
              <w:rPr>
                <w:sz w:val="24"/>
              </w:rPr>
              <w:t>省</w:t>
            </w:r>
            <w:r>
              <w:rPr>
                <w:sz w:val="24"/>
                <w:u w:val="single"/>
              </w:rPr>
              <w:t xml:space="preserve"> 张掖 </w:t>
            </w:r>
            <w:r>
              <w:rPr>
                <w:sz w:val="24"/>
              </w:rPr>
              <w:t>市</w:t>
            </w:r>
            <w:r>
              <w:rPr>
                <w:sz w:val="24"/>
                <w:u w:val="single"/>
              </w:rPr>
              <w:t xml:space="preserve"> </w:t>
            </w:r>
            <w:r>
              <w:rPr>
                <w:rFonts w:hint="eastAsia"/>
                <w:sz w:val="24"/>
                <w:u w:val="single"/>
              </w:rPr>
              <w:t>民乐</w:t>
            </w:r>
            <w:r>
              <w:rPr>
                <w:sz w:val="24"/>
                <w:u w:val="single"/>
              </w:rPr>
              <w:t xml:space="preserve"> </w:t>
            </w:r>
            <w:r>
              <w:rPr>
                <w:rFonts w:hint="eastAsia"/>
                <w:sz w:val="24"/>
              </w:rPr>
              <w:t>县</w:t>
            </w:r>
            <w:r>
              <w:rPr>
                <w:sz w:val="24"/>
                <w:u w:val="single"/>
              </w:rPr>
              <w:t xml:space="preserve"> </w:t>
            </w:r>
            <w:r>
              <w:rPr>
                <w:rFonts w:hint="eastAsia"/>
                <w:sz w:val="24"/>
                <w:u w:val="single"/>
              </w:rPr>
              <w:t>六坝镇</w:t>
            </w:r>
            <w:r>
              <w:rPr>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34" w:type="dxa"/>
            <w:tcMar>
              <w:top w:w="16" w:type="dxa"/>
              <w:left w:w="16" w:type="dxa"/>
              <w:right w:w="16" w:type="dxa"/>
            </w:tcMar>
            <w:vAlign w:val="center"/>
          </w:tcPr>
          <w:p>
            <w:pPr>
              <w:adjustRightInd w:val="0"/>
              <w:snapToGrid w:val="0"/>
              <w:jc w:val="center"/>
              <w:rPr>
                <w:sz w:val="24"/>
              </w:rPr>
            </w:pPr>
            <w:r>
              <w:rPr>
                <w:sz w:val="24"/>
              </w:rPr>
              <w:t>地理坐标</w:t>
            </w:r>
          </w:p>
        </w:tc>
        <w:tc>
          <w:tcPr>
            <w:tcW w:w="6837" w:type="dxa"/>
            <w:gridSpan w:val="4"/>
            <w:vAlign w:val="center"/>
          </w:tcPr>
          <w:p>
            <w:pPr>
              <w:adjustRightInd w:val="0"/>
              <w:snapToGrid w:val="0"/>
              <w:jc w:val="center"/>
              <w:rPr>
                <w:sz w:val="24"/>
              </w:rPr>
            </w:pPr>
            <w:r>
              <w:rPr>
                <w:sz w:val="24"/>
              </w:rPr>
              <w:t>（</w:t>
            </w:r>
            <w:r>
              <w:rPr>
                <w:rFonts w:hint="eastAsia"/>
                <w:sz w:val="24"/>
              </w:rPr>
              <w:t>N</w:t>
            </w:r>
            <w:r>
              <w:rPr>
                <w:sz w:val="24"/>
                <w:u w:val="single"/>
              </w:rPr>
              <w:t xml:space="preserve"> 38 </w:t>
            </w:r>
            <w:r>
              <w:rPr>
                <w:sz w:val="24"/>
              </w:rPr>
              <w:t>度</w:t>
            </w:r>
            <w:r>
              <w:rPr>
                <w:sz w:val="24"/>
                <w:u w:val="single"/>
              </w:rPr>
              <w:t xml:space="preserve"> 41 </w:t>
            </w:r>
            <w:r>
              <w:rPr>
                <w:sz w:val="24"/>
              </w:rPr>
              <w:t>分</w:t>
            </w:r>
            <w:r>
              <w:rPr>
                <w:sz w:val="24"/>
                <w:u w:val="single"/>
              </w:rPr>
              <w:t xml:space="preserve"> </w:t>
            </w:r>
            <w:r>
              <w:rPr>
                <w:rFonts w:hint="eastAsia"/>
                <w:sz w:val="24"/>
                <w:u w:val="single"/>
              </w:rPr>
              <w:t>1.1</w:t>
            </w:r>
            <w:r>
              <w:rPr>
                <w:sz w:val="24"/>
                <w:u w:val="single"/>
              </w:rPr>
              <w:t xml:space="preserve"> </w:t>
            </w:r>
            <w:r>
              <w:rPr>
                <w:sz w:val="24"/>
              </w:rPr>
              <w:t>秒，</w:t>
            </w:r>
            <w:r>
              <w:rPr>
                <w:rFonts w:hint="eastAsia"/>
                <w:sz w:val="24"/>
              </w:rPr>
              <w:t>E</w:t>
            </w:r>
            <w:r>
              <w:rPr>
                <w:sz w:val="24"/>
                <w:u w:val="single"/>
              </w:rPr>
              <w:t xml:space="preserve"> 100 </w:t>
            </w:r>
            <w:r>
              <w:rPr>
                <w:sz w:val="24"/>
              </w:rPr>
              <w:t>度</w:t>
            </w:r>
            <w:r>
              <w:rPr>
                <w:sz w:val="24"/>
                <w:u w:val="single"/>
              </w:rPr>
              <w:t xml:space="preserve"> </w:t>
            </w:r>
            <w:r>
              <w:rPr>
                <w:rFonts w:hint="eastAsia"/>
                <w:sz w:val="24"/>
                <w:u w:val="single"/>
              </w:rPr>
              <w:t>44</w:t>
            </w:r>
            <w:r>
              <w:rPr>
                <w:sz w:val="24"/>
                <w:u w:val="single"/>
              </w:rPr>
              <w:t xml:space="preserve"> </w:t>
            </w:r>
            <w:r>
              <w:rPr>
                <w:sz w:val="24"/>
              </w:rPr>
              <w:t>分</w:t>
            </w:r>
            <w:r>
              <w:rPr>
                <w:sz w:val="24"/>
                <w:u w:val="single"/>
              </w:rPr>
              <w:t xml:space="preserve"> </w:t>
            </w:r>
            <w:r>
              <w:rPr>
                <w:rFonts w:hint="eastAsia"/>
                <w:sz w:val="24"/>
                <w:u w:val="single"/>
              </w:rPr>
              <w:t>48.5</w:t>
            </w:r>
            <w:r>
              <w:rPr>
                <w:sz w:val="24"/>
                <w:u w:val="single"/>
              </w:rPr>
              <w:t xml:space="preserve"> </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34" w:type="dxa"/>
            <w:tcMar>
              <w:top w:w="16" w:type="dxa"/>
              <w:left w:w="16" w:type="dxa"/>
              <w:right w:w="16" w:type="dxa"/>
            </w:tcMar>
            <w:vAlign w:val="center"/>
          </w:tcPr>
          <w:p>
            <w:pPr>
              <w:adjustRightInd w:val="0"/>
              <w:snapToGrid w:val="0"/>
              <w:jc w:val="center"/>
              <w:rPr>
                <w:sz w:val="24"/>
              </w:rPr>
            </w:pPr>
            <w:r>
              <w:rPr>
                <w:sz w:val="24"/>
              </w:rPr>
              <w:t>建设项目</w:t>
            </w:r>
          </w:p>
          <w:p>
            <w:pPr>
              <w:adjustRightInd w:val="0"/>
              <w:snapToGrid w:val="0"/>
              <w:jc w:val="center"/>
              <w:rPr>
                <w:sz w:val="24"/>
              </w:rPr>
            </w:pPr>
            <w:r>
              <w:rPr>
                <w:sz w:val="24"/>
              </w:rPr>
              <w:t>行业类别</w:t>
            </w:r>
          </w:p>
        </w:tc>
        <w:tc>
          <w:tcPr>
            <w:tcW w:w="2050" w:type="dxa"/>
            <w:vAlign w:val="center"/>
          </w:tcPr>
          <w:p>
            <w:pPr>
              <w:adjustRightInd w:val="0"/>
              <w:snapToGrid w:val="0"/>
              <w:jc w:val="center"/>
              <w:rPr>
                <w:sz w:val="24"/>
              </w:rPr>
            </w:pPr>
            <w:r>
              <w:rPr>
                <w:sz w:val="24"/>
              </w:rPr>
              <w:t xml:space="preserve">五十五、核与辐射 </w:t>
            </w:r>
          </w:p>
          <w:p>
            <w:pPr>
              <w:adjustRightInd w:val="0"/>
              <w:snapToGrid w:val="0"/>
              <w:jc w:val="center"/>
              <w:rPr>
                <w:sz w:val="24"/>
              </w:rPr>
            </w:pPr>
            <w:r>
              <w:rPr>
                <w:sz w:val="24"/>
              </w:rPr>
              <w:t>161 输变电工程</w:t>
            </w:r>
          </w:p>
        </w:tc>
        <w:tc>
          <w:tcPr>
            <w:tcW w:w="2226" w:type="dxa"/>
            <w:vAlign w:val="center"/>
          </w:tcPr>
          <w:p>
            <w:pPr>
              <w:adjustRightInd w:val="0"/>
              <w:snapToGrid w:val="0"/>
              <w:jc w:val="center"/>
              <w:rPr>
                <w:sz w:val="24"/>
              </w:rPr>
            </w:pPr>
            <w:r>
              <w:rPr>
                <w:sz w:val="24"/>
              </w:rPr>
              <w:t>用地（用海）面积（m</w:t>
            </w:r>
            <w:r>
              <w:rPr>
                <w:sz w:val="24"/>
                <w:vertAlign w:val="superscript"/>
              </w:rPr>
              <w:t>2</w:t>
            </w:r>
            <w:r>
              <w:rPr>
                <w:sz w:val="24"/>
              </w:rPr>
              <w:t>）/长度（km）</w:t>
            </w:r>
          </w:p>
        </w:tc>
        <w:tc>
          <w:tcPr>
            <w:tcW w:w="2561" w:type="dxa"/>
            <w:gridSpan w:val="2"/>
            <w:vAlign w:val="center"/>
          </w:tcPr>
          <w:p>
            <w:pPr>
              <w:adjustRightInd w:val="0"/>
              <w:snapToGrid w:val="0"/>
              <w:jc w:val="center"/>
              <w:rPr>
                <w:sz w:val="24"/>
              </w:rPr>
            </w:pPr>
            <w:r>
              <w:rPr>
                <w:rFonts w:hint="eastAsia"/>
                <w:color w:val="FF0000"/>
                <w:sz w:val="24"/>
              </w:rPr>
              <w:t>储能电站占地104000</w:t>
            </w:r>
            <w:r>
              <w:rPr>
                <w:color w:val="FF0000"/>
                <w:sz w:val="24"/>
              </w:rPr>
              <w:t>m</w:t>
            </w:r>
            <w:r>
              <w:rPr>
                <w:color w:val="FF0000"/>
                <w:sz w:val="24"/>
                <w:vertAlign w:val="superscript"/>
              </w:rPr>
              <w:t>2</w:t>
            </w:r>
            <w:r>
              <w:rPr>
                <w:rFonts w:hint="eastAsia"/>
                <w:color w:val="FF0000"/>
                <w:sz w:val="24"/>
              </w:rPr>
              <w:t>/进站道路及塔基用地935</w:t>
            </w:r>
            <w:r>
              <w:rPr>
                <w:color w:val="FF0000"/>
                <w:sz w:val="24"/>
              </w:rPr>
              <w:t>m</w:t>
            </w:r>
            <w:r>
              <w:rPr>
                <w:color w:val="FF0000"/>
                <w:sz w:val="24"/>
                <w:vertAlign w:val="superscript"/>
              </w:rPr>
              <w:t>2</w:t>
            </w:r>
            <w:r>
              <w:rPr>
                <w:rFonts w:hint="eastAsia"/>
                <w:color w:val="FF0000"/>
                <w:sz w:val="24"/>
              </w:rPr>
              <w:t>/输电线路0.35</w:t>
            </w:r>
            <w:r>
              <w:rPr>
                <w:color w:val="FF0000"/>
                <w:sz w:val="24"/>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4" w:hRule="atLeast"/>
        </w:trPr>
        <w:tc>
          <w:tcPr>
            <w:tcW w:w="2234" w:type="dxa"/>
            <w:tcMar>
              <w:top w:w="16" w:type="dxa"/>
              <w:left w:w="16" w:type="dxa"/>
              <w:right w:w="16" w:type="dxa"/>
            </w:tcMar>
            <w:vAlign w:val="center"/>
          </w:tcPr>
          <w:p>
            <w:pPr>
              <w:adjustRightInd w:val="0"/>
              <w:snapToGrid w:val="0"/>
              <w:jc w:val="center"/>
              <w:rPr>
                <w:sz w:val="24"/>
              </w:rPr>
            </w:pPr>
            <w:r>
              <w:rPr>
                <w:sz w:val="24"/>
              </w:rPr>
              <w:t>建设性质</w:t>
            </w:r>
          </w:p>
        </w:tc>
        <w:tc>
          <w:tcPr>
            <w:tcW w:w="2050" w:type="dxa"/>
            <w:vAlign w:val="center"/>
          </w:tcPr>
          <w:p>
            <w:pPr>
              <w:adjustRightInd w:val="0"/>
              <w:snapToGrid w:val="0"/>
              <w:jc w:val="left"/>
              <w:rPr>
                <w:sz w:val="24"/>
              </w:rPr>
            </w:pPr>
            <w:r>
              <w:rPr>
                <w:sz w:val="24"/>
              </w:rPr>
              <w:t>☑新建（迁建）</w:t>
            </w:r>
          </w:p>
          <w:p>
            <w:pPr>
              <w:adjustRightInd w:val="0"/>
              <w:snapToGrid w:val="0"/>
              <w:jc w:val="left"/>
              <w:rPr>
                <w:sz w:val="24"/>
              </w:rPr>
            </w:pPr>
            <w:r>
              <w:rPr>
                <w:sz w:val="24"/>
              </w:rPr>
              <w:t>□改建</w:t>
            </w:r>
          </w:p>
          <w:p>
            <w:pPr>
              <w:adjustRightInd w:val="0"/>
              <w:snapToGrid w:val="0"/>
              <w:jc w:val="left"/>
              <w:rPr>
                <w:sz w:val="24"/>
              </w:rPr>
            </w:pPr>
            <w:r>
              <w:rPr>
                <w:sz w:val="24"/>
              </w:rPr>
              <w:t>□扩建</w:t>
            </w:r>
          </w:p>
          <w:p>
            <w:pPr>
              <w:adjustRightInd w:val="0"/>
              <w:snapToGrid w:val="0"/>
              <w:jc w:val="left"/>
              <w:rPr>
                <w:sz w:val="24"/>
              </w:rPr>
            </w:pPr>
            <w:r>
              <w:rPr>
                <w:sz w:val="24"/>
              </w:rPr>
              <w:t>□技术改造</w:t>
            </w:r>
          </w:p>
        </w:tc>
        <w:tc>
          <w:tcPr>
            <w:tcW w:w="2226"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561" w:type="dxa"/>
            <w:gridSpan w:val="2"/>
            <w:vAlign w:val="center"/>
          </w:tcPr>
          <w:p>
            <w:pPr>
              <w:adjustRightInd w:val="0"/>
              <w:snapToGrid w:val="0"/>
              <w:jc w:val="left"/>
              <w:rPr>
                <w:sz w:val="24"/>
              </w:rPr>
            </w:pPr>
            <w:r>
              <w:rPr>
                <w:sz w:val="24"/>
              </w:rPr>
              <w:t>☑首次申报项目</w:t>
            </w:r>
          </w:p>
          <w:p>
            <w:pPr>
              <w:adjustRightInd w:val="0"/>
              <w:snapToGrid w:val="0"/>
              <w:jc w:val="left"/>
              <w:rPr>
                <w:sz w:val="24"/>
              </w:rPr>
            </w:pPr>
            <w:r>
              <w:rPr>
                <w:sz w:val="24"/>
              </w:rPr>
              <w:t>□不予批准后再次申报项目</w:t>
            </w:r>
          </w:p>
          <w:p>
            <w:pPr>
              <w:adjustRightInd w:val="0"/>
              <w:snapToGrid w:val="0"/>
              <w:jc w:val="left"/>
              <w:rPr>
                <w:sz w:val="24"/>
              </w:rPr>
            </w:pPr>
            <w:r>
              <w:rPr>
                <w:sz w:val="24"/>
              </w:rPr>
              <w:t>□超五年重新审核项目</w:t>
            </w:r>
          </w:p>
          <w:p>
            <w:pPr>
              <w:adjustRightInd w:val="0"/>
              <w:snapToGrid w:val="0"/>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234"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2050" w:type="dxa"/>
            <w:vAlign w:val="center"/>
          </w:tcPr>
          <w:p>
            <w:pPr>
              <w:adjustRightInd w:val="0"/>
              <w:snapToGrid w:val="0"/>
              <w:jc w:val="center"/>
              <w:rPr>
                <w:sz w:val="24"/>
              </w:rPr>
            </w:pPr>
            <w:r>
              <w:rPr>
                <w:rFonts w:hint="eastAsia"/>
                <w:sz w:val="24"/>
              </w:rPr>
              <w:t>张掖市发展和改革委员会</w:t>
            </w:r>
          </w:p>
        </w:tc>
        <w:tc>
          <w:tcPr>
            <w:tcW w:w="2226"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561" w:type="dxa"/>
            <w:gridSpan w:val="2"/>
            <w:vAlign w:val="center"/>
          </w:tcPr>
          <w:p>
            <w:pPr>
              <w:adjustRightInd w:val="0"/>
              <w:snapToGrid w:val="0"/>
              <w:jc w:val="center"/>
              <w:rPr>
                <w:sz w:val="24"/>
              </w:rPr>
            </w:pPr>
            <w:r>
              <w:rPr>
                <w:rFonts w:hint="eastAsia"/>
                <w:sz w:val="24"/>
              </w:rPr>
              <w:t>张发改能交[2021]33号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34" w:type="dxa"/>
            <w:tcMar>
              <w:top w:w="16" w:type="dxa"/>
              <w:left w:w="16" w:type="dxa"/>
              <w:right w:w="16" w:type="dxa"/>
            </w:tcMar>
            <w:vAlign w:val="center"/>
          </w:tcPr>
          <w:p>
            <w:pPr>
              <w:adjustRightInd w:val="0"/>
              <w:snapToGrid w:val="0"/>
              <w:jc w:val="center"/>
              <w:rPr>
                <w:sz w:val="24"/>
              </w:rPr>
            </w:pPr>
            <w:r>
              <w:rPr>
                <w:sz w:val="24"/>
              </w:rPr>
              <w:t>总投资（万元）</w:t>
            </w:r>
          </w:p>
        </w:tc>
        <w:tc>
          <w:tcPr>
            <w:tcW w:w="2050" w:type="dxa"/>
            <w:vAlign w:val="center"/>
          </w:tcPr>
          <w:p>
            <w:pPr>
              <w:adjustRightInd w:val="0"/>
              <w:snapToGrid w:val="0"/>
              <w:jc w:val="center"/>
              <w:rPr>
                <w:sz w:val="24"/>
              </w:rPr>
            </w:pPr>
            <w:r>
              <w:rPr>
                <w:rFonts w:hint="eastAsia"/>
                <w:sz w:val="24"/>
              </w:rPr>
              <w:t>230000</w:t>
            </w:r>
          </w:p>
        </w:tc>
        <w:tc>
          <w:tcPr>
            <w:tcW w:w="2226" w:type="dxa"/>
            <w:tcMar>
              <w:top w:w="16" w:type="dxa"/>
              <w:left w:w="16" w:type="dxa"/>
              <w:right w:w="16" w:type="dxa"/>
            </w:tcMar>
            <w:vAlign w:val="center"/>
          </w:tcPr>
          <w:p>
            <w:pPr>
              <w:adjustRightInd w:val="0"/>
              <w:snapToGrid w:val="0"/>
              <w:jc w:val="center"/>
              <w:rPr>
                <w:sz w:val="24"/>
              </w:rPr>
            </w:pPr>
            <w:r>
              <w:rPr>
                <w:sz w:val="24"/>
              </w:rPr>
              <w:t>环保投资（万元）</w:t>
            </w:r>
          </w:p>
        </w:tc>
        <w:tc>
          <w:tcPr>
            <w:tcW w:w="2561" w:type="dxa"/>
            <w:gridSpan w:val="2"/>
            <w:vAlign w:val="center"/>
          </w:tcPr>
          <w:p>
            <w:pPr>
              <w:adjustRightInd w:val="0"/>
              <w:snapToGrid w:val="0"/>
              <w:jc w:val="center"/>
              <w:rPr>
                <w:sz w:val="24"/>
              </w:rPr>
            </w:pPr>
            <w:r>
              <w:rPr>
                <w:rFonts w:hint="eastAsia"/>
                <w:sz w:val="24"/>
              </w:rPr>
              <w:t>273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234" w:type="dxa"/>
            <w:tcMar>
              <w:top w:w="16" w:type="dxa"/>
              <w:left w:w="16" w:type="dxa"/>
              <w:right w:w="16" w:type="dxa"/>
            </w:tcMar>
            <w:vAlign w:val="center"/>
          </w:tcPr>
          <w:p>
            <w:pPr>
              <w:adjustRightInd w:val="0"/>
              <w:snapToGrid w:val="0"/>
              <w:jc w:val="center"/>
              <w:rPr>
                <w:sz w:val="24"/>
              </w:rPr>
            </w:pPr>
            <w:r>
              <w:rPr>
                <w:sz w:val="24"/>
              </w:rPr>
              <w:t>环保投资占比（%）</w:t>
            </w:r>
          </w:p>
        </w:tc>
        <w:tc>
          <w:tcPr>
            <w:tcW w:w="2050" w:type="dxa"/>
            <w:vAlign w:val="center"/>
          </w:tcPr>
          <w:p>
            <w:pPr>
              <w:adjustRightInd w:val="0"/>
              <w:snapToGrid w:val="0"/>
              <w:jc w:val="center"/>
              <w:rPr>
                <w:sz w:val="24"/>
              </w:rPr>
            </w:pPr>
            <w:r>
              <w:rPr>
                <w:rFonts w:hint="eastAsia"/>
                <w:sz w:val="24"/>
              </w:rPr>
              <w:t>0.12</w:t>
            </w:r>
          </w:p>
        </w:tc>
        <w:tc>
          <w:tcPr>
            <w:tcW w:w="2226" w:type="dxa"/>
            <w:tcMar>
              <w:top w:w="16" w:type="dxa"/>
              <w:left w:w="16" w:type="dxa"/>
              <w:right w:w="16" w:type="dxa"/>
            </w:tcMar>
            <w:vAlign w:val="center"/>
          </w:tcPr>
          <w:p>
            <w:pPr>
              <w:adjustRightInd w:val="0"/>
              <w:snapToGrid w:val="0"/>
              <w:jc w:val="center"/>
              <w:rPr>
                <w:sz w:val="24"/>
              </w:rPr>
            </w:pPr>
            <w:r>
              <w:rPr>
                <w:sz w:val="24"/>
              </w:rPr>
              <w:t>施工工期</w:t>
            </w:r>
          </w:p>
        </w:tc>
        <w:tc>
          <w:tcPr>
            <w:tcW w:w="2561" w:type="dxa"/>
            <w:gridSpan w:val="2"/>
            <w:vAlign w:val="center"/>
          </w:tcPr>
          <w:p>
            <w:pPr>
              <w:adjustRightInd w:val="0"/>
              <w:snapToGrid w:val="0"/>
              <w:jc w:val="center"/>
              <w:rPr>
                <w:sz w:val="24"/>
              </w:rPr>
            </w:pPr>
            <w:r>
              <w:rPr>
                <w:rFonts w:hint="eastAsia"/>
                <w:sz w:val="24"/>
              </w:rPr>
              <w:t>6</w:t>
            </w:r>
            <w:r>
              <w:rPr>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34" w:type="dxa"/>
            <w:tcMar>
              <w:top w:w="16" w:type="dxa"/>
              <w:left w:w="16" w:type="dxa"/>
              <w:right w:w="16" w:type="dxa"/>
            </w:tcMar>
            <w:vAlign w:val="center"/>
          </w:tcPr>
          <w:p>
            <w:pPr>
              <w:adjustRightInd w:val="0"/>
              <w:snapToGrid w:val="0"/>
              <w:jc w:val="center"/>
              <w:rPr>
                <w:sz w:val="24"/>
              </w:rPr>
            </w:pPr>
            <w:r>
              <w:rPr>
                <w:sz w:val="24"/>
              </w:rPr>
              <w:t>是否开工建设</w:t>
            </w:r>
          </w:p>
        </w:tc>
        <w:tc>
          <w:tcPr>
            <w:tcW w:w="6837" w:type="dxa"/>
            <w:gridSpan w:val="4"/>
            <w:vAlign w:val="center"/>
          </w:tcPr>
          <w:p>
            <w:pPr>
              <w:adjustRightInd w:val="0"/>
              <w:snapToGrid w:val="0"/>
              <w:ind w:firstLine="105"/>
              <w:jc w:val="left"/>
              <w:rPr>
                <w:sz w:val="24"/>
              </w:rPr>
            </w:pPr>
            <w:r>
              <w:rPr>
                <w:rFonts w:hint="eastAsia"/>
                <w:sz w:val="24"/>
              </w:rPr>
              <w:t>☑</w:t>
            </w:r>
            <w:r>
              <w:rPr>
                <w:sz w:val="24"/>
              </w:rPr>
              <w:t>否</w:t>
            </w:r>
          </w:p>
          <w:p>
            <w:pPr>
              <w:adjustRightInd w:val="0"/>
              <w:snapToGrid w:val="0"/>
              <w:ind w:firstLine="92"/>
              <w:jc w:val="left"/>
              <w:rPr>
                <w:sz w:val="24"/>
              </w:rPr>
            </w:pPr>
            <w:r>
              <w:rPr>
                <w:rFonts w:hint="eastAsia"/>
                <w:sz w:val="24"/>
              </w:rPr>
              <w:t>□</w:t>
            </w:r>
            <w:r>
              <w:rPr>
                <w:sz w:val="24"/>
              </w:rPr>
              <w:t>是：</w:t>
            </w:r>
            <w:r>
              <w:rPr>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34" w:type="dxa"/>
            <w:tcMar>
              <w:top w:w="16" w:type="dxa"/>
              <w:left w:w="16" w:type="dxa"/>
              <w:right w:w="16" w:type="dxa"/>
            </w:tcMar>
            <w:vAlign w:val="center"/>
          </w:tcPr>
          <w:p>
            <w:pPr>
              <w:autoSpaceDE w:val="0"/>
              <w:autoSpaceDN w:val="0"/>
              <w:adjustRightInd w:val="0"/>
              <w:snapToGrid w:val="0"/>
              <w:jc w:val="center"/>
              <w:rPr>
                <w:kern w:val="0"/>
                <w:sz w:val="24"/>
              </w:rPr>
            </w:pPr>
            <w:r>
              <w:rPr>
                <w:kern w:val="0"/>
                <w:sz w:val="24"/>
              </w:rPr>
              <w:t>专项评价设置情况</w:t>
            </w:r>
          </w:p>
        </w:tc>
        <w:tc>
          <w:tcPr>
            <w:tcW w:w="6837"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pPr>
            <w:r>
              <w:rPr>
                <w:rFonts w:hint="eastAsia"/>
                <w:sz w:val="24"/>
              </w:rPr>
              <w:t>本项目建设内容包括储能电站、330kV升压站、输电线路等，</w:t>
            </w:r>
            <w:r>
              <w:rPr>
                <w:sz w:val="24"/>
              </w:rPr>
              <w:t>依据《环境影响评价导则 输变电》（HJ24-2020）</w:t>
            </w:r>
            <w:r>
              <w:rPr>
                <w:rFonts w:hint="eastAsia" w:ascii="宋体" w:hAnsi="宋体" w:cs="宋体"/>
                <w:sz w:val="24"/>
              </w:rPr>
              <w:t>“</w:t>
            </w:r>
            <w:r>
              <w:rPr>
                <w:sz w:val="24"/>
              </w:rPr>
              <w:t>附录 B</w:t>
            </w:r>
            <w:r>
              <w:rPr>
                <w:rFonts w:hint="eastAsia" w:ascii="宋体" w:hAnsi="宋体" w:cs="宋体"/>
                <w:sz w:val="24"/>
              </w:rPr>
              <w:t>”</w:t>
            </w:r>
            <w:r>
              <w:rPr>
                <w:sz w:val="24"/>
              </w:rPr>
              <w:t>要求</w:t>
            </w:r>
            <w:r>
              <w:rPr>
                <w:rFonts w:hint="eastAsia"/>
                <w:sz w:val="24"/>
              </w:rPr>
              <w:t>，本项目设置</w:t>
            </w:r>
            <w:r>
              <w:rPr>
                <w:sz w:val="24"/>
              </w:rPr>
              <w:t>电磁环境影响专题评价。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34" w:type="dxa"/>
            <w:tcMar>
              <w:top w:w="16" w:type="dxa"/>
              <w:left w:w="16" w:type="dxa"/>
              <w:right w:w="16" w:type="dxa"/>
            </w:tcMar>
            <w:vAlign w:val="center"/>
          </w:tcPr>
          <w:p>
            <w:pPr>
              <w:autoSpaceDE w:val="0"/>
              <w:autoSpaceDN w:val="0"/>
              <w:adjustRightInd w:val="0"/>
              <w:snapToGrid w:val="0"/>
              <w:jc w:val="center"/>
              <w:rPr>
                <w:kern w:val="0"/>
                <w:sz w:val="24"/>
              </w:rPr>
            </w:pPr>
            <w:r>
              <w:rPr>
                <w:sz w:val="24"/>
              </w:rPr>
              <w:t>规划情况</w:t>
            </w:r>
          </w:p>
        </w:tc>
        <w:tc>
          <w:tcPr>
            <w:tcW w:w="6837" w:type="dxa"/>
            <w:gridSpan w:val="4"/>
            <w:tcMar>
              <w:top w:w="16" w:type="dxa"/>
              <w:left w:w="16" w:type="dxa"/>
              <w:right w:w="16" w:type="dxa"/>
            </w:tcMar>
            <w:vAlign w:val="center"/>
          </w:tcPr>
          <w:p>
            <w:pPr>
              <w:autoSpaceDE w:val="0"/>
              <w:autoSpaceDN w:val="0"/>
              <w:adjustRightInd w:val="0"/>
              <w:snapToGrid w:val="0"/>
              <w:spacing w:line="360" w:lineRule="auto"/>
              <w:jc w:val="center"/>
              <w:rPr>
                <w:kern w:val="0"/>
                <w:sz w:val="24"/>
              </w:rPr>
            </w:pPr>
            <w:r>
              <w:rPr>
                <w:rFonts w:hint="eastAsia"/>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34" w:type="dxa"/>
            <w:tcMar>
              <w:top w:w="16" w:type="dxa"/>
              <w:left w:w="16" w:type="dxa"/>
              <w:right w:w="16" w:type="dxa"/>
            </w:tcMar>
            <w:vAlign w:val="center"/>
          </w:tcPr>
          <w:p>
            <w:pPr>
              <w:autoSpaceDE w:val="0"/>
              <w:autoSpaceDN w:val="0"/>
              <w:adjustRightInd w:val="0"/>
              <w:snapToGrid w:val="0"/>
              <w:jc w:val="center"/>
              <w:rPr>
                <w:sz w:val="24"/>
              </w:rPr>
            </w:pPr>
            <w:r>
              <w:rPr>
                <w:sz w:val="24"/>
              </w:rPr>
              <w:t>规划环境影响</w:t>
            </w:r>
          </w:p>
          <w:p>
            <w:pPr>
              <w:autoSpaceDE w:val="0"/>
              <w:autoSpaceDN w:val="0"/>
              <w:adjustRightInd w:val="0"/>
              <w:snapToGrid w:val="0"/>
              <w:jc w:val="center"/>
              <w:rPr>
                <w:kern w:val="0"/>
                <w:sz w:val="24"/>
              </w:rPr>
            </w:pPr>
            <w:r>
              <w:rPr>
                <w:sz w:val="24"/>
              </w:rPr>
              <w:t>评价情况</w:t>
            </w:r>
          </w:p>
        </w:tc>
        <w:tc>
          <w:tcPr>
            <w:tcW w:w="6837" w:type="dxa"/>
            <w:gridSpan w:val="4"/>
            <w:tcMar>
              <w:top w:w="16" w:type="dxa"/>
              <w:left w:w="16" w:type="dxa"/>
              <w:right w:w="16" w:type="dxa"/>
            </w:tcMar>
            <w:vAlign w:val="center"/>
          </w:tcPr>
          <w:p>
            <w:pPr>
              <w:adjustRightInd w:val="0"/>
              <w:snapToGrid w:val="0"/>
              <w:spacing w:line="360" w:lineRule="auto"/>
              <w:jc w:val="center"/>
              <w:rPr>
                <w:kern w:val="0"/>
                <w:sz w:val="24"/>
              </w:rPr>
            </w:pPr>
            <w:r>
              <w:rPr>
                <w:rFonts w:hint="eastAsia"/>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2234" w:type="dxa"/>
            <w:tcMar>
              <w:top w:w="16" w:type="dxa"/>
              <w:left w:w="16" w:type="dxa"/>
              <w:right w:w="16" w:type="dxa"/>
            </w:tcMar>
            <w:vAlign w:val="center"/>
          </w:tcPr>
          <w:p>
            <w:pPr>
              <w:autoSpaceDE w:val="0"/>
              <w:autoSpaceDN w:val="0"/>
              <w:adjustRightInd w:val="0"/>
              <w:snapToGrid w:val="0"/>
              <w:jc w:val="center"/>
              <w:rPr>
                <w:kern w:val="0"/>
                <w:sz w:val="24"/>
              </w:rPr>
            </w:pPr>
            <w:r>
              <w:rPr>
                <w:kern w:val="0"/>
                <w:sz w:val="24"/>
              </w:rPr>
              <w:t>规划及</w:t>
            </w:r>
            <w:r>
              <w:rPr>
                <w:sz w:val="24"/>
              </w:rPr>
              <w:t>规划环境影响评价</w:t>
            </w:r>
            <w:r>
              <w:rPr>
                <w:kern w:val="0"/>
                <w:sz w:val="24"/>
              </w:rPr>
              <w:t>符合性分析</w:t>
            </w:r>
          </w:p>
        </w:tc>
        <w:tc>
          <w:tcPr>
            <w:tcW w:w="6837" w:type="dxa"/>
            <w:gridSpan w:val="4"/>
            <w:tcMar>
              <w:top w:w="16" w:type="dxa"/>
              <w:left w:w="16" w:type="dxa"/>
              <w:right w:w="16" w:type="dxa"/>
            </w:tcMar>
            <w:vAlign w:val="center"/>
          </w:tcPr>
          <w:p>
            <w:pPr>
              <w:autoSpaceDE w:val="0"/>
              <w:autoSpaceDN w:val="0"/>
              <w:adjustRightInd w:val="0"/>
              <w:snapToGrid w:val="0"/>
              <w:spacing w:before="120" w:beforeLines="50" w:line="360" w:lineRule="auto"/>
              <w:jc w:val="center"/>
            </w:pPr>
            <w:r>
              <w:rPr>
                <w:rFonts w:hint="eastAsia"/>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80" w:hRule="atLeast"/>
        </w:trPr>
        <w:tc>
          <w:tcPr>
            <w:tcW w:w="2234" w:type="dxa"/>
            <w:tcMar>
              <w:top w:w="16" w:type="dxa"/>
              <w:left w:w="16" w:type="dxa"/>
              <w:right w:w="16" w:type="dxa"/>
            </w:tcMar>
            <w:vAlign w:val="center"/>
          </w:tcPr>
          <w:p>
            <w:pPr>
              <w:autoSpaceDE w:val="0"/>
              <w:autoSpaceDN w:val="0"/>
              <w:adjustRightInd w:val="0"/>
              <w:snapToGrid w:val="0"/>
              <w:jc w:val="center"/>
              <w:rPr>
                <w:kern w:val="0"/>
                <w:szCs w:val="21"/>
              </w:rPr>
            </w:pPr>
            <w:bookmarkStart w:id="4" w:name="_Hlk56690880"/>
            <w:r>
              <w:rPr>
                <w:kern w:val="0"/>
                <w:sz w:val="24"/>
              </w:rPr>
              <w:t>其他符合性分析</w:t>
            </w:r>
            <w:bookmarkEnd w:id="4"/>
          </w:p>
        </w:tc>
        <w:tc>
          <w:tcPr>
            <w:tcW w:w="6837" w:type="dxa"/>
            <w:gridSpan w:val="4"/>
            <w:tcMar>
              <w:top w:w="16" w:type="dxa"/>
              <w:left w:w="16" w:type="dxa"/>
              <w:right w:w="16" w:type="dxa"/>
            </w:tcMar>
          </w:tcPr>
          <w:p>
            <w:pPr>
              <w:autoSpaceDE w:val="0"/>
              <w:autoSpaceDN w:val="0"/>
              <w:adjustRightInd w:val="0"/>
              <w:snapToGrid w:val="0"/>
              <w:spacing w:before="120" w:beforeLines="50" w:after="120" w:afterLines="50" w:line="360" w:lineRule="auto"/>
              <w:rPr>
                <w:b/>
                <w:bCs/>
                <w:sz w:val="24"/>
              </w:rPr>
            </w:pPr>
            <w:r>
              <w:rPr>
                <w:b/>
                <w:bCs/>
                <w:sz w:val="24"/>
              </w:rPr>
              <w:t>1.</w:t>
            </w:r>
            <w:r>
              <w:rPr>
                <w:rFonts w:hint="eastAsia"/>
                <w:b/>
                <w:bCs/>
                <w:sz w:val="24"/>
              </w:rPr>
              <w:t>1</w:t>
            </w:r>
            <w:r>
              <w:rPr>
                <w:b/>
                <w:bCs/>
                <w:sz w:val="24"/>
              </w:rPr>
              <w:t>产业政策符合性分析</w:t>
            </w:r>
          </w:p>
          <w:p>
            <w:pPr>
              <w:autoSpaceDE w:val="0"/>
              <w:autoSpaceDN w:val="0"/>
              <w:adjustRightInd w:val="0"/>
              <w:snapToGrid w:val="0"/>
              <w:spacing w:line="360" w:lineRule="auto"/>
              <w:ind w:firstLine="480" w:firstLineChars="200"/>
              <w:rPr>
                <w:sz w:val="24"/>
              </w:rPr>
            </w:pPr>
            <w:r>
              <w:rPr>
                <w:sz w:val="24"/>
              </w:rPr>
              <w:t>根据《建设项目环境影响评价分类管理名录（2021年版）》，项目属于“五十五、核与辐射，161、输变电工程”，属于《产业结构调整指导目录（2019年本）》鼓励类第四条 电力第10款</w:t>
            </w:r>
            <w:r>
              <w:rPr>
                <w:rFonts w:hint="eastAsia" w:ascii="宋体" w:hAnsi="宋体" w:cs="宋体"/>
                <w:sz w:val="24"/>
              </w:rPr>
              <w:t>“电网改造与建设，增量配电网建设”</w:t>
            </w:r>
            <w:r>
              <w:rPr>
                <w:rFonts w:hint="eastAsia"/>
                <w:sz w:val="24"/>
              </w:rPr>
              <w:t>和第20</w:t>
            </w:r>
            <w:r>
              <w:rPr>
                <w:sz w:val="24"/>
              </w:rPr>
              <w:t>款</w:t>
            </w:r>
            <w:r>
              <w:rPr>
                <w:rFonts w:hint="eastAsia" w:ascii="宋体" w:hAnsi="宋体" w:cs="宋体"/>
                <w:sz w:val="24"/>
              </w:rPr>
              <w:t>“大容量电能储存技术开发与应用”</w:t>
            </w:r>
            <w:r>
              <w:rPr>
                <w:sz w:val="24"/>
              </w:rPr>
              <w:t>。因此，项目的建设符合国家产业政策。</w:t>
            </w:r>
          </w:p>
          <w:p>
            <w:pPr>
              <w:pStyle w:val="8"/>
              <w:adjustRightInd w:val="0"/>
              <w:snapToGrid w:val="0"/>
              <w:spacing w:after="0" w:line="360" w:lineRule="auto"/>
              <w:ind w:left="0" w:leftChars="0" w:firstLine="480"/>
            </w:pPr>
            <w:r>
              <w:rPr>
                <w:rFonts w:hint="eastAsia"/>
                <w:sz w:val="24"/>
              </w:rPr>
              <w:t>同时，本项目已经取得张掖市发展和改革委员会关于民乐县500MW/1000MWh共享储能电站项目的备案，文件号张发改能交</w:t>
            </w:r>
            <w:r>
              <w:rPr>
                <w:rFonts w:hint="eastAsia" w:ascii="宋体" w:hAnsi="宋体" w:cs="宋体"/>
                <w:sz w:val="24"/>
              </w:rPr>
              <w:t>[</w:t>
            </w:r>
            <w:r>
              <w:rPr>
                <w:rFonts w:hint="eastAsia"/>
                <w:sz w:val="24"/>
              </w:rPr>
              <w:t>2021</w:t>
            </w:r>
            <w:r>
              <w:rPr>
                <w:rFonts w:hint="eastAsia" w:ascii="宋体" w:hAnsi="宋体" w:cs="宋体"/>
                <w:sz w:val="24"/>
              </w:rPr>
              <w:t>]</w:t>
            </w:r>
            <w:r>
              <w:rPr>
                <w:rFonts w:hint="eastAsia"/>
                <w:sz w:val="24"/>
              </w:rPr>
              <w:t>33号，备案文件详见附件2，因此，项目的建设符合当地政策管理要求。</w:t>
            </w:r>
          </w:p>
          <w:p>
            <w:pPr>
              <w:autoSpaceDE w:val="0"/>
              <w:autoSpaceDN w:val="0"/>
              <w:adjustRightInd w:val="0"/>
              <w:snapToGrid w:val="0"/>
              <w:spacing w:before="120" w:beforeLines="50" w:after="120" w:afterLines="50" w:line="360" w:lineRule="auto"/>
              <w:rPr>
                <w:b/>
                <w:bCs/>
                <w:sz w:val="24"/>
              </w:rPr>
            </w:pPr>
            <w:r>
              <w:rPr>
                <w:b/>
                <w:bCs/>
                <w:sz w:val="24"/>
              </w:rPr>
              <w:t>1.</w:t>
            </w:r>
            <w:r>
              <w:rPr>
                <w:rFonts w:hint="eastAsia"/>
                <w:b/>
                <w:bCs/>
                <w:sz w:val="24"/>
              </w:rPr>
              <w:t>2</w:t>
            </w:r>
            <w:r>
              <w:rPr>
                <w:b/>
                <w:bCs/>
                <w:sz w:val="24"/>
              </w:rPr>
              <w:t>本</w:t>
            </w:r>
            <w:r>
              <w:rPr>
                <w:rFonts w:hint="eastAsia"/>
                <w:b/>
                <w:bCs/>
                <w:sz w:val="24"/>
              </w:rPr>
              <w:t>项目</w:t>
            </w:r>
            <w:r>
              <w:rPr>
                <w:b/>
                <w:bCs/>
                <w:sz w:val="24"/>
              </w:rPr>
              <w:t>与城镇规划、土地利用规划的符合性分析</w:t>
            </w:r>
          </w:p>
          <w:p>
            <w:pPr>
              <w:autoSpaceDE w:val="0"/>
              <w:autoSpaceDN w:val="0"/>
              <w:adjustRightInd w:val="0"/>
              <w:snapToGrid w:val="0"/>
              <w:spacing w:line="360" w:lineRule="auto"/>
              <w:ind w:firstLine="480" w:firstLineChars="200"/>
              <w:rPr>
                <w:sz w:val="24"/>
              </w:rPr>
            </w:pPr>
            <w:r>
              <w:rPr>
                <w:sz w:val="24"/>
              </w:rPr>
              <w:t>本</w:t>
            </w:r>
            <w:r>
              <w:rPr>
                <w:rFonts w:hint="eastAsia"/>
                <w:sz w:val="24"/>
              </w:rPr>
              <w:t>项目</w:t>
            </w:r>
            <w:r>
              <w:rPr>
                <w:sz w:val="24"/>
              </w:rPr>
              <w:t>选址位于张掖市</w:t>
            </w:r>
            <w:r>
              <w:rPr>
                <w:rFonts w:hint="eastAsia"/>
                <w:sz w:val="24"/>
              </w:rPr>
              <w:t>民乐县六坝镇</w:t>
            </w:r>
            <w:r>
              <w:rPr>
                <w:sz w:val="24"/>
              </w:rPr>
              <w:t>，经</w:t>
            </w:r>
            <w:r>
              <w:rPr>
                <w:rFonts w:hint="eastAsia"/>
                <w:sz w:val="24"/>
              </w:rPr>
              <w:t>民乐县自然资源局</w:t>
            </w:r>
            <w:r>
              <w:rPr>
                <w:sz w:val="24"/>
              </w:rPr>
              <w:t>等政府部门确认，</w:t>
            </w:r>
            <w:r>
              <w:rPr>
                <w:rFonts w:hint="eastAsia"/>
                <w:sz w:val="24"/>
              </w:rPr>
              <w:t>项目符合《民乐县“十四五”发展规划》</w:t>
            </w:r>
            <w:r>
              <w:rPr>
                <w:sz w:val="24"/>
              </w:rPr>
              <w:t>，</w:t>
            </w:r>
            <w:r>
              <w:rPr>
                <w:rFonts w:hint="eastAsia"/>
                <w:sz w:val="24"/>
              </w:rPr>
              <w:t>已承诺将该项目用地布局及规划纳入正在编制的规划期至2035年的民乐县国土空间规划。同时，</w:t>
            </w:r>
            <w:r>
              <w:rPr>
                <w:sz w:val="24"/>
              </w:rPr>
              <w:t>取得了</w:t>
            </w:r>
            <w:r>
              <w:rPr>
                <w:rFonts w:hint="eastAsia"/>
                <w:sz w:val="24"/>
              </w:rPr>
              <w:t>民乐县自然资源局关于民乐县</w:t>
            </w:r>
            <w:r>
              <w:rPr>
                <w:sz w:val="24"/>
              </w:rPr>
              <w:t>500MW/1000MWh共享</w:t>
            </w:r>
            <w:r>
              <w:rPr>
                <w:rFonts w:hint="eastAsia"/>
                <w:sz w:val="24"/>
              </w:rPr>
              <w:t>储能电站项目用地预审与选址意见的初审意见</w:t>
            </w:r>
            <w:r>
              <w:rPr>
                <w:sz w:val="24"/>
              </w:rPr>
              <w:t>。因此，本</w:t>
            </w:r>
            <w:r>
              <w:rPr>
                <w:rFonts w:hint="eastAsia"/>
                <w:sz w:val="24"/>
              </w:rPr>
              <w:t>项目</w:t>
            </w:r>
            <w:r>
              <w:rPr>
                <w:sz w:val="24"/>
              </w:rPr>
              <w:t>选址符合所在地</w:t>
            </w:r>
            <w:r>
              <w:rPr>
                <w:rFonts w:hint="eastAsia"/>
                <w:sz w:val="24"/>
              </w:rPr>
              <w:t>国土空间规划</w:t>
            </w:r>
            <w:r>
              <w:rPr>
                <w:sz w:val="24"/>
              </w:rPr>
              <w:t>。</w:t>
            </w:r>
            <w:r>
              <w:rPr>
                <w:rFonts w:hint="eastAsia"/>
                <w:sz w:val="24"/>
              </w:rPr>
              <w:t>项目用地预审与选址意见的初审意见详见附件3。</w:t>
            </w:r>
          </w:p>
          <w:p>
            <w:pPr>
              <w:autoSpaceDE w:val="0"/>
              <w:autoSpaceDN w:val="0"/>
              <w:adjustRightInd w:val="0"/>
              <w:snapToGrid w:val="0"/>
              <w:spacing w:before="120" w:beforeLines="50" w:after="120" w:afterLines="50" w:line="360" w:lineRule="auto"/>
              <w:rPr>
                <w:b/>
                <w:bCs/>
                <w:kern w:val="0"/>
                <w:sz w:val="24"/>
                <w:lang w:bidi="ar"/>
              </w:rPr>
            </w:pPr>
            <w:r>
              <w:rPr>
                <w:rFonts w:hint="eastAsia"/>
                <w:b/>
                <w:bCs/>
                <w:kern w:val="0"/>
                <w:sz w:val="24"/>
                <w:lang w:bidi="ar"/>
              </w:rPr>
              <w:t>1.3与《甘肃省国家重点生态功能区产业准入负面清单（试行）》符合性分析</w:t>
            </w:r>
          </w:p>
          <w:p>
            <w:pPr>
              <w:pStyle w:val="31"/>
              <w:adjustRightInd w:val="0"/>
              <w:snapToGrid w:val="0"/>
              <w:ind w:firstLine="480" w:firstLineChars="200"/>
            </w:pPr>
            <w:r>
              <w:rPr>
                <w:rFonts w:ascii="Times New Roman" w:cs="Times New Roman"/>
                <w:kern w:val="0"/>
              </w:rPr>
              <w:t>本项目位于张掖市</w:t>
            </w:r>
            <w:r>
              <w:rPr>
                <w:rFonts w:hint="eastAsia" w:ascii="Times New Roman" w:cs="Times New Roman"/>
                <w:kern w:val="0"/>
              </w:rPr>
              <w:t>民乐县</w:t>
            </w:r>
            <w:r>
              <w:rPr>
                <w:rFonts w:hint="eastAsia"/>
              </w:rPr>
              <w:t>六坝镇</w:t>
            </w:r>
            <w:r>
              <w:rPr>
                <w:rFonts w:ascii="Times New Roman" w:cs="Times New Roman"/>
                <w:kern w:val="0"/>
              </w:rPr>
              <w:t>，</w:t>
            </w:r>
            <w:r>
              <w:rPr>
                <w:rFonts w:ascii="Times New Roman" w:cs="Times New Roman"/>
              </w:rPr>
              <w:t>根据《甘肃省国家重点生态功能区产业准入负面清单（试行）》--1</w:t>
            </w:r>
            <w:r>
              <w:rPr>
                <w:rFonts w:hint="eastAsia" w:ascii="Times New Roman" w:cs="Times New Roman"/>
              </w:rPr>
              <w:t>7</w:t>
            </w:r>
            <w:r>
              <w:rPr>
                <w:rFonts w:ascii="Times New Roman" w:cs="Times New Roman"/>
              </w:rPr>
              <w:t>、</w:t>
            </w:r>
            <w:r>
              <w:rPr>
                <w:rFonts w:hint="eastAsia" w:ascii="Times New Roman" w:cs="Times New Roman"/>
              </w:rPr>
              <w:t>民乐县</w:t>
            </w:r>
            <w:r>
              <w:rPr>
                <w:rFonts w:ascii="Times New Roman" w:cs="Times New Roman"/>
              </w:rPr>
              <w:t>产业准入负面清单，</w:t>
            </w:r>
            <w:r>
              <w:rPr>
                <w:rFonts w:hint="eastAsia" w:ascii="Times New Roman" w:cs="Times New Roman"/>
              </w:rPr>
              <w:t>民乐县位于祁连山冰川与水源涵养生态功能区，其类型为水源涵养型。本县负面清单涉及国民经济5门类14大类20中类28小类，其中限制类涉及国民经济5门类11大类15中类22小类；禁止类涉及国民经济1门类3大类5中类6小类</w:t>
            </w:r>
            <w:r>
              <w:rPr>
                <w:rFonts w:ascii="Times New Roman" w:cs="Times New Roman"/>
              </w:rPr>
              <w:t>。</w:t>
            </w:r>
            <w:r>
              <w:rPr>
                <w:kern w:val="0"/>
                <w:lang w:bidi="ar"/>
              </w:rPr>
              <w:t>本项目为</w:t>
            </w:r>
            <w:r>
              <w:rPr>
                <w:rFonts w:hint="eastAsia"/>
                <w:kern w:val="0"/>
                <w:lang w:bidi="ar"/>
              </w:rPr>
              <w:t>电力供应--输变电工程，属于电力、热力、燃气及水生产和供应业门类，经对比民乐县产业准入负面清单，本项目不在该清单内。</w:t>
            </w:r>
          </w:p>
          <w:p>
            <w:pPr>
              <w:pStyle w:val="31"/>
              <w:adjustRightInd w:val="0"/>
              <w:snapToGrid w:val="0"/>
              <w:ind w:firstLine="0"/>
              <w:rPr>
                <w:rFonts w:ascii="Times New Roman" w:cs="Times New Roman"/>
                <w:b/>
                <w:bCs/>
              </w:rPr>
            </w:pPr>
            <w:r>
              <w:rPr>
                <w:rFonts w:ascii="Times New Roman" w:cs="Times New Roman"/>
                <w:b/>
                <w:bCs/>
              </w:rPr>
              <w:t>1.</w:t>
            </w:r>
            <w:r>
              <w:rPr>
                <w:rFonts w:hint="eastAsia" w:ascii="Times New Roman" w:cs="Times New Roman"/>
                <w:b/>
                <w:bCs/>
              </w:rPr>
              <w:t>4</w:t>
            </w:r>
            <w:r>
              <w:rPr>
                <w:rFonts w:ascii="Times New Roman" w:cs="Times New Roman"/>
                <w:b/>
                <w:bCs/>
              </w:rPr>
              <w:t>本项目与《张掖市投资项目禁限目录（试行）》的符合性分析</w:t>
            </w:r>
          </w:p>
          <w:p>
            <w:pPr>
              <w:pStyle w:val="31"/>
              <w:adjustRightInd w:val="0"/>
              <w:snapToGrid w:val="0"/>
              <w:ind w:firstLine="480" w:firstLineChars="200"/>
              <w:rPr>
                <w:rFonts w:ascii="Times New Roman" w:cs="Times New Roman"/>
              </w:rPr>
            </w:pPr>
            <w:r>
              <w:rPr>
                <w:rFonts w:ascii="Times New Roman" w:cs="Times New Roman"/>
              </w:rPr>
              <w:t>根据《张掖市人民政府办公室关于印发张掖市投资项目禁限目录（试行）的通知》张政办发</w:t>
            </w:r>
            <w:r>
              <w:rPr>
                <w:rFonts w:hint="eastAsia" w:hAnsi="宋体"/>
              </w:rPr>
              <w:t>〔</w:t>
            </w:r>
            <w:r>
              <w:rPr>
                <w:rFonts w:ascii="Times New Roman" w:cs="Times New Roman"/>
              </w:rPr>
              <w:t>2022</w:t>
            </w:r>
            <w:r>
              <w:rPr>
                <w:rFonts w:hint="eastAsia" w:hAnsi="宋体"/>
              </w:rPr>
              <w:t>〕</w:t>
            </w:r>
            <w:r>
              <w:rPr>
                <w:rFonts w:ascii="Times New Roman" w:cs="Times New Roman"/>
              </w:rPr>
              <w:t>6号，对照《张掖市投资项目禁限目录（试行）》，本项目不属于该《禁限目录》中的禁止类及限制类项目。</w:t>
            </w:r>
          </w:p>
          <w:p>
            <w:pPr>
              <w:autoSpaceDE w:val="0"/>
              <w:autoSpaceDN w:val="0"/>
              <w:adjustRightInd w:val="0"/>
              <w:snapToGrid w:val="0"/>
              <w:spacing w:before="120" w:beforeLines="50" w:after="120" w:afterLines="50" w:line="360" w:lineRule="auto"/>
              <w:rPr>
                <w:b/>
                <w:bCs/>
                <w:sz w:val="24"/>
              </w:rPr>
            </w:pPr>
            <w:r>
              <w:rPr>
                <w:b/>
                <w:bCs/>
                <w:sz w:val="24"/>
              </w:rPr>
              <w:t>1.</w:t>
            </w:r>
            <w:r>
              <w:rPr>
                <w:rFonts w:hint="eastAsia"/>
                <w:b/>
                <w:bCs/>
                <w:sz w:val="24"/>
              </w:rPr>
              <w:t>5</w:t>
            </w:r>
            <w:r>
              <w:rPr>
                <w:b/>
                <w:bCs/>
                <w:sz w:val="24"/>
              </w:rPr>
              <w:t>“三线一单”的符合性分析</w:t>
            </w:r>
          </w:p>
          <w:p>
            <w:pPr>
              <w:autoSpaceDE w:val="0"/>
              <w:autoSpaceDN w:val="0"/>
              <w:adjustRightInd w:val="0"/>
              <w:snapToGrid w:val="0"/>
              <w:spacing w:line="360" w:lineRule="auto"/>
              <w:ind w:firstLine="482" w:firstLineChars="200"/>
              <w:rPr>
                <w:b/>
                <w:bCs/>
                <w:sz w:val="24"/>
              </w:rPr>
            </w:pPr>
            <w:r>
              <w:rPr>
                <w:b/>
                <w:bCs/>
                <w:sz w:val="24"/>
              </w:rPr>
              <w:t>（一）与甘肃省“三线一单”符合性分析</w:t>
            </w:r>
          </w:p>
          <w:p>
            <w:pPr>
              <w:autoSpaceDE w:val="0"/>
              <w:autoSpaceDN w:val="0"/>
              <w:adjustRightInd w:val="0"/>
              <w:snapToGrid w:val="0"/>
              <w:spacing w:line="360" w:lineRule="auto"/>
              <w:ind w:firstLine="480" w:firstLineChars="200"/>
              <w:rPr>
                <w:kern w:val="0"/>
                <w:sz w:val="24"/>
              </w:rPr>
            </w:pPr>
            <w:r>
              <w:rPr>
                <w:kern w:val="0"/>
                <w:sz w:val="24"/>
              </w:rPr>
              <w:t>根据《甘肃省人民政府关于实施</w:t>
            </w:r>
            <w:r>
              <w:rPr>
                <w:rFonts w:hint="eastAsia" w:ascii="宋体" w:hAnsi="宋体" w:cs="宋体"/>
                <w:kern w:val="0"/>
                <w:sz w:val="24"/>
              </w:rPr>
              <w:t>“三线一单”生</w:t>
            </w:r>
            <w:r>
              <w:rPr>
                <w:kern w:val="0"/>
                <w:sz w:val="24"/>
              </w:rPr>
              <w:t>态环境分区管控的意见》（甘政发</w:t>
            </w:r>
            <w:r>
              <w:rPr>
                <w:rFonts w:hint="eastAsia"/>
                <w:kern w:val="0"/>
                <w:sz w:val="24"/>
              </w:rPr>
              <w:t>〔</w:t>
            </w:r>
            <w:r>
              <w:rPr>
                <w:kern w:val="0"/>
                <w:sz w:val="24"/>
              </w:rPr>
              <w:t>2020</w:t>
            </w:r>
            <w:r>
              <w:rPr>
                <w:rFonts w:hint="eastAsia"/>
                <w:kern w:val="0"/>
                <w:sz w:val="24"/>
              </w:rPr>
              <w:t>〕</w:t>
            </w:r>
            <w:r>
              <w:rPr>
                <w:kern w:val="0"/>
                <w:sz w:val="24"/>
              </w:rPr>
              <w:t>68号），</w:t>
            </w:r>
            <w:r>
              <w:rPr>
                <w:rFonts w:hint="eastAsia" w:ascii="宋体" w:hAnsi="宋体" w:cs="宋体"/>
                <w:kern w:val="0"/>
                <w:sz w:val="24"/>
              </w:rPr>
              <w:t>“</w:t>
            </w:r>
            <w:r>
              <w:rPr>
                <w:kern w:val="0"/>
                <w:sz w:val="24"/>
              </w:rPr>
              <w:t>全省共划定环境管控单元842个，分为优先保护单元、重点管控单元和一般管控单元三类，实施分类管控”。“重点管控单元。共263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r>
              <w:rPr>
                <w:rFonts w:hint="eastAsia" w:ascii="宋体" w:hAnsi="宋体" w:cs="宋体"/>
                <w:kern w:val="0"/>
                <w:sz w:val="24"/>
              </w:rPr>
              <w:t>”</w:t>
            </w:r>
          </w:p>
          <w:p>
            <w:pPr>
              <w:adjustRightInd w:val="0"/>
              <w:spacing w:before="24" w:after="24" w:line="360" w:lineRule="auto"/>
              <w:ind w:left="25" w:leftChars="12" w:firstLine="480" w:firstLineChars="200"/>
              <w:rPr>
                <w:sz w:val="24"/>
              </w:rPr>
            </w:pPr>
            <w:r>
              <w:rPr>
                <w:kern w:val="0"/>
                <w:sz w:val="24"/>
              </w:rPr>
              <w:t>本项目位于张掖市</w:t>
            </w:r>
            <w:r>
              <w:rPr>
                <w:rFonts w:hint="eastAsia"/>
                <w:kern w:val="0"/>
                <w:sz w:val="24"/>
              </w:rPr>
              <w:t>民乐县</w:t>
            </w:r>
            <w:r>
              <w:rPr>
                <w:rFonts w:hint="eastAsia"/>
                <w:sz w:val="24"/>
              </w:rPr>
              <w:t>六坝镇</w:t>
            </w:r>
            <w:r>
              <w:rPr>
                <w:kern w:val="0"/>
                <w:sz w:val="24"/>
              </w:rPr>
              <w:t>，位于甘肃省生态环境重点管控单元，</w:t>
            </w:r>
            <w:r>
              <w:rPr>
                <w:rFonts w:hint="eastAsia"/>
                <w:sz w:val="24"/>
              </w:rPr>
              <w:t>项目在甘肃省环境管控单元分布图中的位置详见附图1。</w:t>
            </w:r>
          </w:p>
          <w:p>
            <w:pPr>
              <w:adjustRightInd w:val="0"/>
              <w:spacing w:before="24" w:after="24" w:line="360" w:lineRule="auto"/>
              <w:ind w:left="25" w:leftChars="12" w:firstLine="482" w:firstLineChars="200"/>
              <w:rPr>
                <w:rFonts w:ascii="宋体" w:hAnsi="宋体" w:cs="宋体"/>
                <w:b/>
                <w:color w:val="FF0000"/>
                <w:kern w:val="0"/>
                <w:sz w:val="24"/>
              </w:rPr>
            </w:pPr>
            <w:r>
              <w:rPr>
                <w:b/>
                <w:color w:val="FF0000"/>
                <w:kern w:val="0"/>
                <w:sz w:val="24"/>
              </w:rPr>
              <w:t>①</w:t>
            </w:r>
            <w:r>
              <w:rPr>
                <w:rFonts w:hint="eastAsia" w:ascii="宋体" w:hAnsi="宋体" w:cs="宋体"/>
                <w:b/>
                <w:color w:val="FF0000"/>
                <w:kern w:val="0"/>
                <w:sz w:val="24"/>
              </w:rPr>
              <w:t>与“生态保护红线”符合性分析</w:t>
            </w:r>
          </w:p>
          <w:p>
            <w:pPr>
              <w:adjustRightInd w:val="0"/>
              <w:spacing w:before="24" w:after="24" w:line="360" w:lineRule="auto"/>
              <w:ind w:left="25" w:leftChars="12" w:firstLine="480" w:firstLineChars="200"/>
              <w:rPr>
                <w:color w:val="FF0000"/>
                <w:kern w:val="0"/>
                <w:sz w:val="24"/>
              </w:rPr>
            </w:pPr>
            <w:r>
              <w:rPr>
                <w:color w:val="FF0000"/>
                <w:sz w:val="24"/>
                <w:lang w:bidi="ar"/>
              </w:rPr>
              <w:t>生态保护红线是依法在重点生态功能区、生态环境敏感区和脆弱区等区域划定的严格管控边界，是国家和区域生态安全的底线。</w:t>
            </w:r>
            <w:r>
              <w:rPr>
                <w:color w:val="FF0000"/>
                <w:kern w:val="0"/>
                <w:sz w:val="24"/>
              </w:rPr>
              <w:t>本项目位于甘肃省张掖市民乐县六坝镇，项目所在地属于甘肃省生态环境管控单元中</w:t>
            </w:r>
            <w:r>
              <w:rPr>
                <w:rFonts w:hint="eastAsia" w:ascii="宋体" w:hAnsi="宋体" w:cs="宋体"/>
                <w:color w:val="FF0000"/>
                <w:kern w:val="0"/>
                <w:sz w:val="24"/>
              </w:rPr>
              <w:t>“重点管控单元”，不属于包括生态保护红线的“优先保护单元”</w:t>
            </w:r>
            <w:r>
              <w:rPr>
                <w:color w:val="FF0000"/>
                <w:kern w:val="0"/>
                <w:sz w:val="24"/>
              </w:rPr>
              <w:t>，不在生态保护红线内，符合生态保护红线保护要求。</w:t>
            </w:r>
          </w:p>
          <w:p>
            <w:pPr>
              <w:adjustRightInd w:val="0"/>
              <w:spacing w:before="24" w:after="24" w:line="360" w:lineRule="auto"/>
              <w:ind w:left="25" w:leftChars="12" w:firstLine="480" w:firstLineChars="200"/>
              <w:rPr>
                <w:b/>
                <w:color w:val="FF0000"/>
                <w:kern w:val="0"/>
                <w:sz w:val="24"/>
              </w:rPr>
            </w:pPr>
            <w:r>
              <w:rPr>
                <w:color w:val="FF0000"/>
                <w:kern w:val="0"/>
                <w:sz w:val="24"/>
              </w:rPr>
              <w:t>②</w:t>
            </w:r>
            <w:r>
              <w:rPr>
                <w:rFonts w:hint="eastAsia" w:ascii="宋体" w:hAnsi="宋体" w:cs="宋体"/>
                <w:b/>
                <w:color w:val="FF0000"/>
                <w:kern w:val="0"/>
                <w:sz w:val="24"/>
              </w:rPr>
              <w:t>与“环境质量底线”符合性分析</w:t>
            </w:r>
          </w:p>
          <w:p>
            <w:pPr>
              <w:adjustRightInd w:val="0"/>
              <w:spacing w:before="24" w:after="24" w:line="360" w:lineRule="auto"/>
              <w:ind w:left="25" w:leftChars="12" w:firstLine="480" w:firstLineChars="200"/>
              <w:rPr>
                <w:color w:val="FF0000"/>
                <w:kern w:val="0"/>
                <w:sz w:val="24"/>
              </w:rPr>
            </w:pPr>
            <w:r>
              <w:rPr>
                <w:color w:val="FF0000"/>
                <w:kern w:val="0"/>
                <w:sz w:val="24"/>
              </w:rPr>
              <w:t>明确环境质量底线，实施环境分区管控。按照环境质量不断优化的基本原则，以改善环境质量为目标，衔接大气、水、土壤环境质量管理要求，确定分区域、分流域、分阶段的环境质量底线目标要求。以环境质量底线目标为约束，测算环境容量，评估环境质量改善潜力，综合确定区域大气、水环境污染物允许排放量和管控要求。解析大气、水环境结构、过程、功能上的空间差异，开展土壤环境质量与风险评价，识别大气、水、土壤环境优先保护与重点管控区域，实施分区管控。</w:t>
            </w:r>
          </w:p>
          <w:p>
            <w:pPr>
              <w:adjustRightInd w:val="0"/>
              <w:spacing w:before="24" w:after="24" w:line="360" w:lineRule="auto"/>
              <w:ind w:left="25" w:leftChars="12" w:firstLine="480" w:firstLineChars="200"/>
              <w:rPr>
                <w:color w:val="FF0000"/>
                <w:kern w:val="0"/>
                <w:sz w:val="24"/>
              </w:rPr>
            </w:pPr>
            <w:r>
              <w:rPr>
                <w:color w:val="FF0000"/>
                <w:kern w:val="0"/>
                <w:sz w:val="24"/>
              </w:rPr>
              <w:t>根据项目所在地环境质量现状调查和污染物排放量计算以及影响分析，本项目实施后</w:t>
            </w:r>
            <w:r>
              <w:rPr>
                <w:rFonts w:hint="eastAsia"/>
                <w:color w:val="FF0000"/>
                <w:kern w:val="0"/>
                <w:sz w:val="24"/>
              </w:rPr>
              <w:t>无废气排放，废水达标排放，</w:t>
            </w:r>
            <w:r>
              <w:rPr>
                <w:color w:val="FF0000"/>
                <w:kern w:val="0"/>
                <w:sz w:val="24"/>
              </w:rPr>
              <w:t>对区域内环境影响较小，环境质量可以保持现有等级，符合环境质量底线要求。</w:t>
            </w:r>
          </w:p>
          <w:p>
            <w:pPr>
              <w:adjustRightInd w:val="0"/>
              <w:spacing w:before="24" w:after="24" w:line="360" w:lineRule="auto"/>
              <w:ind w:left="25" w:leftChars="12" w:firstLine="480" w:firstLineChars="200"/>
              <w:rPr>
                <w:color w:val="FF0000"/>
                <w:kern w:val="0"/>
                <w:sz w:val="24"/>
              </w:rPr>
            </w:pPr>
            <w:r>
              <w:rPr>
                <w:color w:val="FF0000"/>
                <w:kern w:val="0"/>
                <w:sz w:val="24"/>
              </w:rPr>
              <w:t>③</w:t>
            </w:r>
            <w:r>
              <w:rPr>
                <w:rFonts w:hint="eastAsia" w:ascii="宋体" w:hAnsi="宋体" w:cs="宋体"/>
                <w:b/>
                <w:color w:val="FF0000"/>
                <w:kern w:val="0"/>
                <w:sz w:val="24"/>
              </w:rPr>
              <w:t>与“资源利用上线”符合性分析</w:t>
            </w:r>
          </w:p>
          <w:p>
            <w:pPr>
              <w:adjustRightInd w:val="0"/>
              <w:spacing w:before="24" w:after="24" w:line="360" w:lineRule="auto"/>
              <w:ind w:left="25" w:leftChars="12" w:firstLine="480" w:firstLineChars="200"/>
              <w:rPr>
                <w:color w:val="FF0000"/>
                <w:kern w:val="0"/>
                <w:sz w:val="24"/>
              </w:rPr>
            </w:pPr>
            <w:r>
              <w:rPr>
                <w:color w:val="FF0000"/>
                <w:kern w:val="0"/>
                <w:sz w:val="24"/>
              </w:rPr>
              <w:t>本项目位于张掖市</w:t>
            </w:r>
            <w:r>
              <w:rPr>
                <w:rFonts w:hint="eastAsia"/>
                <w:color w:val="FF0000"/>
                <w:kern w:val="0"/>
                <w:sz w:val="24"/>
              </w:rPr>
              <w:t>民乐县六坝镇</w:t>
            </w:r>
            <w:r>
              <w:rPr>
                <w:color w:val="FF0000"/>
                <w:kern w:val="0"/>
                <w:sz w:val="24"/>
              </w:rPr>
              <w:t>，项目本身为</w:t>
            </w:r>
            <w:r>
              <w:rPr>
                <w:rFonts w:hint="eastAsia"/>
                <w:color w:val="FF0000"/>
                <w:kern w:val="0"/>
                <w:sz w:val="24"/>
              </w:rPr>
              <w:t>储能</w:t>
            </w:r>
            <w:r>
              <w:rPr>
                <w:color w:val="FF0000"/>
                <w:kern w:val="0"/>
                <w:sz w:val="24"/>
              </w:rPr>
              <w:t>项目，运营期电能和水资源的消耗量相较于区域资源利用量都较小，不触及资源利用上线。由此可见，本项目符合资源利用上线要求。</w:t>
            </w:r>
          </w:p>
          <w:p>
            <w:pPr>
              <w:adjustRightInd w:val="0"/>
              <w:spacing w:before="24" w:after="24" w:line="360" w:lineRule="auto"/>
              <w:ind w:left="25" w:leftChars="12" w:firstLine="480" w:firstLineChars="200"/>
              <w:rPr>
                <w:b/>
                <w:color w:val="FF0000"/>
                <w:kern w:val="0"/>
                <w:sz w:val="24"/>
              </w:rPr>
            </w:pPr>
            <w:r>
              <w:rPr>
                <w:color w:val="FF0000"/>
                <w:kern w:val="0"/>
                <w:sz w:val="24"/>
              </w:rPr>
              <w:t>④</w:t>
            </w:r>
            <w:r>
              <w:rPr>
                <w:b/>
                <w:color w:val="FF0000"/>
                <w:kern w:val="0"/>
                <w:sz w:val="24"/>
              </w:rPr>
              <w:t>生态环境准入清单</w:t>
            </w:r>
          </w:p>
          <w:p>
            <w:pPr>
              <w:autoSpaceDE w:val="0"/>
              <w:autoSpaceDN w:val="0"/>
              <w:adjustRightInd w:val="0"/>
              <w:snapToGrid w:val="0"/>
              <w:spacing w:line="360" w:lineRule="auto"/>
              <w:ind w:firstLine="480" w:firstLineChars="200"/>
              <w:rPr>
                <w:kern w:val="0"/>
                <w:sz w:val="24"/>
              </w:rPr>
            </w:pPr>
            <w:r>
              <w:rPr>
                <w:color w:val="FF0000"/>
                <w:kern w:val="0"/>
                <w:sz w:val="24"/>
              </w:rPr>
              <w:t>按管控意见中落实生态管控要求可知，甘肃省实行</w:t>
            </w:r>
            <w:r>
              <w:rPr>
                <w:rFonts w:hint="eastAsia" w:ascii="宋体" w:hAnsi="宋体" w:cs="宋体"/>
                <w:color w:val="FF0000"/>
                <w:kern w:val="0"/>
                <w:sz w:val="24"/>
              </w:rPr>
              <w:t>“</w:t>
            </w:r>
            <w:r>
              <w:rPr>
                <w:color w:val="FF0000"/>
                <w:kern w:val="0"/>
                <w:sz w:val="24"/>
              </w:rPr>
              <w:t>1+5+15+N</w:t>
            </w:r>
            <w:r>
              <w:rPr>
                <w:rFonts w:hint="eastAsia" w:ascii="宋体" w:hAnsi="宋体" w:cs="宋体"/>
                <w:color w:val="FF0000"/>
                <w:kern w:val="0"/>
                <w:sz w:val="24"/>
              </w:rPr>
              <w:t>”</w:t>
            </w:r>
            <w:r>
              <w:rPr>
                <w:color w:val="FF0000"/>
                <w:kern w:val="0"/>
                <w:sz w:val="24"/>
              </w:rPr>
              <w:t>四级清单管控体系。经对照《关于实施“三线一单”生态环境分区管控的意见》，本次评价结合项目地所属生态管控单元管控要求进行分析，项目所处地属于甘肃省生态环境重点管控单元。</w:t>
            </w:r>
          </w:p>
          <w:p>
            <w:pPr>
              <w:autoSpaceDE w:val="0"/>
              <w:autoSpaceDN w:val="0"/>
              <w:adjustRightInd w:val="0"/>
              <w:snapToGrid w:val="0"/>
              <w:spacing w:line="360" w:lineRule="auto"/>
              <w:ind w:firstLine="480" w:firstLineChars="200"/>
              <w:rPr>
                <w:sz w:val="24"/>
              </w:rPr>
            </w:pPr>
            <w:r>
              <w:rPr>
                <w:kern w:val="0"/>
                <w:sz w:val="24"/>
              </w:rPr>
              <w:t>因此，本项目建设符合“三线一单”相关要求。</w:t>
            </w:r>
          </w:p>
          <w:p>
            <w:pPr>
              <w:autoSpaceDE w:val="0"/>
              <w:autoSpaceDN w:val="0"/>
              <w:adjustRightInd w:val="0"/>
              <w:snapToGrid w:val="0"/>
              <w:spacing w:line="360" w:lineRule="auto"/>
              <w:ind w:firstLine="482" w:firstLineChars="200"/>
              <w:rPr>
                <w:b/>
                <w:bCs/>
                <w:sz w:val="24"/>
              </w:rPr>
            </w:pPr>
            <w:r>
              <w:rPr>
                <w:b/>
                <w:bCs/>
                <w:sz w:val="24"/>
              </w:rPr>
              <w:t>（二）与张掖市“三线一单”符合性分析</w:t>
            </w:r>
          </w:p>
          <w:p>
            <w:pPr>
              <w:autoSpaceDE w:val="0"/>
              <w:autoSpaceDN w:val="0"/>
              <w:adjustRightInd w:val="0"/>
              <w:snapToGrid w:val="0"/>
              <w:spacing w:line="360" w:lineRule="auto"/>
              <w:ind w:firstLine="480" w:firstLineChars="200"/>
              <w:rPr>
                <w:sz w:val="24"/>
              </w:rPr>
            </w:pPr>
            <w:r>
              <w:rPr>
                <w:sz w:val="24"/>
              </w:rPr>
              <w:t>根据《张掖市人民政府关于印发</w:t>
            </w:r>
            <w:r>
              <w:rPr>
                <w:rFonts w:hint="eastAsia"/>
                <w:sz w:val="24"/>
              </w:rPr>
              <w:t>&lt;</w:t>
            </w:r>
            <w:r>
              <w:rPr>
                <w:sz w:val="24"/>
              </w:rPr>
              <w:t>张掖市</w:t>
            </w:r>
            <w:r>
              <w:rPr>
                <w:rFonts w:hint="eastAsia" w:ascii="宋体" w:hAnsi="宋体" w:cs="宋体"/>
                <w:sz w:val="24"/>
              </w:rPr>
              <w:t>“三线一单”</w:t>
            </w:r>
            <w:r>
              <w:rPr>
                <w:sz w:val="24"/>
              </w:rPr>
              <w:t>生态环境分区管控方案</w:t>
            </w:r>
            <w:r>
              <w:rPr>
                <w:rFonts w:hint="eastAsia"/>
                <w:sz w:val="24"/>
              </w:rPr>
              <w:t>&gt;</w:t>
            </w:r>
            <w:r>
              <w:rPr>
                <w:sz w:val="24"/>
              </w:rPr>
              <w:t>的通知》（张政发〔2021〕35号），</w:t>
            </w:r>
            <w:r>
              <w:rPr>
                <w:rFonts w:hint="eastAsia" w:ascii="宋体" w:hAnsi="宋体" w:cs="宋体"/>
                <w:sz w:val="24"/>
              </w:rPr>
              <w:t>“</w:t>
            </w:r>
            <w:r>
              <w:rPr>
                <w:sz w:val="24"/>
              </w:rPr>
              <w:t>全市共划定环境管控单元56个，分为优先保护单元、重点管控单元和一般管控单元三类，实施分类管控。优先保护单元，共29个，主要包括生态保护红线、自然保护地、集中式饮用水水源保护区等生态功能重要区和生态环境敏感区。该区域严格按照生态保护红线管理规定进行管控。依法禁止或限制大规模、高强度的开发建设活动，严禁不符合国家有关规定和准入要求的各类开发活动，确保生态环境功能不降低。重点管控单元，共22个，主要包括中心城区和城镇规划区、工业园区（集聚区）等开发强度高、环境问题相对集中的区域。该区域是经济社会高质量发展的主要承载区，以产业高质量发展和环境保护协调为主，优化空间布局，推进产业结构和能源结构调整，优化交通结构和用地结构，不断提高资源能源利用效率，加强污染物排放控制和环境风险防控，解决突出生态环境问题。一般管控单元，共5个，主要包括优先保护单元和重点管控单元之外的区域。该区域以促进生活、生态、生产功能的协调融合为主要目标，主要落实生态环境保护基本要求，加强生活污染和农业面源污染治理，推动区域生态环境质量持续改善和区域经济社会可持续发展。</w:t>
            </w:r>
            <w:r>
              <w:rPr>
                <w:rFonts w:hint="eastAsia" w:ascii="宋体" w:hAnsi="宋体" w:cs="宋体"/>
                <w:sz w:val="24"/>
              </w:rPr>
              <w:t>”</w:t>
            </w:r>
          </w:p>
          <w:p>
            <w:pPr>
              <w:autoSpaceDE w:val="0"/>
              <w:autoSpaceDN w:val="0"/>
              <w:adjustRightInd w:val="0"/>
              <w:snapToGrid w:val="0"/>
              <w:spacing w:line="360" w:lineRule="auto"/>
              <w:ind w:firstLine="480" w:firstLineChars="200"/>
              <w:rPr>
                <w:sz w:val="24"/>
              </w:rPr>
            </w:pPr>
            <w:r>
              <w:rPr>
                <w:color w:val="FF0000"/>
                <w:sz w:val="24"/>
              </w:rPr>
              <w:t>本项目位于张掖市</w:t>
            </w:r>
            <w:r>
              <w:rPr>
                <w:rFonts w:hint="eastAsia"/>
                <w:color w:val="FF0000"/>
                <w:sz w:val="24"/>
              </w:rPr>
              <w:t>民乐县六坝镇</w:t>
            </w:r>
            <w:r>
              <w:rPr>
                <w:color w:val="FF0000"/>
                <w:sz w:val="24"/>
              </w:rPr>
              <w:t>，位于张掖市生态环境重点管控单元，</w:t>
            </w:r>
            <w:r>
              <w:rPr>
                <w:rFonts w:hint="eastAsia"/>
                <w:color w:val="FF0000"/>
                <w:sz w:val="24"/>
              </w:rPr>
              <w:t>项目在张掖市环境管控单元分布图中的位置详见附图2。</w:t>
            </w:r>
            <w:r>
              <w:rPr>
                <w:color w:val="FF0000"/>
                <w:kern w:val="0"/>
                <w:sz w:val="24"/>
              </w:rPr>
              <w:t>项目占地范围不涉及自然保护区、风景名胜区、饮用水水源地等环境敏感区，</w:t>
            </w:r>
            <w:r>
              <w:rPr>
                <w:rFonts w:hint="eastAsia"/>
                <w:color w:val="FF0000"/>
                <w:kern w:val="0"/>
                <w:sz w:val="24"/>
              </w:rPr>
              <w:t>项目功能主要体现在</w:t>
            </w:r>
            <w:r>
              <w:rPr>
                <w:color w:val="FF0000"/>
                <w:sz w:val="24"/>
              </w:rPr>
              <w:t>利用储能削峰填谷，在风电、光伏大发时段充电，在低谷时段放电，从而减少弃风弃光。</w:t>
            </w:r>
            <w:r>
              <w:rPr>
                <w:rFonts w:hint="eastAsia"/>
                <w:color w:val="FF0000"/>
                <w:sz w:val="24"/>
              </w:rPr>
              <w:t>对于光伏发电、风力发电等清洁能源产业具有促进和辅助作用，对于</w:t>
            </w:r>
            <w:r>
              <w:rPr>
                <w:color w:val="FF0000"/>
                <w:sz w:val="24"/>
              </w:rPr>
              <w:t>推进产业结构和能源结构调整，不断提高资源能源利用效率</w:t>
            </w:r>
            <w:r>
              <w:rPr>
                <w:rFonts w:hint="eastAsia"/>
                <w:color w:val="FF0000"/>
                <w:sz w:val="24"/>
              </w:rPr>
              <w:t>具有重要意义。项目</w:t>
            </w:r>
            <w:r>
              <w:rPr>
                <w:rFonts w:hint="eastAsia"/>
                <w:color w:val="FF0000"/>
                <w:kern w:val="0"/>
                <w:sz w:val="24"/>
              </w:rPr>
              <w:t>建成后污染物排放很少，</w:t>
            </w:r>
            <w:r>
              <w:rPr>
                <w:color w:val="FF0000"/>
                <w:sz w:val="24"/>
              </w:rPr>
              <w:t>采取有效污染防治措施加强污染物排放控制和环境风险防控，使各类污染物达标排放，因此，本项目建设符合《张掖市人民政府关于印发张掖市“三线一单”生态环境分区管控方案的通知》的管控要求。</w:t>
            </w:r>
          </w:p>
          <w:p>
            <w:pPr>
              <w:autoSpaceDE w:val="0"/>
              <w:autoSpaceDN w:val="0"/>
              <w:adjustRightInd w:val="0"/>
              <w:snapToGrid w:val="0"/>
              <w:spacing w:before="120" w:beforeLines="50" w:after="120" w:afterLines="50" w:line="360" w:lineRule="auto"/>
              <w:rPr>
                <w:b/>
                <w:bCs/>
                <w:sz w:val="24"/>
              </w:rPr>
            </w:pPr>
            <w:r>
              <w:rPr>
                <w:rFonts w:hint="eastAsia"/>
                <w:b/>
                <w:bCs/>
                <w:sz w:val="24"/>
              </w:rPr>
              <w:t>1.6与</w:t>
            </w:r>
            <w:r>
              <w:rPr>
                <w:b/>
                <w:bCs/>
                <w:sz w:val="24"/>
              </w:rPr>
              <w:t>张掖市十四五能源发展规划的符合性分析</w:t>
            </w:r>
          </w:p>
          <w:p>
            <w:pPr>
              <w:autoSpaceDE w:val="0"/>
              <w:autoSpaceDN w:val="0"/>
              <w:adjustRightInd w:val="0"/>
              <w:snapToGrid w:val="0"/>
              <w:spacing w:line="360" w:lineRule="auto"/>
              <w:ind w:firstLine="480" w:firstLineChars="200"/>
              <w:rPr>
                <w:sz w:val="24"/>
              </w:rPr>
            </w:pPr>
            <w:r>
              <w:rPr>
                <w:sz w:val="24"/>
              </w:rPr>
              <w:t>根据张掖市</w:t>
            </w:r>
            <w:r>
              <w:rPr>
                <w:rFonts w:hint="eastAsia" w:ascii="宋体" w:hAnsi="宋体" w:cs="宋体"/>
                <w:sz w:val="24"/>
              </w:rPr>
              <w:t>“十四五”能</w:t>
            </w:r>
            <w:r>
              <w:rPr>
                <w:sz w:val="24"/>
              </w:rPr>
              <w:t>源发展规划报告，专栏</w:t>
            </w:r>
            <w:r>
              <w:rPr>
                <w:rFonts w:hint="eastAsia"/>
                <w:sz w:val="24"/>
              </w:rPr>
              <w:t>九 张掖源网荷储一体化示范工程</w:t>
            </w:r>
            <w:r>
              <w:rPr>
                <w:sz w:val="24"/>
              </w:rPr>
              <w:t>，</w:t>
            </w:r>
            <w:r>
              <w:rPr>
                <w:rFonts w:hint="eastAsia"/>
                <w:sz w:val="24"/>
              </w:rPr>
              <w:t>本项目属于张掖源网荷储一体化示范工程中的民乐源网荷储一体化示范项目</w:t>
            </w:r>
            <w:r>
              <w:rPr>
                <w:sz w:val="24"/>
              </w:rPr>
              <w:t>。因此，</w:t>
            </w:r>
            <w:r>
              <w:rPr>
                <w:rFonts w:hint="eastAsia"/>
                <w:sz w:val="24"/>
              </w:rPr>
              <w:t>本项目</w:t>
            </w:r>
            <w:r>
              <w:rPr>
                <w:sz w:val="24"/>
              </w:rPr>
              <w:t>的建设符合张掖市十四五能源发展规划。</w:t>
            </w:r>
          </w:p>
          <w:p>
            <w:pPr>
              <w:autoSpaceDE w:val="0"/>
              <w:autoSpaceDN w:val="0"/>
              <w:adjustRightInd w:val="0"/>
              <w:snapToGrid w:val="0"/>
              <w:spacing w:before="120" w:beforeLines="50" w:after="120" w:afterLines="50" w:line="360" w:lineRule="auto"/>
              <w:rPr>
                <w:b/>
                <w:bCs/>
                <w:sz w:val="24"/>
              </w:rPr>
            </w:pPr>
            <w:r>
              <w:rPr>
                <w:b/>
                <w:bCs/>
                <w:sz w:val="24"/>
              </w:rPr>
              <w:t>1.</w:t>
            </w:r>
            <w:r>
              <w:rPr>
                <w:rFonts w:hint="eastAsia"/>
                <w:b/>
                <w:bCs/>
                <w:sz w:val="24"/>
              </w:rPr>
              <w:t>7</w:t>
            </w:r>
            <w:r>
              <w:rPr>
                <w:b/>
                <w:bCs/>
                <w:sz w:val="24"/>
              </w:rPr>
              <w:t>与《输变电建设项目环境保护技术要求》（HJ1113-2020）符合性分析</w:t>
            </w:r>
          </w:p>
          <w:p>
            <w:pPr>
              <w:autoSpaceDE w:val="0"/>
              <w:autoSpaceDN w:val="0"/>
              <w:adjustRightInd w:val="0"/>
              <w:snapToGrid w:val="0"/>
              <w:spacing w:line="360" w:lineRule="auto"/>
              <w:ind w:firstLine="480" w:firstLineChars="200"/>
              <w:rPr>
                <w:sz w:val="24"/>
              </w:rPr>
            </w:pPr>
            <w:r>
              <w:rPr>
                <w:sz w:val="24"/>
              </w:rPr>
              <w:t>项目与《输变电建设项目环境保护技术要求》（HJ1113-2020）符合性的分析判定结果见表1-</w:t>
            </w:r>
            <w:r>
              <w:rPr>
                <w:rFonts w:hint="eastAsia"/>
                <w:sz w:val="24"/>
              </w:rPr>
              <w:t>1</w:t>
            </w:r>
            <w:r>
              <w:rPr>
                <w:sz w:val="24"/>
              </w:rPr>
              <w:t>。</w:t>
            </w:r>
          </w:p>
          <w:p>
            <w:pPr>
              <w:pStyle w:val="49"/>
              <w:adjustRightInd w:val="0"/>
              <w:snapToGrid w:val="0"/>
              <w:spacing w:before="120" w:beforeLines="50" w:line="360" w:lineRule="auto"/>
              <w:ind w:left="0" w:firstLine="0" w:firstLineChars="0"/>
              <w:jc w:val="center"/>
              <w:rPr>
                <w:rFonts w:ascii="Times New Roman" w:hAnsi="Times New Roman" w:eastAsia="宋体"/>
                <w:b/>
                <w:bCs/>
                <w:sz w:val="21"/>
                <w:szCs w:val="21"/>
              </w:rPr>
            </w:pPr>
            <w:r>
              <w:rPr>
                <w:rFonts w:ascii="Times New Roman" w:hAnsi="Times New Roman" w:eastAsia="宋体"/>
                <w:b/>
                <w:bCs/>
                <w:sz w:val="21"/>
                <w:szCs w:val="21"/>
              </w:rPr>
              <w:t>表1-</w:t>
            </w:r>
            <w:r>
              <w:rPr>
                <w:rFonts w:hint="eastAsia" w:ascii="Times New Roman" w:hAnsi="Times New Roman" w:eastAsia="宋体"/>
                <w:b/>
                <w:bCs/>
                <w:sz w:val="21"/>
                <w:szCs w:val="21"/>
              </w:rPr>
              <w:t xml:space="preserve">1 </w:t>
            </w:r>
            <w:r>
              <w:rPr>
                <w:rFonts w:ascii="Times New Roman" w:hAnsi="Times New Roman" w:eastAsia="宋体"/>
                <w:b/>
                <w:bCs/>
                <w:sz w:val="21"/>
                <w:szCs w:val="21"/>
              </w:rPr>
              <w:t xml:space="preserve"> 项目与输变电建设项目环境保护技术要求分析判定结果一览表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2544"/>
              <w:gridCol w:w="3096"/>
              <w:gridCol w:w="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tcBorders>
                    <w:tl2br w:val="nil"/>
                    <w:tr2bl w:val="nil"/>
                  </w:tcBorders>
                  <w:vAlign w:val="center"/>
                </w:tcPr>
                <w:p>
                  <w:pPr>
                    <w:pStyle w:val="50"/>
                    <w:adjustRightInd w:val="0"/>
                    <w:snapToGrid w:val="0"/>
                    <w:spacing w:line="240" w:lineRule="auto"/>
                  </w:pPr>
                  <w:r>
                    <w:t>序号</w:t>
                  </w:r>
                </w:p>
              </w:tc>
              <w:tc>
                <w:tcPr>
                  <w:tcW w:w="1869" w:type="pct"/>
                  <w:tcBorders>
                    <w:tl2br w:val="nil"/>
                    <w:tr2bl w:val="nil"/>
                  </w:tcBorders>
                  <w:vAlign w:val="center"/>
                </w:tcPr>
                <w:p>
                  <w:pPr>
                    <w:pStyle w:val="50"/>
                    <w:adjustRightInd w:val="0"/>
                    <w:snapToGrid w:val="0"/>
                    <w:spacing w:line="240" w:lineRule="auto"/>
                  </w:pPr>
                  <w:r>
                    <w:t>标准要求</w:t>
                  </w:r>
                </w:p>
              </w:tc>
              <w:tc>
                <w:tcPr>
                  <w:tcW w:w="2274" w:type="pct"/>
                  <w:tcBorders>
                    <w:tl2br w:val="nil"/>
                    <w:tr2bl w:val="nil"/>
                  </w:tcBorders>
                  <w:vAlign w:val="center"/>
                </w:tcPr>
                <w:p>
                  <w:pPr>
                    <w:pStyle w:val="50"/>
                    <w:adjustRightInd w:val="0"/>
                    <w:snapToGrid w:val="0"/>
                    <w:spacing w:line="240" w:lineRule="auto"/>
                  </w:pPr>
                  <w:r>
                    <w:rPr>
                      <w:szCs w:val="21"/>
                    </w:rPr>
                    <w:t>本项目情况</w:t>
                  </w:r>
                </w:p>
              </w:tc>
              <w:tc>
                <w:tcPr>
                  <w:tcW w:w="429" w:type="pct"/>
                  <w:tcBorders>
                    <w:tl2br w:val="nil"/>
                    <w:tr2bl w:val="nil"/>
                  </w:tcBorders>
                  <w:vAlign w:val="center"/>
                </w:tcPr>
                <w:p>
                  <w:pPr>
                    <w:pStyle w:val="50"/>
                    <w:adjustRightInd w:val="0"/>
                    <w:snapToGrid w:val="0"/>
                    <w:spacing w:line="240" w:lineRule="auto"/>
                  </w:pPr>
                  <w:r>
                    <w:t>判定结果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restart"/>
                  <w:tcBorders>
                    <w:tl2br w:val="nil"/>
                    <w:tr2bl w:val="nil"/>
                  </w:tcBorders>
                  <w:vAlign w:val="center"/>
                </w:tcPr>
                <w:p>
                  <w:pPr>
                    <w:pStyle w:val="50"/>
                    <w:adjustRightInd w:val="0"/>
                    <w:snapToGrid w:val="0"/>
                    <w:spacing w:line="240" w:lineRule="auto"/>
                  </w:pPr>
                  <w:r>
                    <w:t>1.总体要求</w:t>
                  </w:r>
                </w:p>
              </w:tc>
              <w:tc>
                <w:tcPr>
                  <w:tcW w:w="1869" w:type="pct"/>
                  <w:tcBorders>
                    <w:tl2br w:val="nil"/>
                    <w:tr2bl w:val="nil"/>
                  </w:tcBorders>
                  <w:vAlign w:val="center"/>
                </w:tcPr>
                <w:p>
                  <w:pPr>
                    <w:widowControl/>
                    <w:adjustRightInd w:val="0"/>
                    <w:snapToGrid w:val="0"/>
                    <w:jc w:val="left"/>
                  </w:pPr>
                  <w:r>
                    <w:t>输变电建设项目的初步设计、施工图设计文件中应包含相关的环境保护内容，编制环境保护篇章、开展环境保护专项设计，落实防治环境污染和生态破坏的措施、设施及相应资金</w:t>
                  </w:r>
                </w:p>
              </w:tc>
              <w:tc>
                <w:tcPr>
                  <w:tcW w:w="2274" w:type="pct"/>
                  <w:tcBorders>
                    <w:tl2br w:val="nil"/>
                    <w:tr2bl w:val="nil"/>
                  </w:tcBorders>
                  <w:vAlign w:val="center"/>
                </w:tcPr>
                <w:p>
                  <w:pPr>
                    <w:pStyle w:val="50"/>
                    <w:adjustRightInd w:val="0"/>
                    <w:snapToGrid w:val="0"/>
                    <w:spacing w:line="240" w:lineRule="auto"/>
                  </w:pPr>
                  <w:r>
                    <w:t>项目可行性研究报告等设计资料中明确了施工期对施工扬尘、废水、噪声及生态保护采取的防治措施，运行期对电磁环境、声环境、水环境、固体废物等采取的防治措施；并有工程造价、资金来源及总体评价</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1869" w:type="pct"/>
                  <w:tcBorders>
                    <w:tl2br w:val="nil"/>
                    <w:tr2bl w:val="nil"/>
                  </w:tcBorders>
                  <w:vAlign w:val="center"/>
                </w:tcPr>
                <w:p>
                  <w:pPr>
                    <w:pStyle w:val="50"/>
                    <w:adjustRightInd w:val="0"/>
                    <w:snapToGrid w:val="0"/>
                    <w:spacing w:line="240" w:lineRule="auto"/>
                  </w:pPr>
                  <w:r>
                    <w:t>变电工程应设置足够容量的事故油池及其配套的拦截、防雨、防渗等措施和设施。一旦发生泄漏，应能及时进行拦截处理，确保油及油水混合物全部收集不外排</w:t>
                  </w:r>
                </w:p>
              </w:tc>
              <w:tc>
                <w:tcPr>
                  <w:tcW w:w="2274" w:type="pct"/>
                  <w:tcBorders>
                    <w:tl2br w:val="nil"/>
                    <w:tr2bl w:val="nil"/>
                  </w:tcBorders>
                  <w:vAlign w:val="center"/>
                </w:tcPr>
                <w:p>
                  <w:pPr>
                    <w:pStyle w:val="50"/>
                    <w:adjustRightInd w:val="0"/>
                    <w:snapToGrid w:val="0"/>
                    <w:spacing w:line="240" w:lineRule="auto"/>
                  </w:pPr>
                  <w:r>
                    <w:t>本项目</w:t>
                  </w:r>
                  <w:r>
                    <w:rPr>
                      <w:rFonts w:hint="eastAsia"/>
                    </w:rPr>
                    <w:t>330kV升压</w:t>
                  </w:r>
                  <w:r>
                    <w:t>站内新建一座</w:t>
                  </w:r>
                  <w:r>
                    <w:rPr>
                      <w:rFonts w:hint="eastAsia"/>
                    </w:rPr>
                    <w:t>100</w:t>
                  </w:r>
                  <w:r>
                    <w:t>m</w:t>
                  </w:r>
                  <w:r>
                    <w:rPr>
                      <w:vertAlign w:val="superscript"/>
                    </w:rPr>
                    <w:t>3</w:t>
                  </w:r>
                  <w:r>
                    <w:t>的地下式钢筋混凝土结构的事故油池，事故油池设计时考虑了拦截、防雨、防渗等措施，且能满足主变事故状态下的最大排油需要。发生事故时，排油经</w:t>
                  </w:r>
                  <w:r>
                    <w:rPr>
                      <w:rFonts w:hint="eastAsia"/>
                    </w:rPr>
                    <w:t>每台</w:t>
                  </w:r>
                  <w:r>
                    <w:t>主变下部的</w:t>
                  </w:r>
                  <w:r>
                    <w:rPr>
                      <w:rFonts w:hint="eastAsia"/>
                    </w:rPr>
                    <w:t>挡油设施（20</w:t>
                  </w:r>
                  <w:r>
                    <w:t>m</w:t>
                  </w:r>
                  <w:r>
                    <w:rPr>
                      <w:vertAlign w:val="superscript"/>
                    </w:rPr>
                    <w:t>3</w:t>
                  </w:r>
                  <w:r>
                    <w:rPr>
                      <w:rFonts w:hint="eastAsia"/>
                    </w:rPr>
                    <w:t>）</w:t>
                  </w:r>
                  <w:r>
                    <w:t>收集，并通过地下排油管道排入</w:t>
                  </w:r>
                  <w:r>
                    <w:rPr>
                      <w:rFonts w:hint="eastAsia"/>
                    </w:rPr>
                    <w:t>总</w:t>
                  </w:r>
                  <w:r>
                    <w:t>事故油池内，通过油水分离设施进行油水分离，变压器油由厂家回收，形成的油污水交由有危废处理资质的单位处置，不外排</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restart"/>
                  <w:tcBorders>
                    <w:tl2br w:val="nil"/>
                    <w:tr2bl w:val="nil"/>
                  </w:tcBorders>
                  <w:vAlign w:val="center"/>
                </w:tcPr>
                <w:p>
                  <w:pPr>
                    <w:pStyle w:val="50"/>
                    <w:adjustRightInd w:val="0"/>
                    <w:snapToGrid w:val="0"/>
                    <w:spacing w:line="240" w:lineRule="auto"/>
                  </w:pPr>
                  <w:r>
                    <w:t>2.电磁环境保护</w:t>
                  </w:r>
                </w:p>
              </w:tc>
              <w:tc>
                <w:tcPr>
                  <w:tcW w:w="1869" w:type="pct"/>
                  <w:tcBorders>
                    <w:tl2br w:val="nil"/>
                    <w:tr2bl w:val="nil"/>
                  </w:tcBorders>
                  <w:vAlign w:val="center"/>
                </w:tcPr>
                <w:p>
                  <w:pPr>
                    <w:widowControl/>
                    <w:adjustRightInd w:val="0"/>
                    <w:snapToGrid w:val="0"/>
                    <w:jc w:val="left"/>
                  </w:pPr>
                  <w:r>
                    <w:t>工程设计应对产生的工频电场、工频磁场、直流合成电场等电磁环境影响因子进行验算，采取相应防护措施，确保电磁环境影响满足国家标准要求</w:t>
                  </w:r>
                </w:p>
              </w:tc>
              <w:tc>
                <w:tcPr>
                  <w:tcW w:w="2274" w:type="pct"/>
                  <w:vMerge w:val="restart"/>
                  <w:tcBorders>
                    <w:tl2br w:val="nil"/>
                    <w:tr2bl w:val="nil"/>
                  </w:tcBorders>
                  <w:vAlign w:val="center"/>
                </w:tcPr>
                <w:p>
                  <w:pPr>
                    <w:pStyle w:val="50"/>
                    <w:adjustRightInd w:val="0"/>
                    <w:snapToGrid w:val="0"/>
                    <w:spacing w:line="240" w:lineRule="auto"/>
                  </w:pPr>
                  <w:r>
                    <w:t>本项目通过使用低电磁干扰的主变压器、做好变电站磁防护与屏蔽措施、合理选择配电架构 高度、对地和相间距离，控制设备间连线离地面的最低高度等以保证</w:t>
                  </w:r>
                  <w:r>
                    <w:rPr>
                      <w:rFonts w:hint="eastAsia"/>
                    </w:rPr>
                    <w:t>升压</w:t>
                  </w:r>
                  <w:r>
                    <w:t>站工频电场和磁感应强度符合标准</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1869" w:type="pct"/>
                  <w:tcBorders>
                    <w:tl2br w:val="nil"/>
                    <w:tr2bl w:val="nil"/>
                  </w:tcBorders>
                  <w:vAlign w:val="center"/>
                </w:tcPr>
                <w:p>
                  <w:pPr>
                    <w:widowControl/>
                    <w:adjustRightInd w:val="0"/>
                    <w:snapToGrid w:val="0"/>
                    <w:jc w:val="left"/>
                  </w:pPr>
                  <w:r>
                    <w:t>变电工程的布置设计应考虑进出线对周围电磁环境的影响</w:t>
                  </w:r>
                </w:p>
              </w:tc>
              <w:tc>
                <w:tcPr>
                  <w:tcW w:w="2274" w:type="pct"/>
                  <w:vMerge w:val="continue"/>
                  <w:tcBorders>
                    <w:tl2br w:val="nil"/>
                    <w:tr2bl w:val="nil"/>
                  </w:tcBorders>
                  <w:vAlign w:val="center"/>
                </w:tcPr>
                <w:p>
                  <w:pPr>
                    <w:pStyle w:val="50"/>
                    <w:adjustRightInd w:val="0"/>
                    <w:snapToGrid w:val="0"/>
                    <w:spacing w:line="240" w:lineRule="auto"/>
                  </w:pPr>
                </w:p>
              </w:tc>
              <w:tc>
                <w:tcPr>
                  <w:tcW w:w="429" w:type="pct"/>
                  <w:tcBorders>
                    <w:tl2br w:val="nil"/>
                    <w:tr2bl w:val="nil"/>
                  </w:tcBorders>
                  <w:vAlign w:val="center"/>
                </w:tcPr>
                <w:p>
                  <w:pPr>
                    <w:pStyle w:val="50"/>
                    <w:adjustRightInd w:val="0"/>
                    <w:snapToGrid w:val="0"/>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restart"/>
                  <w:tcBorders>
                    <w:tl2br w:val="nil"/>
                    <w:tr2bl w:val="nil"/>
                  </w:tcBorders>
                  <w:vAlign w:val="center"/>
                </w:tcPr>
                <w:p>
                  <w:pPr>
                    <w:pStyle w:val="50"/>
                    <w:adjustRightInd w:val="0"/>
                    <w:snapToGrid w:val="0"/>
                    <w:spacing w:line="240" w:lineRule="auto"/>
                  </w:pPr>
                  <w:r>
                    <w:t>3.声环境保护</w:t>
                  </w:r>
                </w:p>
              </w:tc>
              <w:tc>
                <w:tcPr>
                  <w:tcW w:w="1869" w:type="pct"/>
                  <w:tcBorders>
                    <w:tl2br w:val="nil"/>
                    <w:tr2bl w:val="nil"/>
                  </w:tcBorders>
                  <w:vAlign w:val="center"/>
                </w:tcPr>
                <w:p>
                  <w:pPr>
                    <w:widowControl/>
                    <w:adjustRightInd w:val="0"/>
                    <w:snapToGrid w:val="0"/>
                    <w:jc w:val="left"/>
                  </w:pPr>
                  <w:r>
                    <w:t>变电工程噪声控制设计应首先从噪声源强上进行控制，选择低噪声设备；对于声源上无法 根治的噪声，应采用隔声、吸声、消声、防振、减振等降噪措施，确保厂界排放噪声和周围声环境敏感目标分别满足GB12348和GB 3096要求</w:t>
                  </w:r>
                </w:p>
              </w:tc>
              <w:tc>
                <w:tcPr>
                  <w:tcW w:w="2274" w:type="pct"/>
                  <w:tcBorders>
                    <w:tl2br w:val="nil"/>
                    <w:tr2bl w:val="nil"/>
                  </w:tcBorders>
                  <w:vAlign w:val="center"/>
                </w:tcPr>
                <w:p>
                  <w:pPr>
                    <w:pStyle w:val="50"/>
                    <w:adjustRightInd w:val="0"/>
                    <w:snapToGrid w:val="0"/>
                    <w:spacing w:line="240" w:lineRule="auto"/>
                    <w:jc w:val="left"/>
                  </w:pPr>
                  <w:r>
                    <w:t>本项目设计阶段拟选择低噪声变压器，运营期对主变压器等产噪设备采取基础减振、合理布局等措施，降低汇集站运行对周边声环境的影响，本项目声环境评价范围内无声环境敏感目标</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1869" w:type="pct"/>
                  <w:tcBorders>
                    <w:tl2br w:val="nil"/>
                    <w:tr2bl w:val="nil"/>
                  </w:tcBorders>
                  <w:vAlign w:val="center"/>
                </w:tcPr>
                <w:p>
                  <w:pPr>
                    <w:widowControl/>
                    <w:adjustRightInd w:val="0"/>
                    <w:snapToGrid w:val="0"/>
                    <w:jc w:val="left"/>
                  </w:pPr>
                  <w:r>
                    <w:t>户外变电工程总体布置应综合考虑声环境影响因素，合理规划，利用建筑物、地形等阻挡噪声传播，减少对声环境敏感目标的影响</w:t>
                  </w:r>
                </w:p>
              </w:tc>
              <w:tc>
                <w:tcPr>
                  <w:tcW w:w="2274" w:type="pct"/>
                  <w:tcBorders>
                    <w:tl2br w:val="nil"/>
                    <w:tr2bl w:val="nil"/>
                  </w:tcBorders>
                  <w:vAlign w:val="center"/>
                </w:tcPr>
                <w:p>
                  <w:pPr>
                    <w:pStyle w:val="50"/>
                    <w:adjustRightInd w:val="0"/>
                    <w:snapToGrid w:val="0"/>
                    <w:spacing w:line="240" w:lineRule="auto"/>
                    <w:jc w:val="left"/>
                  </w:pPr>
                  <w:r>
                    <w:t>本项目评价范围内无声环境敏感目标，且</w:t>
                  </w:r>
                  <w:r>
                    <w:rPr>
                      <w:rFonts w:hint="eastAsia"/>
                    </w:rPr>
                    <w:t>升压</w:t>
                  </w:r>
                  <w:r>
                    <w:t>站总体布置综合考虑声环境影响因素，进行平面布置优化</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1869" w:type="pct"/>
                  <w:tcBorders>
                    <w:tl2br w:val="nil"/>
                    <w:tr2bl w:val="nil"/>
                  </w:tcBorders>
                  <w:vAlign w:val="center"/>
                </w:tcPr>
                <w:p>
                  <w:pPr>
                    <w:widowControl/>
                    <w:adjustRightInd w:val="0"/>
                    <w:snapToGrid w:val="0"/>
                    <w:jc w:val="left"/>
                  </w:pPr>
                  <w:r>
                    <w:t>户外变电工程在设计过程中应进行平面布置优化，将主变压器、换流变压器、高压电抗器等主要声源设备布置在站址中央区域或远离站外声环境敏感目标侧的区域</w:t>
                  </w:r>
                </w:p>
              </w:tc>
              <w:tc>
                <w:tcPr>
                  <w:tcW w:w="2274" w:type="pct"/>
                  <w:tcBorders>
                    <w:tl2br w:val="nil"/>
                    <w:tr2bl w:val="nil"/>
                  </w:tcBorders>
                  <w:vAlign w:val="center"/>
                </w:tcPr>
                <w:p>
                  <w:pPr>
                    <w:pStyle w:val="50"/>
                    <w:adjustRightInd w:val="0"/>
                    <w:snapToGrid w:val="0"/>
                    <w:spacing w:line="240" w:lineRule="auto"/>
                    <w:jc w:val="left"/>
                  </w:pPr>
                  <w:r>
                    <w:rPr>
                      <w:rFonts w:hint="eastAsia"/>
                    </w:rPr>
                    <w:t>升压</w:t>
                  </w:r>
                  <w:r>
                    <w:t>站总体布置综合考虑声环境影响因素，进行平面布置优化，且</w:t>
                  </w:r>
                  <w:r>
                    <w:rPr>
                      <w:rFonts w:hint="eastAsia"/>
                    </w:rPr>
                    <w:t>项目</w:t>
                  </w:r>
                  <w:r>
                    <w:t>评价范围内无声环境敏感目标</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1869" w:type="pct"/>
                  <w:tcBorders>
                    <w:tl2br w:val="nil"/>
                    <w:tr2bl w:val="nil"/>
                  </w:tcBorders>
                </w:tcPr>
                <w:p>
                  <w:pPr>
                    <w:adjustRightInd w:val="0"/>
                    <w:snapToGrid w:val="0"/>
                  </w:pPr>
                  <w:r>
                    <w:t>变电工程位于1类或周围噪声敏感建筑物较多的2类声环境功能区时，建设单位应严格控制主变压器、换流变压器、高压电抗器等主要噪声源的噪声水平，并在满足GB12348的基础上保留适当裕度</w:t>
                  </w:r>
                </w:p>
              </w:tc>
              <w:tc>
                <w:tcPr>
                  <w:tcW w:w="2274" w:type="pct"/>
                  <w:tcBorders>
                    <w:tl2br w:val="nil"/>
                    <w:tr2bl w:val="nil"/>
                  </w:tcBorders>
                </w:tcPr>
                <w:p>
                  <w:pPr>
                    <w:adjustRightInd w:val="0"/>
                    <w:snapToGrid w:val="0"/>
                  </w:pPr>
                  <w:r>
                    <w:t>本项目</w:t>
                  </w:r>
                  <w:r>
                    <w:rPr>
                      <w:rFonts w:hint="eastAsia"/>
                    </w:rPr>
                    <w:t>区域声环境执行2</w:t>
                  </w:r>
                  <w:r>
                    <w:t>类</w:t>
                  </w:r>
                  <w:r>
                    <w:rPr>
                      <w:rFonts w:hint="eastAsia"/>
                    </w:rPr>
                    <w:t>标准</w:t>
                  </w:r>
                  <w:r>
                    <w:t>；且</w:t>
                  </w:r>
                  <w:r>
                    <w:rPr>
                      <w:rFonts w:hint="eastAsia"/>
                    </w:rPr>
                    <w:t>项目</w:t>
                  </w:r>
                  <w:r>
                    <w:t>评价范围内无声环境敏感目标</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1869" w:type="pct"/>
                  <w:tcBorders>
                    <w:tl2br w:val="nil"/>
                    <w:tr2bl w:val="nil"/>
                  </w:tcBorders>
                </w:tcPr>
                <w:p>
                  <w:pPr>
                    <w:adjustRightInd w:val="0"/>
                    <w:snapToGrid w:val="0"/>
                  </w:pPr>
                  <w:r>
                    <w:t>变电工程应采取降低低频噪声影响的防治措施，以减少噪声扰民</w:t>
                  </w:r>
                </w:p>
              </w:tc>
              <w:tc>
                <w:tcPr>
                  <w:tcW w:w="2274" w:type="pct"/>
                  <w:tcBorders>
                    <w:tl2br w:val="nil"/>
                    <w:tr2bl w:val="nil"/>
                  </w:tcBorders>
                </w:tcPr>
                <w:p>
                  <w:pPr>
                    <w:adjustRightInd w:val="0"/>
                    <w:snapToGrid w:val="0"/>
                  </w:pPr>
                  <w:r>
                    <w:t>本项目设计阶段拟选用低噪声变压器，优化平面布局以降低低频噪声影响，且项目评价范围内无声环境敏感目标</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 w:hRule="atLeast"/>
                <w:tblHeader/>
                <w:jc w:val="center"/>
              </w:trPr>
              <w:tc>
                <w:tcPr>
                  <w:tcW w:w="426" w:type="pct"/>
                  <w:vMerge w:val="restart"/>
                  <w:tcBorders>
                    <w:tl2br w:val="nil"/>
                    <w:tr2bl w:val="nil"/>
                  </w:tcBorders>
                  <w:vAlign w:val="center"/>
                </w:tcPr>
                <w:p>
                  <w:pPr>
                    <w:pStyle w:val="50"/>
                    <w:adjustRightInd w:val="0"/>
                    <w:snapToGrid w:val="0"/>
                    <w:spacing w:line="240" w:lineRule="auto"/>
                  </w:pPr>
                  <w:r>
                    <w:t>4.生态环境保护</w:t>
                  </w:r>
                </w:p>
              </w:tc>
              <w:tc>
                <w:tcPr>
                  <w:tcW w:w="1869" w:type="pct"/>
                  <w:tcBorders>
                    <w:tl2br w:val="nil"/>
                    <w:tr2bl w:val="nil"/>
                  </w:tcBorders>
                  <w:vAlign w:val="center"/>
                </w:tcPr>
                <w:p>
                  <w:pPr>
                    <w:widowControl/>
                    <w:adjustRightInd w:val="0"/>
                    <w:snapToGrid w:val="0"/>
                    <w:jc w:val="left"/>
                  </w:pPr>
                  <w:r>
                    <w:t>输变电建设项目在设计过程中应按照避让、减缓、恢复的次序提出生态影响防护与恢复的措施</w:t>
                  </w:r>
                </w:p>
              </w:tc>
              <w:tc>
                <w:tcPr>
                  <w:tcW w:w="2274" w:type="pct"/>
                  <w:tcBorders>
                    <w:tl2br w:val="nil"/>
                    <w:tr2bl w:val="nil"/>
                  </w:tcBorders>
                </w:tcPr>
                <w:p>
                  <w:pPr>
                    <w:adjustRightInd w:val="0"/>
                    <w:snapToGrid w:val="0"/>
                  </w:pPr>
                  <w:r>
                    <w:t>本项目设计阶段即按照避让、减缓、恢复的次序考虑生态环境影响防护与恢复措施。</w:t>
                  </w:r>
                </w:p>
                <w:p>
                  <w:pPr>
                    <w:adjustRightInd w:val="0"/>
                    <w:snapToGrid w:val="0"/>
                  </w:pPr>
                  <w:r>
                    <w:t>项目设置有1处临时堆土场（</w:t>
                  </w:r>
                  <w:r>
                    <w:rPr>
                      <w:rFonts w:hint="eastAsia"/>
                    </w:rPr>
                    <w:t>8</w:t>
                  </w:r>
                  <w:r>
                    <w:t>00m</w:t>
                  </w:r>
                  <w:r>
                    <w:rPr>
                      <w:vertAlign w:val="superscript"/>
                    </w:rPr>
                    <w:t>2</w:t>
                  </w:r>
                  <w:r>
                    <w:t>）</w:t>
                  </w:r>
                  <w:r>
                    <w:rPr>
                      <w:rFonts w:hint="eastAsia"/>
                    </w:rPr>
                    <w:t>，</w:t>
                  </w:r>
                  <w:r>
                    <w:rPr>
                      <w:rFonts w:hint="eastAsia"/>
                      <w:color w:val="FF0000"/>
                    </w:rPr>
                    <w:t>1处牵张场</w:t>
                  </w:r>
                  <w:r>
                    <w:rPr>
                      <w:color w:val="FF0000"/>
                    </w:rPr>
                    <w:t>（</w:t>
                  </w:r>
                  <w:r>
                    <w:rPr>
                      <w:rFonts w:hint="eastAsia"/>
                      <w:color w:val="FF0000"/>
                    </w:rPr>
                    <w:t>1</w:t>
                  </w:r>
                  <w:r>
                    <w:rPr>
                      <w:color w:val="FF0000"/>
                    </w:rPr>
                    <w:t>00m</w:t>
                  </w:r>
                  <w:r>
                    <w:rPr>
                      <w:color w:val="FF0000"/>
                      <w:vertAlign w:val="superscript"/>
                    </w:rPr>
                    <w:t>2</w:t>
                  </w:r>
                  <w:r>
                    <w:rPr>
                      <w:color w:val="FF0000"/>
                    </w:rPr>
                    <w:t>），</w:t>
                  </w:r>
                  <w:r>
                    <w:t>其余施工活动均在站址范围内，尽量减缓了建设施工过程对生态环境的影响；再次，项目施工结束后将对临时用地进行生态恢复，主要包括土地平整、表土回覆、洒水结皮、播撒草籽等措施</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vMerge w:val="continue"/>
                  <w:tcBorders>
                    <w:tl2br w:val="nil"/>
                    <w:tr2bl w:val="nil"/>
                  </w:tcBorders>
                  <w:vAlign w:val="center"/>
                </w:tcPr>
                <w:p>
                  <w:pPr>
                    <w:pStyle w:val="50"/>
                    <w:adjustRightInd w:val="0"/>
                    <w:snapToGrid w:val="0"/>
                    <w:spacing w:line="240" w:lineRule="auto"/>
                  </w:pPr>
                </w:p>
              </w:tc>
              <w:tc>
                <w:tcPr>
                  <w:tcW w:w="2544" w:type="dxa"/>
                  <w:tcBorders>
                    <w:tl2br w:val="nil"/>
                    <w:tr2bl w:val="nil"/>
                  </w:tcBorders>
                  <w:vAlign w:val="center"/>
                </w:tcPr>
                <w:p>
                  <w:pPr>
                    <w:widowControl/>
                    <w:adjustRightInd w:val="0"/>
                    <w:snapToGrid w:val="0"/>
                    <w:jc w:val="left"/>
                  </w:pPr>
                  <w:r>
                    <w:t>输变电建设项目临时占地，应因地制宜进行土地功能恢复设计</w:t>
                  </w:r>
                </w:p>
              </w:tc>
              <w:tc>
                <w:tcPr>
                  <w:tcW w:w="3096" w:type="dxa"/>
                  <w:tcBorders>
                    <w:tl2br w:val="nil"/>
                    <w:tr2bl w:val="nil"/>
                  </w:tcBorders>
                </w:tcPr>
                <w:p>
                  <w:pPr>
                    <w:adjustRightInd w:val="0"/>
                    <w:snapToGrid w:val="0"/>
                  </w:pPr>
                  <w:r>
                    <w:t>本项目施工结束后通过表土回覆、撒播草籽、洒水结皮等措施恢复临时占地，使其恢复至原有地貌水平</w:t>
                  </w:r>
                </w:p>
              </w:tc>
              <w:tc>
                <w:tcPr>
                  <w:tcW w:w="429" w:type="pct"/>
                  <w:tcBorders>
                    <w:tl2br w:val="nil"/>
                    <w:tr2bl w:val="nil"/>
                  </w:tcBorders>
                  <w:vAlign w:val="center"/>
                </w:tcPr>
                <w:p>
                  <w:pPr>
                    <w:pStyle w:val="50"/>
                    <w:adjustRightInd w:val="0"/>
                    <w:snapToGrid w:val="0"/>
                    <w:spacing w:line="240" w:lineRule="auto"/>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tcBorders>
                    <w:tl2br w:val="nil"/>
                    <w:tr2bl w:val="nil"/>
                  </w:tcBorders>
                  <w:vAlign w:val="center"/>
                </w:tcPr>
                <w:p>
                  <w:pPr>
                    <w:pStyle w:val="50"/>
                    <w:adjustRightInd w:val="0"/>
                    <w:snapToGrid w:val="0"/>
                    <w:spacing w:line="240" w:lineRule="auto"/>
                  </w:pPr>
                  <w:r>
                    <w:t>5.水环境保护</w:t>
                  </w:r>
                </w:p>
              </w:tc>
              <w:tc>
                <w:tcPr>
                  <w:tcW w:w="1869" w:type="pct"/>
                  <w:tcBorders>
                    <w:tl2br w:val="nil"/>
                    <w:tr2bl w:val="nil"/>
                  </w:tcBorders>
                  <w:vAlign w:val="center"/>
                </w:tcPr>
                <w:p>
                  <w:pPr>
                    <w:widowControl/>
                    <w:adjustRightInd w:val="0"/>
                    <w:snapToGrid w:val="0"/>
                    <w:jc w:val="left"/>
                  </w:pPr>
                  <w:r>
                    <w:t>变电工程应采取节水措施，加强水的重复利用，减少废（污）水排放。雨水和生活污水应采取分流制；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2274" w:type="pct"/>
                  <w:tcBorders>
                    <w:tl2br w:val="nil"/>
                    <w:tr2bl w:val="nil"/>
                  </w:tcBorders>
                  <w:vAlign w:val="center"/>
                </w:tcPr>
                <w:p>
                  <w:pPr>
                    <w:pStyle w:val="50"/>
                    <w:adjustRightInd w:val="0"/>
                    <w:snapToGrid w:val="0"/>
                    <w:spacing w:line="240" w:lineRule="auto"/>
                    <w:jc w:val="left"/>
                  </w:pPr>
                  <w:r>
                    <w:t>本项目给水</w:t>
                  </w:r>
                  <w:r>
                    <w:rPr>
                      <w:rFonts w:hint="eastAsia"/>
                    </w:rPr>
                    <w:t>由附近水源拉运</w:t>
                  </w:r>
                  <w:r>
                    <w:t>，排水方式采用分流制排水系统，全站雨水经雨水口收集，通过雨水排水管网排至站外；</w:t>
                  </w:r>
                  <w:r>
                    <w:rPr>
                      <w:rFonts w:hint="eastAsia"/>
                    </w:rPr>
                    <w:t>运营期设置巡检人员</w:t>
                  </w:r>
                  <w:r>
                    <w:t>，人员产生的生活污水经过管网进入化粪池（规格</w:t>
                  </w:r>
                  <w:r>
                    <w:rPr>
                      <w:rFonts w:hint="eastAsia"/>
                    </w:rPr>
                    <w:t>5</w:t>
                  </w:r>
                  <w:r>
                    <w:t>m</w:t>
                  </w:r>
                  <w:r>
                    <w:rPr>
                      <w:vertAlign w:val="superscript"/>
                    </w:rPr>
                    <w:t>3</w:t>
                  </w:r>
                  <w:r>
                    <w:t>）预处理，</w:t>
                  </w:r>
                  <w:r>
                    <w:rPr>
                      <w:rFonts w:hint="eastAsia"/>
                    </w:rPr>
                    <w:t>采用吸污车</w:t>
                  </w:r>
                  <w:r>
                    <w:t>定期抽出运至</w:t>
                  </w:r>
                  <w:r>
                    <w:rPr>
                      <w:rFonts w:hint="eastAsia"/>
                    </w:rPr>
                    <w:t>民乐生态工业园区第一</w:t>
                  </w:r>
                  <w:r>
                    <w:t>污水处理厂</w:t>
                  </w:r>
                </w:p>
              </w:tc>
              <w:tc>
                <w:tcPr>
                  <w:tcW w:w="429" w:type="pct"/>
                  <w:tcBorders>
                    <w:tl2br w:val="nil"/>
                    <w:tr2bl w:val="nil"/>
                  </w:tcBorders>
                  <w:vAlign w:val="center"/>
                </w:tcPr>
                <w:p>
                  <w:pPr>
                    <w:pStyle w:val="50"/>
                    <w:adjustRightInd w:val="0"/>
                    <w:snapToGrid w:val="0"/>
                    <w:spacing w:line="240" w:lineRule="auto"/>
                  </w:pPr>
                  <w:r>
                    <w:t>符合</w:t>
                  </w:r>
                </w:p>
              </w:tc>
            </w:tr>
          </w:tbl>
          <w:p/>
          <w:p/>
          <w:p/>
          <w:p/>
          <w:p/>
          <w:p/>
          <w:p/>
          <w:p/>
          <w:p/>
          <w:p/>
          <w:p/>
          <w:p/>
          <w:p/>
          <w:p/>
          <w:p/>
          <w:p/>
          <w:p/>
          <w:p/>
          <w:p/>
          <w:p/>
          <w:p/>
          <w:p/>
          <w:p/>
          <w:p/>
          <w:p/>
          <w:p/>
          <w:p/>
          <w:p/>
          <w:p/>
          <w:p/>
          <w:p/>
          <w:p/>
        </w:tc>
      </w:tr>
    </w:tbl>
    <w:p>
      <w:pPr>
        <w:spacing w:line="360" w:lineRule="auto"/>
        <w:rPr>
          <w:rFonts w:eastAsia="黑体"/>
          <w:sz w:val="30"/>
        </w:rPr>
        <w:sectPr>
          <w:footerReference r:id="rId5" w:type="default"/>
          <w:pgSz w:w="11905" w:h="16838"/>
          <w:pgMar w:top="1417" w:right="1417" w:bottom="1417" w:left="1417" w:header="851" w:footer="992" w:gutter="0"/>
          <w:pgNumType w:start="1"/>
          <w:cols w:space="720" w:num="1"/>
          <w:docGrid w:linePitch="312" w:charSpace="0"/>
        </w:sectPr>
      </w:pPr>
    </w:p>
    <w:p>
      <w:pPr>
        <w:pStyle w:val="20"/>
        <w:adjustRightInd w:val="0"/>
        <w:snapToGrid w:val="0"/>
        <w:spacing w:before="120" w:beforeLines="50" w:beforeAutospacing="0" w:after="120" w:afterLines="50" w:afterAutospacing="0" w:line="360" w:lineRule="auto"/>
        <w:jc w:val="center"/>
        <w:outlineLvl w:val="0"/>
        <w:rPr>
          <w:rFonts w:ascii="黑体" w:hAnsi="黑体" w:eastAsia="黑体"/>
          <w:snapToGrid w:val="0"/>
          <w:sz w:val="30"/>
          <w:szCs w:val="30"/>
        </w:rPr>
      </w:pPr>
      <w:bookmarkStart w:id="5" w:name="_Toc30620"/>
      <w:r>
        <w:rPr>
          <w:rFonts w:hint="eastAsia" w:ascii="黑体" w:hAnsi="黑体" w:eastAsia="黑体"/>
          <w:snapToGrid w:val="0"/>
          <w:sz w:val="30"/>
          <w:szCs w:val="30"/>
        </w:rPr>
        <w:t>二、建设内容</w:t>
      </w:r>
      <w:bookmarkEnd w:id="5"/>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3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10" w:type="dxa"/>
            <w:vAlign w:val="center"/>
          </w:tcPr>
          <w:p>
            <w:pPr>
              <w:adjustRightInd w:val="0"/>
              <w:snapToGrid w:val="0"/>
              <w:jc w:val="center"/>
              <w:rPr>
                <w:kern w:val="0"/>
                <w:szCs w:val="21"/>
              </w:rPr>
            </w:pPr>
            <w:r>
              <w:rPr>
                <w:kern w:val="0"/>
                <w:szCs w:val="21"/>
              </w:rPr>
              <w:t>地理位置</w:t>
            </w:r>
          </w:p>
        </w:tc>
        <w:tc>
          <w:tcPr>
            <w:tcW w:w="8380" w:type="dxa"/>
            <w:vAlign w:val="center"/>
          </w:tcPr>
          <w:p>
            <w:pPr>
              <w:adjustRightInd w:val="0"/>
              <w:snapToGrid w:val="0"/>
              <w:spacing w:line="360" w:lineRule="auto"/>
              <w:ind w:firstLine="480" w:firstLineChars="200"/>
              <w:rPr>
                <w:kern w:val="0"/>
                <w:sz w:val="24"/>
              </w:rPr>
            </w:pPr>
            <w:r>
              <w:rPr>
                <w:rFonts w:hint="eastAsia"/>
                <w:kern w:val="0"/>
                <w:sz w:val="24"/>
              </w:rPr>
              <w:t>民乐县500MW/1000MWh共享储能电站项目</w:t>
            </w:r>
            <w:r>
              <w:rPr>
                <w:kern w:val="0"/>
                <w:sz w:val="24"/>
              </w:rPr>
              <w:t>位于张掖市</w:t>
            </w:r>
            <w:r>
              <w:rPr>
                <w:rFonts w:hint="eastAsia"/>
                <w:kern w:val="0"/>
                <w:sz w:val="24"/>
              </w:rPr>
              <w:t>民乐县</w:t>
            </w:r>
            <w:r>
              <w:rPr>
                <w:rFonts w:hint="eastAsia"/>
                <w:sz w:val="24"/>
              </w:rPr>
              <w:t>六坝镇</w:t>
            </w:r>
            <w:r>
              <w:rPr>
                <w:rFonts w:hint="eastAsia"/>
                <w:kern w:val="0"/>
                <w:sz w:val="24"/>
              </w:rPr>
              <w:t>顺化330kV变电站西南侧</w:t>
            </w:r>
            <w:r>
              <w:rPr>
                <w:kern w:val="0"/>
                <w:sz w:val="24"/>
              </w:rPr>
              <w:t>，站址距民乐县城约28km，距张掖市</w:t>
            </w:r>
            <w:r>
              <w:rPr>
                <w:rFonts w:hint="eastAsia"/>
                <w:kern w:val="0"/>
                <w:sz w:val="24"/>
              </w:rPr>
              <w:t>市区</w:t>
            </w:r>
            <w:r>
              <w:rPr>
                <w:kern w:val="0"/>
                <w:sz w:val="24"/>
              </w:rPr>
              <w:t>约38km，站区中心坐标为</w:t>
            </w:r>
            <w:r>
              <w:rPr>
                <w:sz w:val="24"/>
              </w:rPr>
              <w:t>N38°41′</w:t>
            </w:r>
            <w:r>
              <w:rPr>
                <w:rFonts w:hint="eastAsia"/>
                <w:sz w:val="24"/>
              </w:rPr>
              <w:t>1.1</w:t>
            </w:r>
            <w:r>
              <w:rPr>
                <w:sz w:val="24"/>
              </w:rPr>
              <w:t>″，E100°</w:t>
            </w:r>
            <w:r>
              <w:rPr>
                <w:rFonts w:hint="eastAsia"/>
                <w:sz w:val="24"/>
              </w:rPr>
              <w:t>44</w:t>
            </w:r>
            <w:r>
              <w:rPr>
                <w:sz w:val="24"/>
              </w:rPr>
              <w:t>′</w:t>
            </w:r>
            <w:r>
              <w:rPr>
                <w:rFonts w:hint="eastAsia"/>
                <w:sz w:val="24"/>
              </w:rPr>
              <w:t>48.5</w:t>
            </w:r>
            <w:r>
              <w:rPr>
                <w:sz w:val="24"/>
              </w:rPr>
              <w:t>″</w:t>
            </w:r>
            <w:r>
              <w:rPr>
                <w:kern w:val="0"/>
                <w:sz w:val="24"/>
              </w:rPr>
              <w:t>。站址西</w:t>
            </w:r>
            <w:r>
              <w:rPr>
                <w:rFonts w:hint="eastAsia"/>
                <w:kern w:val="0"/>
                <w:sz w:val="24"/>
              </w:rPr>
              <w:t>北</w:t>
            </w:r>
            <w:r>
              <w:rPr>
                <w:kern w:val="0"/>
                <w:sz w:val="24"/>
              </w:rPr>
              <w:t>侧</w:t>
            </w:r>
            <w:r>
              <w:rPr>
                <w:rFonts w:hint="eastAsia"/>
                <w:kern w:val="0"/>
                <w:sz w:val="24"/>
              </w:rPr>
              <w:t>邻</w:t>
            </w:r>
            <w:r>
              <w:rPr>
                <w:rFonts w:hint="eastAsia"/>
                <w:sz w:val="24"/>
              </w:rPr>
              <w:t>县道X201</w:t>
            </w:r>
            <w:r>
              <w:rPr>
                <w:kern w:val="0"/>
                <w:sz w:val="24"/>
              </w:rPr>
              <w:t>，可通至项目场区，</w:t>
            </w:r>
            <w:r>
              <w:rPr>
                <w:rFonts w:hint="eastAsia"/>
                <w:sz w:val="24"/>
              </w:rPr>
              <w:t>县道X201与六东一级公路及国道G227相连通</w:t>
            </w:r>
            <w:r>
              <w:rPr>
                <w:kern w:val="0"/>
                <w:sz w:val="24"/>
              </w:rPr>
              <w:t>，站址交通运输条件便利。项目地理位置见附图</w:t>
            </w:r>
            <w:r>
              <w:rPr>
                <w:rFonts w:hint="eastAsia"/>
                <w:kern w:val="0"/>
                <w:sz w:val="24"/>
              </w:rPr>
              <w:t>3</w:t>
            </w:r>
            <w:r>
              <w:rPr>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10" w:type="dxa"/>
            <w:vAlign w:val="center"/>
          </w:tcPr>
          <w:p>
            <w:pPr>
              <w:adjustRightInd w:val="0"/>
              <w:snapToGrid w:val="0"/>
              <w:jc w:val="center"/>
              <w:rPr>
                <w:kern w:val="0"/>
                <w:szCs w:val="21"/>
              </w:rPr>
            </w:pPr>
            <w:r>
              <w:rPr>
                <w:kern w:val="0"/>
                <w:szCs w:val="21"/>
              </w:rPr>
              <w:t>项目组成及规模</w:t>
            </w:r>
          </w:p>
        </w:tc>
        <w:tc>
          <w:tcPr>
            <w:tcW w:w="8380" w:type="dxa"/>
          </w:tcPr>
          <w:p>
            <w:pPr>
              <w:adjustRightInd w:val="0"/>
              <w:snapToGrid w:val="0"/>
              <w:spacing w:before="120" w:beforeLines="50" w:after="120" w:afterLines="50" w:line="360" w:lineRule="auto"/>
              <w:rPr>
                <w:b/>
                <w:bCs/>
                <w:sz w:val="24"/>
              </w:rPr>
            </w:pPr>
            <w:r>
              <w:rPr>
                <w:b/>
                <w:bCs/>
                <w:sz w:val="24"/>
              </w:rPr>
              <w:t>2.1项目建设内容</w:t>
            </w:r>
          </w:p>
          <w:p>
            <w:pPr>
              <w:adjustRightInd w:val="0"/>
              <w:snapToGrid w:val="0"/>
              <w:spacing w:before="120" w:beforeLines="50" w:after="120" w:afterLines="50" w:line="360" w:lineRule="auto"/>
              <w:rPr>
                <w:b/>
                <w:bCs/>
                <w:sz w:val="24"/>
              </w:rPr>
            </w:pPr>
            <w:r>
              <w:rPr>
                <w:rFonts w:hint="eastAsia"/>
                <w:b/>
                <w:bCs/>
                <w:sz w:val="24"/>
              </w:rPr>
              <w:t>2.1.1建设规模</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民乐县</w:t>
            </w:r>
            <w:r>
              <w:rPr>
                <w:rFonts w:hint="eastAsia"/>
                <w:color w:val="FF0000"/>
                <w:kern w:val="0"/>
                <w:sz w:val="24"/>
              </w:rPr>
              <w:t>500MW/1000MWh共享储能电站项目建设总规模为500MW/1000MWh，项目分一期、二期建设，其中一期工程储能规模为</w:t>
            </w:r>
            <w:r>
              <w:rPr>
                <w:rFonts w:hint="eastAsia"/>
                <w:snapToGrid w:val="0"/>
                <w:color w:val="FF0000"/>
                <w:kern w:val="24"/>
                <w:sz w:val="24"/>
              </w:rPr>
              <w:t>150MW/300MWh，以一回330kV出线接入顺化330kV变电站，同时配套建设1座330kV升压站，二期工程储能</w:t>
            </w:r>
            <w:r>
              <w:rPr>
                <w:rFonts w:hint="eastAsia"/>
                <w:color w:val="FF0000"/>
                <w:kern w:val="0"/>
                <w:sz w:val="24"/>
              </w:rPr>
              <w:t>规模为</w:t>
            </w:r>
            <w:r>
              <w:rPr>
                <w:rFonts w:hint="eastAsia"/>
                <w:snapToGrid w:val="0"/>
                <w:color w:val="FF0000"/>
                <w:kern w:val="24"/>
                <w:sz w:val="24"/>
              </w:rPr>
              <w:t>350MW/700MWh。本次评价按终期规模进行评价。</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（1）储能规模</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终期规模：</w:t>
            </w:r>
            <w:r>
              <w:rPr>
                <w:snapToGrid w:val="0"/>
                <w:color w:val="FF0000"/>
                <w:kern w:val="24"/>
                <w:sz w:val="24"/>
              </w:rPr>
              <w:t>500MW/1000MWh</w:t>
            </w:r>
            <w:r>
              <w:rPr>
                <w:rFonts w:hint="eastAsia"/>
                <w:snapToGrid w:val="0"/>
                <w:color w:val="FF0000"/>
                <w:kern w:val="24"/>
                <w:sz w:val="24"/>
              </w:rPr>
              <w:t>，其中一期工程规模为：150MW/300MWh；二期工程规模为350MW/700MWh</w:t>
            </w:r>
            <w:r>
              <w:rPr>
                <w:snapToGrid w:val="0"/>
                <w:color w:val="FF0000"/>
                <w:kern w:val="24"/>
                <w:sz w:val="24"/>
              </w:rPr>
              <w:t>。</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（2）</w:t>
            </w:r>
            <w:r>
              <w:rPr>
                <w:snapToGrid w:val="0"/>
                <w:color w:val="FF0000"/>
                <w:kern w:val="24"/>
                <w:sz w:val="24"/>
              </w:rPr>
              <w:t>主变规模</w:t>
            </w:r>
          </w:p>
          <w:p>
            <w:pPr>
              <w:adjustRightInd w:val="0"/>
              <w:snapToGrid w:val="0"/>
              <w:spacing w:line="360" w:lineRule="auto"/>
              <w:ind w:firstLine="480" w:firstLineChars="200"/>
              <w:rPr>
                <w:snapToGrid w:val="0"/>
                <w:color w:val="FF0000"/>
                <w:kern w:val="24"/>
                <w:sz w:val="24"/>
              </w:rPr>
            </w:pPr>
            <w:r>
              <w:rPr>
                <w:snapToGrid w:val="0"/>
                <w:color w:val="FF0000"/>
                <w:kern w:val="24"/>
                <w:sz w:val="24"/>
              </w:rPr>
              <w:t>储能电站配套新建一座330kV</w:t>
            </w:r>
            <w:r>
              <w:rPr>
                <w:rFonts w:hint="eastAsia"/>
                <w:snapToGrid w:val="0"/>
                <w:color w:val="FF0000"/>
                <w:kern w:val="24"/>
                <w:sz w:val="24"/>
              </w:rPr>
              <w:t>升压站（一期工程建设），升压站</w:t>
            </w:r>
            <w:r>
              <w:rPr>
                <w:snapToGrid w:val="0"/>
                <w:color w:val="FF0000"/>
                <w:kern w:val="24"/>
                <w:sz w:val="24"/>
              </w:rPr>
              <w:t>内</w:t>
            </w:r>
            <w:r>
              <w:rPr>
                <w:rFonts w:hint="eastAsia"/>
                <w:snapToGrid w:val="0"/>
                <w:color w:val="FF0000"/>
                <w:kern w:val="24"/>
                <w:sz w:val="24"/>
              </w:rPr>
              <w:t>终期</w:t>
            </w:r>
            <w:r>
              <w:rPr>
                <w:snapToGrid w:val="0"/>
                <w:color w:val="FF0000"/>
                <w:kern w:val="24"/>
                <w:sz w:val="24"/>
              </w:rPr>
              <w:t>规划</w:t>
            </w:r>
            <w:r>
              <w:rPr>
                <w:rFonts w:hint="eastAsia"/>
                <w:snapToGrid w:val="0"/>
                <w:color w:val="FF0000"/>
                <w:kern w:val="24"/>
                <w:sz w:val="24"/>
              </w:rPr>
              <w:t>建设两台</w:t>
            </w:r>
            <w:r>
              <w:rPr>
                <w:snapToGrid w:val="0"/>
                <w:color w:val="FF0000"/>
                <w:kern w:val="24"/>
                <w:sz w:val="24"/>
              </w:rPr>
              <w:t>主变1×240MVA+1×360MVA</w:t>
            </w:r>
            <w:r>
              <w:rPr>
                <w:rFonts w:hint="eastAsia"/>
                <w:snapToGrid w:val="0"/>
                <w:color w:val="FF0000"/>
                <w:kern w:val="24"/>
                <w:sz w:val="24"/>
              </w:rPr>
              <w:t>。其中一期工程建设1台</w:t>
            </w:r>
            <w:r>
              <w:rPr>
                <w:snapToGrid w:val="0"/>
                <w:color w:val="FF0000"/>
                <w:kern w:val="24"/>
                <w:sz w:val="24"/>
              </w:rPr>
              <w:t>240MVA</w:t>
            </w:r>
            <w:r>
              <w:rPr>
                <w:rFonts w:hint="eastAsia"/>
                <w:snapToGrid w:val="0"/>
                <w:color w:val="FF0000"/>
                <w:kern w:val="24"/>
                <w:sz w:val="24"/>
              </w:rPr>
              <w:t>主变，二期工程建设1台360</w:t>
            </w:r>
            <w:r>
              <w:rPr>
                <w:snapToGrid w:val="0"/>
                <w:color w:val="FF0000"/>
                <w:kern w:val="24"/>
                <w:sz w:val="24"/>
              </w:rPr>
              <w:t>MVA</w:t>
            </w:r>
            <w:r>
              <w:rPr>
                <w:rFonts w:hint="eastAsia"/>
                <w:snapToGrid w:val="0"/>
                <w:color w:val="FF0000"/>
                <w:kern w:val="24"/>
                <w:sz w:val="24"/>
              </w:rPr>
              <w:t>主变。</w:t>
            </w:r>
          </w:p>
          <w:p>
            <w:pPr>
              <w:adjustRightInd w:val="0"/>
              <w:snapToGrid w:val="0"/>
              <w:spacing w:line="360" w:lineRule="auto"/>
              <w:ind w:firstLine="480" w:firstLineChars="200"/>
              <w:rPr>
                <w:snapToGrid w:val="0"/>
                <w:color w:val="FF0000"/>
                <w:kern w:val="24"/>
                <w:sz w:val="24"/>
              </w:rPr>
            </w:pPr>
            <w:r>
              <w:rPr>
                <w:snapToGrid w:val="0"/>
                <w:color w:val="FF0000"/>
                <w:kern w:val="24"/>
                <w:sz w:val="24"/>
              </w:rPr>
              <w:t>电压等级330</w:t>
            </w:r>
            <w:r>
              <w:rPr>
                <w:rFonts w:hint="eastAsia"/>
                <w:snapToGrid w:val="0"/>
                <w:color w:val="FF0000"/>
                <w:kern w:val="24"/>
                <w:sz w:val="24"/>
              </w:rPr>
              <w:t>/35</w:t>
            </w:r>
            <w:r>
              <w:rPr>
                <w:snapToGrid w:val="0"/>
                <w:color w:val="FF0000"/>
                <w:kern w:val="24"/>
                <w:sz w:val="24"/>
              </w:rPr>
              <w:t>kV。</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（3）</w:t>
            </w:r>
            <w:r>
              <w:rPr>
                <w:snapToGrid w:val="0"/>
                <w:color w:val="FF0000"/>
                <w:kern w:val="24"/>
                <w:sz w:val="24"/>
              </w:rPr>
              <w:t>出线规模</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终期规模：</w:t>
            </w:r>
            <w:r>
              <w:rPr>
                <w:snapToGrid w:val="0"/>
                <w:color w:val="FF0000"/>
                <w:kern w:val="24"/>
                <w:sz w:val="24"/>
              </w:rPr>
              <w:t>330kV出线</w:t>
            </w:r>
            <w:r>
              <w:rPr>
                <w:rFonts w:hint="eastAsia"/>
                <w:snapToGrid w:val="0"/>
                <w:color w:val="FF0000"/>
                <w:kern w:val="24"/>
                <w:sz w:val="24"/>
              </w:rPr>
              <w:t>1</w:t>
            </w:r>
            <w:r>
              <w:rPr>
                <w:snapToGrid w:val="0"/>
                <w:color w:val="FF0000"/>
                <w:kern w:val="24"/>
                <w:sz w:val="24"/>
              </w:rPr>
              <w:t>回，至顺化330kV变电站330kV</w:t>
            </w:r>
            <w:r>
              <w:rPr>
                <w:rFonts w:hint="eastAsia"/>
                <w:snapToGrid w:val="0"/>
                <w:color w:val="FF0000"/>
                <w:kern w:val="24"/>
                <w:sz w:val="24"/>
              </w:rPr>
              <w:t>侧</w:t>
            </w:r>
            <w:r>
              <w:rPr>
                <w:snapToGrid w:val="0"/>
                <w:color w:val="FF0000"/>
                <w:kern w:val="24"/>
                <w:sz w:val="24"/>
              </w:rPr>
              <w:t>。</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（4）</w:t>
            </w:r>
            <w:r>
              <w:rPr>
                <w:snapToGrid w:val="0"/>
                <w:color w:val="FF0000"/>
                <w:kern w:val="24"/>
                <w:sz w:val="24"/>
              </w:rPr>
              <w:t>无功补偿</w:t>
            </w:r>
          </w:p>
          <w:p>
            <w:pPr>
              <w:adjustRightInd w:val="0"/>
              <w:snapToGrid w:val="0"/>
              <w:spacing w:line="360" w:lineRule="auto"/>
              <w:ind w:firstLine="480" w:firstLineChars="200"/>
              <w:rPr>
                <w:snapToGrid w:val="0"/>
                <w:color w:val="FF0000"/>
                <w:kern w:val="24"/>
                <w:sz w:val="24"/>
              </w:rPr>
            </w:pPr>
            <w:r>
              <w:rPr>
                <w:snapToGrid w:val="0"/>
                <w:color w:val="FF0000"/>
                <w:kern w:val="24"/>
                <w:sz w:val="24"/>
              </w:rPr>
              <w:t>规划2×</w:t>
            </w:r>
            <w:r>
              <w:rPr>
                <w:rFonts w:hint="eastAsia"/>
                <w:snapToGrid w:val="0"/>
                <w:color w:val="FF0000"/>
                <w:kern w:val="24"/>
                <w:sz w:val="24"/>
              </w:rPr>
              <w:t>（</w:t>
            </w:r>
            <w:r>
              <w:rPr>
                <w:snapToGrid w:val="0"/>
                <w:color w:val="FF0000"/>
                <w:kern w:val="24"/>
                <w:sz w:val="24"/>
              </w:rPr>
              <w:t>±20M</w:t>
            </w:r>
            <w:r>
              <w:rPr>
                <w:rFonts w:hint="eastAsia"/>
                <w:snapToGrid w:val="0"/>
                <w:color w:val="FF0000"/>
                <w:kern w:val="24"/>
                <w:sz w:val="24"/>
              </w:rPr>
              <w:t>V</w:t>
            </w:r>
            <w:r>
              <w:rPr>
                <w:snapToGrid w:val="0"/>
                <w:color w:val="FF0000"/>
                <w:kern w:val="24"/>
                <w:sz w:val="24"/>
              </w:rPr>
              <w:t>ar</w:t>
            </w:r>
            <w:r>
              <w:rPr>
                <w:rFonts w:hint="eastAsia"/>
                <w:snapToGrid w:val="0"/>
                <w:color w:val="FF0000"/>
                <w:kern w:val="24"/>
                <w:sz w:val="24"/>
              </w:rPr>
              <w:t>）</w:t>
            </w:r>
            <w:r>
              <w:rPr>
                <w:snapToGrid w:val="0"/>
                <w:color w:val="FF0000"/>
                <w:kern w:val="24"/>
                <w:sz w:val="24"/>
              </w:rPr>
              <w:t>+2×</w:t>
            </w:r>
            <w:r>
              <w:rPr>
                <w:rFonts w:hint="eastAsia"/>
                <w:snapToGrid w:val="0"/>
                <w:color w:val="FF0000"/>
                <w:kern w:val="24"/>
                <w:sz w:val="24"/>
              </w:rPr>
              <w:t>（</w:t>
            </w:r>
            <w:r>
              <w:rPr>
                <w:snapToGrid w:val="0"/>
                <w:color w:val="FF0000"/>
                <w:kern w:val="24"/>
                <w:sz w:val="24"/>
              </w:rPr>
              <w:t>±30M</w:t>
            </w:r>
            <w:r>
              <w:rPr>
                <w:rFonts w:hint="eastAsia"/>
                <w:snapToGrid w:val="0"/>
                <w:color w:val="FF0000"/>
                <w:kern w:val="24"/>
                <w:sz w:val="24"/>
              </w:rPr>
              <w:t>V</w:t>
            </w:r>
            <w:r>
              <w:rPr>
                <w:snapToGrid w:val="0"/>
                <w:color w:val="FF0000"/>
                <w:kern w:val="24"/>
                <w:sz w:val="24"/>
              </w:rPr>
              <w:t>ar</w:t>
            </w:r>
            <w:r>
              <w:rPr>
                <w:rFonts w:hint="eastAsia"/>
                <w:snapToGrid w:val="0"/>
                <w:color w:val="FF0000"/>
                <w:kern w:val="24"/>
                <w:sz w:val="24"/>
              </w:rPr>
              <w:t>）</w:t>
            </w:r>
            <w:r>
              <w:rPr>
                <w:snapToGrid w:val="0"/>
                <w:color w:val="FF0000"/>
                <w:kern w:val="24"/>
                <w:sz w:val="24"/>
              </w:rPr>
              <w:t>SVG。</w:t>
            </w:r>
            <w:r>
              <w:rPr>
                <w:rFonts w:hint="eastAsia"/>
                <w:snapToGrid w:val="0"/>
                <w:color w:val="FF0000"/>
                <w:kern w:val="24"/>
                <w:sz w:val="24"/>
              </w:rPr>
              <w:t>其中一期工程建设</w:t>
            </w:r>
            <w:r>
              <w:rPr>
                <w:snapToGrid w:val="0"/>
                <w:color w:val="FF0000"/>
                <w:kern w:val="24"/>
                <w:sz w:val="24"/>
              </w:rPr>
              <w:t>2×</w:t>
            </w:r>
            <w:r>
              <w:rPr>
                <w:rFonts w:hint="eastAsia"/>
                <w:snapToGrid w:val="0"/>
                <w:color w:val="FF0000"/>
                <w:kern w:val="24"/>
                <w:sz w:val="24"/>
              </w:rPr>
              <w:t>（</w:t>
            </w:r>
            <w:r>
              <w:rPr>
                <w:snapToGrid w:val="0"/>
                <w:color w:val="FF0000"/>
                <w:kern w:val="24"/>
                <w:sz w:val="24"/>
              </w:rPr>
              <w:t>±20M</w:t>
            </w:r>
            <w:r>
              <w:rPr>
                <w:rFonts w:hint="eastAsia"/>
                <w:snapToGrid w:val="0"/>
                <w:color w:val="FF0000"/>
                <w:kern w:val="24"/>
                <w:sz w:val="24"/>
              </w:rPr>
              <w:t>V</w:t>
            </w:r>
            <w:r>
              <w:rPr>
                <w:snapToGrid w:val="0"/>
                <w:color w:val="FF0000"/>
                <w:kern w:val="24"/>
                <w:sz w:val="24"/>
              </w:rPr>
              <w:t>ar</w:t>
            </w:r>
            <w:r>
              <w:rPr>
                <w:rFonts w:hint="eastAsia"/>
                <w:snapToGrid w:val="0"/>
                <w:color w:val="FF0000"/>
                <w:kern w:val="24"/>
                <w:sz w:val="24"/>
              </w:rPr>
              <w:t>）</w:t>
            </w:r>
            <w:r>
              <w:rPr>
                <w:snapToGrid w:val="0"/>
                <w:color w:val="FF0000"/>
                <w:kern w:val="24"/>
                <w:sz w:val="24"/>
              </w:rPr>
              <w:t>SVG</w:t>
            </w:r>
            <w:r>
              <w:rPr>
                <w:rFonts w:hint="eastAsia"/>
                <w:snapToGrid w:val="0"/>
                <w:color w:val="FF0000"/>
                <w:kern w:val="24"/>
                <w:sz w:val="24"/>
              </w:rPr>
              <w:t>，二期工程建设</w:t>
            </w:r>
            <w:r>
              <w:rPr>
                <w:snapToGrid w:val="0"/>
                <w:color w:val="FF0000"/>
                <w:kern w:val="24"/>
                <w:sz w:val="24"/>
              </w:rPr>
              <w:t>2×</w:t>
            </w:r>
            <w:r>
              <w:rPr>
                <w:rFonts w:hint="eastAsia"/>
                <w:snapToGrid w:val="0"/>
                <w:color w:val="FF0000"/>
                <w:kern w:val="24"/>
                <w:sz w:val="24"/>
              </w:rPr>
              <w:t>（</w:t>
            </w:r>
            <w:r>
              <w:rPr>
                <w:snapToGrid w:val="0"/>
                <w:color w:val="FF0000"/>
                <w:kern w:val="24"/>
                <w:sz w:val="24"/>
              </w:rPr>
              <w:t>±30M</w:t>
            </w:r>
            <w:r>
              <w:rPr>
                <w:rFonts w:hint="eastAsia"/>
                <w:snapToGrid w:val="0"/>
                <w:color w:val="FF0000"/>
                <w:kern w:val="24"/>
                <w:sz w:val="24"/>
              </w:rPr>
              <w:t>V</w:t>
            </w:r>
            <w:r>
              <w:rPr>
                <w:snapToGrid w:val="0"/>
                <w:color w:val="FF0000"/>
                <w:kern w:val="24"/>
                <w:sz w:val="24"/>
              </w:rPr>
              <w:t>ar</w:t>
            </w:r>
            <w:r>
              <w:rPr>
                <w:rFonts w:hint="eastAsia"/>
                <w:snapToGrid w:val="0"/>
                <w:color w:val="FF0000"/>
                <w:kern w:val="24"/>
                <w:sz w:val="24"/>
              </w:rPr>
              <w:t>）</w:t>
            </w:r>
            <w:r>
              <w:rPr>
                <w:snapToGrid w:val="0"/>
                <w:color w:val="FF0000"/>
                <w:kern w:val="24"/>
                <w:sz w:val="24"/>
              </w:rPr>
              <w:t>SVG</w:t>
            </w:r>
            <w:r>
              <w:rPr>
                <w:rFonts w:hint="eastAsia"/>
                <w:snapToGrid w:val="0"/>
                <w:color w:val="FF0000"/>
                <w:kern w:val="24"/>
                <w:sz w:val="24"/>
              </w:rPr>
              <w:t>。</w:t>
            </w:r>
          </w:p>
          <w:p>
            <w:pPr>
              <w:pStyle w:val="21"/>
              <w:adjustRightInd w:val="0"/>
              <w:snapToGrid w:val="0"/>
              <w:spacing w:before="0" w:after="0" w:line="360" w:lineRule="auto"/>
              <w:ind w:firstLine="480" w:firstLineChars="200"/>
              <w:jc w:val="both"/>
              <w:rPr>
                <w:rFonts w:ascii="Times New Roman" w:hAnsi="Times New Roman" w:cs="Times New Roman"/>
                <w:b w:val="0"/>
                <w:bCs w:val="0"/>
                <w:snapToGrid w:val="0"/>
                <w:color w:val="FF0000"/>
                <w:kern w:val="24"/>
                <w:sz w:val="24"/>
                <w:szCs w:val="24"/>
                <w:lang w:eastAsia="zh-CN"/>
              </w:rPr>
            </w:pPr>
            <w:bookmarkStart w:id="6" w:name="_Toc22697"/>
            <w:r>
              <w:rPr>
                <w:rFonts w:hint="eastAsia" w:ascii="Times New Roman" w:hAnsi="Times New Roman" w:cs="Times New Roman"/>
                <w:b w:val="0"/>
                <w:bCs w:val="0"/>
                <w:snapToGrid w:val="0"/>
                <w:color w:val="FF0000"/>
                <w:kern w:val="24"/>
                <w:sz w:val="24"/>
                <w:szCs w:val="24"/>
                <w:lang w:eastAsia="zh-CN"/>
              </w:rPr>
              <w:t>（5）民乐储能电站--顺化变</w:t>
            </w:r>
            <w:r>
              <w:rPr>
                <w:rFonts w:ascii="Times New Roman" w:hAnsi="Times New Roman" w:cs="Times New Roman"/>
                <w:b w:val="0"/>
                <w:bCs w:val="0"/>
                <w:snapToGrid w:val="0"/>
                <w:color w:val="FF0000"/>
                <w:kern w:val="24"/>
                <w:sz w:val="24"/>
                <w:szCs w:val="24"/>
                <w:lang w:eastAsia="zh-CN"/>
              </w:rPr>
              <w:t>330kV</w:t>
            </w:r>
            <w:r>
              <w:rPr>
                <w:rFonts w:hint="eastAsia" w:ascii="Times New Roman" w:hAnsi="Times New Roman" w:cs="Times New Roman"/>
                <w:b w:val="0"/>
                <w:bCs w:val="0"/>
                <w:snapToGrid w:val="0"/>
                <w:color w:val="FF0000"/>
                <w:kern w:val="24"/>
                <w:sz w:val="24"/>
                <w:szCs w:val="24"/>
                <w:lang w:eastAsia="zh-CN"/>
              </w:rPr>
              <w:t>线路</w:t>
            </w:r>
            <w:bookmarkEnd w:id="6"/>
          </w:p>
          <w:p>
            <w:pPr>
              <w:pStyle w:val="21"/>
              <w:adjustRightInd w:val="0"/>
              <w:snapToGrid w:val="0"/>
              <w:spacing w:before="0" w:after="0" w:line="360" w:lineRule="auto"/>
              <w:ind w:firstLine="480" w:firstLineChars="200"/>
              <w:jc w:val="both"/>
              <w:rPr>
                <w:rFonts w:ascii="Times New Roman" w:hAnsi="Times New Roman" w:cs="Times New Roman"/>
                <w:b w:val="0"/>
                <w:bCs w:val="0"/>
                <w:snapToGrid w:val="0"/>
                <w:color w:val="FF0000"/>
                <w:kern w:val="24"/>
                <w:sz w:val="24"/>
                <w:szCs w:val="24"/>
                <w:lang w:eastAsia="zh-CN"/>
              </w:rPr>
            </w:pPr>
            <w:bookmarkStart w:id="7" w:name="_Toc31352"/>
            <w:r>
              <w:rPr>
                <w:rFonts w:ascii="Times New Roman" w:hAnsi="Times New Roman" w:cs="Times New Roman"/>
                <w:b w:val="0"/>
                <w:bCs w:val="0"/>
                <w:snapToGrid w:val="0"/>
                <w:color w:val="FF0000"/>
                <w:kern w:val="24"/>
                <w:sz w:val="24"/>
                <w:szCs w:val="24"/>
                <w:lang w:eastAsia="zh-CN"/>
              </w:rPr>
              <w:t>新建</w:t>
            </w:r>
            <w:r>
              <w:rPr>
                <w:rFonts w:hint="eastAsia" w:ascii="Times New Roman" w:hAnsi="Times New Roman" w:cs="Times New Roman"/>
                <w:b w:val="0"/>
                <w:bCs w:val="0"/>
                <w:snapToGrid w:val="0"/>
                <w:color w:val="FF0000"/>
                <w:kern w:val="24"/>
                <w:sz w:val="24"/>
                <w:szCs w:val="24"/>
                <w:lang w:eastAsia="zh-CN"/>
              </w:rPr>
              <w:t>1</w:t>
            </w:r>
            <w:r>
              <w:rPr>
                <w:rFonts w:ascii="Times New Roman" w:hAnsi="Times New Roman" w:cs="Times New Roman"/>
                <w:b w:val="0"/>
                <w:bCs w:val="0"/>
                <w:snapToGrid w:val="0"/>
                <w:color w:val="FF0000"/>
                <w:kern w:val="24"/>
                <w:sz w:val="24"/>
                <w:szCs w:val="24"/>
                <w:lang w:eastAsia="zh-CN"/>
              </w:rPr>
              <w:t>回民乐储能电站～顺化变330kV线路，采用</w:t>
            </w:r>
            <w:r>
              <w:rPr>
                <w:rFonts w:hint="eastAsia" w:ascii="Times New Roman" w:hAnsi="Times New Roman" w:cs="Times New Roman"/>
                <w:b w:val="0"/>
                <w:bCs w:val="0"/>
                <w:snapToGrid w:val="0"/>
                <w:color w:val="FF0000"/>
                <w:kern w:val="24"/>
                <w:sz w:val="24"/>
                <w:szCs w:val="24"/>
                <w:lang w:eastAsia="zh-CN"/>
              </w:rPr>
              <w:t>单回路架空线路</w:t>
            </w:r>
            <w:r>
              <w:rPr>
                <w:rFonts w:ascii="Times New Roman" w:hAnsi="Times New Roman" w:cs="Times New Roman"/>
                <w:b w:val="0"/>
                <w:bCs w:val="0"/>
                <w:snapToGrid w:val="0"/>
                <w:color w:val="FF0000"/>
                <w:kern w:val="24"/>
                <w:sz w:val="24"/>
                <w:szCs w:val="24"/>
                <w:lang w:eastAsia="zh-CN"/>
              </w:rPr>
              <w:t>，新建</w:t>
            </w:r>
            <w:r>
              <w:rPr>
                <w:rFonts w:hint="eastAsia" w:ascii="Times New Roman" w:hAnsi="Times New Roman" w:cs="Times New Roman"/>
                <w:b w:val="0"/>
                <w:bCs w:val="0"/>
                <w:snapToGrid w:val="0"/>
                <w:color w:val="FF0000"/>
                <w:kern w:val="24"/>
                <w:sz w:val="24"/>
                <w:szCs w:val="24"/>
                <w:lang w:eastAsia="zh-CN"/>
              </w:rPr>
              <w:t>线路</w:t>
            </w:r>
            <w:r>
              <w:rPr>
                <w:rFonts w:ascii="Times New Roman" w:hAnsi="Times New Roman" w:cs="Times New Roman"/>
                <w:b w:val="0"/>
                <w:bCs w:val="0"/>
                <w:snapToGrid w:val="0"/>
                <w:color w:val="FF0000"/>
                <w:kern w:val="24"/>
                <w:sz w:val="24"/>
                <w:szCs w:val="24"/>
                <w:lang w:eastAsia="zh-CN"/>
              </w:rPr>
              <w:t>长度约</w:t>
            </w:r>
            <w:r>
              <w:rPr>
                <w:rFonts w:hint="eastAsia" w:ascii="Times New Roman" w:hAnsi="Times New Roman" w:cs="Times New Roman"/>
                <w:b w:val="0"/>
                <w:bCs w:val="0"/>
                <w:snapToGrid w:val="0"/>
                <w:color w:val="FF0000"/>
                <w:kern w:val="24"/>
                <w:sz w:val="24"/>
                <w:szCs w:val="24"/>
                <w:lang w:eastAsia="zh-CN"/>
              </w:rPr>
              <w:t>0.35km</w:t>
            </w:r>
            <w:bookmarkEnd w:id="7"/>
            <w:r>
              <w:rPr>
                <w:rFonts w:hint="eastAsia" w:ascii="Times New Roman" w:hAnsi="Times New Roman" w:cs="Times New Roman"/>
                <w:b w:val="0"/>
                <w:bCs w:val="0"/>
                <w:snapToGrid w:val="0"/>
                <w:color w:val="FF0000"/>
                <w:kern w:val="24"/>
                <w:sz w:val="24"/>
                <w:szCs w:val="24"/>
                <w:lang w:eastAsia="zh-CN"/>
              </w:rPr>
              <w:t>。</w:t>
            </w:r>
          </w:p>
          <w:p>
            <w:pPr>
              <w:pStyle w:val="21"/>
              <w:adjustRightInd w:val="0"/>
              <w:snapToGrid w:val="0"/>
              <w:spacing w:before="0" w:after="0" w:line="360" w:lineRule="auto"/>
              <w:ind w:firstLine="480" w:firstLineChars="200"/>
              <w:jc w:val="both"/>
              <w:rPr>
                <w:rFonts w:ascii="Times New Roman" w:hAnsi="Times New Roman" w:cs="Times New Roman"/>
                <w:b w:val="0"/>
                <w:bCs w:val="0"/>
                <w:snapToGrid w:val="0"/>
                <w:color w:val="FF0000"/>
                <w:kern w:val="24"/>
                <w:sz w:val="24"/>
                <w:szCs w:val="24"/>
                <w:lang w:eastAsia="zh-CN"/>
              </w:rPr>
            </w:pPr>
            <w:bookmarkStart w:id="8" w:name="_Toc8405"/>
            <w:r>
              <w:rPr>
                <w:rFonts w:hint="eastAsia" w:ascii="Times New Roman" w:hAnsi="Times New Roman" w:cs="Times New Roman"/>
                <w:b w:val="0"/>
                <w:bCs w:val="0"/>
                <w:snapToGrid w:val="0"/>
                <w:color w:val="FF0000"/>
                <w:kern w:val="24"/>
                <w:sz w:val="24"/>
                <w:szCs w:val="24"/>
                <w:lang w:eastAsia="zh-CN"/>
              </w:rPr>
              <w:t>（6）顺化330kV变电站</w:t>
            </w:r>
            <w:r>
              <w:rPr>
                <w:rFonts w:ascii="Times New Roman" w:hAnsi="Times New Roman" w:cs="Times New Roman"/>
                <w:b w:val="0"/>
                <w:bCs w:val="0"/>
                <w:snapToGrid w:val="0"/>
                <w:color w:val="FF0000"/>
                <w:kern w:val="24"/>
                <w:sz w:val="24"/>
                <w:szCs w:val="24"/>
                <w:lang w:eastAsia="zh-CN"/>
              </w:rPr>
              <w:t>330kV</w:t>
            </w:r>
            <w:r>
              <w:rPr>
                <w:rFonts w:hint="eastAsia" w:ascii="Times New Roman" w:hAnsi="Times New Roman" w:cs="Times New Roman"/>
                <w:b w:val="0"/>
                <w:bCs w:val="0"/>
                <w:snapToGrid w:val="0"/>
                <w:color w:val="FF0000"/>
                <w:kern w:val="24"/>
                <w:sz w:val="24"/>
                <w:szCs w:val="24"/>
                <w:lang w:eastAsia="zh-CN"/>
              </w:rPr>
              <w:t>间隔侧扩建</w:t>
            </w:r>
            <w:bookmarkEnd w:id="8"/>
          </w:p>
          <w:p>
            <w:pPr>
              <w:pStyle w:val="21"/>
              <w:adjustRightInd w:val="0"/>
              <w:snapToGrid w:val="0"/>
              <w:spacing w:before="0" w:after="0" w:line="360" w:lineRule="auto"/>
              <w:ind w:firstLine="480" w:firstLineChars="200"/>
              <w:jc w:val="both"/>
              <w:rPr>
                <w:rFonts w:ascii="Times New Roman" w:hAnsi="Times New Roman" w:cs="Times New Roman"/>
                <w:b w:val="0"/>
                <w:bCs w:val="0"/>
                <w:snapToGrid w:val="0"/>
                <w:color w:val="FF0000"/>
                <w:kern w:val="24"/>
                <w:sz w:val="24"/>
                <w:szCs w:val="24"/>
                <w:lang w:eastAsia="zh-CN"/>
              </w:rPr>
            </w:pPr>
            <w:bookmarkStart w:id="9" w:name="_Toc14926"/>
            <w:r>
              <w:rPr>
                <w:rFonts w:hint="eastAsia" w:ascii="Times New Roman" w:hAnsi="Times New Roman" w:cs="Times New Roman"/>
                <w:b w:val="0"/>
                <w:bCs w:val="0"/>
                <w:snapToGrid w:val="0"/>
                <w:color w:val="FF0000"/>
                <w:kern w:val="24"/>
                <w:sz w:val="24"/>
                <w:szCs w:val="24"/>
                <w:lang w:eastAsia="zh-CN"/>
              </w:rPr>
              <w:t>顺化330kV变电站</w:t>
            </w:r>
            <w:r>
              <w:rPr>
                <w:rFonts w:ascii="Times New Roman" w:hAnsi="Times New Roman" w:cs="Times New Roman"/>
                <w:b w:val="0"/>
                <w:bCs w:val="0"/>
                <w:snapToGrid w:val="0"/>
                <w:color w:val="FF0000"/>
                <w:kern w:val="24"/>
                <w:sz w:val="24"/>
                <w:szCs w:val="24"/>
                <w:lang w:eastAsia="zh-CN"/>
              </w:rPr>
              <w:t>330kV侧规划出线8回；已建成出线6回</w:t>
            </w:r>
            <w:r>
              <w:rPr>
                <w:rFonts w:hint="eastAsia" w:ascii="Times New Roman" w:hAnsi="Times New Roman" w:cs="Times New Roman"/>
                <w:b w:val="0"/>
                <w:bCs w:val="0"/>
                <w:snapToGrid w:val="0"/>
                <w:color w:val="FF0000"/>
                <w:kern w:val="24"/>
                <w:sz w:val="24"/>
                <w:szCs w:val="24"/>
                <w:lang w:eastAsia="zh-CN"/>
              </w:rPr>
              <w:t>，</w:t>
            </w:r>
            <w:r>
              <w:rPr>
                <w:rFonts w:ascii="Times New Roman" w:hAnsi="Times New Roman" w:cs="Times New Roman"/>
                <w:b w:val="0"/>
                <w:bCs w:val="0"/>
                <w:snapToGrid w:val="0"/>
                <w:color w:val="FF0000"/>
                <w:kern w:val="24"/>
                <w:sz w:val="24"/>
                <w:szCs w:val="24"/>
                <w:lang w:eastAsia="zh-CN"/>
              </w:rPr>
              <w:t>分别至山丹2回、观花台牵2回、黑河变</w:t>
            </w:r>
            <w:r>
              <w:rPr>
                <w:rFonts w:hint="eastAsia" w:ascii="Times New Roman" w:hAnsi="Times New Roman" w:cs="Times New Roman"/>
                <w:b w:val="0"/>
                <w:bCs w:val="0"/>
                <w:snapToGrid w:val="0"/>
                <w:color w:val="FF0000"/>
                <w:kern w:val="24"/>
                <w:sz w:val="24"/>
                <w:szCs w:val="24"/>
                <w:lang w:eastAsia="zh-CN"/>
              </w:rPr>
              <w:t>1</w:t>
            </w:r>
            <w:r>
              <w:rPr>
                <w:rFonts w:ascii="Times New Roman" w:hAnsi="Times New Roman" w:cs="Times New Roman"/>
                <w:b w:val="0"/>
                <w:bCs w:val="0"/>
                <w:snapToGrid w:val="0"/>
                <w:color w:val="FF0000"/>
                <w:kern w:val="24"/>
                <w:sz w:val="24"/>
                <w:szCs w:val="24"/>
                <w:lang w:eastAsia="zh-CN"/>
              </w:rPr>
              <w:t>回、</w:t>
            </w:r>
            <w:r>
              <w:rPr>
                <w:rFonts w:hint="eastAsia" w:ascii="Times New Roman" w:hAnsi="Times New Roman" w:cs="Times New Roman"/>
                <w:b w:val="0"/>
                <w:bCs w:val="0"/>
                <w:snapToGrid w:val="0"/>
                <w:color w:val="FF0000"/>
                <w:kern w:val="24"/>
                <w:sz w:val="24"/>
                <w:szCs w:val="24"/>
                <w:lang w:eastAsia="zh-CN"/>
              </w:rPr>
              <w:t>军马</w:t>
            </w:r>
            <w:r>
              <w:rPr>
                <w:rFonts w:ascii="Times New Roman" w:hAnsi="Times New Roman" w:cs="Times New Roman"/>
                <w:b w:val="0"/>
                <w:bCs w:val="0"/>
                <w:snapToGrid w:val="0"/>
                <w:color w:val="FF0000"/>
                <w:kern w:val="24"/>
                <w:sz w:val="24"/>
                <w:szCs w:val="24"/>
                <w:lang w:eastAsia="zh-CN"/>
              </w:rPr>
              <w:t>场牵1回</w:t>
            </w:r>
            <w:r>
              <w:rPr>
                <w:rFonts w:hint="eastAsia" w:ascii="Times New Roman" w:hAnsi="Times New Roman" w:cs="Times New Roman"/>
                <w:b w:val="0"/>
                <w:bCs w:val="0"/>
                <w:snapToGrid w:val="0"/>
                <w:color w:val="FF0000"/>
                <w:kern w:val="24"/>
                <w:sz w:val="24"/>
                <w:szCs w:val="24"/>
                <w:lang w:eastAsia="zh-CN"/>
              </w:rPr>
              <w:t>；本次</w:t>
            </w:r>
            <w:r>
              <w:rPr>
                <w:rFonts w:ascii="Times New Roman" w:hAnsi="Times New Roman" w:cs="Times New Roman"/>
                <w:b w:val="0"/>
                <w:bCs w:val="0"/>
                <w:snapToGrid w:val="0"/>
                <w:color w:val="FF0000"/>
                <w:kern w:val="24"/>
                <w:sz w:val="24"/>
                <w:szCs w:val="24"/>
                <w:lang w:eastAsia="zh-CN"/>
              </w:rPr>
              <w:t>扩建1回出线，至民乐储能电站。</w:t>
            </w:r>
            <w:bookmarkEnd w:id="9"/>
          </w:p>
          <w:p>
            <w:pPr>
              <w:pStyle w:val="21"/>
              <w:adjustRightInd w:val="0"/>
              <w:snapToGrid w:val="0"/>
              <w:spacing w:before="0" w:after="0" w:line="360" w:lineRule="auto"/>
              <w:ind w:firstLine="480" w:firstLineChars="200"/>
              <w:jc w:val="both"/>
              <w:rPr>
                <w:rFonts w:ascii="Times New Roman" w:hAnsi="Times New Roman" w:cs="Times New Roman"/>
                <w:b w:val="0"/>
                <w:bCs w:val="0"/>
                <w:snapToGrid w:val="0"/>
                <w:color w:val="FF0000"/>
                <w:kern w:val="24"/>
                <w:sz w:val="24"/>
                <w:szCs w:val="24"/>
                <w:lang w:eastAsia="zh-CN"/>
              </w:rPr>
            </w:pPr>
            <w:bookmarkStart w:id="10" w:name="_Toc30823"/>
            <w:r>
              <w:rPr>
                <w:rFonts w:hint="eastAsia" w:ascii="Times New Roman" w:hAnsi="Times New Roman" w:cs="Times New Roman"/>
                <w:b w:val="0"/>
                <w:bCs w:val="0"/>
                <w:snapToGrid w:val="0"/>
                <w:color w:val="FF0000"/>
                <w:kern w:val="24"/>
                <w:sz w:val="24"/>
                <w:szCs w:val="24"/>
                <w:lang w:eastAsia="zh-CN"/>
              </w:rPr>
              <w:t>（7）电气一次</w:t>
            </w:r>
            <w:bookmarkEnd w:id="10"/>
          </w:p>
          <w:p>
            <w:pPr>
              <w:adjustRightInd w:val="0"/>
              <w:snapToGrid w:val="0"/>
              <w:spacing w:line="360" w:lineRule="auto"/>
              <w:ind w:firstLine="480" w:firstLineChars="200"/>
              <w:rPr>
                <w:snapToGrid w:val="0"/>
                <w:color w:val="FF0000"/>
                <w:kern w:val="24"/>
                <w:sz w:val="24"/>
              </w:rPr>
            </w:pPr>
            <w:r>
              <w:rPr>
                <w:snapToGrid w:val="0"/>
                <w:color w:val="FF0000"/>
                <w:kern w:val="24"/>
                <w:sz w:val="24"/>
              </w:rPr>
              <w:t>本项目储能终期规模为500MW/1000MWh，规划采用330kV电压等级并网，采用单回330kV线路接入顺化</w:t>
            </w:r>
            <w:r>
              <w:rPr>
                <w:rFonts w:hint="eastAsia"/>
                <w:snapToGrid w:val="0"/>
                <w:color w:val="FF0000"/>
                <w:kern w:val="24"/>
                <w:sz w:val="24"/>
              </w:rPr>
              <w:t>变电站</w:t>
            </w:r>
            <w:r>
              <w:rPr>
                <w:snapToGrid w:val="0"/>
                <w:color w:val="FF0000"/>
                <w:kern w:val="24"/>
                <w:sz w:val="24"/>
              </w:rPr>
              <w:t>330kV交流配电装置。根据系统规划需建设一座330kV升压站，电压等级为330kV/35kV，主变规划总容量为1台240MVA和</w:t>
            </w:r>
            <w:r>
              <w:rPr>
                <w:rFonts w:hint="eastAsia"/>
                <w:snapToGrid w:val="0"/>
                <w:color w:val="FF0000"/>
                <w:kern w:val="24"/>
                <w:sz w:val="24"/>
              </w:rPr>
              <w:t>1</w:t>
            </w:r>
            <w:r>
              <w:rPr>
                <w:snapToGrid w:val="0"/>
                <w:color w:val="FF0000"/>
                <w:kern w:val="24"/>
                <w:sz w:val="24"/>
              </w:rPr>
              <w:t>台360MVA。</w:t>
            </w:r>
          </w:p>
          <w:p>
            <w:pPr>
              <w:adjustRightInd w:val="0"/>
              <w:snapToGrid w:val="0"/>
              <w:spacing w:line="360" w:lineRule="auto"/>
              <w:ind w:firstLine="480" w:firstLineChars="200"/>
              <w:rPr>
                <w:snapToGrid w:val="0"/>
                <w:color w:val="FF0000"/>
                <w:kern w:val="24"/>
                <w:sz w:val="24"/>
              </w:rPr>
            </w:pPr>
            <w:r>
              <w:rPr>
                <w:snapToGrid w:val="0"/>
                <w:color w:val="FF0000"/>
                <w:kern w:val="24"/>
                <w:sz w:val="24"/>
              </w:rPr>
              <w:t>储能采用磷酸铁锂电池储能系统，预制舱户外布置</w:t>
            </w:r>
            <w:r>
              <w:rPr>
                <w:rFonts w:hint="eastAsia"/>
                <w:snapToGrid w:val="0"/>
                <w:color w:val="FF0000"/>
                <w:kern w:val="24"/>
                <w:sz w:val="24"/>
              </w:rPr>
              <w:t>，</w:t>
            </w:r>
            <w:r>
              <w:rPr>
                <w:snapToGrid w:val="0"/>
                <w:color w:val="FF0000"/>
                <w:kern w:val="24"/>
                <w:sz w:val="24"/>
              </w:rPr>
              <w:t>终期由167个3MW/6.7092MWh集装箱储能系统组成</w:t>
            </w:r>
            <w:r>
              <w:rPr>
                <w:rFonts w:hint="eastAsia"/>
                <w:snapToGrid w:val="0"/>
                <w:color w:val="FF0000"/>
                <w:kern w:val="24"/>
                <w:sz w:val="24"/>
              </w:rPr>
              <w:t>（一期工程50个，二期工程117个）</w:t>
            </w:r>
            <w:r>
              <w:rPr>
                <w:snapToGrid w:val="0"/>
                <w:color w:val="FF0000"/>
                <w:kern w:val="24"/>
                <w:sz w:val="24"/>
              </w:rPr>
              <w:t>，分布式安装在规划场地。储能系统通过35kV/0.69kV升压变压器为基本接入单位，经35kV集电线路汇集后接入330kV储能升压站的35kV低压侧母线</w:t>
            </w:r>
            <w:r>
              <w:rPr>
                <w:rFonts w:hint="eastAsia"/>
                <w:snapToGrid w:val="0"/>
                <w:color w:val="FF0000"/>
                <w:kern w:val="24"/>
                <w:sz w:val="24"/>
              </w:rPr>
              <w:t>，</w:t>
            </w:r>
            <w:r>
              <w:rPr>
                <w:snapToGrid w:val="0"/>
                <w:color w:val="FF0000"/>
                <w:kern w:val="24"/>
                <w:sz w:val="24"/>
              </w:rPr>
              <w:t>实现储能系统的集成及与并网</w:t>
            </w:r>
            <w:r>
              <w:rPr>
                <w:rFonts w:hint="eastAsia"/>
                <w:snapToGrid w:val="0"/>
                <w:color w:val="FF0000"/>
                <w:kern w:val="24"/>
                <w:sz w:val="24"/>
              </w:rPr>
              <w:t>。</w:t>
            </w:r>
          </w:p>
          <w:p>
            <w:pPr>
              <w:adjustRightInd w:val="0"/>
              <w:snapToGrid w:val="0"/>
              <w:spacing w:line="360" w:lineRule="auto"/>
              <w:ind w:firstLine="480" w:firstLineChars="200"/>
              <w:rPr>
                <w:snapToGrid w:val="0"/>
                <w:kern w:val="24"/>
                <w:sz w:val="24"/>
              </w:rPr>
            </w:pPr>
            <w:r>
              <w:rPr>
                <w:snapToGrid w:val="0"/>
                <w:kern w:val="24"/>
                <w:sz w:val="24"/>
              </w:rPr>
              <w:t>①升压站330kV侧接线</w:t>
            </w:r>
          </w:p>
          <w:p>
            <w:pPr>
              <w:adjustRightInd w:val="0"/>
              <w:snapToGrid w:val="0"/>
              <w:spacing w:line="360" w:lineRule="auto"/>
              <w:ind w:firstLine="480" w:firstLineChars="200"/>
              <w:rPr>
                <w:snapToGrid w:val="0"/>
                <w:kern w:val="24"/>
                <w:sz w:val="24"/>
              </w:rPr>
            </w:pPr>
            <w:r>
              <w:rPr>
                <w:snapToGrid w:val="0"/>
                <w:kern w:val="24"/>
                <w:sz w:val="24"/>
              </w:rPr>
              <w:t>330kV主接线采用不完整单母线接线</w:t>
            </w:r>
            <w:r>
              <w:rPr>
                <w:rFonts w:hint="eastAsia"/>
                <w:snapToGrid w:val="0"/>
                <w:kern w:val="24"/>
                <w:sz w:val="24"/>
              </w:rPr>
              <w:t>，</w:t>
            </w:r>
            <w:r>
              <w:rPr>
                <w:snapToGrid w:val="0"/>
                <w:kern w:val="24"/>
                <w:sz w:val="24"/>
              </w:rPr>
              <w:t>本项目配电装置采用户外GIS配电装置型式</w:t>
            </w:r>
            <w:r>
              <w:rPr>
                <w:rFonts w:hint="eastAsia"/>
                <w:snapToGrid w:val="0"/>
                <w:kern w:val="24"/>
                <w:sz w:val="24"/>
              </w:rPr>
              <w:t>。</w:t>
            </w:r>
          </w:p>
          <w:p>
            <w:pPr>
              <w:adjustRightInd w:val="0"/>
              <w:snapToGrid w:val="0"/>
              <w:spacing w:line="360" w:lineRule="auto"/>
              <w:ind w:firstLine="480" w:firstLineChars="200"/>
              <w:rPr>
                <w:snapToGrid w:val="0"/>
                <w:kern w:val="24"/>
                <w:sz w:val="24"/>
              </w:rPr>
            </w:pPr>
            <w:r>
              <w:rPr>
                <w:snapToGrid w:val="0"/>
                <w:kern w:val="24"/>
                <w:sz w:val="24"/>
              </w:rPr>
              <w:t>②升压站35kV侧接线</w:t>
            </w:r>
          </w:p>
          <w:p>
            <w:pPr>
              <w:adjustRightInd w:val="0"/>
              <w:snapToGrid w:val="0"/>
              <w:spacing w:line="360" w:lineRule="auto"/>
              <w:ind w:firstLine="480" w:firstLineChars="200"/>
              <w:rPr>
                <w:snapToGrid w:val="0"/>
                <w:kern w:val="24"/>
                <w:sz w:val="24"/>
              </w:rPr>
            </w:pPr>
            <w:r>
              <w:rPr>
                <w:snapToGrid w:val="0"/>
                <w:kern w:val="24"/>
                <w:sz w:val="24"/>
              </w:rPr>
              <w:t>每台主变低压35kV侧设有两段35kV母线</w:t>
            </w:r>
            <w:r>
              <w:rPr>
                <w:rFonts w:hint="eastAsia"/>
                <w:snapToGrid w:val="0"/>
                <w:kern w:val="24"/>
                <w:sz w:val="24"/>
              </w:rPr>
              <w:t>，</w:t>
            </w:r>
            <w:r>
              <w:rPr>
                <w:snapToGrid w:val="0"/>
                <w:kern w:val="24"/>
                <w:sz w:val="24"/>
              </w:rPr>
              <w:t>两台进线断路器接入，各台主变的低压侧没有电气联系。</w:t>
            </w:r>
          </w:p>
          <w:p>
            <w:pPr>
              <w:adjustRightInd w:val="0"/>
              <w:snapToGrid w:val="0"/>
              <w:spacing w:line="360" w:lineRule="auto"/>
              <w:ind w:firstLine="480" w:firstLineChars="200"/>
              <w:rPr>
                <w:snapToGrid w:val="0"/>
                <w:kern w:val="24"/>
                <w:sz w:val="24"/>
              </w:rPr>
            </w:pPr>
            <w:r>
              <w:rPr>
                <w:snapToGrid w:val="0"/>
                <w:kern w:val="24"/>
                <w:sz w:val="24"/>
              </w:rPr>
              <w:t>③站用电源</w:t>
            </w:r>
          </w:p>
          <w:p>
            <w:pPr>
              <w:adjustRightInd w:val="0"/>
              <w:snapToGrid w:val="0"/>
              <w:spacing w:line="360" w:lineRule="auto"/>
              <w:ind w:firstLine="480" w:firstLineChars="200"/>
              <w:rPr>
                <w:snapToGrid w:val="0"/>
                <w:kern w:val="24"/>
                <w:sz w:val="24"/>
              </w:rPr>
            </w:pPr>
            <w:r>
              <w:rPr>
                <w:snapToGrid w:val="0"/>
                <w:kern w:val="24"/>
                <w:sz w:val="24"/>
              </w:rPr>
              <w:t>本项目设置2套站用变系统，设置4台站用变压器</w:t>
            </w:r>
            <w:r>
              <w:rPr>
                <w:rFonts w:hint="eastAsia"/>
                <w:snapToGrid w:val="0"/>
                <w:kern w:val="24"/>
                <w:sz w:val="24"/>
              </w:rPr>
              <w:t>（一期工程2台，二期工程2台）</w:t>
            </w:r>
            <w:r>
              <w:rPr>
                <w:snapToGrid w:val="0"/>
                <w:kern w:val="24"/>
                <w:sz w:val="24"/>
              </w:rPr>
              <w:t>，其中2台35kV站用变（</w:t>
            </w:r>
            <w:r>
              <w:rPr>
                <w:rFonts w:hint="eastAsia"/>
                <w:snapToGrid w:val="0"/>
                <w:kern w:val="24"/>
                <w:sz w:val="24"/>
              </w:rPr>
              <w:t>4000</w:t>
            </w:r>
            <w:r>
              <w:rPr>
                <w:snapToGrid w:val="0"/>
                <w:kern w:val="24"/>
                <w:sz w:val="24"/>
              </w:rPr>
              <w:t>kVA/台）分别接在主变的35kV的母线上</w:t>
            </w:r>
            <w:r>
              <w:rPr>
                <w:rFonts w:hint="eastAsia"/>
                <w:snapToGrid w:val="0"/>
                <w:kern w:val="24"/>
                <w:sz w:val="24"/>
              </w:rPr>
              <w:t>，每段各1台；另外</w:t>
            </w:r>
            <w:r>
              <w:rPr>
                <w:snapToGrid w:val="0"/>
                <w:kern w:val="24"/>
                <w:sz w:val="24"/>
              </w:rPr>
              <w:t>2台</w:t>
            </w:r>
            <w:r>
              <w:rPr>
                <w:rFonts w:hint="eastAsia"/>
                <w:snapToGrid w:val="0"/>
                <w:kern w:val="24"/>
                <w:sz w:val="24"/>
              </w:rPr>
              <w:t>35</w:t>
            </w:r>
            <w:r>
              <w:rPr>
                <w:snapToGrid w:val="0"/>
                <w:kern w:val="24"/>
                <w:sz w:val="24"/>
              </w:rPr>
              <w:t>kV站用变（</w:t>
            </w:r>
            <w:r>
              <w:rPr>
                <w:rFonts w:hint="eastAsia"/>
                <w:snapToGrid w:val="0"/>
                <w:kern w:val="24"/>
                <w:sz w:val="24"/>
              </w:rPr>
              <w:t>4000</w:t>
            </w:r>
            <w:r>
              <w:rPr>
                <w:snapToGrid w:val="0"/>
                <w:kern w:val="24"/>
                <w:sz w:val="24"/>
              </w:rPr>
              <w:t>kVA/台）由可靠的站外电源引接。</w:t>
            </w:r>
          </w:p>
          <w:p>
            <w:pPr>
              <w:adjustRightInd w:val="0"/>
              <w:snapToGrid w:val="0"/>
              <w:spacing w:line="360" w:lineRule="auto"/>
              <w:ind w:firstLine="480" w:firstLineChars="200"/>
              <w:rPr>
                <w:snapToGrid w:val="0"/>
                <w:kern w:val="24"/>
                <w:sz w:val="24"/>
              </w:rPr>
            </w:pPr>
            <w:r>
              <w:rPr>
                <w:snapToGrid w:val="0"/>
                <w:kern w:val="24"/>
                <w:sz w:val="24"/>
              </w:rPr>
              <w:t>站用电母线按照工作变压器划分的单母分段接线，相邻两段工作母线同时供电分列运行。两段工作母线间不装设自动投入装置</w:t>
            </w:r>
            <w:r>
              <w:rPr>
                <w:rFonts w:hint="eastAsia"/>
                <w:snapToGrid w:val="0"/>
                <w:kern w:val="24"/>
                <w:sz w:val="24"/>
              </w:rPr>
              <w:t>。</w:t>
            </w:r>
          </w:p>
          <w:p>
            <w:pPr>
              <w:adjustRightInd w:val="0"/>
              <w:snapToGrid w:val="0"/>
              <w:spacing w:line="360" w:lineRule="auto"/>
              <w:ind w:firstLine="480" w:firstLineChars="200"/>
              <w:rPr>
                <w:snapToGrid w:val="0"/>
                <w:kern w:val="24"/>
                <w:sz w:val="24"/>
              </w:rPr>
            </w:pPr>
            <w:r>
              <w:rPr>
                <w:snapToGrid w:val="0"/>
                <w:kern w:val="24"/>
                <w:sz w:val="24"/>
              </w:rPr>
              <w:t>④中性点接地设备</w:t>
            </w:r>
          </w:p>
          <w:p>
            <w:pPr>
              <w:adjustRightInd w:val="0"/>
              <w:snapToGrid w:val="0"/>
              <w:spacing w:line="360" w:lineRule="auto"/>
              <w:ind w:firstLine="480" w:firstLineChars="200"/>
              <w:rPr>
                <w:snapToGrid w:val="0"/>
                <w:kern w:val="24"/>
                <w:sz w:val="24"/>
              </w:rPr>
            </w:pPr>
            <w:r>
              <w:rPr>
                <w:snapToGrid w:val="0"/>
                <w:kern w:val="24"/>
                <w:sz w:val="24"/>
              </w:rPr>
              <w:t>主变压器330kV中性点采用</w:t>
            </w:r>
            <w:r>
              <w:rPr>
                <w:rFonts w:hint="eastAsia"/>
                <w:snapToGrid w:val="0"/>
                <w:kern w:val="24"/>
                <w:sz w:val="24"/>
              </w:rPr>
              <w:t>直接</w:t>
            </w:r>
            <w:r>
              <w:rPr>
                <w:snapToGrid w:val="0"/>
                <w:kern w:val="24"/>
                <w:sz w:val="24"/>
              </w:rPr>
              <w:t>接地方式</w:t>
            </w:r>
            <w:r>
              <w:rPr>
                <w:rFonts w:hint="eastAsia"/>
                <w:snapToGrid w:val="0"/>
                <w:kern w:val="24"/>
                <w:sz w:val="24"/>
              </w:rPr>
              <w:t>。</w:t>
            </w:r>
          </w:p>
          <w:p>
            <w:pPr>
              <w:adjustRightInd w:val="0"/>
              <w:snapToGrid w:val="0"/>
              <w:spacing w:line="360" w:lineRule="auto"/>
              <w:ind w:firstLine="480" w:firstLineChars="200"/>
              <w:rPr>
                <w:snapToGrid w:val="0"/>
                <w:kern w:val="24"/>
                <w:sz w:val="24"/>
              </w:rPr>
            </w:pPr>
            <w:r>
              <w:rPr>
                <w:rFonts w:hint="eastAsia"/>
                <w:snapToGrid w:val="0"/>
                <w:kern w:val="24"/>
                <w:sz w:val="24"/>
              </w:rPr>
              <w:t>⑤储能接线</w:t>
            </w:r>
          </w:p>
          <w:p>
            <w:pPr>
              <w:adjustRightInd w:val="0"/>
              <w:snapToGrid w:val="0"/>
              <w:spacing w:line="360" w:lineRule="auto"/>
              <w:ind w:firstLine="480" w:firstLineChars="200"/>
              <w:rPr>
                <w:snapToGrid w:val="0"/>
                <w:kern w:val="24"/>
                <w:sz w:val="24"/>
              </w:rPr>
            </w:pPr>
            <w:r>
              <w:rPr>
                <w:rFonts w:hint="eastAsia"/>
                <w:snapToGrid w:val="0"/>
                <w:kern w:val="24"/>
                <w:sz w:val="24"/>
              </w:rPr>
              <w:t>本项目采用6.7092MWh一个电池舱的设计方案，升压变换舱内配2台1500kW储能变流器及1台3150kVA干式变压器，1台电池舱与1台升压变换舱组成1个3MW/6.7092MWh储能子阵。全站最终规模共有储能子阵167个。储能电站有167台3150kVA的干式变压器，电池内电能经PCS变换后升压至35kV后通过42条电缆集电线路送至35kV低压母线。</w:t>
            </w:r>
          </w:p>
          <w:p>
            <w:pPr>
              <w:numPr>
                <w:ilvl w:val="0"/>
                <w:numId w:val="1"/>
              </w:numPr>
              <w:adjustRightInd w:val="0"/>
              <w:snapToGrid w:val="0"/>
              <w:spacing w:line="360" w:lineRule="auto"/>
              <w:ind w:firstLine="480" w:firstLineChars="200"/>
              <w:rPr>
                <w:snapToGrid w:val="0"/>
                <w:kern w:val="24"/>
                <w:sz w:val="24"/>
              </w:rPr>
            </w:pPr>
            <w:r>
              <w:rPr>
                <w:rFonts w:hint="eastAsia"/>
                <w:snapToGrid w:val="0"/>
                <w:kern w:val="24"/>
                <w:sz w:val="24"/>
              </w:rPr>
              <w:t>电气二次</w:t>
            </w:r>
          </w:p>
          <w:p>
            <w:pPr>
              <w:adjustRightInd w:val="0"/>
              <w:snapToGrid w:val="0"/>
              <w:spacing w:line="360" w:lineRule="auto"/>
              <w:ind w:firstLine="480" w:firstLineChars="200"/>
              <w:rPr>
                <w:snapToGrid w:val="0"/>
                <w:kern w:val="24"/>
                <w:sz w:val="24"/>
              </w:rPr>
            </w:pPr>
            <w:r>
              <w:rPr>
                <w:rFonts w:hint="eastAsia"/>
                <w:snapToGrid w:val="0"/>
                <w:kern w:val="24"/>
                <w:sz w:val="24"/>
              </w:rPr>
              <w:t>储能电站采用以计算机监控系统为基础的监控方式。整个电站安装一套综合自动化系统，具有保护、控制、通信、测量等功能，可实现对储能系统及变电站的全功能综合自动化管理，实现电站与地调端的遥测、遥信功能及发电公司的监测管理。结合本电站自动化水平的要求，本电站采用微机型继电保护装置。</w:t>
            </w:r>
          </w:p>
          <w:p>
            <w:pPr>
              <w:pStyle w:val="21"/>
              <w:adjustRightInd w:val="0"/>
              <w:snapToGrid w:val="0"/>
              <w:spacing w:before="120" w:beforeLines="50" w:after="0" w:line="360" w:lineRule="auto"/>
              <w:rPr>
                <w:rFonts w:ascii="Times New Roman" w:hAnsi="Times New Roman" w:cs="Times New Roman"/>
                <w:color w:val="FF0000"/>
                <w:lang w:eastAsia="zh-CN"/>
              </w:rPr>
            </w:pPr>
            <w:bookmarkStart w:id="11" w:name="_Toc19964"/>
            <w:r>
              <w:rPr>
                <w:rFonts w:ascii="Times New Roman" w:hAnsi="Times New Roman" w:cs="Times New Roman"/>
                <w:color w:val="FF0000"/>
                <w:sz w:val="24"/>
                <w:szCs w:val="24"/>
                <w:lang w:eastAsia="zh-CN"/>
              </w:rPr>
              <w:t xml:space="preserve">表2-1  </w:t>
            </w:r>
            <w:r>
              <w:rPr>
                <w:rFonts w:hint="eastAsia" w:ascii="Times New Roman" w:hAnsi="Times New Roman" w:cs="Times New Roman"/>
                <w:color w:val="FF0000"/>
                <w:sz w:val="24"/>
                <w:szCs w:val="24"/>
                <w:lang w:eastAsia="zh-CN"/>
              </w:rPr>
              <w:t xml:space="preserve"> </w:t>
            </w:r>
            <w:r>
              <w:rPr>
                <w:rFonts w:ascii="Times New Roman" w:hAnsi="Times New Roman" w:cs="Times New Roman"/>
                <w:color w:val="FF0000"/>
                <w:sz w:val="24"/>
                <w:szCs w:val="24"/>
                <w:lang w:eastAsia="zh-CN"/>
              </w:rPr>
              <w:t xml:space="preserve"> 建设规模一览</w:t>
            </w:r>
            <w:bookmarkEnd w:id="11"/>
            <w:r>
              <w:rPr>
                <w:rFonts w:hint="eastAsia" w:ascii="Times New Roman" w:hAnsi="Times New Roman" w:cs="Times New Roman"/>
                <w:color w:val="FF0000"/>
                <w:sz w:val="24"/>
                <w:szCs w:val="24"/>
                <w:lang w:eastAsia="zh-CN"/>
              </w:rPr>
              <w:t>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8"/>
              <w:gridCol w:w="1730"/>
              <w:gridCol w:w="1915"/>
              <w:gridCol w:w="1915"/>
              <w:gridCol w:w="1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序号</w:t>
                  </w:r>
                </w:p>
              </w:tc>
              <w:tc>
                <w:tcPr>
                  <w:tcW w:w="1061" w:type="pct"/>
                  <w:tcBorders>
                    <w:tl2br w:val="nil"/>
                    <w:tr2bl w:val="nil"/>
                  </w:tcBorders>
                  <w:vAlign w:val="center"/>
                </w:tcPr>
                <w:p>
                  <w:pPr>
                    <w:adjustRightInd w:val="0"/>
                    <w:snapToGrid w:val="0"/>
                    <w:jc w:val="center"/>
                    <w:rPr>
                      <w:color w:val="FF0000"/>
                      <w:szCs w:val="21"/>
                    </w:rPr>
                  </w:pPr>
                  <w:r>
                    <w:rPr>
                      <w:color w:val="FF0000"/>
                      <w:szCs w:val="21"/>
                    </w:rPr>
                    <w:t>名称</w:t>
                  </w:r>
                </w:p>
              </w:tc>
              <w:tc>
                <w:tcPr>
                  <w:tcW w:w="2159" w:type="dxa"/>
                  <w:tcBorders>
                    <w:tl2br w:val="nil"/>
                    <w:tr2bl w:val="nil"/>
                  </w:tcBorders>
                  <w:vAlign w:val="center"/>
                </w:tcPr>
                <w:p>
                  <w:pPr>
                    <w:adjustRightInd w:val="0"/>
                    <w:snapToGrid w:val="0"/>
                    <w:jc w:val="center"/>
                    <w:rPr>
                      <w:color w:val="FF0000"/>
                      <w:szCs w:val="21"/>
                    </w:rPr>
                  </w:pPr>
                  <w:r>
                    <w:rPr>
                      <w:color w:val="FF0000"/>
                      <w:szCs w:val="21"/>
                    </w:rPr>
                    <w:t>一期工程</w:t>
                  </w:r>
                </w:p>
              </w:tc>
              <w:tc>
                <w:tcPr>
                  <w:tcW w:w="2160" w:type="dxa"/>
                  <w:tcBorders>
                    <w:tl2br w:val="nil"/>
                    <w:tr2bl w:val="nil"/>
                  </w:tcBorders>
                  <w:vAlign w:val="center"/>
                </w:tcPr>
                <w:p>
                  <w:pPr>
                    <w:adjustRightInd w:val="0"/>
                    <w:snapToGrid w:val="0"/>
                    <w:jc w:val="center"/>
                    <w:rPr>
                      <w:color w:val="FF0000"/>
                      <w:szCs w:val="21"/>
                    </w:rPr>
                  </w:pPr>
                  <w:r>
                    <w:rPr>
                      <w:color w:val="FF0000"/>
                      <w:szCs w:val="21"/>
                    </w:rPr>
                    <w:t>二期工程</w:t>
                  </w:r>
                </w:p>
              </w:tc>
              <w:tc>
                <w:tcPr>
                  <w:tcW w:w="1175" w:type="pct"/>
                  <w:tcBorders>
                    <w:tl2br w:val="nil"/>
                    <w:tr2bl w:val="nil"/>
                  </w:tcBorders>
                  <w:vAlign w:val="center"/>
                </w:tcPr>
                <w:p>
                  <w:pPr>
                    <w:adjustRightInd w:val="0"/>
                    <w:snapToGrid w:val="0"/>
                    <w:jc w:val="center"/>
                    <w:rPr>
                      <w:color w:val="FF0000"/>
                      <w:szCs w:val="21"/>
                    </w:rPr>
                  </w:pPr>
                  <w:r>
                    <w:rPr>
                      <w:color w:val="FF0000"/>
                      <w:szCs w:val="21"/>
                    </w:rPr>
                    <w:t>最终规模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b/>
                      <w:bCs/>
                      <w:color w:val="FF0000"/>
                      <w:szCs w:val="21"/>
                    </w:rPr>
                  </w:pPr>
                  <w:r>
                    <w:rPr>
                      <w:b/>
                      <w:bCs/>
                      <w:color w:val="FF0000"/>
                      <w:szCs w:val="21"/>
                    </w:rPr>
                    <w:t>一</w:t>
                  </w:r>
                </w:p>
              </w:tc>
              <w:tc>
                <w:tcPr>
                  <w:tcW w:w="1061" w:type="pct"/>
                  <w:tcBorders>
                    <w:tl2br w:val="nil"/>
                    <w:tr2bl w:val="nil"/>
                  </w:tcBorders>
                  <w:vAlign w:val="center"/>
                </w:tcPr>
                <w:p>
                  <w:pPr>
                    <w:adjustRightInd w:val="0"/>
                    <w:snapToGrid w:val="0"/>
                    <w:jc w:val="center"/>
                    <w:rPr>
                      <w:b/>
                      <w:bCs/>
                      <w:color w:val="FF0000"/>
                      <w:szCs w:val="21"/>
                    </w:rPr>
                  </w:pPr>
                  <w:r>
                    <w:rPr>
                      <w:b/>
                      <w:bCs/>
                      <w:color w:val="FF0000"/>
                      <w:szCs w:val="21"/>
                    </w:rPr>
                    <w:t>储能电站</w:t>
                  </w:r>
                </w:p>
              </w:tc>
              <w:tc>
                <w:tcPr>
                  <w:tcW w:w="1175" w:type="pct"/>
                  <w:tcBorders>
                    <w:tl2br w:val="nil"/>
                    <w:tr2bl w:val="nil"/>
                  </w:tcBorders>
                  <w:vAlign w:val="center"/>
                </w:tcPr>
                <w:p>
                  <w:pPr>
                    <w:adjustRightInd w:val="0"/>
                    <w:snapToGrid w:val="0"/>
                    <w:jc w:val="center"/>
                    <w:rPr>
                      <w:b/>
                      <w:bCs/>
                      <w:color w:val="FF0000"/>
                      <w:szCs w:val="21"/>
                    </w:rPr>
                  </w:pPr>
                </w:p>
              </w:tc>
              <w:tc>
                <w:tcPr>
                  <w:tcW w:w="1175" w:type="pct"/>
                  <w:tcBorders>
                    <w:tl2br w:val="nil"/>
                    <w:tr2bl w:val="nil"/>
                  </w:tcBorders>
                  <w:vAlign w:val="center"/>
                </w:tcPr>
                <w:p>
                  <w:pPr>
                    <w:adjustRightInd w:val="0"/>
                    <w:snapToGrid w:val="0"/>
                    <w:jc w:val="center"/>
                    <w:rPr>
                      <w:b/>
                      <w:bCs/>
                      <w:color w:val="FF0000"/>
                      <w:szCs w:val="21"/>
                    </w:rPr>
                  </w:pPr>
                </w:p>
              </w:tc>
              <w:tc>
                <w:tcPr>
                  <w:tcW w:w="1175" w:type="pct"/>
                  <w:tcBorders>
                    <w:tl2br w:val="nil"/>
                    <w:tr2bl w:val="nil"/>
                  </w:tcBorders>
                  <w:vAlign w:val="center"/>
                </w:tcPr>
                <w:p>
                  <w:pPr>
                    <w:adjustRightInd w:val="0"/>
                    <w:snapToGrid w:val="0"/>
                    <w:jc w:val="center"/>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1</w:t>
                  </w:r>
                </w:p>
              </w:tc>
              <w:tc>
                <w:tcPr>
                  <w:tcW w:w="1061" w:type="pct"/>
                  <w:tcBorders>
                    <w:tl2br w:val="nil"/>
                    <w:tr2bl w:val="nil"/>
                  </w:tcBorders>
                  <w:vAlign w:val="center"/>
                </w:tcPr>
                <w:p>
                  <w:pPr>
                    <w:adjustRightInd w:val="0"/>
                    <w:snapToGrid w:val="0"/>
                    <w:jc w:val="center"/>
                    <w:rPr>
                      <w:color w:val="FF0000"/>
                      <w:szCs w:val="21"/>
                    </w:rPr>
                  </w:pPr>
                  <w:r>
                    <w:rPr>
                      <w:color w:val="FF0000"/>
                      <w:szCs w:val="21"/>
                    </w:rPr>
                    <w:t>储能规模</w:t>
                  </w:r>
                </w:p>
              </w:tc>
              <w:tc>
                <w:tcPr>
                  <w:tcW w:w="1175" w:type="pct"/>
                  <w:tcBorders>
                    <w:tl2br w:val="nil"/>
                    <w:tr2bl w:val="nil"/>
                  </w:tcBorders>
                  <w:vAlign w:val="center"/>
                </w:tcPr>
                <w:p>
                  <w:pPr>
                    <w:adjustRightInd w:val="0"/>
                    <w:snapToGrid w:val="0"/>
                    <w:jc w:val="center"/>
                    <w:rPr>
                      <w:color w:val="FF0000"/>
                      <w:szCs w:val="21"/>
                    </w:rPr>
                  </w:pPr>
                  <w:r>
                    <w:rPr>
                      <w:color w:val="FF0000"/>
                      <w:szCs w:val="21"/>
                    </w:rPr>
                    <w:t>150MW/300MWh</w:t>
                  </w:r>
                </w:p>
              </w:tc>
              <w:tc>
                <w:tcPr>
                  <w:tcW w:w="1175" w:type="pct"/>
                  <w:tcBorders>
                    <w:tl2br w:val="nil"/>
                    <w:tr2bl w:val="nil"/>
                  </w:tcBorders>
                  <w:vAlign w:val="center"/>
                </w:tcPr>
                <w:p>
                  <w:pPr>
                    <w:adjustRightInd w:val="0"/>
                    <w:snapToGrid w:val="0"/>
                    <w:jc w:val="center"/>
                    <w:rPr>
                      <w:color w:val="FF0000"/>
                      <w:szCs w:val="21"/>
                    </w:rPr>
                  </w:pPr>
                  <w:r>
                    <w:rPr>
                      <w:color w:val="FF0000"/>
                      <w:szCs w:val="21"/>
                    </w:rPr>
                    <w:t>350MW/700MWh</w:t>
                  </w:r>
                </w:p>
              </w:tc>
              <w:tc>
                <w:tcPr>
                  <w:tcW w:w="1175" w:type="pct"/>
                  <w:tcBorders>
                    <w:tl2br w:val="nil"/>
                    <w:tr2bl w:val="nil"/>
                  </w:tcBorders>
                  <w:vAlign w:val="center"/>
                </w:tcPr>
                <w:p>
                  <w:pPr>
                    <w:adjustRightInd w:val="0"/>
                    <w:snapToGrid w:val="0"/>
                    <w:jc w:val="center"/>
                    <w:rPr>
                      <w:color w:val="FF0000"/>
                      <w:szCs w:val="21"/>
                    </w:rPr>
                  </w:pPr>
                  <w:r>
                    <w:rPr>
                      <w:color w:val="FF0000"/>
                      <w:szCs w:val="21"/>
                    </w:rPr>
                    <w:t>500MW/1000MWh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2</w:t>
                  </w:r>
                </w:p>
              </w:tc>
              <w:tc>
                <w:tcPr>
                  <w:tcW w:w="1061" w:type="pct"/>
                  <w:tcBorders>
                    <w:tl2br w:val="nil"/>
                    <w:tr2bl w:val="nil"/>
                  </w:tcBorders>
                  <w:vAlign w:val="center"/>
                </w:tcPr>
                <w:p>
                  <w:pPr>
                    <w:adjustRightInd w:val="0"/>
                    <w:snapToGrid w:val="0"/>
                    <w:jc w:val="center"/>
                    <w:rPr>
                      <w:color w:val="FF0000"/>
                      <w:szCs w:val="21"/>
                    </w:rPr>
                  </w:pPr>
                  <w:r>
                    <w:rPr>
                      <w:color w:val="FF0000"/>
                      <w:szCs w:val="21"/>
                    </w:rPr>
                    <w:t>储能子阵数量</w:t>
                  </w:r>
                </w:p>
              </w:tc>
              <w:tc>
                <w:tcPr>
                  <w:tcW w:w="1175" w:type="pct"/>
                  <w:tcBorders>
                    <w:tl2br w:val="nil"/>
                    <w:tr2bl w:val="nil"/>
                  </w:tcBorders>
                  <w:vAlign w:val="center"/>
                </w:tcPr>
                <w:p>
                  <w:pPr>
                    <w:adjustRightInd w:val="0"/>
                    <w:snapToGrid w:val="0"/>
                    <w:jc w:val="center"/>
                    <w:rPr>
                      <w:color w:val="FF0000"/>
                      <w:szCs w:val="21"/>
                    </w:rPr>
                  </w:pPr>
                  <w:r>
                    <w:rPr>
                      <w:color w:val="FF0000"/>
                      <w:szCs w:val="21"/>
                    </w:rPr>
                    <w:t>50个</w:t>
                  </w:r>
                </w:p>
              </w:tc>
              <w:tc>
                <w:tcPr>
                  <w:tcW w:w="1175" w:type="pct"/>
                  <w:tcBorders>
                    <w:tl2br w:val="nil"/>
                    <w:tr2bl w:val="nil"/>
                  </w:tcBorders>
                  <w:vAlign w:val="center"/>
                </w:tcPr>
                <w:p>
                  <w:pPr>
                    <w:adjustRightInd w:val="0"/>
                    <w:snapToGrid w:val="0"/>
                    <w:jc w:val="center"/>
                    <w:rPr>
                      <w:color w:val="FF0000"/>
                      <w:szCs w:val="21"/>
                    </w:rPr>
                  </w:pPr>
                  <w:r>
                    <w:rPr>
                      <w:color w:val="FF0000"/>
                      <w:szCs w:val="21"/>
                    </w:rPr>
                    <w:t>117个</w:t>
                  </w:r>
                </w:p>
              </w:tc>
              <w:tc>
                <w:tcPr>
                  <w:tcW w:w="1175" w:type="pct"/>
                  <w:tcBorders>
                    <w:tl2br w:val="nil"/>
                    <w:tr2bl w:val="nil"/>
                  </w:tcBorders>
                  <w:vAlign w:val="center"/>
                </w:tcPr>
                <w:p>
                  <w:pPr>
                    <w:adjustRightInd w:val="0"/>
                    <w:snapToGrid w:val="0"/>
                    <w:jc w:val="center"/>
                    <w:rPr>
                      <w:color w:val="FF0000"/>
                      <w:szCs w:val="21"/>
                    </w:rPr>
                  </w:pPr>
                  <w:r>
                    <w:rPr>
                      <w:color w:val="FF0000"/>
                      <w:szCs w:val="21"/>
                    </w:rPr>
                    <w:t>167个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3</w:t>
                  </w:r>
                </w:p>
              </w:tc>
              <w:tc>
                <w:tcPr>
                  <w:tcW w:w="1061" w:type="pct"/>
                  <w:tcBorders>
                    <w:tl2br w:val="nil"/>
                    <w:tr2bl w:val="nil"/>
                  </w:tcBorders>
                  <w:vAlign w:val="center"/>
                </w:tcPr>
                <w:p>
                  <w:pPr>
                    <w:adjustRightInd w:val="0"/>
                    <w:snapToGrid w:val="0"/>
                    <w:jc w:val="center"/>
                    <w:rPr>
                      <w:color w:val="FF0000"/>
                      <w:szCs w:val="21"/>
                    </w:rPr>
                  </w:pPr>
                  <w:r>
                    <w:rPr>
                      <w:color w:val="FF0000"/>
                      <w:szCs w:val="21"/>
                    </w:rPr>
                    <w:t>35kV集电线路数量</w:t>
                  </w:r>
                </w:p>
              </w:tc>
              <w:tc>
                <w:tcPr>
                  <w:tcW w:w="1175" w:type="pct"/>
                  <w:tcBorders>
                    <w:tl2br w:val="nil"/>
                    <w:tr2bl w:val="nil"/>
                  </w:tcBorders>
                  <w:vAlign w:val="center"/>
                </w:tcPr>
                <w:p>
                  <w:pPr>
                    <w:adjustRightInd w:val="0"/>
                    <w:snapToGrid w:val="0"/>
                    <w:jc w:val="center"/>
                    <w:rPr>
                      <w:color w:val="FF0000"/>
                      <w:szCs w:val="21"/>
                    </w:rPr>
                  </w:pPr>
                  <w:r>
                    <w:rPr>
                      <w:color w:val="FF0000"/>
                      <w:szCs w:val="21"/>
                    </w:rPr>
                    <w:t>13条</w:t>
                  </w:r>
                </w:p>
              </w:tc>
              <w:tc>
                <w:tcPr>
                  <w:tcW w:w="1175" w:type="pct"/>
                  <w:tcBorders>
                    <w:tl2br w:val="nil"/>
                    <w:tr2bl w:val="nil"/>
                  </w:tcBorders>
                  <w:vAlign w:val="center"/>
                </w:tcPr>
                <w:p>
                  <w:pPr>
                    <w:adjustRightInd w:val="0"/>
                    <w:snapToGrid w:val="0"/>
                    <w:jc w:val="center"/>
                    <w:rPr>
                      <w:color w:val="FF0000"/>
                      <w:szCs w:val="21"/>
                    </w:rPr>
                  </w:pPr>
                  <w:r>
                    <w:rPr>
                      <w:color w:val="FF0000"/>
                      <w:szCs w:val="21"/>
                    </w:rPr>
                    <w:t>29条</w:t>
                  </w:r>
                </w:p>
              </w:tc>
              <w:tc>
                <w:tcPr>
                  <w:tcW w:w="1175" w:type="pct"/>
                  <w:tcBorders>
                    <w:tl2br w:val="nil"/>
                    <w:tr2bl w:val="nil"/>
                  </w:tcBorders>
                  <w:vAlign w:val="center"/>
                </w:tcPr>
                <w:p>
                  <w:pPr>
                    <w:adjustRightInd w:val="0"/>
                    <w:snapToGrid w:val="0"/>
                    <w:jc w:val="center"/>
                    <w:rPr>
                      <w:color w:val="FF0000"/>
                      <w:szCs w:val="21"/>
                    </w:rPr>
                  </w:pPr>
                  <w:r>
                    <w:rPr>
                      <w:color w:val="FF0000"/>
                      <w:szCs w:val="21"/>
                    </w:rPr>
                    <w:t>42条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b/>
                      <w:bCs/>
                      <w:color w:val="FF0000"/>
                      <w:szCs w:val="21"/>
                    </w:rPr>
                  </w:pPr>
                  <w:r>
                    <w:rPr>
                      <w:b/>
                      <w:bCs/>
                      <w:color w:val="FF0000"/>
                      <w:szCs w:val="21"/>
                    </w:rPr>
                    <w:t>二</w:t>
                  </w:r>
                </w:p>
              </w:tc>
              <w:tc>
                <w:tcPr>
                  <w:tcW w:w="1061" w:type="pct"/>
                  <w:tcBorders>
                    <w:tl2br w:val="nil"/>
                    <w:tr2bl w:val="nil"/>
                  </w:tcBorders>
                  <w:vAlign w:val="center"/>
                </w:tcPr>
                <w:p>
                  <w:pPr>
                    <w:adjustRightInd w:val="0"/>
                    <w:snapToGrid w:val="0"/>
                    <w:jc w:val="center"/>
                    <w:rPr>
                      <w:b/>
                      <w:bCs/>
                      <w:color w:val="FF0000"/>
                      <w:szCs w:val="21"/>
                    </w:rPr>
                  </w:pPr>
                  <w:r>
                    <w:rPr>
                      <w:b/>
                      <w:bCs/>
                      <w:color w:val="FF0000"/>
                      <w:szCs w:val="21"/>
                    </w:rPr>
                    <w:t>330kV升压站</w:t>
                  </w:r>
                </w:p>
              </w:tc>
              <w:tc>
                <w:tcPr>
                  <w:tcW w:w="1175" w:type="pct"/>
                  <w:tcBorders>
                    <w:tl2br w:val="nil"/>
                    <w:tr2bl w:val="nil"/>
                  </w:tcBorders>
                  <w:vAlign w:val="center"/>
                </w:tcPr>
                <w:p>
                  <w:pPr>
                    <w:adjustRightInd w:val="0"/>
                    <w:snapToGrid w:val="0"/>
                    <w:jc w:val="center"/>
                    <w:rPr>
                      <w:b/>
                      <w:bCs/>
                      <w:color w:val="FF0000"/>
                      <w:szCs w:val="21"/>
                    </w:rPr>
                  </w:pPr>
                </w:p>
              </w:tc>
              <w:tc>
                <w:tcPr>
                  <w:tcW w:w="1175" w:type="pct"/>
                  <w:tcBorders>
                    <w:tl2br w:val="nil"/>
                    <w:tr2bl w:val="nil"/>
                  </w:tcBorders>
                  <w:vAlign w:val="center"/>
                </w:tcPr>
                <w:p>
                  <w:pPr>
                    <w:adjustRightInd w:val="0"/>
                    <w:snapToGrid w:val="0"/>
                    <w:jc w:val="center"/>
                    <w:rPr>
                      <w:b/>
                      <w:bCs/>
                      <w:color w:val="FF0000"/>
                      <w:szCs w:val="21"/>
                    </w:rPr>
                  </w:pPr>
                </w:p>
              </w:tc>
              <w:tc>
                <w:tcPr>
                  <w:tcW w:w="1175" w:type="pct"/>
                  <w:tcBorders>
                    <w:tl2br w:val="nil"/>
                    <w:tr2bl w:val="nil"/>
                  </w:tcBorders>
                  <w:vAlign w:val="center"/>
                </w:tcPr>
                <w:p>
                  <w:pPr>
                    <w:adjustRightInd w:val="0"/>
                    <w:snapToGrid w:val="0"/>
                    <w:jc w:val="center"/>
                    <w:rPr>
                      <w:b/>
                      <w:bCs/>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1</w:t>
                  </w:r>
                </w:p>
              </w:tc>
              <w:tc>
                <w:tcPr>
                  <w:tcW w:w="1061" w:type="pct"/>
                  <w:tcBorders>
                    <w:tl2br w:val="nil"/>
                    <w:tr2bl w:val="nil"/>
                  </w:tcBorders>
                  <w:vAlign w:val="center"/>
                </w:tcPr>
                <w:p>
                  <w:pPr>
                    <w:adjustRightInd w:val="0"/>
                    <w:snapToGrid w:val="0"/>
                    <w:jc w:val="center"/>
                    <w:rPr>
                      <w:color w:val="FF0000"/>
                      <w:szCs w:val="21"/>
                    </w:rPr>
                  </w:pPr>
                  <w:r>
                    <w:rPr>
                      <w:color w:val="FF0000"/>
                      <w:szCs w:val="21"/>
                    </w:rPr>
                    <w:t>主变压器</w:t>
                  </w:r>
                </w:p>
              </w:tc>
              <w:tc>
                <w:tcPr>
                  <w:tcW w:w="1175" w:type="pct"/>
                  <w:tcBorders>
                    <w:tl2br w:val="nil"/>
                    <w:tr2bl w:val="nil"/>
                  </w:tcBorders>
                  <w:vAlign w:val="center"/>
                </w:tcPr>
                <w:p>
                  <w:pPr>
                    <w:adjustRightInd w:val="0"/>
                    <w:snapToGrid w:val="0"/>
                    <w:jc w:val="center"/>
                    <w:rPr>
                      <w:color w:val="FF0000"/>
                      <w:szCs w:val="21"/>
                    </w:rPr>
                  </w:pPr>
                  <w:r>
                    <w:rPr>
                      <w:color w:val="FF0000"/>
                      <w:szCs w:val="21"/>
                    </w:rPr>
                    <w:t>1×240MVA</w:t>
                  </w:r>
                </w:p>
              </w:tc>
              <w:tc>
                <w:tcPr>
                  <w:tcW w:w="1175" w:type="pct"/>
                  <w:tcBorders>
                    <w:tl2br w:val="nil"/>
                    <w:tr2bl w:val="nil"/>
                  </w:tcBorders>
                  <w:vAlign w:val="center"/>
                </w:tcPr>
                <w:p>
                  <w:pPr>
                    <w:adjustRightInd w:val="0"/>
                    <w:snapToGrid w:val="0"/>
                    <w:jc w:val="center"/>
                    <w:rPr>
                      <w:color w:val="FF0000"/>
                      <w:szCs w:val="21"/>
                    </w:rPr>
                  </w:pPr>
                  <w:r>
                    <w:rPr>
                      <w:color w:val="FF0000"/>
                      <w:szCs w:val="21"/>
                    </w:rPr>
                    <w:t>1×360MVA</w:t>
                  </w:r>
                </w:p>
              </w:tc>
              <w:tc>
                <w:tcPr>
                  <w:tcW w:w="1175" w:type="pct"/>
                  <w:tcBorders>
                    <w:tl2br w:val="nil"/>
                    <w:tr2bl w:val="nil"/>
                  </w:tcBorders>
                  <w:vAlign w:val="center"/>
                </w:tcPr>
                <w:p>
                  <w:pPr>
                    <w:adjustRightInd w:val="0"/>
                    <w:snapToGrid w:val="0"/>
                    <w:jc w:val="center"/>
                    <w:rPr>
                      <w:color w:val="FF0000"/>
                      <w:szCs w:val="21"/>
                    </w:rPr>
                  </w:pPr>
                  <w:r>
                    <w:rPr>
                      <w:color w:val="FF0000"/>
                      <w:szCs w:val="21"/>
                    </w:rPr>
                    <w:t>1×360MVA+1×240MVA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2</w:t>
                  </w:r>
                </w:p>
              </w:tc>
              <w:tc>
                <w:tcPr>
                  <w:tcW w:w="1061" w:type="pct"/>
                  <w:tcBorders>
                    <w:tl2br w:val="nil"/>
                    <w:tr2bl w:val="nil"/>
                  </w:tcBorders>
                  <w:vAlign w:val="center"/>
                </w:tcPr>
                <w:p>
                  <w:pPr>
                    <w:adjustRightInd w:val="0"/>
                    <w:snapToGrid w:val="0"/>
                    <w:jc w:val="center"/>
                    <w:rPr>
                      <w:color w:val="FF0000"/>
                      <w:szCs w:val="21"/>
                    </w:rPr>
                  </w:pPr>
                  <w:r>
                    <w:rPr>
                      <w:color w:val="FF0000"/>
                      <w:szCs w:val="21"/>
                    </w:rPr>
                    <w:t>330kV出线间隔</w:t>
                  </w:r>
                </w:p>
              </w:tc>
              <w:tc>
                <w:tcPr>
                  <w:tcW w:w="1175" w:type="pct"/>
                  <w:tcBorders>
                    <w:tl2br w:val="nil"/>
                    <w:tr2bl w:val="nil"/>
                  </w:tcBorders>
                  <w:vAlign w:val="center"/>
                </w:tcPr>
                <w:p>
                  <w:pPr>
                    <w:adjustRightInd w:val="0"/>
                    <w:snapToGrid w:val="0"/>
                    <w:jc w:val="center"/>
                    <w:rPr>
                      <w:color w:val="FF0000"/>
                      <w:szCs w:val="21"/>
                    </w:rPr>
                  </w:pPr>
                  <w:r>
                    <w:rPr>
                      <w:color w:val="FF0000"/>
                      <w:szCs w:val="21"/>
                    </w:rPr>
                    <w:t>1回出线</w:t>
                  </w:r>
                </w:p>
              </w:tc>
              <w:tc>
                <w:tcPr>
                  <w:tcW w:w="1175" w:type="pct"/>
                  <w:tcBorders>
                    <w:tl2br w:val="nil"/>
                    <w:tr2bl w:val="nil"/>
                  </w:tcBorders>
                  <w:vAlign w:val="center"/>
                </w:tcPr>
                <w:p>
                  <w:pPr>
                    <w:adjustRightInd w:val="0"/>
                    <w:snapToGrid w:val="0"/>
                    <w:jc w:val="center"/>
                    <w:rPr>
                      <w:color w:val="FF0000"/>
                      <w:szCs w:val="21"/>
                    </w:rPr>
                  </w:pPr>
                  <w:r>
                    <w:rPr>
                      <w:color w:val="FF0000"/>
                      <w:szCs w:val="21"/>
                    </w:rPr>
                    <w:t>/</w:t>
                  </w:r>
                </w:p>
              </w:tc>
              <w:tc>
                <w:tcPr>
                  <w:tcW w:w="1175" w:type="pct"/>
                  <w:tcBorders>
                    <w:tl2br w:val="nil"/>
                    <w:tr2bl w:val="nil"/>
                  </w:tcBorders>
                  <w:vAlign w:val="center"/>
                </w:tcPr>
                <w:p>
                  <w:pPr>
                    <w:adjustRightInd w:val="0"/>
                    <w:snapToGrid w:val="0"/>
                    <w:jc w:val="center"/>
                    <w:rPr>
                      <w:color w:val="FF0000"/>
                      <w:szCs w:val="21"/>
                    </w:rPr>
                  </w:pPr>
                  <w:r>
                    <w:rPr>
                      <w:color w:val="FF0000"/>
                      <w:szCs w:val="21"/>
                    </w:rPr>
                    <w:t>1回出线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4</w:t>
                  </w:r>
                </w:p>
              </w:tc>
              <w:tc>
                <w:tcPr>
                  <w:tcW w:w="1061" w:type="pct"/>
                  <w:tcBorders>
                    <w:tl2br w:val="nil"/>
                    <w:tr2bl w:val="nil"/>
                  </w:tcBorders>
                  <w:vAlign w:val="center"/>
                </w:tcPr>
                <w:p>
                  <w:pPr>
                    <w:adjustRightInd w:val="0"/>
                    <w:snapToGrid w:val="0"/>
                    <w:jc w:val="center"/>
                    <w:rPr>
                      <w:color w:val="FF0000"/>
                      <w:szCs w:val="21"/>
                    </w:rPr>
                  </w:pPr>
                  <w:r>
                    <w:rPr>
                      <w:color w:val="FF0000"/>
                      <w:szCs w:val="21"/>
                    </w:rPr>
                    <w:t>35kV动态无功补偿</w:t>
                  </w:r>
                </w:p>
              </w:tc>
              <w:tc>
                <w:tcPr>
                  <w:tcW w:w="1175" w:type="pct"/>
                  <w:tcBorders>
                    <w:tl2br w:val="nil"/>
                    <w:tr2bl w:val="nil"/>
                  </w:tcBorders>
                  <w:vAlign w:val="center"/>
                </w:tcPr>
                <w:p>
                  <w:pPr>
                    <w:adjustRightInd w:val="0"/>
                    <w:snapToGrid w:val="0"/>
                    <w:jc w:val="center"/>
                    <w:rPr>
                      <w:color w:val="FF0000"/>
                      <w:szCs w:val="21"/>
                    </w:rPr>
                  </w:pPr>
                  <w:r>
                    <w:rPr>
                      <w:color w:val="FF0000"/>
                      <w:szCs w:val="21"/>
                    </w:rPr>
                    <w:t>2×</w:t>
                  </w:r>
                  <w:r>
                    <w:rPr>
                      <w:rFonts w:hint="eastAsia"/>
                      <w:color w:val="FF0000"/>
                      <w:szCs w:val="21"/>
                    </w:rPr>
                    <w:t>（</w:t>
                  </w:r>
                  <w:r>
                    <w:rPr>
                      <w:color w:val="FF0000"/>
                      <w:szCs w:val="21"/>
                    </w:rPr>
                    <w:t>±20M</w:t>
                  </w:r>
                  <w:r>
                    <w:rPr>
                      <w:rFonts w:hint="eastAsia"/>
                      <w:color w:val="FF0000"/>
                      <w:szCs w:val="21"/>
                    </w:rPr>
                    <w:t>V</w:t>
                  </w:r>
                  <w:r>
                    <w:rPr>
                      <w:color w:val="FF0000"/>
                      <w:szCs w:val="21"/>
                    </w:rPr>
                    <w:t>ar）SVG</w:t>
                  </w:r>
                </w:p>
              </w:tc>
              <w:tc>
                <w:tcPr>
                  <w:tcW w:w="1175" w:type="pct"/>
                  <w:tcBorders>
                    <w:tl2br w:val="nil"/>
                    <w:tr2bl w:val="nil"/>
                  </w:tcBorders>
                  <w:vAlign w:val="center"/>
                </w:tcPr>
                <w:p>
                  <w:pPr>
                    <w:adjustRightInd w:val="0"/>
                    <w:snapToGrid w:val="0"/>
                    <w:jc w:val="center"/>
                    <w:rPr>
                      <w:color w:val="FF0000"/>
                      <w:szCs w:val="21"/>
                    </w:rPr>
                  </w:pPr>
                  <w:r>
                    <w:rPr>
                      <w:color w:val="FF0000"/>
                      <w:szCs w:val="21"/>
                    </w:rPr>
                    <w:t>2×（±30MVar）SVG</w:t>
                  </w:r>
                </w:p>
              </w:tc>
              <w:tc>
                <w:tcPr>
                  <w:tcW w:w="1175" w:type="pct"/>
                  <w:tcBorders>
                    <w:tl2br w:val="nil"/>
                    <w:tr2bl w:val="nil"/>
                  </w:tcBorders>
                  <w:vAlign w:val="center"/>
                </w:tcPr>
                <w:p>
                  <w:pPr>
                    <w:adjustRightInd w:val="0"/>
                    <w:snapToGrid w:val="0"/>
                    <w:jc w:val="center"/>
                    <w:rPr>
                      <w:color w:val="FF0000"/>
                      <w:szCs w:val="21"/>
                    </w:rPr>
                  </w:pPr>
                  <w:r>
                    <w:rPr>
                      <w:color w:val="FF0000"/>
                      <w:szCs w:val="21"/>
                    </w:rPr>
                    <w:t>2×（±20MVar）+2×（±30MVar）SVG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color w:val="FF0000"/>
                      <w:szCs w:val="21"/>
                    </w:rPr>
                  </w:pPr>
                  <w:r>
                    <w:rPr>
                      <w:color w:val="FF0000"/>
                      <w:szCs w:val="21"/>
                    </w:rPr>
                    <w:t>5</w:t>
                  </w:r>
                </w:p>
              </w:tc>
              <w:tc>
                <w:tcPr>
                  <w:tcW w:w="1061" w:type="pct"/>
                  <w:tcBorders>
                    <w:tl2br w:val="nil"/>
                    <w:tr2bl w:val="nil"/>
                  </w:tcBorders>
                  <w:vAlign w:val="center"/>
                </w:tcPr>
                <w:p>
                  <w:pPr>
                    <w:adjustRightInd w:val="0"/>
                    <w:snapToGrid w:val="0"/>
                    <w:jc w:val="center"/>
                    <w:rPr>
                      <w:color w:val="FF0000"/>
                      <w:szCs w:val="21"/>
                    </w:rPr>
                  </w:pPr>
                  <w:r>
                    <w:rPr>
                      <w:color w:val="FF0000"/>
                      <w:szCs w:val="21"/>
                    </w:rPr>
                    <w:t>站用变</w:t>
                  </w:r>
                </w:p>
              </w:tc>
              <w:tc>
                <w:tcPr>
                  <w:tcW w:w="1175" w:type="pct"/>
                  <w:tcBorders>
                    <w:tl2br w:val="nil"/>
                    <w:tr2bl w:val="nil"/>
                  </w:tcBorders>
                  <w:vAlign w:val="center"/>
                </w:tcPr>
                <w:p>
                  <w:pPr>
                    <w:adjustRightInd w:val="0"/>
                    <w:snapToGrid w:val="0"/>
                    <w:jc w:val="center"/>
                    <w:rPr>
                      <w:color w:val="FF0000"/>
                      <w:szCs w:val="21"/>
                    </w:rPr>
                  </w:pPr>
                  <w:r>
                    <w:rPr>
                      <w:color w:val="FF0000"/>
                      <w:szCs w:val="21"/>
                    </w:rPr>
                    <w:t>2台35kV站用变压器（4000kVA/台）</w:t>
                  </w:r>
                </w:p>
              </w:tc>
              <w:tc>
                <w:tcPr>
                  <w:tcW w:w="1175" w:type="pct"/>
                  <w:tcBorders>
                    <w:tl2br w:val="nil"/>
                    <w:tr2bl w:val="nil"/>
                  </w:tcBorders>
                  <w:vAlign w:val="center"/>
                </w:tcPr>
                <w:p>
                  <w:pPr>
                    <w:adjustRightInd w:val="0"/>
                    <w:snapToGrid w:val="0"/>
                    <w:jc w:val="center"/>
                    <w:rPr>
                      <w:color w:val="FF0000"/>
                      <w:szCs w:val="21"/>
                    </w:rPr>
                  </w:pPr>
                  <w:r>
                    <w:rPr>
                      <w:color w:val="FF0000"/>
                      <w:szCs w:val="21"/>
                    </w:rPr>
                    <w:t>2台35kV站用变压器（4000kVA/台）</w:t>
                  </w:r>
                </w:p>
              </w:tc>
              <w:tc>
                <w:tcPr>
                  <w:tcW w:w="1175" w:type="pct"/>
                  <w:tcBorders>
                    <w:tl2br w:val="nil"/>
                    <w:tr2bl w:val="nil"/>
                  </w:tcBorders>
                  <w:vAlign w:val="center"/>
                </w:tcPr>
                <w:p>
                  <w:pPr>
                    <w:adjustRightInd w:val="0"/>
                    <w:snapToGrid w:val="0"/>
                    <w:jc w:val="center"/>
                    <w:rPr>
                      <w:color w:val="FF0000"/>
                      <w:szCs w:val="21"/>
                    </w:rPr>
                  </w:pPr>
                  <w:r>
                    <w:rPr>
                      <w:color w:val="FF0000"/>
                      <w:szCs w:val="21"/>
                    </w:rPr>
                    <w:t>4台35kV站用变压器（4000kVA/台）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b/>
                      <w:bCs/>
                      <w:color w:val="FF0000"/>
                      <w:szCs w:val="21"/>
                    </w:rPr>
                  </w:pPr>
                  <w:r>
                    <w:rPr>
                      <w:b/>
                      <w:bCs/>
                      <w:color w:val="FF0000"/>
                      <w:szCs w:val="21"/>
                    </w:rPr>
                    <w:t>三</w:t>
                  </w:r>
                </w:p>
              </w:tc>
              <w:tc>
                <w:tcPr>
                  <w:tcW w:w="1061" w:type="pct"/>
                  <w:tcBorders>
                    <w:tl2br w:val="nil"/>
                    <w:tr2bl w:val="nil"/>
                  </w:tcBorders>
                  <w:vAlign w:val="center"/>
                </w:tcPr>
                <w:p>
                  <w:pPr>
                    <w:adjustRightInd w:val="0"/>
                    <w:snapToGrid w:val="0"/>
                    <w:jc w:val="center"/>
                    <w:rPr>
                      <w:b/>
                      <w:bCs/>
                      <w:color w:val="FF0000"/>
                      <w:szCs w:val="21"/>
                    </w:rPr>
                  </w:pPr>
                  <w:r>
                    <w:rPr>
                      <w:b/>
                      <w:bCs/>
                      <w:color w:val="FF0000"/>
                      <w:szCs w:val="21"/>
                    </w:rPr>
                    <w:t>输电线路</w:t>
                  </w:r>
                </w:p>
              </w:tc>
              <w:tc>
                <w:tcPr>
                  <w:tcW w:w="1175" w:type="pct"/>
                  <w:tcBorders>
                    <w:tl2br w:val="nil"/>
                    <w:tr2bl w:val="nil"/>
                  </w:tcBorders>
                  <w:vAlign w:val="center"/>
                </w:tcPr>
                <w:p>
                  <w:pPr>
                    <w:adjustRightInd w:val="0"/>
                    <w:snapToGrid w:val="0"/>
                    <w:jc w:val="center"/>
                    <w:rPr>
                      <w:b/>
                      <w:bCs/>
                      <w:color w:val="FF0000"/>
                      <w:szCs w:val="21"/>
                    </w:rPr>
                  </w:pPr>
                  <w:r>
                    <w:rPr>
                      <w:color w:val="FF0000"/>
                      <w:szCs w:val="21"/>
                    </w:rPr>
                    <w:t>0.35km</w:t>
                  </w:r>
                </w:p>
              </w:tc>
              <w:tc>
                <w:tcPr>
                  <w:tcW w:w="1175" w:type="pct"/>
                  <w:tcBorders>
                    <w:tl2br w:val="nil"/>
                    <w:tr2bl w:val="nil"/>
                  </w:tcBorders>
                  <w:vAlign w:val="center"/>
                </w:tcPr>
                <w:p>
                  <w:pPr>
                    <w:adjustRightInd w:val="0"/>
                    <w:snapToGrid w:val="0"/>
                    <w:jc w:val="center"/>
                    <w:rPr>
                      <w:b/>
                      <w:bCs/>
                      <w:color w:val="FF0000"/>
                      <w:szCs w:val="21"/>
                    </w:rPr>
                  </w:pPr>
                  <w:r>
                    <w:rPr>
                      <w:color w:val="FF0000"/>
                      <w:szCs w:val="21"/>
                    </w:rPr>
                    <w:t>/</w:t>
                  </w:r>
                </w:p>
              </w:tc>
              <w:tc>
                <w:tcPr>
                  <w:tcW w:w="1175" w:type="pct"/>
                  <w:tcBorders>
                    <w:tl2br w:val="nil"/>
                    <w:tr2bl w:val="nil"/>
                  </w:tcBorders>
                  <w:vAlign w:val="center"/>
                </w:tcPr>
                <w:p>
                  <w:pPr>
                    <w:adjustRightInd w:val="0"/>
                    <w:snapToGrid w:val="0"/>
                    <w:jc w:val="center"/>
                    <w:rPr>
                      <w:color w:val="FF0000"/>
                      <w:szCs w:val="21"/>
                    </w:rPr>
                  </w:pPr>
                  <w:r>
                    <w:rPr>
                      <w:color w:val="FF0000"/>
                      <w:szCs w:val="21"/>
                    </w:rPr>
                    <w:t>0.35km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0" w:type="pct"/>
                  <w:tcBorders>
                    <w:tl2br w:val="nil"/>
                    <w:tr2bl w:val="nil"/>
                  </w:tcBorders>
                  <w:vAlign w:val="center"/>
                </w:tcPr>
                <w:p>
                  <w:pPr>
                    <w:adjustRightInd w:val="0"/>
                    <w:snapToGrid w:val="0"/>
                    <w:jc w:val="center"/>
                    <w:rPr>
                      <w:b/>
                      <w:bCs/>
                      <w:color w:val="FF0000"/>
                      <w:szCs w:val="21"/>
                    </w:rPr>
                  </w:pPr>
                  <w:r>
                    <w:rPr>
                      <w:b/>
                      <w:bCs/>
                      <w:color w:val="FF0000"/>
                      <w:szCs w:val="21"/>
                    </w:rPr>
                    <w:t>四</w:t>
                  </w:r>
                </w:p>
              </w:tc>
              <w:tc>
                <w:tcPr>
                  <w:tcW w:w="1061" w:type="pct"/>
                  <w:tcBorders>
                    <w:tl2br w:val="nil"/>
                    <w:tr2bl w:val="nil"/>
                  </w:tcBorders>
                  <w:vAlign w:val="center"/>
                </w:tcPr>
                <w:p>
                  <w:pPr>
                    <w:adjustRightInd w:val="0"/>
                    <w:snapToGrid w:val="0"/>
                    <w:jc w:val="center"/>
                    <w:rPr>
                      <w:b/>
                      <w:bCs/>
                      <w:color w:val="FF0000"/>
                      <w:szCs w:val="21"/>
                    </w:rPr>
                  </w:pPr>
                  <w:r>
                    <w:rPr>
                      <w:b/>
                      <w:bCs/>
                      <w:color w:val="FF0000"/>
                      <w:szCs w:val="21"/>
                    </w:rPr>
                    <w:t>顺化变330kV间隔扩建</w:t>
                  </w:r>
                </w:p>
              </w:tc>
              <w:tc>
                <w:tcPr>
                  <w:tcW w:w="1175" w:type="pct"/>
                  <w:tcBorders>
                    <w:tl2br w:val="nil"/>
                    <w:tr2bl w:val="nil"/>
                  </w:tcBorders>
                  <w:vAlign w:val="center"/>
                </w:tcPr>
                <w:p>
                  <w:pPr>
                    <w:adjustRightInd w:val="0"/>
                    <w:snapToGrid w:val="0"/>
                    <w:jc w:val="center"/>
                    <w:rPr>
                      <w:b/>
                      <w:bCs/>
                      <w:color w:val="FF0000"/>
                      <w:szCs w:val="21"/>
                    </w:rPr>
                  </w:pPr>
                  <w:r>
                    <w:rPr>
                      <w:color w:val="FF0000"/>
                      <w:szCs w:val="21"/>
                    </w:rPr>
                    <w:t>1回</w:t>
                  </w:r>
                </w:p>
              </w:tc>
              <w:tc>
                <w:tcPr>
                  <w:tcW w:w="1175" w:type="pct"/>
                  <w:tcBorders>
                    <w:tl2br w:val="nil"/>
                    <w:tr2bl w:val="nil"/>
                  </w:tcBorders>
                  <w:vAlign w:val="center"/>
                </w:tcPr>
                <w:p>
                  <w:pPr>
                    <w:adjustRightInd w:val="0"/>
                    <w:snapToGrid w:val="0"/>
                    <w:jc w:val="center"/>
                    <w:rPr>
                      <w:b/>
                      <w:bCs/>
                      <w:color w:val="FF0000"/>
                      <w:szCs w:val="21"/>
                    </w:rPr>
                  </w:pPr>
                  <w:r>
                    <w:rPr>
                      <w:color w:val="FF0000"/>
                      <w:szCs w:val="21"/>
                    </w:rPr>
                    <w:t>/</w:t>
                  </w:r>
                </w:p>
              </w:tc>
              <w:tc>
                <w:tcPr>
                  <w:tcW w:w="1175" w:type="pct"/>
                  <w:tcBorders>
                    <w:tl2br w:val="nil"/>
                    <w:tr2bl w:val="nil"/>
                  </w:tcBorders>
                  <w:vAlign w:val="center"/>
                </w:tcPr>
                <w:p>
                  <w:pPr>
                    <w:adjustRightInd w:val="0"/>
                    <w:snapToGrid w:val="0"/>
                    <w:jc w:val="center"/>
                    <w:rPr>
                      <w:color w:val="FF0000"/>
                      <w:szCs w:val="21"/>
                    </w:rPr>
                  </w:pPr>
                  <w:r>
                    <w:rPr>
                      <w:color w:val="FF0000"/>
                      <w:szCs w:val="21"/>
                    </w:rPr>
                    <w:t>1回</w:t>
                  </w:r>
                </w:p>
              </w:tc>
            </w:tr>
          </w:tbl>
          <w:p>
            <w:pPr>
              <w:adjustRightInd w:val="0"/>
              <w:snapToGrid w:val="0"/>
              <w:spacing w:before="120" w:beforeLines="50" w:line="360" w:lineRule="auto"/>
              <w:ind w:firstLine="480" w:firstLineChars="200"/>
              <w:rPr>
                <w:sz w:val="24"/>
              </w:rPr>
            </w:pPr>
            <w:r>
              <w:rPr>
                <w:sz w:val="24"/>
              </w:rPr>
              <w:t>本</w:t>
            </w:r>
            <w:r>
              <w:rPr>
                <w:rFonts w:hint="eastAsia"/>
                <w:sz w:val="24"/>
              </w:rPr>
              <w:t>项目具体</w:t>
            </w:r>
            <w:r>
              <w:rPr>
                <w:sz w:val="24"/>
              </w:rPr>
              <w:t>建设</w:t>
            </w:r>
            <w:r>
              <w:rPr>
                <w:rFonts w:hint="eastAsia"/>
                <w:sz w:val="24"/>
              </w:rPr>
              <w:t>内容</w:t>
            </w:r>
            <w:r>
              <w:rPr>
                <w:sz w:val="24"/>
              </w:rPr>
              <w:t>见下表。</w:t>
            </w:r>
          </w:p>
          <w:p>
            <w:pPr>
              <w:pStyle w:val="21"/>
              <w:adjustRightInd w:val="0"/>
              <w:snapToGrid w:val="0"/>
              <w:spacing w:before="120" w:beforeLines="50" w:after="0" w:line="360" w:lineRule="auto"/>
              <w:ind w:firstLine="482" w:firstLineChars="200"/>
              <w:rPr>
                <w:rFonts w:ascii="Times New Roman" w:hAnsi="Times New Roman" w:cs="Times New Roman"/>
                <w:sz w:val="24"/>
                <w:szCs w:val="24"/>
                <w:lang w:eastAsia="zh-CN"/>
              </w:rPr>
            </w:pPr>
            <w:bookmarkStart w:id="12" w:name="_Toc20300"/>
            <w:r>
              <w:rPr>
                <w:rFonts w:ascii="Times New Roman" w:hAnsi="Times New Roman" w:cs="Times New Roman"/>
                <w:sz w:val="24"/>
                <w:szCs w:val="24"/>
                <w:lang w:eastAsia="zh-CN"/>
              </w:rPr>
              <w:t xml:space="preserve">表2-2  </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项目建设内容组成一览表</w:t>
            </w:r>
            <w:bookmarkEnd w:id="12"/>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31"/>
              <w:gridCol w:w="1153"/>
              <w:gridCol w:w="5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74" w:type="pct"/>
                  <w:gridSpan w:val="3"/>
                  <w:tcBorders>
                    <w:tl2br w:val="nil"/>
                    <w:tr2bl w:val="nil"/>
                  </w:tcBorders>
                  <w:vAlign w:val="center"/>
                </w:tcPr>
                <w:p>
                  <w:pPr>
                    <w:adjustRightInd w:val="0"/>
                    <w:snapToGrid w:val="0"/>
                    <w:jc w:val="center"/>
                    <w:rPr>
                      <w:szCs w:val="21"/>
                    </w:rPr>
                  </w:pPr>
                  <w:r>
                    <w:rPr>
                      <w:rFonts w:hint="eastAsia"/>
                      <w:szCs w:val="21"/>
                    </w:rPr>
                    <w:t>项目</w:t>
                  </w:r>
                  <w:r>
                    <w:rPr>
                      <w:szCs w:val="21"/>
                    </w:rPr>
                    <w:t>组成</w:t>
                  </w:r>
                </w:p>
              </w:tc>
              <w:tc>
                <w:tcPr>
                  <w:tcW w:w="3525" w:type="pct"/>
                  <w:tcBorders>
                    <w:tl2br w:val="nil"/>
                    <w:tr2bl w:val="nil"/>
                  </w:tcBorders>
                  <w:vAlign w:val="center"/>
                </w:tcPr>
                <w:p>
                  <w:pPr>
                    <w:adjustRightInd w:val="0"/>
                    <w:snapToGrid w:val="0"/>
                    <w:jc w:val="center"/>
                    <w:rPr>
                      <w:szCs w:val="21"/>
                    </w:rPr>
                  </w:pPr>
                  <w:r>
                    <w:rPr>
                      <w:rFonts w:hint="eastAsia"/>
                      <w:szCs w:val="21"/>
                    </w:rPr>
                    <w:t>项目</w:t>
                  </w:r>
                  <w:r>
                    <w:rPr>
                      <w:szCs w:val="21"/>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restart"/>
                  <w:tcBorders>
                    <w:tl2br w:val="nil"/>
                    <w:tr2bl w:val="nil"/>
                  </w:tcBorders>
                  <w:vAlign w:val="center"/>
                </w:tcPr>
                <w:p>
                  <w:pPr>
                    <w:adjustRightInd w:val="0"/>
                    <w:snapToGrid w:val="0"/>
                    <w:jc w:val="center"/>
                    <w:rPr>
                      <w:szCs w:val="21"/>
                    </w:rPr>
                  </w:pPr>
                  <w:r>
                    <w:rPr>
                      <w:szCs w:val="21"/>
                    </w:rPr>
                    <w:t>主体工程</w:t>
                  </w:r>
                </w:p>
              </w:tc>
              <w:tc>
                <w:tcPr>
                  <w:tcW w:w="510" w:type="pct"/>
                  <w:vMerge w:val="restart"/>
                  <w:tcBorders>
                    <w:tl2br w:val="nil"/>
                    <w:tr2bl w:val="nil"/>
                  </w:tcBorders>
                  <w:vAlign w:val="center"/>
                </w:tcPr>
                <w:p>
                  <w:pPr>
                    <w:adjustRightInd w:val="0"/>
                    <w:snapToGrid w:val="0"/>
                    <w:jc w:val="center"/>
                    <w:rPr>
                      <w:szCs w:val="21"/>
                    </w:rPr>
                  </w:pPr>
                  <w:r>
                    <w:rPr>
                      <w:szCs w:val="21"/>
                    </w:rPr>
                    <w:t>储能电站</w:t>
                  </w:r>
                </w:p>
              </w:tc>
              <w:tc>
                <w:tcPr>
                  <w:tcW w:w="707" w:type="pct"/>
                  <w:tcBorders>
                    <w:tl2br w:val="nil"/>
                    <w:tr2bl w:val="nil"/>
                  </w:tcBorders>
                  <w:vAlign w:val="center"/>
                </w:tcPr>
                <w:p>
                  <w:pPr>
                    <w:adjustRightInd w:val="0"/>
                    <w:snapToGrid w:val="0"/>
                    <w:jc w:val="center"/>
                    <w:rPr>
                      <w:szCs w:val="21"/>
                    </w:rPr>
                  </w:pPr>
                  <w:r>
                    <w:rPr>
                      <w:szCs w:val="21"/>
                    </w:rPr>
                    <w:t>站址及占地面积</w:t>
                  </w:r>
                </w:p>
              </w:tc>
              <w:tc>
                <w:tcPr>
                  <w:tcW w:w="3525" w:type="pct"/>
                  <w:tcBorders>
                    <w:tl2br w:val="nil"/>
                    <w:tr2bl w:val="nil"/>
                  </w:tcBorders>
                  <w:vAlign w:val="center"/>
                </w:tcPr>
                <w:p>
                  <w:pPr>
                    <w:adjustRightInd w:val="0"/>
                    <w:snapToGrid w:val="0"/>
                    <w:jc w:val="center"/>
                    <w:rPr>
                      <w:szCs w:val="21"/>
                    </w:rPr>
                  </w:pPr>
                  <w:r>
                    <w:rPr>
                      <w:rFonts w:hint="eastAsia"/>
                      <w:szCs w:val="21"/>
                    </w:rPr>
                    <w:t>储能电</w:t>
                  </w:r>
                  <w:r>
                    <w:rPr>
                      <w:szCs w:val="21"/>
                    </w:rPr>
                    <w:t>站位于张掖市</w:t>
                  </w:r>
                  <w:r>
                    <w:rPr>
                      <w:kern w:val="0"/>
                      <w:szCs w:val="21"/>
                    </w:rPr>
                    <w:t>民乐县</w:t>
                  </w:r>
                  <w:r>
                    <w:rPr>
                      <w:rFonts w:hint="eastAsia"/>
                      <w:kern w:val="0"/>
                      <w:szCs w:val="21"/>
                    </w:rPr>
                    <w:t>六坝镇</w:t>
                  </w:r>
                  <w:r>
                    <w:rPr>
                      <w:kern w:val="0"/>
                      <w:szCs w:val="21"/>
                    </w:rPr>
                    <w:t>顺化330kV变电站西南侧约</w:t>
                  </w:r>
                  <w:r>
                    <w:rPr>
                      <w:rFonts w:hint="eastAsia"/>
                      <w:kern w:val="0"/>
                      <w:szCs w:val="21"/>
                    </w:rPr>
                    <w:t>3</w:t>
                  </w:r>
                  <w:r>
                    <w:rPr>
                      <w:kern w:val="0"/>
                      <w:szCs w:val="21"/>
                    </w:rPr>
                    <w:t>00m处</w:t>
                  </w:r>
                  <w:r>
                    <w:rPr>
                      <w:szCs w:val="21"/>
                    </w:rPr>
                    <w:t>，站址占地面积为1</w:t>
                  </w:r>
                  <w:r>
                    <w:rPr>
                      <w:rFonts w:hint="eastAsia"/>
                      <w:szCs w:val="21"/>
                    </w:rPr>
                    <w:t>04</w:t>
                  </w:r>
                  <w:r>
                    <w:rPr>
                      <w:szCs w:val="21"/>
                    </w:rPr>
                    <w:t>000m</w:t>
                  </w:r>
                  <w:r>
                    <w:rPr>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szCs w:val="21"/>
                    </w:rPr>
                  </w:pPr>
                </w:p>
              </w:tc>
              <w:tc>
                <w:tcPr>
                  <w:tcW w:w="707" w:type="pct"/>
                  <w:vMerge w:val="restart"/>
                  <w:tcBorders>
                    <w:tl2br w:val="nil"/>
                    <w:tr2bl w:val="nil"/>
                  </w:tcBorders>
                  <w:vAlign w:val="center"/>
                </w:tcPr>
                <w:p>
                  <w:pPr>
                    <w:adjustRightInd w:val="0"/>
                    <w:snapToGrid w:val="0"/>
                    <w:jc w:val="center"/>
                    <w:rPr>
                      <w:szCs w:val="21"/>
                    </w:rPr>
                  </w:pPr>
                  <w:r>
                    <w:rPr>
                      <w:szCs w:val="21"/>
                    </w:rPr>
                    <w:t>建设内容</w:t>
                  </w:r>
                </w:p>
              </w:tc>
              <w:tc>
                <w:tcPr>
                  <w:tcW w:w="3525" w:type="pct"/>
                  <w:tcBorders>
                    <w:tl2br w:val="nil"/>
                    <w:tr2bl w:val="nil"/>
                  </w:tcBorders>
                  <w:vAlign w:val="center"/>
                </w:tcPr>
                <w:p>
                  <w:pPr>
                    <w:adjustRightInd w:val="0"/>
                    <w:snapToGrid w:val="0"/>
                    <w:rPr>
                      <w:szCs w:val="21"/>
                    </w:rPr>
                  </w:pPr>
                  <w:r>
                    <w:rPr>
                      <w:b/>
                      <w:bCs/>
                      <w:szCs w:val="21"/>
                    </w:rPr>
                    <w:t>储能电站</w:t>
                  </w:r>
                  <w:r>
                    <w:rPr>
                      <w:szCs w:val="21"/>
                    </w:rPr>
                    <w:t>：采用标准</w:t>
                  </w:r>
                  <w:r>
                    <w:rPr>
                      <w:rFonts w:hint="eastAsia"/>
                      <w:szCs w:val="21"/>
                    </w:rPr>
                    <w:t>预制舱</w:t>
                  </w:r>
                  <w:r>
                    <w:rPr>
                      <w:szCs w:val="21"/>
                    </w:rPr>
                    <w:t>配送式设计</w:t>
                  </w:r>
                  <w:r>
                    <w:rPr>
                      <w:rFonts w:hint="eastAsia"/>
                      <w:szCs w:val="21"/>
                    </w:rPr>
                    <w:t>，</w:t>
                  </w:r>
                  <w:r>
                    <w:rPr>
                      <w:szCs w:val="21"/>
                    </w:rPr>
                    <w:t>不设置建筑物。</w:t>
                  </w:r>
                </w:p>
                <w:p>
                  <w:pPr>
                    <w:pStyle w:val="8"/>
                    <w:adjustRightInd w:val="0"/>
                    <w:snapToGrid w:val="0"/>
                    <w:spacing w:after="0"/>
                    <w:ind w:left="0" w:leftChars="0" w:firstLine="0" w:firstLineChars="0"/>
                    <w:rPr>
                      <w:szCs w:val="21"/>
                    </w:rPr>
                  </w:pPr>
                  <w:r>
                    <w:rPr>
                      <w:szCs w:val="21"/>
                    </w:rPr>
                    <w:t>全站</w:t>
                  </w:r>
                  <w:r>
                    <w:rPr>
                      <w:rFonts w:hint="eastAsia"/>
                      <w:szCs w:val="21"/>
                    </w:rPr>
                    <w:t>最终建成</w:t>
                  </w:r>
                  <w:r>
                    <w:rPr>
                      <w:szCs w:val="21"/>
                    </w:rPr>
                    <w:t>储能子阵167个；电池内电能经PCS变换后升压至35kV，通过42条电缆集电线路送至35kV低压母线，35kV低压母线位于新建330kV升压站主变两旁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szCs w:val="21"/>
                    </w:rPr>
                  </w:pPr>
                </w:p>
              </w:tc>
              <w:tc>
                <w:tcPr>
                  <w:tcW w:w="707" w:type="pct"/>
                  <w:vMerge w:val="continue"/>
                  <w:tcBorders>
                    <w:tl2br w:val="nil"/>
                    <w:tr2bl w:val="nil"/>
                  </w:tcBorders>
                  <w:vAlign w:val="center"/>
                </w:tcPr>
                <w:p>
                  <w:pPr>
                    <w:adjustRightInd w:val="0"/>
                    <w:snapToGrid w:val="0"/>
                    <w:jc w:val="center"/>
                    <w:rPr>
                      <w:szCs w:val="21"/>
                    </w:rPr>
                  </w:pPr>
                </w:p>
              </w:tc>
              <w:tc>
                <w:tcPr>
                  <w:tcW w:w="3525" w:type="pct"/>
                  <w:tcBorders>
                    <w:tl2br w:val="nil"/>
                    <w:tr2bl w:val="nil"/>
                  </w:tcBorders>
                  <w:vAlign w:val="center"/>
                </w:tcPr>
                <w:p>
                  <w:pPr>
                    <w:pStyle w:val="8"/>
                    <w:adjustRightInd w:val="0"/>
                    <w:snapToGrid w:val="0"/>
                    <w:spacing w:after="0"/>
                    <w:ind w:left="0" w:leftChars="0" w:firstLine="0" w:firstLineChars="0"/>
                    <w:rPr>
                      <w:szCs w:val="21"/>
                    </w:rPr>
                  </w:pPr>
                  <w:r>
                    <w:rPr>
                      <w:rFonts w:hint="eastAsia"/>
                      <w:b/>
                      <w:bCs/>
                      <w:szCs w:val="21"/>
                    </w:rPr>
                    <w:t>集电线路</w:t>
                  </w:r>
                  <w:r>
                    <w:rPr>
                      <w:szCs w:val="21"/>
                    </w:rPr>
                    <w:t>：</w:t>
                  </w:r>
                  <w:r>
                    <w:rPr>
                      <w:rFonts w:hint="eastAsia"/>
                      <w:szCs w:val="21"/>
                    </w:rPr>
                    <w:t>167</w:t>
                  </w:r>
                  <w:r>
                    <w:rPr>
                      <w:szCs w:val="21"/>
                    </w:rPr>
                    <w:t>个3MW/6.7092MWh集装箱储能系统</w:t>
                  </w:r>
                  <w:r>
                    <w:rPr>
                      <w:rFonts w:hint="eastAsia"/>
                      <w:szCs w:val="21"/>
                    </w:rPr>
                    <w:t>由42回集电线路接入330kV升压站35kV低压母线，储能线路均沿道路布置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restart"/>
                  <w:tcBorders>
                    <w:tl2br w:val="nil"/>
                    <w:tr2bl w:val="nil"/>
                  </w:tcBorders>
                  <w:vAlign w:val="center"/>
                </w:tcPr>
                <w:p>
                  <w:pPr>
                    <w:adjustRightInd w:val="0"/>
                    <w:snapToGrid w:val="0"/>
                    <w:jc w:val="center"/>
                    <w:rPr>
                      <w:rFonts w:eastAsiaTheme="minorEastAsia"/>
                      <w:szCs w:val="21"/>
                    </w:rPr>
                  </w:pPr>
                  <w:r>
                    <w:rPr>
                      <w:rFonts w:eastAsiaTheme="minorEastAsia"/>
                      <w:color w:val="FF0000"/>
                      <w:szCs w:val="21"/>
                    </w:rPr>
                    <w:t>330kV升压站</w:t>
                  </w:r>
                </w:p>
              </w:tc>
              <w:tc>
                <w:tcPr>
                  <w:tcW w:w="707" w:type="pct"/>
                  <w:tcBorders>
                    <w:tl2br w:val="nil"/>
                    <w:tr2bl w:val="nil"/>
                  </w:tcBorders>
                  <w:vAlign w:val="center"/>
                </w:tcPr>
                <w:p>
                  <w:pPr>
                    <w:adjustRightInd w:val="0"/>
                    <w:snapToGrid w:val="0"/>
                    <w:jc w:val="center"/>
                    <w:rPr>
                      <w:rFonts w:eastAsiaTheme="minorEastAsia"/>
                      <w:szCs w:val="21"/>
                    </w:rPr>
                  </w:pPr>
                  <w:r>
                    <w:rPr>
                      <w:rFonts w:eastAsiaTheme="minorEastAsia"/>
                      <w:color w:val="FF0000"/>
                      <w:szCs w:val="21"/>
                    </w:rPr>
                    <w:t>站址及占地面积</w:t>
                  </w:r>
                </w:p>
              </w:tc>
              <w:tc>
                <w:tcPr>
                  <w:tcW w:w="3525" w:type="pct"/>
                  <w:tcBorders>
                    <w:tl2br w:val="nil"/>
                    <w:tr2bl w:val="nil"/>
                  </w:tcBorders>
                  <w:vAlign w:val="center"/>
                </w:tcPr>
                <w:p>
                  <w:pPr>
                    <w:pStyle w:val="8"/>
                    <w:adjustRightInd w:val="0"/>
                    <w:snapToGrid w:val="0"/>
                    <w:spacing w:after="0"/>
                    <w:ind w:left="0" w:leftChars="0" w:firstLine="0" w:firstLineChars="0"/>
                    <w:rPr>
                      <w:rFonts w:eastAsiaTheme="minorEastAsia"/>
                      <w:b/>
                      <w:bCs/>
                      <w:szCs w:val="21"/>
                    </w:rPr>
                  </w:pPr>
                  <w:r>
                    <w:rPr>
                      <w:rFonts w:eastAsiaTheme="minorEastAsia"/>
                      <w:color w:val="FF0000"/>
                      <w:szCs w:val="21"/>
                    </w:rPr>
                    <w:t>升压站布置在储能电站内西北角，占地面积为21700m</w:t>
                  </w:r>
                  <w:r>
                    <w:rPr>
                      <w:rFonts w:eastAsiaTheme="minorEastAsia"/>
                      <w:color w:val="FF0000"/>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rFonts w:eastAsiaTheme="minorEastAsia"/>
                      <w:szCs w:val="21"/>
                    </w:rPr>
                  </w:pPr>
                </w:p>
              </w:tc>
              <w:tc>
                <w:tcPr>
                  <w:tcW w:w="707" w:type="pct"/>
                  <w:tcBorders>
                    <w:tl2br w:val="nil"/>
                    <w:tr2bl w:val="nil"/>
                  </w:tcBorders>
                  <w:vAlign w:val="center"/>
                </w:tcPr>
                <w:p>
                  <w:pPr>
                    <w:adjustRightInd w:val="0"/>
                    <w:snapToGrid w:val="0"/>
                    <w:jc w:val="center"/>
                    <w:rPr>
                      <w:rFonts w:eastAsiaTheme="minorEastAsia"/>
                      <w:szCs w:val="21"/>
                    </w:rPr>
                  </w:pPr>
                  <w:r>
                    <w:rPr>
                      <w:rFonts w:eastAsiaTheme="minorEastAsia"/>
                      <w:color w:val="FF0000"/>
                      <w:szCs w:val="21"/>
                    </w:rPr>
                    <w:t>建设内容</w:t>
                  </w:r>
                </w:p>
              </w:tc>
              <w:tc>
                <w:tcPr>
                  <w:tcW w:w="3525" w:type="pct"/>
                  <w:tcBorders>
                    <w:tl2br w:val="nil"/>
                    <w:tr2bl w:val="nil"/>
                  </w:tcBorders>
                  <w:vAlign w:val="center"/>
                </w:tcPr>
                <w:p>
                  <w:pPr>
                    <w:pStyle w:val="8"/>
                    <w:adjustRightInd w:val="0"/>
                    <w:snapToGrid w:val="0"/>
                    <w:spacing w:after="0"/>
                    <w:ind w:left="0" w:leftChars="0" w:firstLine="0" w:firstLineChars="0"/>
                    <w:rPr>
                      <w:rFonts w:eastAsiaTheme="minorEastAsia"/>
                      <w:b/>
                      <w:bCs/>
                      <w:szCs w:val="21"/>
                    </w:rPr>
                  </w:pPr>
                  <w:r>
                    <w:rPr>
                      <w:rFonts w:eastAsiaTheme="minorEastAsia"/>
                      <w:color w:val="FF0000"/>
                      <w:szCs w:val="21"/>
                    </w:rPr>
                    <w:t>建设2台主变压器，1台240MVA，1台360MVA，330kV配电装置采用户外GIS配电装置，35kV采用铠装移开式金属封闭开关柜。330kV出线1回，至顺化330kV变电站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restart"/>
                  <w:tcBorders>
                    <w:tl2br w:val="nil"/>
                    <w:tr2bl w:val="nil"/>
                  </w:tcBorders>
                  <w:vAlign w:val="center"/>
                </w:tcPr>
                <w:p>
                  <w:pPr>
                    <w:adjustRightInd w:val="0"/>
                    <w:snapToGrid w:val="0"/>
                    <w:jc w:val="center"/>
                    <w:rPr>
                      <w:szCs w:val="21"/>
                    </w:rPr>
                  </w:pPr>
                  <w:r>
                    <w:rPr>
                      <w:szCs w:val="21"/>
                    </w:rPr>
                    <w:t>输电线路</w:t>
                  </w:r>
                </w:p>
              </w:tc>
              <w:tc>
                <w:tcPr>
                  <w:tcW w:w="707" w:type="pct"/>
                  <w:tcBorders>
                    <w:tl2br w:val="nil"/>
                    <w:tr2bl w:val="nil"/>
                  </w:tcBorders>
                  <w:vAlign w:val="center"/>
                </w:tcPr>
                <w:p>
                  <w:pPr>
                    <w:adjustRightInd w:val="0"/>
                    <w:snapToGrid w:val="0"/>
                    <w:jc w:val="center"/>
                    <w:rPr>
                      <w:szCs w:val="21"/>
                    </w:rPr>
                  </w:pPr>
                  <w:r>
                    <w:rPr>
                      <w:rFonts w:hint="eastAsia"/>
                      <w:szCs w:val="21"/>
                    </w:rPr>
                    <w:t>线路长度</w:t>
                  </w:r>
                </w:p>
              </w:tc>
              <w:tc>
                <w:tcPr>
                  <w:tcW w:w="3525" w:type="pct"/>
                  <w:tcBorders>
                    <w:tl2br w:val="nil"/>
                    <w:tr2bl w:val="nil"/>
                  </w:tcBorders>
                  <w:vAlign w:val="center"/>
                </w:tcPr>
                <w:p>
                  <w:pPr>
                    <w:pStyle w:val="8"/>
                    <w:adjustRightInd w:val="0"/>
                    <w:snapToGrid w:val="0"/>
                    <w:spacing w:after="0"/>
                    <w:ind w:left="0" w:leftChars="0" w:firstLine="0" w:firstLineChars="0"/>
                    <w:rPr>
                      <w:b/>
                      <w:bCs/>
                      <w:snapToGrid w:val="0"/>
                      <w:kern w:val="0"/>
                      <w:szCs w:val="21"/>
                    </w:rPr>
                  </w:pPr>
                  <w:r>
                    <w:rPr>
                      <w:rFonts w:hint="eastAsia"/>
                      <w:snapToGrid w:val="0"/>
                      <w:color w:val="FF0000"/>
                      <w:kern w:val="0"/>
                      <w:szCs w:val="21"/>
                    </w:rPr>
                    <w:t>输电线路按330kV单回路线路架设</w:t>
                  </w:r>
                  <w:r>
                    <w:rPr>
                      <w:snapToGrid w:val="0"/>
                      <w:kern w:val="0"/>
                      <w:szCs w:val="21"/>
                    </w:rPr>
                    <w:t>，起点为</w:t>
                  </w:r>
                  <w:r>
                    <w:rPr>
                      <w:rFonts w:hint="eastAsia"/>
                      <w:snapToGrid w:val="0"/>
                      <w:kern w:val="0"/>
                      <w:szCs w:val="21"/>
                    </w:rPr>
                    <w:t>本项目</w:t>
                  </w:r>
                  <w:r>
                    <w:rPr>
                      <w:snapToGrid w:val="0"/>
                      <w:kern w:val="0"/>
                      <w:szCs w:val="21"/>
                    </w:rPr>
                    <w:t>330kV升压站，终点为顺化330kV变电站330kV出线侧，</w:t>
                  </w:r>
                  <w:r>
                    <w:rPr>
                      <w:rFonts w:hint="eastAsia"/>
                      <w:snapToGrid w:val="0"/>
                      <w:kern w:val="0"/>
                      <w:szCs w:val="21"/>
                    </w:rPr>
                    <w:t>拟</w:t>
                  </w:r>
                  <w:r>
                    <w:rPr>
                      <w:snapToGrid w:val="0"/>
                      <w:kern w:val="0"/>
                      <w:szCs w:val="21"/>
                    </w:rPr>
                    <w:t>利用顺化330kV变电站330kV最西侧间隔，线路采用</w:t>
                  </w:r>
                  <w:r>
                    <w:rPr>
                      <w:rFonts w:hint="eastAsia"/>
                      <w:snapToGrid w:val="0"/>
                      <w:kern w:val="0"/>
                      <w:szCs w:val="21"/>
                    </w:rPr>
                    <w:t>架空线路</w:t>
                  </w:r>
                  <w:r>
                    <w:rPr>
                      <w:snapToGrid w:val="0"/>
                      <w:kern w:val="0"/>
                      <w:szCs w:val="21"/>
                    </w:rPr>
                    <w:t>，全长约</w:t>
                  </w:r>
                  <w:r>
                    <w:rPr>
                      <w:rFonts w:hint="eastAsia"/>
                      <w:snapToGrid w:val="0"/>
                      <w:kern w:val="0"/>
                      <w:szCs w:val="21"/>
                    </w:rPr>
                    <w:t>350</w:t>
                  </w:r>
                  <w:r>
                    <w:rPr>
                      <w:snapToGrid w:val="0"/>
                      <w:kern w:val="0"/>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pPr>
                </w:p>
              </w:tc>
              <w:tc>
                <w:tcPr>
                  <w:tcW w:w="510" w:type="pct"/>
                  <w:vMerge w:val="continue"/>
                  <w:tcBorders>
                    <w:tl2br w:val="nil"/>
                    <w:tr2bl w:val="nil"/>
                  </w:tcBorders>
                  <w:vAlign w:val="center"/>
                </w:tcPr>
                <w:p>
                  <w:pPr>
                    <w:adjustRightInd w:val="0"/>
                    <w:snapToGrid w:val="0"/>
                    <w:jc w:val="center"/>
                  </w:pPr>
                </w:p>
              </w:tc>
              <w:tc>
                <w:tcPr>
                  <w:tcW w:w="707" w:type="pct"/>
                  <w:tcBorders>
                    <w:tl2br w:val="nil"/>
                    <w:tr2bl w:val="nil"/>
                  </w:tcBorders>
                  <w:vAlign w:val="center"/>
                </w:tcPr>
                <w:p>
                  <w:pPr>
                    <w:adjustRightInd w:val="0"/>
                    <w:snapToGrid w:val="0"/>
                    <w:jc w:val="center"/>
                    <w:rPr>
                      <w:szCs w:val="21"/>
                    </w:rPr>
                  </w:pPr>
                  <w:r>
                    <w:rPr>
                      <w:rFonts w:hint="eastAsia"/>
                      <w:szCs w:val="21"/>
                    </w:rPr>
                    <w:t>电压等级</w:t>
                  </w:r>
                </w:p>
              </w:tc>
              <w:tc>
                <w:tcPr>
                  <w:tcW w:w="3525" w:type="pct"/>
                  <w:tcBorders>
                    <w:tl2br w:val="nil"/>
                    <w:tr2bl w:val="nil"/>
                  </w:tcBorders>
                  <w:vAlign w:val="center"/>
                </w:tcPr>
                <w:p>
                  <w:pPr>
                    <w:adjustRightInd w:val="0"/>
                    <w:snapToGrid w:val="0"/>
                    <w:jc w:val="center"/>
                    <w:rPr>
                      <w:szCs w:val="21"/>
                    </w:rPr>
                  </w:pPr>
                  <w:r>
                    <w:rPr>
                      <w:rFonts w:hint="eastAsia"/>
                      <w:szCs w:val="21"/>
                    </w:rPr>
                    <w:t>330kV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szCs w:val="21"/>
                    </w:rPr>
                  </w:pPr>
                </w:p>
              </w:tc>
              <w:tc>
                <w:tcPr>
                  <w:tcW w:w="707" w:type="pct"/>
                  <w:tcBorders>
                    <w:tl2br w:val="nil"/>
                    <w:tr2bl w:val="nil"/>
                  </w:tcBorders>
                  <w:vAlign w:val="center"/>
                </w:tcPr>
                <w:p>
                  <w:pPr>
                    <w:adjustRightInd w:val="0"/>
                    <w:snapToGrid w:val="0"/>
                    <w:jc w:val="center"/>
                    <w:rPr>
                      <w:szCs w:val="21"/>
                    </w:rPr>
                  </w:pPr>
                  <w:r>
                    <w:rPr>
                      <w:rFonts w:hint="eastAsia"/>
                      <w:szCs w:val="21"/>
                    </w:rPr>
                    <w:t>地形地貌</w:t>
                  </w:r>
                </w:p>
              </w:tc>
              <w:tc>
                <w:tcPr>
                  <w:tcW w:w="3525" w:type="pct"/>
                  <w:tcBorders>
                    <w:tl2br w:val="nil"/>
                    <w:tr2bl w:val="nil"/>
                  </w:tcBorders>
                  <w:vAlign w:val="center"/>
                </w:tcPr>
                <w:p>
                  <w:pPr>
                    <w:adjustRightInd w:val="0"/>
                    <w:snapToGrid w:val="0"/>
                    <w:jc w:val="center"/>
                    <w:rPr>
                      <w:szCs w:val="21"/>
                    </w:rPr>
                  </w:pPr>
                  <w:r>
                    <w:rPr>
                      <w:rFonts w:hint="eastAsia"/>
                      <w:szCs w:val="21"/>
                    </w:rPr>
                    <w:t>线路</w:t>
                  </w:r>
                  <w:r>
                    <w:rPr>
                      <w:szCs w:val="21"/>
                    </w:rPr>
                    <w:t>位于甘肃省张掖市民乐县境内，沿线海拔高度</w:t>
                  </w:r>
                  <w:r>
                    <w:rPr>
                      <w:rFonts w:hint="eastAsia"/>
                      <w:szCs w:val="21"/>
                    </w:rPr>
                    <w:t>1700</w:t>
                  </w:r>
                  <w:r>
                    <w:rPr>
                      <w:szCs w:val="21"/>
                    </w:rPr>
                    <w:t>m左右，地形均为平地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szCs w:val="21"/>
                    </w:rPr>
                  </w:pPr>
                </w:p>
              </w:tc>
              <w:tc>
                <w:tcPr>
                  <w:tcW w:w="707" w:type="pct"/>
                  <w:tcBorders>
                    <w:tl2br w:val="nil"/>
                    <w:tr2bl w:val="nil"/>
                  </w:tcBorders>
                  <w:vAlign w:val="center"/>
                </w:tcPr>
                <w:p>
                  <w:pPr>
                    <w:adjustRightInd w:val="0"/>
                    <w:snapToGrid w:val="0"/>
                    <w:jc w:val="center"/>
                    <w:rPr>
                      <w:szCs w:val="21"/>
                    </w:rPr>
                  </w:pPr>
                  <w:r>
                    <w:rPr>
                      <w:rFonts w:hint="eastAsia"/>
                      <w:szCs w:val="21"/>
                    </w:rPr>
                    <w:t>导线选型</w:t>
                  </w:r>
                </w:p>
              </w:tc>
              <w:tc>
                <w:tcPr>
                  <w:tcW w:w="3525" w:type="pct"/>
                  <w:tcBorders>
                    <w:tl2br w:val="nil"/>
                    <w:tr2bl w:val="nil"/>
                  </w:tcBorders>
                  <w:vAlign w:val="center"/>
                </w:tcPr>
                <w:p>
                  <w:pPr>
                    <w:adjustRightInd w:val="0"/>
                    <w:snapToGrid w:val="0"/>
                    <w:jc w:val="center"/>
                    <w:rPr>
                      <w:szCs w:val="21"/>
                    </w:rPr>
                  </w:pPr>
                  <w:r>
                    <w:rPr>
                      <w:szCs w:val="21"/>
                    </w:rPr>
                    <w:t>导线采用2×JL/G1A-400/35钢芯铝绞线，导线分裂间距为400mm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szCs w:val="21"/>
                    </w:rPr>
                  </w:pPr>
                </w:p>
              </w:tc>
              <w:tc>
                <w:tcPr>
                  <w:tcW w:w="707" w:type="pct"/>
                  <w:tcBorders>
                    <w:tl2br w:val="nil"/>
                    <w:tr2bl w:val="nil"/>
                  </w:tcBorders>
                  <w:vAlign w:val="center"/>
                </w:tcPr>
                <w:p>
                  <w:pPr>
                    <w:adjustRightInd w:val="0"/>
                    <w:snapToGrid w:val="0"/>
                    <w:jc w:val="center"/>
                    <w:rPr>
                      <w:szCs w:val="21"/>
                    </w:rPr>
                  </w:pPr>
                  <w:r>
                    <w:rPr>
                      <w:rFonts w:hint="eastAsia"/>
                      <w:szCs w:val="21"/>
                    </w:rPr>
                    <w:t>塔基数量</w:t>
                  </w:r>
                </w:p>
              </w:tc>
              <w:tc>
                <w:tcPr>
                  <w:tcW w:w="3525" w:type="pct"/>
                  <w:tcBorders>
                    <w:tl2br w:val="nil"/>
                    <w:tr2bl w:val="nil"/>
                  </w:tcBorders>
                  <w:vAlign w:val="center"/>
                </w:tcPr>
                <w:p>
                  <w:pPr>
                    <w:adjustRightInd w:val="0"/>
                    <w:snapToGrid w:val="0"/>
                    <w:jc w:val="center"/>
                    <w:rPr>
                      <w:szCs w:val="21"/>
                    </w:rPr>
                  </w:pPr>
                  <w:r>
                    <w:rPr>
                      <w:rFonts w:hint="eastAsia"/>
                      <w:szCs w:val="21"/>
                    </w:rPr>
                    <w:t>全线共2基，1基单回路塔，1基双回路塔（与甘州南滩330kV汇集站线路共用）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restart"/>
                  <w:tcBorders>
                    <w:tl2br w:val="nil"/>
                    <w:tr2bl w:val="nil"/>
                  </w:tcBorders>
                  <w:vAlign w:val="center"/>
                </w:tcPr>
                <w:p>
                  <w:pPr>
                    <w:adjustRightInd w:val="0"/>
                    <w:snapToGrid w:val="0"/>
                    <w:jc w:val="center"/>
                    <w:rPr>
                      <w:szCs w:val="21"/>
                    </w:rPr>
                  </w:pPr>
                  <w:r>
                    <w:rPr>
                      <w:szCs w:val="21"/>
                    </w:rPr>
                    <w:t>顺化变330kV侧间隔扩建</w:t>
                  </w:r>
                </w:p>
              </w:tc>
              <w:tc>
                <w:tcPr>
                  <w:tcW w:w="707" w:type="pct"/>
                  <w:tcBorders>
                    <w:tl2br w:val="nil"/>
                    <w:tr2bl w:val="nil"/>
                  </w:tcBorders>
                  <w:vAlign w:val="center"/>
                </w:tcPr>
                <w:p>
                  <w:pPr>
                    <w:adjustRightInd w:val="0"/>
                    <w:snapToGrid w:val="0"/>
                    <w:jc w:val="center"/>
                    <w:rPr>
                      <w:szCs w:val="21"/>
                    </w:rPr>
                  </w:pPr>
                  <w:r>
                    <w:rPr>
                      <w:rFonts w:hint="eastAsia"/>
                      <w:szCs w:val="21"/>
                    </w:rPr>
                    <w:t>站址位置</w:t>
                  </w:r>
                </w:p>
              </w:tc>
              <w:tc>
                <w:tcPr>
                  <w:tcW w:w="3525" w:type="pct"/>
                  <w:tcBorders>
                    <w:tl2br w:val="nil"/>
                    <w:tr2bl w:val="nil"/>
                  </w:tcBorders>
                  <w:vAlign w:val="center"/>
                </w:tcPr>
                <w:p>
                  <w:pPr>
                    <w:adjustRightInd w:val="0"/>
                    <w:snapToGrid w:val="0"/>
                    <w:jc w:val="center"/>
                    <w:rPr>
                      <w:szCs w:val="21"/>
                    </w:rPr>
                  </w:pPr>
                  <w:r>
                    <w:rPr>
                      <w:szCs w:val="21"/>
                    </w:rPr>
                    <w:t>顺化330kV变电站</w:t>
                  </w:r>
                  <w:r>
                    <w:rPr>
                      <w:rFonts w:hint="eastAsia"/>
                      <w:szCs w:val="21"/>
                    </w:rPr>
                    <w:t>位于张掖市民乐县六坝镇，西侧紧邻县道X201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56" w:type="pct"/>
                  <w:vMerge w:val="continue"/>
                  <w:tcBorders>
                    <w:tl2br w:val="nil"/>
                    <w:tr2bl w:val="nil"/>
                  </w:tcBorders>
                  <w:vAlign w:val="center"/>
                </w:tcPr>
                <w:p>
                  <w:pPr>
                    <w:adjustRightInd w:val="0"/>
                    <w:snapToGrid w:val="0"/>
                    <w:jc w:val="center"/>
                  </w:pPr>
                </w:p>
              </w:tc>
              <w:tc>
                <w:tcPr>
                  <w:tcW w:w="510" w:type="pct"/>
                  <w:vMerge w:val="continue"/>
                  <w:tcBorders>
                    <w:tl2br w:val="nil"/>
                    <w:tr2bl w:val="nil"/>
                  </w:tcBorders>
                  <w:vAlign w:val="center"/>
                </w:tcPr>
                <w:p>
                  <w:pPr>
                    <w:adjustRightInd w:val="0"/>
                    <w:snapToGrid w:val="0"/>
                    <w:jc w:val="center"/>
                  </w:pPr>
                </w:p>
              </w:tc>
              <w:tc>
                <w:tcPr>
                  <w:tcW w:w="707" w:type="pct"/>
                  <w:tcBorders>
                    <w:tl2br w:val="nil"/>
                    <w:tr2bl w:val="nil"/>
                  </w:tcBorders>
                  <w:vAlign w:val="center"/>
                </w:tcPr>
                <w:p>
                  <w:pPr>
                    <w:adjustRightInd w:val="0"/>
                    <w:snapToGrid w:val="0"/>
                    <w:jc w:val="center"/>
                    <w:rPr>
                      <w:rFonts w:eastAsiaTheme="minorEastAsia"/>
                      <w:szCs w:val="21"/>
                    </w:rPr>
                  </w:pPr>
                  <w:r>
                    <w:rPr>
                      <w:rFonts w:eastAsiaTheme="minorEastAsia"/>
                      <w:color w:val="FF0000"/>
                      <w:szCs w:val="21"/>
                    </w:rPr>
                    <w:t>本次间隔扩建</w:t>
                  </w:r>
                </w:p>
              </w:tc>
              <w:tc>
                <w:tcPr>
                  <w:tcW w:w="3525" w:type="pct"/>
                  <w:tcBorders>
                    <w:tl2br w:val="nil"/>
                    <w:tr2bl w:val="nil"/>
                  </w:tcBorders>
                  <w:vAlign w:val="center"/>
                </w:tcPr>
                <w:p>
                  <w:pPr>
                    <w:adjustRightInd w:val="0"/>
                    <w:snapToGrid w:val="0"/>
                    <w:rPr>
                      <w:rFonts w:eastAsiaTheme="minorEastAsia"/>
                      <w:szCs w:val="21"/>
                    </w:rPr>
                  </w:pPr>
                  <w:r>
                    <w:rPr>
                      <w:rFonts w:eastAsiaTheme="minorEastAsia"/>
                      <w:color w:val="FF0000"/>
                      <w:szCs w:val="21"/>
                    </w:rPr>
                    <w:t>本次利用顺化330kV变电站330kV向南出线最西侧间隔，扩建一回330kV出线。扩建的构筑物包括：330kV构架及基础、330kV GIS基础、330kV设备支架及基础等，基础完成后安装断路器等电气设备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restart"/>
                  <w:tcBorders>
                    <w:tl2br w:val="nil"/>
                    <w:tr2bl w:val="nil"/>
                  </w:tcBorders>
                  <w:vAlign w:val="center"/>
                </w:tcPr>
                <w:p>
                  <w:pPr>
                    <w:adjustRightInd w:val="0"/>
                    <w:snapToGrid w:val="0"/>
                    <w:jc w:val="center"/>
                    <w:rPr>
                      <w:szCs w:val="21"/>
                    </w:rPr>
                  </w:pPr>
                  <w:r>
                    <w:rPr>
                      <w:rFonts w:hint="eastAsia"/>
                      <w:szCs w:val="21"/>
                    </w:rPr>
                    <w:t>辅助工程</w:t>
                  </w:r>
                </w:p>
              </w:tc>
              <w:tc>
                <w:tcPr>
                  <w:tcW w:w="1218" w:type="pct"/>
                  <w:gridSpan w:val="2"/>
                  <w:tcBorders>
                    <w:tl2br w:val="nil"/>
                    <w:tr2bl w:val="nil"/>
                  </w:tcBorders>
                  <w:vAlign w:val="center"/>
                </w:tcPr>
                <w:p>
                  <w:pPr>
                    <w:adjustRightInd w:val="0"/>
                    <w:snapToGrid w:val="0"/>
                    <w:jc w:val="center"/>
                    <w:rPr>
                      <w:szCs w:val="21"/>
                    </w:rPr>
                  </w:pPr>
                  <w:r>
                    <w:rPr>
                      <w:rFonts w:hint="eastAsia"/>
                      <w:szCs w:val="21"/>
                    </w:rPr>
                    <w:t>警卫预制舱</w:t>
                  </w:r>
                </w:p>
              </w:tc>
              <w:tc>
                <w:tcPr>
                  <w:tcW w:w="3525" w:type="pct"/>
                  <w:tcBorders>
                    <w:tl2br w:val="nil"/>
                    <w:tr2bl w:val="nil"/>
                  </w:tcBorders>
                  <w:vAlign w:val="center"/>
                </w:tcPr>
                <w:p>
                  <w:pPr>
                    <w:adjustRightInd w:val="0"/>
                    <w:snapToGrid w:val="0"/>
                    <w:jc w:val="center"/>
                    <w:rPr>
                      <w:szCs w:val="21"/>
                    </w:rPr>
                  </w:pPr>
                  <w:r>
                    <w:rPr>
                      <w:szCs w:val="21"/>
                    </w:rPr>
                    <w:t>设有警卫值班室、休息室、卫生间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rFonts w:hint="eastAsia"/>
                      <w:szCs w:val="21"/>
                    </w:rPr>
                    <w:t>辅助生产预制舱</w:t>
                  </w:r>
                </w:p>
              </w:tc>
              <w:tc>
                <w:tcPr>
                  <w:tcW w:w="3525" w:type="pct"/>
                  <w:tcBorders>
                    <w:tl2br w:val="nil"/>
                    <w:tr2bl w:val="nil"/>
                  </w:tcBorders>
                  <w:vAlign w:val="center"/>
                </w:tcPr>
                <w:p>
                  <w:pPr>
                    <w:adjustRightInd w:val="0"/>
                    <w:snapToGrid w:val="0"/>
                    <w:jc w:val="center"/>
                    <w:rPr>
                      <w:szCs w:val="21"/>
                    </w:rPr>
                  </w:pPr>
                  <w:r>
                    <w:rPr>
                      <w:szCs w:val="21"/>
                    </w:rPr>
                    <w:t>设有办公室、会议室、资料室、工具间、休息室（两间）、卫生间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rFonts w:hint="eastAsia"/>
                      <w:szCs w:val="21"/>
                    </w:rPr>
                    <w:t>综合水泵房</w:t>
                  </w:r>
                </w:p>
              </w:tc>
              <w:tc>
                <w:tcPr>
                  <w:tcW w:w="3525" w:type="pct"/>
                  <w:tcBorders>
                    <w:tl2br w:val="nil"/>
                    <w:tr2bl w:val="nil"/>
                  </w:tcBorders>
                  <w:vAlign w:val="center"/>
                </w:tcPr>
                <w:p>
                  <w:pPr>
                    <w:adjustRightInd w:val="0"/>
                    <w:snapToGrid w:val="0"/>
                    <w:jc w:val="center"/>
                    <w:rPr>
                      <w:szCs w:val="21"/>
                    </w:rPr>
                  </w:pPr>
                  <w:r>
                    <w:rPr>
                      <w:szCs w:val="21"/>
                    </w:rPr>
                    <w:t>采用现浇钢筋混凝土结构，筏板基础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rFonts w:hint="eastAsia"/>
                      <w:szCs w:val="21"/>
                    </w:rPr>
                    <w:t>消防蓄水池</w:t>
                  </w:r>
                </w:p>
              </w:tc>
              <w:tc>
                <w:tcPr>
                  <w:tcW w:w="3525" w:type="pct"/>
                  <w:tcBorders>
                    <w:tl2br w:val="nil"/>
                    <w:tr2bl w:val="nil"/>
                  </w:tcBorders>
                  <w:vAlign w:val="center"/>
                </w:tcPr>
                <w:p>
                  <w:pPr>
                    <w:adjustRightInd w:val="0"/>
                    <w:snapToGrid w:val="0"/>
                    <w:jc w:val="center"/>
                    <w:rPr>
                      <w:szCs w:val="21"/>
                    </w:rPr>
                  </w:pPr>
                  <w:r>
                    <w:rPr>
                      <w:szCs w:val="21"/>
                    </w:rPr>
                    <w:t>采用半地下现浇钢筋混凝土薄壁箱型结构，屋面、墙面设保温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restart"/>
                  <w:tcBorders>
                    <w:tl2br w:val="nil"/>
                    <w:tr2bl w:val="nil"/>
                  </w:tcBorders>
                  <w:vAlign w:val="center"/>
                </w:tcPr>
                <w:p>
                  <w:pPr>
                    <w:adjustRightInd w:val="0"/>
                    <w:snapToGrid w:val="0"/>
                    <w:jc w:val="center"/>
                    <w:rPr>
                      <w:szCs w:val="21"/>
                    </w:rPr>
                  </w:pPr>
                  <w:r>
                    <w:rPr>
                      <w:szCs w:val="21"/>
                    </w:rPr>
                    <w:t>储运工程</w:t>
                  </w:r>
                </w:p>
              </w:tc>
              <w:tc>
                <w:tcPr>
                  <w:tcW w:w="510" w:type="pct"/>
                  <w:vMerge w:val="restart"/>
                  <w:tcBorders>
                    <w:tl2br w:val="nil"/>
                    <w:tr2bl w:val="nil"/>
                  </w:tcBorders>
                  <w:vAlign w:val="center"/>
                </w:tcPr>
                <w:p>
                  <w:pPr>
                    <w:adjustRightInd w:val="0"/>
                    <w:snapToGrid w:val="0"/>
                    <w:jc w:val="center"/>
                    <w:rPr>
                      <w:szCs w:val="21"/>
                    </w:rPr>
                  </w:pPr>
                  <w:r>
                    <w:rPr>
                      <w:szCs w:val="21"/>
                    </w:rPr>
                    <w:t>道路</w:t>
                  </w:r>
                </w:p>
              </w:tc>
              <w:tc>
                <w:tcPr>
                  <w:tcW w:w="707" w:type="pct"/>
                  <w:tcBorders>
                    <w:tl2br w:val="nil"/>
                    <w:tr2bl w:val="nil"/>
                  </w:tcBorders>
                  <w:vAlign w:val="center"/>
                </w:tcPr>
                <w:p>
                  <w:pPr>
                    <w:adjustRightInd w:val="0"/>
                    <w:snapToGrid w:val="0"/>
                    <w:jc w:val="center"/>
                    <w:rPr>
                      <w:szCs w:val="21"/>
                    </w:rPr>
                  </w:pPr>
                  <w:r>
                    <w:rPr>
                      <w:szCs w:val="21"/>
                    </w:rPr>
                    <w:t>进站道路</w:t>
                  </w:r>
                </w:p>
              </w:tc>
              <w:tc>
                <w:tcPr>
                  <w:tcW w:w="3525" w:type="pct"/>
                  <w:tcBorders>
                    <w:tl2br w:val="nil"/>
                    <w:tr2bl w:val="nil"/>
                  </w:tcBorders>
                  <w:vAlign w:val="center"/>
                </w:tcPr>
                <w:p>
                  <w:pPr>
                    <w:adjustRightInd w:val="0"/>
                    <w:snapToGrid w:val="0"/>
                    <w:jc w:val="center"/>
                    <w:rPr>
                      <w:szCs w:val="21"/>
                    </w:rPr>
                  </w:pPr>
                  <w:r>
                    <w:rPr>
                      <w:color w:val="FF0000"/>
                      <w:szCs w:val="21"/>
                    </w:rPr>
                    <w:t>进站道路从西北侧</w:t>
                  </w:r>
                  <w:r>
                    <w:rPr>
                      <w:rFonts w:hint="eastAsia"/>
                      <w:color w:val="FF0000"/>
                      <w:szCs w:val="21"/>
                    </w:rPr>
                    <w:t>县道X201</w:t>
                  </w:r>
                  <w:r>
                    <w:rPr>
                      <w:color w:val="FF0000"/>
                      <w:szCs w:val="21"/>
                    </w:rPr>
                    <w:t>接入</w:t>
                  </w:r>
                  <w:r>
                    <w:rPr>
                      <w:rFonts w:hint="eastAsia"/>
                      <w:color w:val="FF0000"/>
                      <w:szCs w:val="21"/>
                    </w:rPr>
                    <w:t>，长90m，宽5m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510" w:type="pct"/>
                  <w:vMerge w:val="continue"/>
                  <w:tcBorders>
                    <w:tl2br w:val="nil"/>
                    <w:tr2bl w:val="nil"/>
                  </w:tcBorders>
                  <w:vAlign w:val="center"/>
                </w:tcPr>
                <w:p>
                  <w:pPr>
                    <w:adjustRightInd w:val="0"/>
                    <w:snapToGrid w:val="0"/>
                    <w:jc w:val="center"/>
                    <w:rPr>
                      <w:szCs w:val="21"/>
                    </w:rPr>
                  </w:pPr>
                </w:p>
              </w:tc>
              <w:tc>
                <w:tcPr>
                  <w:tcW w:w="707" w:type="pct"/>
                  <w:tcBorders>
                    <w:tl2br w:val="nil"/>
                    <w:tr2bl w:val="nil"/>
                  </w:tcBorders>
                  <w:vAlign w:val="center"/>
                </w:tcPr>
                <w:p>
                  <w:pPr>
                    <w:adjustRightInd w:val="0"/>
                    <w:snapToGrid w:val="0"/>
                    <w:jc w:val="center"/>
                    <w:rPr>
                      <w:szCs w:val="21"/>
                    </w:rPr>
                  </w:pPr>
                  <w:r>
                    <w:rPr>
                      <w:szCs w:val="21"/>
                    </w:rPr>
                    <w:t>站内道路</w:t>
                  </w:r>
                </w:p>
              </w:tc>
              <w:tc>
                <w:tcPr>
                  <w:tcW w:w="3525" w:type="pct"/>
                  <w:tcBorders>
                    <w:tl2br w:val="nil"/>
                    <w:tr2bl w:val="nil"/>
                  </w:tcBorders>
                  <w:vAlign w:val="center"/>
                </w:tcPr>
                <w:p>
                  <w:pPr>
                    <w:adjustRightInd w:val="0"/>
                    <w:snapToGrid w:val="0"/>
                    <w:jc w:val="center"/>
                    <w:rPr>
                      <w:szCs w:val="21"/>
                    </w:rPr>
                  </w:pPr>
                  <w:r>
                    <w:rPr>
                      <w:szCs w:val="21"/>
                    </w:rPr>
                    <w:t>站内主变压器运输道路宽5.5m</w:t>
                  </w:r>
                  <w:r>
                    <w:rPr>
                      <w:rFonts w:hint="eastAsia"/>
                      <w:szCs w:val="21"/>
                    </w:rPr>
                    <w:t>，</w:t>
                  </w:r>
                  <w:r>
                    <w:rPr>
                      <w:szCs w:val="21"/>
                    </w:rPr>
                    <w:t>储能电池舱运输道路及消防通道宽4.0</w:t>
                  </w:r>
                  <w:r>
                    <w:rPr>
                      <w:rFonts w:hint="eastAsia"/>
                      <w:szCs w:val="21"/>
                    </w:rPr>
                    <w:t>m，</w:t>
                  </w:r>
                  <w:r>
                    <w:rPr>
                      <w:szCs w:val="21"/>
                    </w:rPr>
                    <w:t>转弯半径大于9.0m。站内道路采用郊区型混凝土路面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restart"/>
                  <w:tcBorders>
                    <w:tl2br w:val="nil"/>
                    <w:tr2bl w:val="nil"/>
                  </w:tcBorders>
                  <w:vAlign w:val="center"/>
                </w:tcPr>
                <w:p>
                  <w:pPr>
                    <w:adjustRightInd w:val="0"/>
                    <w:snapToGrid w:val="0"/>
                    <w:jc w:val="center"/>
                    <w:rPr>
                      <w:szCs w:val="21"/>
                    </w:rPr>
                  </w:pPr>
                  <w:r>
                    <w:rPr>
                      <w:szCs w:val="21"/>
                    </w:rPr>
                    <w:t>公用工程</w:t>
                  </w:r>
                </w:p>
              </w:tc>
              <w:tc>
                <w:tcPr>
                  <w:tcW w:w="1218" w:type="pct"/>
                  <w:gridSpan w:val="2"/>
                  <w:tcBorders>
                    <w:tl2br w:val="nil"/>
                    <w:tr2bl w:val="nil"/>
                  </w:tcBorders>
                  <w:vAlign w:val="center"/>
                </w:tcPr>
                <w:p>
                  <w:pPr>
                    <w:adjustRightInd w:val="0"/>
                    <w:snapToGrid w:val="0"/>
                    <w:jc w:val="center"/>
                    <w:rPr>
                      <w:szCs w:val="21"/>
                    </w:rPr>
                  </w:pPr>
                  <w:r>
                    <w:rPr>
                      <w:szCs w:val="21"/>
                    </w:rPr>
                    <w:t>给水工程</w:t>
                  </w:r>
                </w:p>
              </w:tc>
              <w:tc>
                <w:tcPr>
                  <w:tcW w:w="3525" w:type="pct"/>
                  <w:tcBorders>
                    <w:tl2br w:val="nil"/>
                    <w:tr2bl w:val="nil"/>
                  </w:tcBorders>
                  <w:vAlign w:val="center"/>
                </w:tcPr>
                <w:p>
                  <w:pPr>
                    <w:adjustRightInd w:val="0"/>
                    <w:snapToGrid w:val="0"/>
                    <w:jc w:val="center"/>
                    <w:rPr>
                      <w:szCs w:val="21"/>
                    </w:rPr>
                  </w:pPr>
                  <w:r>
                    <w:rPr>
                      <w:szCs w:val="21"/>
                    </w:rPr>
                    <w:t>项目用水</w:t>
                  </w:r>
                  <w:r>
                    <w:rPr>
                      <w:rFonts w:hint="eastAsia"/>
                      <w:szCs w:val="21"/>
                    </w:rPr>
                    <w:t>从附近水源拉运</w:t>
                  </w:r>
                  <w:r>
                    <w:rPr>
                      <w:szCs w:val="21"/>
                    </w:rPr>
                    <w:t>，站内设生活用水净化及消毒设备一套、不锈钢水箱及变频供水</w:t>
                  </w:r>
                  <w:r>
                    <w:rPr>
                      <w:rFonts w:hint="eastAsia"/>
                      <w:szCs w:val="21"/>
                    </w:rPr>
                    <w:t>设备</w:t>
                  </w:r>
                  <w:r>
                    <w:rPr>
                      <w:szCs w:val="21"/>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szCs w:val="21"/>
                    </w:rPr>
                    <w:t>排水工程</w:t>
                  </w:r>
                </w:p>
              </w:tc>
              <w:tc>
                <w:tcPr>
                  <w:tcW w:w="3525" w:type="pct"/>
                  <w:tcBorders>
                    <w:tl2br w:val="nil"/>
                    <w:tr2bl w:val="nil"/>
                  </w:tcBorders>
                  <w:vAlign w:val="center"/>
                </w:tcPr>
                <w:p>
                  <w:pPr>
                    <w:adjustRightInd w:val="0"/>
                    <w:snapToGrid w:val="0"/>
                    <w:jc w:val="center"/>
                    <w:rPr>
                      <w:szCs w:val="21"/>
                    </w:rPr>
                  </w:pPr>
                  <w:r>
                    <w:rPr>
                      <w:szCs w:val="21"/>
                    </w:rPr>
                    <w:t>排水方式采用</w:t>
                  </w:r>
                  <w:r>
                    <w:rPr>
                      <w:rFonts w:hint="eastAsia"/>
                      <w:szCs w:val="21"/>
                    </w:rPr>
                    <w:t>雨污</w:t>
                  </w:r>
                  <w:r>
                    <w:rPr>
                      <w:szCs w:val="21"/>
                    </w:rPr>
                    <w:t>分流制排水系统，其中：全站雨水散排至站外；生活污水</w:t>
                  </w:r>
                  <w:r>
                    <w:rPr>
                      <w:rFonts w:hint="eastAsia"/>
                      <w:szCs w:val="21"/>
                    </w:rPr>
                    <w:t>经化粪池预处理后定期清运至民乐生态工业</w:t>
                  </w:r>
                  <w:r>
                    <w:rPr>
                      <w:szCs w:val="21"/>
                    </w:rPr>
                    <w:t>园区</w:t>
                  </w:r>
                  <w:r>
                    <w:rPr>
                      <w:rFonts w:hint="eastAsia"/>
                      <w:szCs w:val="21"/>
                    </w:rPr>
                    <w:t>第一</w:t>
                  </w:r>
                  <w:r>
                    <w:rPr>
                      <w:szCs w:val="21"/>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rFonts w:hint="eastAsia"/>
                      <w:szCs w:val="21"/>
                    </w:rPr>
                    <w:t>供电工程</w:t>
                  </w:r>
                </w:p>
              </w:tc>
              <w:tc>
                <w:tcPr>
                  <w:tcW w:w="3525" w:type="pct"/>
                  <w:tcBorders>
                    <w:tl2br w:val="nil"/>
                    <w:tr2bl w:val="nil"/>
                  </w:tcBorders>
                  <w:vAlign w:val="center"/>
                </w:tcPr>
                <w:p>
                  <w:pPr>
                    <w:adjustRightInd w:val="0"/>
                    <w:snapToGrid w:val="0"/>
                    <w:jc w:val="center"/>
                    <w:rPr>
                      <w:szCs w:val="21"/>
                      <w:highlight w:val="red"/>
                    </w:rPr>
                  </w:pPr>
                  <w:r>
                    <w:rPr>
                      <w:szCs w:val="21"/>
                    </w:rPr>
                    <w:t>本</w:t>
                  </w:r>
                  <w:r>
                    <w:rPr>
                      <w:rFonts w:hint="eastAsia"/>
                      <w:szCs w:val="21"/>
                    </w:rPr>
                    <w:t>项目</w:t>
                  </w:r>
                  <w:r>
                    <w:rPr>
                      <w:szCs w:val="21"/>
                    </w:rPr>
                    <w:t>设置2套站用变系统，设置4台站用变压器（4000kVA/台）组成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szCs w:val="21"/>
                    </w:rPr>
                    <w:t>采暖工程</w:t>
                  </w:r>
                </w:p>
              </w:tc>
              <w:tc>
                <w:tcPr>
                  <w:tcW w:w="3525" w:type="pct"/>
                  <w:tcBorders>
                    <w:tl2br w:val="nil"/>
                    <w:tr2bl w:val="nil"/>
                  </w:tcBorders>
                  <w:vAlign w:val="center"/>
                </w:tcPr>
                <w:p>
                  <w:pPr>
                    <w:adjustRightInd w:val="0"/>
                    <w:snapToGrid w:val="0"/>
                    <w:jc w:val="center"/>
                    <w:rPr>
                      <w:szCs w:val="21"/>
                      <w:highlight w:val="red"/>
                    </w:rPr>
                  </w:pPr>
                  <w:r>
                    <w:rPr>
                      <w:rFonts w:hint="eastAsia"/>
                      <w:szCs w:val="21"/>
                    </w:rPr>
                    <w:t>储能电站冬季</w:t>
                  </w:r>
                  <w:r>
                    <w:rPr>
                      <w:szCs w:val="21"/>
                    </w:rPr>
                    <w:t>采暖</w:t>
                  </w:r>
                  <w:r>
                    <w:rPr>
                      <w:rFonts w:hint="eastAsia"/>
                      <w:szCs w:val="21"/>
                    </w:rPr>
                    <w:t>采用电暖器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tcBorders>
                    <w:tl2br w:val="nil"/>
                    <w:tr2bl w:val="nil"/>
                  </w:tcBorders>
                  <w:vAlign w:val="center"/>
                </w:tcPr>
                <w:p>
                  <w:pPr>
                    <w:adjustRightInd w:val="0"/>
                    <w:snapToGrid w:val="0"/>
                    <w:jc w:val="center"/>
                    <w:rPr>
                      <w:szCs w:val="21"/>
                    </w:rPr>
                  </w:pPr>
                  <w:r>
                    <w:rPr>
                      <w:szCs w:val="21"/>
                    </w:rPr>
                    <w:t>临时工程</w:t>
                  </w:r>
                </w:p>
              </w:tc>
              <w:tc>
                <w:tcPr>
                  <w:tcW w:w="510" w:type="pct"/>
                  <w:tcBorders>
                    <w:tl2br w:val="nil"/>
                    <w:tr2bl w:val="nil"/>
                  </w:tcBorders>
                  <w:vAlign w:val="center"/>
                </w:tcPr>
                <w:p>
                  <w:pPr>
                    <w:adjustRightInd w:val="0"/>
                    <w:snapToGrid w:val="0"/>
                    <w:jc w:val="center"/>
                    <w:rPr>
                      <w:szCs w:val="21"/>
                    </w:rPr>
                  </w:pPr>
                  <w:r>
                    <w:rPr>
                      <w:szCs w:val="21"/>
                    </w:rPr>
                    <w:t>施工期</w:t>
                  </w:r>
                </w:p>
              </w:tc>
              <w:tc>
                <w:tcPr>
                  <w:tcW w:w="707" w:type="pct"/>
                  <w:tcBorders>
                    <w:tl2br w:val="nil"/>
                    <w:tr2bl w:val="nil"/>
                  </w:tcBorders>
                  <w:vAlign w:val="center"/>
                </w:tcPr>
                <w:p>
                  <w:pPr>
                    <w:adjustRightInd w:val="0"/>
                    <w:snapToGrid w:val="0"/>
                    <w:jc w:val="center"/>
                    <w:rPr>
                      <w:szCs w:val="21"/>
                    </w:rPr>
                  </w:pPr>
                  <w:r>
                    <w:rPr>
                      <w:szCs w:val="21"/>
                    </w:rPr>
                    <w:t>施工场地</w:t>
                  </w:r>
                </w:p>
              </w:tc>
              <w:tc>
                <w:tcPr>
                  <w:tcW w:w="3525" w:type="pct"/>
                  <w:tcBorders>
                    <w:tl2br w:val="nil"/>
                    <w:tr2bl w:val="nil"/>
                  </w:tcBorders>
                  <w:vAlign w:val="center"/>
                </w:tcPr>
                <w:p>
                  <w:pPr>
                    <w:adjustRightInd w:val="0"/>
                    <w:snapToGrid w:val="0"/>
                    <w:jc w:val="center"/>
                    <w:rPr>
                      <w:szCs w:val="21"/>
                    </w:rPr>
                  </w:pPr>
                  <w:r>
                    <w:rPr>
                      <w:szCs w:val="21"/>
                    </w:rPr>
                    <w:t>施工期在站址</w:t>
                  </w:r>
                  <w:r>
                    <w:rPr>
                      <w:rFonts w:hint="eastAsia"/>
                      <w:szCs w:val="21"/>
                    </w:rPr>
                    <w:t>内</w:t>
                  </w:r>
                  <w:r>
                    <w:rPr>
                      <w:szCs w:val="21"/>
                    </w:rPr>
                    <w:t>设置一处</w:t>
                  </w:r>
                  <w:r>
                    <w:rPr>
                      <w:rFonts w:hint="eastAsia"/>
                      <w:szCs w:val="21"/>
                    </w:rPr>
                    <w:t>施工生产生活区</w:t>
                  </w:r>
                  <w:r>
                    <w:rPr>
                      <w:szCs w:val="21"/>
                    </w:rPr>
                    <w:t>，占地面积</w:t>
                  </w:r>
                  <w:r>
                    <w:rPr>
                      <w:rFonts w:hint="eastAsia"/>
                      <w:szCs w:val="21"/>
                    </w:rPr>
                    <w:t>5</w:t>
                  </w:r>
                  <w:r>
                    <w:rPr>
                      <w:szCs w:val="21"/>
                    </w:rPr>
                    <w:t>00m</w:t>
                  </w:r>
                  <w:r>
                    <w:rPr>
                      <w:szCs w:val="21"/>
                      <w:vertAlign w:val="superscript"/>
                    </w:rPr>
                    <w:t>2</w:t>
                  </w:r>
                  <w:r>
                    <w:rPr>
                      <w:szCs w:val="21"/>
                    </w:rPr>
                    <w:t>，</w:t>
                  </w:r>
                  <w:r>
                    <w:rPr>
                      <w:rFonts w:hint="eastAsia"/>
                      <w:szCs w:val="21"/>
                    </w:rPr>
                    <w:t>站址内进站道路南侧设置1处材料临时堆场，</w:t>
                  </w:r>
                  <w:r>
                    <w:rPr>
                      <w:szCs w:val="21"/>
                    </w:rPr>
                    <w:t>占地面积</w:t>
                  </w:r>
                  <w:r>
                    <w:rPr>
                      <w:rFonts w:hint="eastAsia"/>
                      <w:szCs w:val="21"/>
                    </w:rPr>
                    <w:t>10</w:t>
                  </w:r>
                  <w:r>
                    <w:rPr>
                      <w:szCs w:val="21"/>
                    </w:rPr>
                    <w:t>00m</w:t>
                  </w:r>
                  <w:r>
                    <w:rPr>
                      <w:szCs w:val="21"/>
                      <w:vertAlign w:val="superscript"/>
                    </w:rPr>
                    <w:t>2</w:t>
                  </w:r>
                  <w:r>
                    <w:rPr>
                      <w:rFonts w:hint="eastAsia"/>
                      <w:szCs w:val="21"/>
                    </w:rPr>
                    <w:t>；站址外进站道路北侧设置1处临时堆土区，</w:t>
                  </w:r>
                  <w:r>
                    <w:rPr>
                      <w:szCs w:val="21"/>
                    </w:rPr>
                    <w:t>占地面积</w:t>
                  </w:r>
                  <w:r>
                    <w:rPr>
                      <w:rFonts w:hint="eastAsia"/>
                      <w:szCs w:val="21"/>
                    </w:rPr>
                    <w:t>8</w:t>
                  </w:r>
                  <w:r>
                    <w:rPr>
                      <w:szCs w:val="21"/>
                    </w:rPr>
                    <w:t>00m</w:t>
                  </w:r>
                  <w:r>
                    <w:rPr>
                      <w:szCs w:val="21"/>
                      <w:vertAlign w:val="superscript"/>
                    </w:rPr>
                    <w:t>2</w:t>
                  </w:r>
                  <w:r>
                    <w:rPr>
                      <w:rFonts w:hint="eastAsia"/>
                      <w:szCs w:val="21"/>
                    </w:rPr>
                    <w:t>，设置</w:t>
                  </w:r>
                  <w:r>
                    <w:rPr>
                      <w:rFonts w:hint="eastAsia"/>
                      <w:color w:val="FF0000"/>
                      <w:szCs w:val="21"/>
                    </w:rPr>
                    <w:t>1处牵张场，占地面积1</w:t>
                  </w:r>
                  <w:r>
                    <w:rPr>
                      <w:color w:val="FF0000"/>
                      <w:szCs w:val="21"/>
                    </w:rPr>
                    <w:t>00m</w:t>
                  </w:r>
                  <w:r>
                    <w:rPr>
                      <w:color w:val="FF0000"/>
                      <w:szCs w:val="21"/>
                      <w:vertAlign w:val="superscript"/>
                    </w:rPr>
                    <w:t>2</w:t>
                  </w:r>
                  <w:r>
                    <w:rPr>
                      <w:rFonts w:hint="eastAsia"/>
                      <w:szCs w:val="21"/>
                    </w:rPr>
                    <w:t>，</w:t>
                  </w:r>
                  <w:r>
                    <w:rPr>
                      <w:szCs w:val="21"/>
                    </w:rPr>
                    <w:t>占地类型</w:t>
                  </w:r>
                  <w:r>
                    <w:rPr>
                      <w:rFonts w:hint="eastAsia"/>
                      <w:szCs w:val="21"/>
                    </w:rPr>
                    <w:t>均</w:t>
                  </w:r>
                  <w:r>
                    <w:rPr>
                      <w:szCs w:val="21"/>
                    </w:rPr>
                    <w:t>为未利用地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restart"/>
                  <w:tcBorders>
                    <w:tl2br w:val="nil"/>
                    <w:tr2bl w:val="nil"/>
                  </w:tcBorders>
                  <w:vAlign w:val="center"/>
                </w:tcPr>
                <w:p>
                  <w:pPr>
                    <w:adjustRightInd w:val="0"/>
                    <w:snapToGrid w:val="0"/>
                    <w:jc w:val="center"/>
                    <w:rPr>
                      <w:szCs w:val="21"/>
                    </w:rPr>
                  </w:pPr>
                  <w:r>
                    <w:rPr>
                      <w:szCs w:val="21"/>
                    </w:rPr>
                    <w:t>环保工程</w:t>
                  </w:r>
                </w:p>
              </w:tc>
              <w:tc>
                <w:tcPr>
                  <w:tcW w:w="1218" w:type="pct"/>
                  <w:gridSpan w:val="2"/>
                  <w:tcBorders>
                    <w:tl2br w:val="nil"/>
                    <w:tr2bl w:val="nil"/>
                  </w:tcBorders>
                  <w:vAlign w:val="center"/>
                </w:tcPr>
                <w:p>
                  <w:pPr>
                    <w:adjustRightInd w:val="0"/>
                    <w:snapToGrid w:val="0"/>
                    <w:jc w:val="center"/>
                    <w:rPr>
                      <w:szCs w:val="21"/>
                    </w:rPr>
                  </w:pPr>
                  <w:r>
                    <w:rPr>
                      <w:rFonts w:hint="eastAsia"/>
                      <w:szCs w:val="21"/>
                    </w:rPr>
                    <w:t>生态保护措施</w:t>
                  </w:r>
                </w:p>
              </w:tc>
              <w:tc>
                <w:tcPr>
                  <w:tcW w:w="3525" w:type="pct"/>
                  <w:tcBorders>
                    <w:tl2br w:val="nil"/>
                    <w:tr2bl w:val="nil"/>
                  </w:tcBorders>
                  <w:vAlign w:val="center"/>
                </w:tcPr>
                <w:p>
                  <w:pPr>
                    <w:adjustRightInd w:val="0"/>
                    <w:snapToGrid w:val="0"/>
                    <w:jc w:val="center"/>
                    <w:rPr>
                      <w:szCs w:val="21"/>
                      <w:highlight w:val="red"/>
                    </w:rPr>
                  </w:pPr>
                  <w:r>
                    <w:rPr>
                      <w:color w:val="000000"/>
                      <w:szCs w:val="21"/>
                    </w:rPr>
                    <w:t>施工结束后进行生态恢复，</w:t>
                  </w:r>
                  <w:r>
                    <w:rPr>
                      <w:rFonts w:hint="eastAsia"/>
                      <w:color w:val="000000"/>
                      <w:szCs w:val="21"/>
                    </w:rPr>
                    <w:t>施工</w:t>
                  </w:r>
                  <w:r>
                    <w:rPr>
                      <w:color w:val="000000"/>
                      <w:szCs w:val="21"/>
                    </w:rPr>
                    <w:t>迹地恢复，表土回铺，播撒草籽等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rFonts w:hint="eastAsia"/>
                      <w:szCs w:val="21"/>
                    </w:rPr>
                    <w:t>废水</w:t>
                  </w:r>
                  <w:r>
                    <w:rPr>
                      <w:szCs w:val="21"/>
                    </w:rPr>
                    <w:t>处理</w:t>
                  </w:r>
                  <w:r>
                    <w:rPr>
                      <w:rFonts w:hint="eastAsia"/>
                      <w:szCs w:val="21"/>
                    </w:rPr>
                    <w:t>措施</w:t>
                  </w:r>
                </w:p>
              </w:tc>
              <w:tc>
                <w:tcPr>
                  <w:tcW w:w="3525" w:type="pct"/>
                  <w:tcBorders>
                    <w:tl2br w:val="nil"/>
                    <w:tr2bl w:val="nil"/>
                  </w:tcBorders>
                  <w:vAlign w:val="center"/>
                </w:tcPr>
                <w:p>
                  <w:pPr>
                    <w:adjustRightInd w:val="0"/>
                    <w:snapToGrid w:val="0"/>
                    <w:jc w:val="center"/>
                    <w:rPr>
                      <w:szCs w:val="21"/>
                    </w:rPr>
                  </w:pPr>
                  <w:r>
                    <w:rPr>
                      <w:szCs w:val="21"/>
                    </w:rPr>
                    <w:t>生活污水经污水管道收集后排至</w:t>
                  </w:r>
                  <w:r>
                    <w:rPr>
                      <w:rFonts w:hint="eastAsia"/>
                      <w:szCs w:val="21"/>
                    </w:rPr>
                    <w:t>5m</w:t>
                  </w:r>
                  <w:r>
                    <w:rPr>
                      <w:rFonts w:hint="eastAsia"/>
                      <w:szCs w:val="21"/>
                      <w:vertAlign w:val="superscript"/>
                    </w:rPr>
                    <w:t>3</w:t>
                  </w:r>
                  <w:r>
                    <w:rPr>
                      <w:szCs w:val="21"/>
                    </w:rPr>
                    <w:t>化粪池，采用吸污车将化粪池污水清运至民乐生态工业园区</w:t>
                  </w:r>
                  <w:r>
                    <w:rPr>
                      <w:rFonts w:hint="eastAsia"/>
                      <w:szCs w:val="21"/>
                    </w:rPr>
                    <w:t>第一</w:t>
                  </w:r>
                  <w:r>
                    <w:rPr>
                      <w:szCs w:val="21"/>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rFonts w:hint="eastAsia"/>
                      <w:szCs w:val="21"/>
                    </w:rPr>
                    <w:t>噪声治理措施</w:t>
                  </w:r>
                </w:p>
              </w:tc>
              <w:tc>
                <w:tcPr>
                  <w:tcW w:w="3525" w:type="pct"/>
                  <w:tcBorders>
                    <w:tl2br w:val="nil"/>
                    <w:tr2bl w:val="nil"/>
                  </w:tcBorders>
                  <w:vAlign w:val="center"/>
                </w:tcPr>
                <w:p>
                  <w:pPr>
                    <w:adjustRightInd w:val="0"/>
                    <w:snapToGrid w:val="0"/>
                    <w:jc w:val="center"/>
                    <w:rPr>
                      <w:szCs w:val="21"/>
                    </w:rPr>
                  </w:pPr>
                  <w:r>
                    <w:rPr>
                      <w:rFonts w:hint="eastAsia"/>
                      <w:szCs w:val="21"/>
                    </w:rPr>
                    <w:t>合理布局，基础减振等措施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szCs w:val="21"/>
                    </w:rPr>
                    <w:t>固废处理措施</w:t>
                  </w:r>
                </w:p>
              </w:tc>
              <w:tc>
                <w:tcPr>
                  <w:tcW w:w="3525" w:type="pct"/>
                  <w:tcBorders>
                    <w:tl2br w:val="nil"/>
                    <w:tr2bl w:val="nil"/>
                  </w:tcBorders>
                  <w:vAlign w:val="center"/>
                </w:tcPr>
                <w:p>
                  <w:pPr>
                    <w:adjustRightInd w:val="0"/>
                    <w:snapToGrid w:val="0"/>
                    <w:rPr>
                      <w:snapToGrid w:val="0"/>
                      <w:spacing w:val="7"/>
                      <w:szCs w:val="21"/>
                    </w:rPr>
                  </w:pPr>
                  <w:r>
                    <w:rPr>
                      <w:snapToGrid w:val="0"/>
                      <w:spacing w:val="-3"/>
                      <w:szCs w:val="21"/>
                    </w:rPr>
                    <w:t>生活垃圾分类</w:t>
                  </w:r>
                  <w:r>
                    <w:rPr>
                      <w:snapToGrid w:val="0"/>
                      <w:spacing w:val="-2"/>
                      <w:szCs w:val="21"/>
                    </w:rPr>
                    <w:t>集中存放，定</w:t>
                  </w:r>
                  <w:r>
                    <w:rPr>
                      <w:snapToGrid w:val="0"/>
                      <w:spacing w:val="1"/>
                      <w:szCs w:val="21"/>
                    </w:rPr>
                    <w:t>期清运</w:t>
                  </w:r>
                  <w:r>
                    <w:rPr>
                      <w:rFonts w:hint="eastAsia"/>
                      <w:snapToGrid w:val="0"/>
                      <w:spacing w:val="1"/>
                      <w:szCs w:val="21"/>
                    </w:rPr>
                    <w:t>；化粪池底泥定期委托清掏</w:t>
                  </w:r>
                  <w:r>
                    <w:rPr>
                      <w:snapToGrid w:val="0"/>
                      <w:spacing w:val="1"/>
                      <w:szCs w:val="21"/>
                    </w:rPr>
                    <w:t>；</w:t>
                  </w:r>
                  <w:r>
                    <w:rPr>
                      <w:rFonts w:hint="eastAsia"/>
                      <w:snapToGrid w:val="0"/>
                      <w:spacing w:val="7"/>
                      <w:szCs w:val="21"/>
                    </w:rPr>
                    <w:t>废锂电池等设一般固废暂存间</w:t>
                  </w:r>
                  <w:r>
                    <w:rPr>
                      <w:rFonts w:hint="eastAsia"/>
                      <w:szCs w:val="21"/>
                    </w:rPr>
                    <w:t>（10m</w:t>
                  </w:r>
                  <w:r>
                    <w:rPr>
                      <w:rFonts w:hint="eastAsia"/>
                      <w:szCs w:val="21"/>
                      <w:vertAlign w:val="superscript"/>
                    </w:rPr>
                    <w:t>2</w:t>
                  </w:r>
                  <w:r>
                    <w:rPr>
                      <w:rFonts w:hint="eastAsia"/>
                      <w:szCs w:val="21"/>
                    </w:rPr>
                    <w:t>）</w:t>
                  </w:r>
                  <w:r>
                    <w:rPr>
                      <w:rFonts w:hint="eastAsia"/>
                      <w:snapToGrid w:val="0"/>
                      <w:spacing w:val="7"/>
                      <w:szCs w:val="21"/>
                    </w:rPr>
                    <w:t>暂存后由厂家回收；</w:t>
                  </w:r>
                </w:p>
                <w:p>
                  <w:pPr>
                    <w:adjustRightInd w:val="0"/>
                    <w:snapToGrid w:val="0"/>
                    <w:rPr>
                      <w:szCs w:val="21"/>
                    </w:rPr>
                  </w:pPr>
                  <w:r>
                    <w:rPr>
                      <w:rFonts w:hint="eastAsia"/>
                      <w:szCs w:val="21"/>
                    </w:rPr>
                    <w:t>变压器废油及其容器、油抹布设置危废暂存间（10m</w:t>
                  </w:r>
                  <w:r>
                    <w:rPr>
                      <w:rFonts w:hint="eastAsia"/>
                      <w:szCs w:val="21"/>
                      <w:vertAlign w:val="superscript"/>
                    </w:rPr>
                    <w:t>2</w:t>
                  </w:r>
                  <w:r>
                    <w:rPr>
                      <w:rFonts w:hint="eastAsia"/>
                      <w:szCs w:val="21"/>
                    </w:rPr>
                    <w:t>）暂存，委托具备危废处理资质的单位清运、处置；废旧铅酸蓄电池提前通知具备资质的厂家更换，由厂家清运处置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 w:type="pct"/>
                  <w:vMerge w:val="continue"/>
                  <w:tcBorders>
                    <w:tl2br w:val="nil"/>
                    <w:tr2bl w:val="nil"/>
                  </w:tcBorders>
                  <w:vAlign w:val="center"/>
                </w:tcPr>
                <w:p>
                  <w:pPr>
                    <w:adjustRightInd w:val="0"/>
                    <w:snapToGrid w:val="0"/>
                    <w:jc w:val="center"/>
                    <w:rPr>
                      <w:szCs w:val="21"/>
                    </w:rPr>
                  </w:pPr>
                </w:p>
              </w:tc>
              <w:tc>
                <w:tcPr>
                  <w:tcW w:w="1218" w:type="pct"/>
                  <w:gridSpan w:val="2"/>
                  <w:tcBorders>
                    <w:tl2br w:val="nil"/>
                    <w:tr2bl w:val="nil"/>
                  </w:tcBorders>
                  <w:vAlign w:val="center"/>
                </w:tcPr>
                <w:p>
                  <w:pPr>
                    <w:adjustRightInd w:val="0"/>
                    <w:snapToGrid w:val="0"/>
                    <w:jc w:val="center"/>
                    <w:rPr>
                      <w:szCs w:val="21"/>
                    </w:rPr>
                  </w:pPr>
                  <w:r>
                    <w:rPr>
                      <w:szCs w:val="21"/>
                    </w:rPr>
                    <w:t>风险防范措施</w:t>
                  </w:r>
                </w:p>
              </w:tc>
              <w:tc>
                <w:tcPr>
                  <w:tcW w:w="3525" w:type="pct"/>
                  <w:tcBorders>
                    <w:tl2br w:val="nil"/>
                    <w:tr2bl w:val="nil"/>
                  </w:tcBorders>
                  <w:vAlign w:val="center"/>
                </w:tcPr>
                <w:p>
                  <w:pPr>
                    <w:adjustRightInd w:val="0"/>
                    <w:snapToGrid w:val="0"/>
                    <w:jc w:val="center"/>
                    <w:rPr>
                      <w:szCs w:val="21"/>
                      <w:highlight w:val="red"/>
                    </w:rPr>
                  </w:pPr>
                  <w:r>
                    <w:rPr>
                      <w:rFonts w:hint="eastAsia"/>
                      <w:color w:val="FF0000"/>
                      <w:szCs w:val="21"/>
                    </w:rPr>
                    <w:t>针对</w:t>
                  </w:r>
                  <w:r>
                    <w:rPr>
                      <w:color w:val="FF0000"/>
                      <w:szCs w:val="21"/>
                    </w:rPr>
                    <w:t>事故状态下的油污水，</w:t>
                  </w:r>
                  <w:r>
                    <w:rPr>
                      <w:rFonts w:hint="eastAsia"/>
                      <w:color w:val="FF0000"/>
                    </w:rPr>
                    <w:t>每台变压器均设有挡油设施及事故油排放系统，最终排入总</w:t>
                  </w:r>
                  <w:r>
                    <w:rPr>
                      <w:color w:val="FF0000"/>
                    </w:rPr>
                    <w:t>事故</w:t>
                  </w:r>
                  <w:r>
                    <w:rPr>
                      <w:rFonts w:hint="eastAsia"/>
                      <w:color w:val="FF0000"/>
                    </w:rPr>
                    <w:t>油</w:t>
                  </w:r>
                  <w:r>
                    <w:rPr>
                      <w:color w:val="FF0000"/>
                    </w:rPr>
                    <w:t>池（</w:t>
                  </w:r>
                  <w:r>
                    <w:rPr>
                      <w:rFonts w:hint="eastAsia"/>
                      <w:color w:val="FF0000"/>
                    </w:rPr>
                    <w:t>100</w:t>
                  </w:r>
                  <w:r>
                    <w:rPr>
                      <w:color w:val="FF0000"/>
                    </w:rPr>
                    <w:t>m</w:t>
                  </w:r>
                  <w:r>
                    <w:rPr>
                      <w:color w:val="FF0000"/>
                      <w:vertAlign w:val="superscript"/>
                    </w:rPr>
                    <w:t>3</w:t>
                  </w:r>
                  <w:r>
                    <w:rPr>
                      <w:color w:val="FF0000"/>
                    </w:rPr>
                    <w:t>）收集，通过油水分离设施进行油水分离，变压器油由厂家回收，形成的油污水交由有危废处理资质的单位处置</w:t>
                  </w:r>
                  <w:r>
                    <w:rPr>
                      <w:color w:val="FF0000"/>
                      <w:szCs w:val="21"/>
                    </w:rPr>
                    <w:t>，不外排</w:t>
                  </w:r>
                </w:p>
              </w:tc>
            </w:tr>
          </w:tbl>
          <w:p>
            <w:pPr>
              <w:adjustRightInd w:val="0"/>
              <w:snapToGrid w:val="0"/>
              <w:spacing w:before="120" w:beforeLines="50" w:after="120" w:afterLines="50" w:line="360" w:lineRule="auto"/>
              <w:rPr>
                <w:b/>
                <w:bCs/>
                <w:sz w:val="24"/>
              </w:rPr>
            </w:pPr>
            <w:r>
              <w:rPr>
                <w:b/>
                <w:bCs/>
                <w:sz w:val="24"/>
              </w:rPr>
              <w:t>2</w:t>
            </w:r>
            <w:r>
              <w:rPr>
                <w:rFonts w:hint="eastAsia"/>
                <w:b/>
                <w:bCs/>
                <w:sz w:val="24"/>
              </w:rPr>
              <w:t>.1</w:t>
            </w:r>
            <w:r>
              <w:rPr>
                <w:b/>
                <w:bCs/>
                <w:sz w:val="24"/>
              </w:rPr>
              <w:t>.2</w:t>
            </w:r>
            <w:r>
              <w:rPr>
                <w:rFonts w:hint="eastAsia"/>
                <w:b/>
                <w:bCs/>
                <w:sz w:val="24"/>
              </w:rPr>
              <w:t>项目</w:t>
            </w:r>
            <w:r>
              <w:rPr>
                <w:b/>
                <w:bCs/>
                <w:sz w:val="24"/>
              </w:rPr>
              <w:t>占地及土石方平衡分析</w:t>
            </w:r>
          </w:p>
          <w:p>
            <w:pPr>
              <w:widowControl/>
              <w:adjustRightInd w:val="0"/>
              <w:snapToGrid w:val="0"/>
              <w:spacing w:line="360" w:lineRule="auto"/>
              <w:ind w:firstLine="482" w:firstLineChars="200"/>
            </w:pPr>
            <w:r>
              <w:rPr>
                <w:b/>
                <w:bCs/>
                <w:color w:val="000000"/>
                <w:kern w:val="0"/>
                <w:sz w:val="24"/>
                <w:lang w:bidi="ar"/>
              </w:rPr>
              <w:t>（一）</w:t>
            </w:r>
            <w:r>
              <w:rPr>
                <w:rFonts w:hint="eastAsia"/>
                <w:b/>
                <w:bCs/>
                <w:sz w:val="24"/>
              </w:rPr>
              <w:t>项目</w:t>
            </w:r>
            <w:r>
              <w:rPr>
                <w:b/>
                <w:bCs/>
                <w:color w:val="000000"/>
                <w:kern w:val="0"/>
                <w:sz w:val="24"/>
                <w:lang w:bidi="ar"/>
              </w:rPr>
              <w:t>占地情况</w:t>
            </w:r>
          </w:p>
          <w:p>
            <w:pPr>
              <w:widowControl/>
              <w:adjustRightInd w:val="0"/>
              <w:snapToGrid w:val="0"/>
              <w:spacing w:line="360" w:lineRule="auto"/>
              <w:ind w:firstLine="480" w:firstLineChars="200"/>
            </w:pPr>
            <w:r>
              <w:rPr>
                <w:color w:val="000000"/>
                <w:kern w:val="0"/>
                <w:sz w:val="24"/>
                <w:lang w:bidi="ar"/>
              </w:rPr>
              <w:t>本</w:t>
            </w:r>
            <w:r>
              <w:rPr>
                <w:rFonts w:hint="eastAsia"/>
                <w:color w:val="000000"/>
                <w:kern w:val="0"/>
                <w:sz w:val="24"/>
                <w:lang w:bidi="ar"/>
              </w:rPr>
              <w:t>项目</w:t>
            </w:r>
            <w:r>
              <w:rPr>
                <w:color w:val="000000"/>
                <w:kern w:val="0"/>
                <w:sz w:val="24"/>
                <w:lang w:bidi="ar"/>
              </w:rPr>
              <w:t>占地包括永久占地和临时占地，永久占地包括</w:t>
            </w:r>
            <w:r>
              <w:rPr>
                <w:rFonts w:hint="eastAsia"/>
                <w:color w:val="000000"/>
                <w:kern w:val="0"/>
                <w:sz w:val="24"/>
                <w:lang w:bidi="ar"/>
              </w:rPr>
              <w:t>储能电站</w:t>
            </w:r>
            <w:r>
              <w:rPr>
                <w:color w:val="000000"/>
                <w:kern w:val="0"/>
                <w:sz w:val="24"/>
                <w:lang w:bidi="ar"/>
              </w:rPr>
              <w:t>占地</w:t>
            </w:r>
            <w:r>
              <w:rPr>
                <w:rFonts w:hint="eastAsia"/>
                <w:color w:val="000000"/>
                <w:kern w:val="0"/>
                <w:sz w:val="24"/>
                <w:lang w:bidi="ar"/>
              </w:rPr>
              <w:t>、塔基占地及进站道路占地</w:t>
            </w:r>
            <w:r>
              <w:rPr>
                <w:color w:val="000000"/>
                <w:kern w:val="0"/>
                <w:sz w:val="24"/>
                <w:lang w:bidi="ar"/>
              </w:rPr>
              <w:t>；临时占地包括施工期</w:t>
            </w:r>
            <w:r>
              <w:rPr>
                <w:rFonts w:hint="eastAsia"/>
                <w:color w:val="000000"/>
                <w:kern w:val="0"/>
                <w:sz w:val="24"/>
                <w:lang w:bidi="ar"/>
              </w:rPr>
              <w:t>生产生活区</w:t>
            </w:r>
            <w:r>
              <w:rPr>
                <w:color w:val="000000"/>
                <w:kern w:val="0"/>
                <w:sz w:val="24"/>
                <w:lang w:bidi="ar"/>
              </w:rPr>
              <w:t>、</w:t>
            </w:r>
            <w:r>
              <w:rPr>
                <w:rFonts w:hint="eastAsia"/>
                <w:color w:val="000000"/>
                <w:kern w:val="0"/>
                <w:sz w:val="24"/>
                <w:lang w:bidi="ar"/>
              </w:rPr>
              <w:t>材料</w:t>
            </w:r>
            <w:r>
              <w:rPr>
                <w:color w:val="000000"/>
                <w:kern w:val="0"/>
                <w:sz w:val="24"/>
                <w:lang w:bidi="ar"/>
              </w:rPr>
              <w:t>堆场等。按照《土地利用现状分类标准》（GBT 21010-2007），本</w:t>
            </w:r>
            <w:r>
              <w:rPr>
                <w:rFonts w:hint="eastAsia"/>
                <w:color w:val="000000"/>
                <w:kern w:val="0"/>
                <w:sz w:val="24"/>
                <w:lang w:bidi="ar"/>
              </w:rPr>
              <w:t>项目</w:t>
            </w:r>
            <w:r>
              <w:rPr>
                <w:color w:val="000000"/>
                <w:kern w:val="0"/>
                <w:sz w:val="24"/>
                <w:lang w:bidi="ar"/>
              </w:rPr>
              <w:t>占地</w:t>
            </w:r>
            <w:r>
              <w:rPr>
                <w:rFonts w:hint="eastAsia"/>
                <w:color w:val="000000"/>
                <w:kern w:val="0"/>
                <w:sz w:val="24"/>
                <w:lang w:bidi="ar"/>
              </w:rPr>
              <w:t>包括</w:t>
            </w:r>
            <w:r>
              <w:rPr>
                <w:color w:val="000000"/>
                <w:kern w:val="0"/>
                <w:sz w:val="24"/>
                <w:lang w:bidi="ar"/>
              </w:rPr>
              <w:t>未利用地</w:t>
            </w:r>
            <w:r>
              <w:rPr>
                <w:rFonts w:hint="eastAsia"/>
                <w:color w:val="000000"/>
                <w:kern w:val="0"/>
                <w:sz w:val="24"/>
                <w:lang w:bidi="ar"/>
              </w:rPr>
              <w:t>及农用地</w:t>
            </w:r>
            <w:r>
              <w:rPr>
                <w:color w:val="000000"/>
                <w:kern w:val="0"/>
                <w:sz w:val="24"/>
                <w:lang w:bidi="ar"/>
              </w:rPr>
              <w:t>。</w:t>
            </w:r>
            <w:r>
              <w:rPr>
                <w:rFonts w:hint="eastAsia"/>
                <w:color w:val="000000"/>
                <w:kern w:val="0"/>
                <w:sz w:val="24"/>
                <w:lang w:bidi="ar"/>
              </w:rPr>
              <w:t>项目</w:t>
            </w:r>
            <w:r>
              <w:rPr>
                <w:color w:val="000000"/>
                <w:kern w:val="0"/>
                <w:sz w:val="24"/>
                <w:lang w:bidi="ar"/>
              </w:rPr>
              <w:t>占地详见表2-3。</w:t>
            </w:r>
          </w:p>
          <w:p>
            <w:pPr>
              <w:widowControl/>
              <w:adjustRightInd w:val="0"/>
              <w:snapToGrid w:val="0"/>
              <w:spacing w:before="120" w:beforeLines="50" w:line="360" w:lineRule="auto"/>
              <w:jc w:val="center"/>
              <w:rPr>
                <w:b/>
                <w:bCs/>
                <w:color w:val="000000"/>
                <w:kern w:val="0"/>
                <w:sz w:val="24"/>
                <w:lang w:bidi="ar"/>
              </w:rPr>
            </w:pPr>
            <w:r>
              <w:rPr>
                <w:b/>
                <w:bCs/>
                <w:color w:val="000000"/>
                <w:kern w:val="0"/>
                <w:sz w:val="24"/>
                <w:lang w:bidi="ar"/>
              </w:rPr>
              <w:t xml:space="preserve">表2-3   </w:t>
            </w:r>
            <w:r>
              <w:rPr>
                <w:rFonts w:hint="eastAsia"/>
                <w:b/>
                <w:bCs/>
                <w:color w:val="000000"/>
                <w:kern w:val="0"/>
                <w:sz w:val="24"/>
                <w:lang w:bidi="ar"/>
              </w:rPr>
              <w:t xml:space="preserve"> </w:t>
            </w:r>
            <w:r>
              <w:rPr>
                <w:b/>
                <w:bCs/>
                <w:color w:val="000000"/>
                <w:kern w:val="0"/>
                <w:sz w:val="24"/>
                <w:lang w:bidi="ar"/>
              </w:rPr>
              <w:t>项目占地一览表</w:t>
            </w:r>
            <w:r>
              <w:rPr>
                <w:rFonts w:hint="eastAsia"/>
                <w:b/>
                <w:bCs/>
                <w:color w:val="000000"/>
                <w:kern w:val="0"/>
                <w:sz w:val="24"/>
                <w:lang w:bidi="ar"/>
              </w:rPr>
              <w:t xml:space="preserve">    单位：m</w:t>
            </w:r>
            <w:r>
              <w:rPr>
                <w:rFonts w:hint="eastAsia"/>
                <w:b/>
                <w:bCs/>
                <w:color w:val="000000"/>
                <w:kern w:val="0"/>
                <w:sz w:val="24"/>
                <w:vertAlign w:val="superscript"/>
                <w:lang w:bidi="ar"/>
              </w:rPr>
              <w:t>2</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625"/>
              <w:gridCol w:w="932"/>
              <w:gridCol w:w="2021"/>
              <w:gridCol w:w="906"/>
              <w:gridCol w:w="1259"/>
              <w:gridCol w:w="1005"/>
              <w:gridCol w:w="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tcBorders>
                    <w:tl2br w:val="nil"/>
                    <w:tr2bl w:val="nil"/>
                  </w:tcBorders>
                  <w:vAlign w:val="center"/>
                </w:tcPr>
                <w:p>
                  <w:pPr>
                    <w:spacing w:line="320" w:lineRule="exact"/>
                    <w:jc w:val="center"/>
                    <w:rPr>
                      <w:szCs w:val="21"/>
                    </w:rPr>
                  </w:pPr>
                  <w:r>
                    <w:rPr>
                      <w:szCs w:val="21"/>
                    </w:rPr>
                    <w:t>序号</w:t>
                  </w:r>
                </w:p>
              </w:tc>
              <w:tc>
                <w:tcPr>
                  <w:tcW w:w="2195" w:type="pct"/>
                  <w:gridSpan w:val="3"/>
                  <w:tcBorders>
                    <w:tl2br w:val="nil"/>
                    <w:tr2bl w:val="nil"/>
                  </w:tcBorders>
                  <w:vAlign w:val="center"/>
                </w:tcPr>
                <w:p>
                  <w:pPr>
                    <w:spacing w:line="320" w:lineRule="exact"/>
                    <w:jc w:val="center"/>
                    <w:rPr>
                      <w:szCs w:val="21"/>
                    </w:rPr>
                  </w:pPr>
                  <w:r>
                    <w:rPr>
                      <w:szCs w:val="21"/>
                    </w:rPr>
                    <w:t>项目</w:t>
                  </w:r>
                </w:p>
              </w:tc>
              <w:tc>
                <w:tcPr>
                  <w:tcW w:w="556" w:type="pct"/>
                  <w:tcBorders>
                    <w:tl2br w:val="nil"/>
                    <w:tr2bl w:val="nil"/>
                  </w:tcBorders>
                  <w:vAlign w:val="center"/>
                </w:tcPr>
                <w:p>
                  <w:pPr>
                    <w:spacing w:line="320" w:lineRule="exact"/>
                    <w:jc w:val="center"/>
                    <w:rPr>
                      <w:szCs w:val="21"/>
                    </w:rPr>
                  </w:pPr>
                  <w:r>
                    <w:rPr>
                      <w:rFonts w:hint="eastAsia"/>
                      <w:szCs w:val="21"/>
                    </w:rPr>
                    <w:t>合计</w:t>
                  </w:r>
                </w:p>
              </w:tc>
              <w:tc>
                <w:tcPr>
                  <w:tcW w:w="773" w:type="pct"/>
                  <w:tcBorders>
                    <w:tl2br w:val="nil"/>
                    <w:tr2bl w:val="nil"/>
                  </w:tcBorders>
                  <w:vAlign w:val="center"/>
                </w:tcPr>
                <w:p>
                  <w:pPr>
                    <w:spacing w:line="320" w:lineRule="exact"/>
                    <w:jc w:val="center"/>
                    <w:rPr>
                      <w:szCs w:val="21"/>
                    </w:rPr>
                  </w:pPr>
                  <w:r>
                    <w:rPr>
                      <w:szCs w:val="21"/>
                    </w:rPr>
                    <w:t>占地类型</w:t>
                  </w:r>
                </w:p>
              </w:tc>
              <w:tc>
                <w:tcPr>
                  <w:tcW w:w="617" w:type="pct"/>
                  <w:tcBorders>
                    <w:tl2br w:val="nil"/>
                    <w:tr2bl w:val="nil"/>
                  </w:tcBorders>
                  <w:vAlign w:val="center"/>
                </w:tcPr>
                <w:p>
                  <w:pPr>
                    <w:spacing w:line="320" w:lineRule="exact"/>
                    <w:jc w:val="center"/>
                    <w:rPr>
                      <w:szCs w:val="21"/>
                    </w:rPr>
                  </w:pPr>
                  <w:r>
                    <w:rPr>
                      <w:rFonts w:hint="eastAsia"/>
                      <w:szCs w:val="21"/>
                    </w:rPr>
                    <w:t>用</w:t>
                  </w:r>
                  <w:r>
                    <w:rPr>
                      <w:szCs w:val="21"/>
                    </w:rPr>
                    <w:t>地面积</w:t>
                  </w:r>
                </w:p>
              </w:tc>
              <w:tc>
                <w:tcPr>
                  <w:tcW w:w="594" w:type="pct"/>
                  <w:tcBorders>
                    <w:tl2br w:val="nil"/>
                    <w:tr2bl w:val="nil"/>
                  </w:tcBorders>
                  <w:vAlign w:val="center"/>
                </w:tcPr>
                <w:p>
                  <w:pPr>
                    <w:spacing w:line="320" w:lineRule="exact"/>
                    <w:jc w:val="center"/>
                    <w:rPr>
                      <w:szCs w:val="21"/>
                    </w:rPr>
                  </w:pPr>
                  <w:r>
                    <w:rPr>
                      <w:szCs w:val="21"/>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restart"/>
                  <w:tcBorders>
                    <w:tl2br w:val="nil"/>
                    <w:tr2bl w:val="nil"/>
                  </w:tcBorders>
                  <w:vAlign w:val="center"/>
                </w:tcPr>
                <w:p>
                  <w:pPr>
                    <w:spacing w:line="320" w:lineRule="exact"/>
                    <w:jc w:val="center"/>
                    <w:rPr>
                      <w:szCs w:val="21"/>
                    </w:rPr>
                  </w:pPr>
                  <w:r>
                    <w:rPr>
                      <w:szCs w:val="21"/>
                    </w:rPr>
                    <w:t>1</w:t>
                  </w:r>
                </w:p>
              </w:tc>
              <w:tc>
                <w:tcPr>
                  <w:tcW w:w="383" w:type="pct"/>
                  <w:vMerge w:val="restart"/>
                  <w:tcBorders>
                    <w:tl2br w:val="nil"/>
                    <w:tr2bl w:val="nil"/>
                  </w:tcBorders>
                  <w:vAlign w:val="center"/>
                </w:tcPr>
                <w:p>
                  <w:pPr>
                    <w:spacing w:line="320" w:lineRule="exact"/>
                    <w:jc w:val="center"/>
                    <w:rPr>
                      <w:szCs w:val="21"/>
                    </w:rPr>
                  </w:pPr>
                  <w:r>
                    <w:rPr>
                      <w:szCs w:val="21"/>
                    </w:rPr>
                    <w:t>永久</w:t>
                  </w:r>
                </w:p>
              </w:tc>
              <w:tc>
                <w:tcPr>
                  <w:tcW w:w="572" w:type="pct"/>
                  <w:vMerge w:val="restart"/>
                  <w:tcBorders>
                    <w:tl2br w:val="nil"/>
                    <w:tr2bl w:val="nil"/>
                  </w:tcBorders>
                  <w:vAlign w:val="center"/>
                </w:tcPr>
                <w:p>
                  <w:pPr>
                    <w:spacing w:line="320" w:lineRule="exact"/>
                    <w:rPr>
                      <w:szCs w:val="21"/>
                    </w:rPr>
                  </w:pPr>
                  <w:r>
                    <w:rPr>
                      <w:rFonts w:hint="eastAsia"/>
                      <w:szCs w:val="21"/>
                    </w:rPr>
                    <w:t>储能电站占地</w:t>
                  </w:r>
                </w:p>
              </w:tc>
              <w:tc>
                <w:tcPr>
                  <w:tcW w:w="1239" w:type="pct"/>
                  <w:tcBorders>
                    <w:tl2br w:val="nil"/>
                    <w:tr2bl w:val="nil"/>
                  </w:tcBorders>
                  <w:vAlign w:val="center"/>
                </w:tcPr>
                <w:p>
                  <w:pPr>
                    <w:spacing w:line="320" w:lineRule="exact"/>
                    <w:jc w:val="center"/>
                    <w:rPr>
                      <w:color w:val="FF0000"/>
                      <w:szCs w:val="21"/>
                    </w:rPr>
                  </w:pPr>
                  <w:r>
                    <w:rPr>
                      <w:rFonts w:hint="eastAsia"/>
                      <w:color w:val="FF0000"/>
                      <w:szCs w:val="21"/>
                    </w:rPr>
                    <w:t>升压站：21700</w:t>
                  </w:r>
                </w:p>
              </w:tc>
              <w:tc>
                <w:tcPr>
                  <w:tcW w:w="556" w:type="pct"/>
                  <w:vMerge w:val="restart"/>
                  <w:tcBorders>
                    <w:tl2br w:val="nil"/>
                    <w:tr2bl w:val="nil"/>
                  </w:tcBorders>
                  <w:vAlign w:val="center"/>
                </w:tcPr>
                <w:p>
                  <w:pPr>
                    <w:spacing w:line="320" w:lineRule="exact"/>
                    <w:jc w:val="center"/>
                    <w:rPr>
                      <w:color w:val="FF0000"/>
                      <w:szCs w:val="21"/>
                    </w:rPr>
                  </w:pPr>
                  <w:r>
                    <w:rPr>
                      <w:rFonts w:hint="eastAsia"/>
                      <w:color w:val="FF0000"/>
                      <w:szCs w:val="21"/>
                    </w:rPr>
                    <w:t>104000</w:t>
                  </w:r>
                </w:p>
              </w:tc>
              <w:tc>
                <w:tcPr>
                  <w:tcW w:w="773" w:type="pct"/>
                  <w:tcBorders>
                    <w:tl2br w:val="nil"/>
                    <w:tr2bl w:val="nil"/>
                  </w:tcBorders>
                  <w:vAlign w:val="center"/>
                </w:tcPr>
                <w:p>
                  <w:pPr>
                    <w:spacing w:line="320" w:lineRule="exact"/>
                    <w:jc w:val="center"/>
                    <w:rPr>
                      <w:color w:val="FF0000"/>
                      <w:szCs w:val="21"/>
                    </w:rPr>
                  </w:pPr>
                  <w:r>
                    <w:rPr>
                      <w:rFonts w:hint="eastAsia"/>
                      <w:color w:val="FF0000"/>
                      <w:szCs w:val="21"/>
                    </w:rPr>
                    <w:t>未利用地</w:t>
                  </w:r>
                </w:p>
              </w:tc>
              <w:tc>
                <w:tcPr>
                  <w:tcW w:w="617" w:type="pct"/>
                  <w:tcBorders>
                    <w:tl2br w:val="nil"/>
                    <w:tr2bl w:val="nil"/>
                  </w:tcBorders>
                  <w:vAlign w:val="center"/>
                </w:tcPr>
                <w:p>
                  <w:pPr>
                    <w:spacing w:line="320" w:lineRule="exact"/>
                    <w:jc w:val="center"/>
                    <w:rPr>
                      <w:color w:val="FF0000"/>
                      <w:szCs w:val="21"/>
                    </w:rPr>
                  </w:pPr>
                  <w:r>
                    <w:rPr>
                      <w:rFonts w:hint="eastAsia"/>
                      <w:color w:val="FF0000"/>
                      <w:szCs w:val="21"/>
                    </w:rPr>
                    <w:t>85067</w:t>
                  </w:r>
                </w:p>
              </w:tc>
              <w:tc>
                <w:tcPr>
                  <w:tcW w:w="594" w:type="pct"/>
                  <w:vMerge w:val="restart"/>
                  <w:tcBorders>
                    <w:tl2br w:val="nil"/>
                    <w:tr2bl w:val="nil"/>
                  </w:tcBorders>
                  <w:vAlign w:val="center"/>
                </w:tcPr>
                <w:p>
                  <w:pPr>
                    <w:spacing w:line="320" w:lineRule="exact"/>
                    <w:jc w:val="center"/>
                    <w:rPr>
                      <w:szCs w:val="21"/>
                    </w:rPr>
                  </w:pPr>
                  <w:r>
                    <w:rPr>
                      <w:rFonts w:hint="eastAsia"/>
                      <w:color w:val="FF0000"/>
                      <w:szCs w:val="21"/>
                    </w:rPr>
                    <w:t>104935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tcBorders>
                    <w:tl2br w:val="nil"/>
                    <w:tr2bl w:val="nil"/>
                  </w:tcBorders>
                  <w:vAlign w:val="center"/>
                </w:tcPr>
                <w:p>
                  <w:pPr>
                    <w:spacing w:line="320" w:lineRule="exact"/>
                    <w:jc w:val="center"/>
                    <w:rPr>
                      <w:szCs w:val="21"/>
                      <w:highlight w:val="red"/>
                    </w:rPr>
                  </w:pPr>
                </w:p>
              </w:tc>
              <w:tc>
                <w:tcPr>
                  <w:tcW w:w="383" w:type="pct"/>
                  <w:vMerge w:val="continue"/>
                  <w:tcBorders>
                    <w:tl2br w:val="nil"/>
                    <w:tr2bl w:val="nil"/>
                  </w:tcBorders>
                  <w:vAlign w:val="center"/>
                </w:tcPr>
                <w:p>
                  <w:pPr>
                    <w:spacing w:line="320" w:lineRule="exact"/>
                    <w:jc w:val="center"/>
                    <w:rPr>
                      <w:szCs w:val="21"/>
                      <w:highlight w:val="red"/>
                    </w:rPr>
                  </w:pPr>
                </w:p>
              </w:tc>
              <w:tc>
                <w:tcPr>
                  <w:tcW w:w="572" w:type="pct"/>
                  <w:vMerge w:val="continue"/>
                  <w:tcBorders>
                    <w:tl2br w:val="nil"/>
                    <w:tr2bl w:val="nil"/>
                  </w:tcBorders>
                  <w:vAlign w:val="center"/>
                </w:tcPr>
                <w:p>
                  <w:pPr>
                    <w:spacing w:line="320" w:lineRule="exact"/>
                    <w:jc w:val="center"/>
                    <w:rPr>
                      <w:szCs w:val="21"/>
                      <w:highlight w:val="red"/>
                    </w:rPr>
                  </w:pPr>
                </w:p>
              </w:tc>
              <w:tc>
                <w:tcPr>
                  <w:tcW w:w="1239" w:type="pct"/>
                  <w:tcBorders>
                    <w:tl2br w:val="nil"/>
                    <w:tr2bl w:val="nil"/>
                  </w:tcBorders>
                  <w:vAlign w:val="center"/>
                </w:tcPr>
                <w:p>
                  <w:pPr>
                    <w:spacing w:line="320" w:lineRule="exact"/>
                    <w:jc w:val="center"/>
                    <w:rPr>
                      <w:color w:val="FF0000"/>
                      <w:szCs w:val="21"/>
                      <w:highlight w:val="red"/>
                    </w:rPr>
                  </w:pPr>
                  <w:r>
                    <w:rPr>
                      <w:rFonts w:hint="eastAsia"/>
                      <w:color w:val="FF0000"/>
                      <w:szCs w:val="21"/>
                    </w:rPr>
                    <w:t>储能站区：82300</w:t>
                  </w:r>
                </w:p>
              </w:tc>
              <w:tc>
                <w:tcPr>
                  <w:tcW w:w="556" w:type="pct"/>
                  <w:vMerge w:val="continue"/>
                  <w:tcBorders>
                    <w:tl2br w:val="nil"/>
                    <w:tr2bl w:val="nil"/>
                  </w:tcBorders>
                  <w:vAlign w:val="center"/>
                </w:tcPr>
                <w:p>
                  <w:pPr>
                    <w:spacing w:line="320" w:lineRule="exact"/>
                    <w:jc w:val="center"/>
                    <w:rPr>
                      <w:color w:val="FF0000"/>
                      <w:szCs w:val="21"/>
                      <w:highlight w:val="red"/>
                    </w:rPr>
                  </w:pPr>
                </w:p>
              </w:tc>
              <w:tc>
                <w:tcPr>
                  <w:tcW w:w="773" w:type="pct"/>
                  <w:tcBorders>
                    <w:tl2br w:val="nil"/>
                    <w:tr2bl w:val="nil"/>
                  </w:tcBorders>
                  <w:vAlign w:val="center"/>
                </w:tcPr>
                <w:p>
                  <w:pPr>
                    <w:spacing w:line="320" w:lineRule="exact"/>
                    <w:jc w:val="center"/>
                    <w:rPr>
                      <w:color w:val="FF0000"/>
                      <w:szCs w:val="21"/>
                    </w:rPr>
                  </w:pPr>
                  <w:r>
                    <w:rPr>
                      <w:rFonts w:hint="eastAsia"/>
                      <w:color w:val="FF0000"/>
                      <w:szCs w:val="21"/>
                    </w:rPr>
                    <w:t>农用地</w:t>
                  </w:r>
                </w:p>
              </w:tc>
              <w:tc>
                <w:tcPr>
                  <w:tcW w:w="617" w:type="pct"/>
                  <w:tcBorders>
                    <w:tl2br w:val="nil"/>
                    <w:tr2bl w:val="nil"/>
                  </w:tcBorders>
                  <w:vAlign w:val="center"/>
                </w:tcPr>
                <w:p>
                  <w:pPr>
                    <w:spacing w:line="320" w:lineRule="exact"/>
                    <w:jc w:val="center"/>
                    <w:rPr>
                      <w:color w:val="FF0000"/>
                      <w:szCs w:val="21"/>
                    </w:rPr>
                  </w:pPr>
                  <w:r>
                    <w:rPr>
                      <w:rFonts w:hint="eastAsia"/>
                      <w:color w:val="FF0000"/>
                      <w:szCs w:val="21"/>
                    </w:rPr>
                    <w:t>18933</w:t>
                  </w:r>
                </w:p>
              </w:tc>
              <w:tc>
                <w:tcPr>
                  <w:tcW w:w="594" w:type="pct"/>
                  <w:vMerge w:val="continue"/>
                  <w:tcBorders>
                    <w:tl2br w:val="nil"/>
                    <w:tr2bl w:val="nil"/>
                  </w:tcBorders>
                  <w:vAlign w:val="center"/>
                </w:tcPr>
                <w:p>
                  <w:pPr>
                    <w:spacing w:line="320" w:lineRule="exact"/>
                    <w:jc w:val="center"/>
                    <w:rPr>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tcBorders>
                    <w:tl2br w:val="nil"/>
                    <w:tr2bl w:val="nil"/>
                  </w:tcBorders>
                  <w:vAlign w:val="center"/>
                </w:tcPr>
                <w:p>
                  <w:pPr>
                    <w:spacing w:line="320" w:lineRule="exact"/>
                    <w:jc w:val="center"/>
                    <w:rPr>
                      <w:szCs w:val="21"/>
                      <w:highlight w:val="red"/>
                    </w:rPr>
                  </w:pPr>
                </w:p>
              </w:tc>
              <w:tc>
                <w:tcPr>
                  <w:tcW w:w="383" w:type="pct"/>
                  <w:vMerge w:val="continue"/>
                  <w:tcBorders>
                    <w:tl2br w:val="nil"/>
                    <w:tr2bl w:val="nil"/>
                  </w:tcBorders>
                  <w:vAlign w:val="center"/>
                </w:tcPr>
                <w:p>
                  <w:pPr>
                    <w:spacing w:line="320" w:lineRule="exact"/>
                    <w:jc w:val="center"/>
                    <w:rPr>
                      <w:szCs w:val="21"/>
                      <w:highlight w:val="red"/>
                    </w:rPr>
                  </w:pPr>
                </w:p>
              </w:tc>
              <w:tc>
                <w:tcPr>
                  <w:tcW w:w="2368" w:type="pct"/>
                  <w:gridSpan w:val="3"/>
                  <w:tcBorders>
                    <w:tl2br w:val="nil"/>
                    <w:tr2bl w:val="nil"/>
                  </w:tcBorders>
                  <w:vAlign w:val="center"/>
                </w:tcPr>
                <w:p>
                  <w:pPr>
                    <w:spacing w:line="320" w:lineRule="exact"/>
                    <w:jc w:val="center"/>
                    <w:rPr>
                      <w:color w:val="FF0000"/>
                      <w:szCs w:val="21"/>
                    </w:rPr>
                  </w:pPr>
                  <w:r>
                    <w:rPr>
                      <w:color w:val="FF0000"/>
                      <w:szCs w:val="21"/>
                    </w:rPr>
                    <w:t>进站道路</w:t>
                  </w:r>
                  <w:r>
                    <w:rPr>
                      <w:rFonts w:hint="eastAsia"/>
                      <w:color w:val="FF0000"/>
                      <w:szCs w:val="21"/>
                    </w:rPr>
                    <w:t>用地</w:t>
                  </w:r>
                </w:p>
              </w:tc>
              <w:tc>
                <w:tcPr>
                  <w:tcW w:w="773" w:type="pct"/>
                  <w:tcBorders>
                    <w:tl2br w:val="nil"/>
                    <w:tr2bl w:val="nil"/>
                  </w:tcBorders>
                  <w:vAlign w:val="center"/>
                </w:tcPr>
                <w:p>
                  <w:pPr>
                    <w:spacing w:line="320" w:lineRule="exact"/>
                    <w:jc w:val="center"/>
                    <w:rPr>
                      <w:color w:val="FF0000"/>
                      <w:szCs w:val="21"/>
                    </w:rPr>
                  </w:pPr>
                  <w:r>
                    <w:rPr>
                      <w:rFonts w:hint="eastAsia"/>
                      <w:color w:val="FF0000"/>
                      <w:szCs w:val="21"/>
                    </w:rPr>
                    <w:t>未利用地</w:t>
                  </w:r>
                </w:p>
              </w:tc>
              <w:tc>
                <w:tcPr>
                  <w:tcW w:w="617" w:type="pct"/>
                  <w:tcBorders>
                    <w:tl2br w:val="nil"/>
                    <w:tr2bl w:val="nil"/>
                  </w:tcBorders>
                  <w:vAlign w:val="center"/>
                </w:tcPr>
                <w:p>
                  <w:pPr>
                    <w:spacing w:line="320" w:lineRule="exact"/>
                    <w:jc w:val="center"/>
                    <w:rPr>
                      <w:color w:val="FF0000"/>
                      <w:szCs w:val="21"/>
                    </w:rPr>
                  </w:pPr>
                  <w:r>
                    <w:rPr>
                      <w:rFonts w:hint="eastAsia"/>
                      <w:color w:val="FF0000"/>
                      <w:szCs w:val="21"/>
                    </w:rPr>
                    <w:t>450</w:t>
                  </w:r>
                </w:p>
              </w:tc>
              <w:tc>
                <w:tcPr>
                  <w:tcW w:w="594" w:type="pct"/>
                  <w:vMerge w:val="continue"/>
                  <w:tcBorders>
                    <w:tl2br w:val="nil"/>
                    <w:tr2bl w:val="nil"/>
                  </w:tcBorders>
                  <w:vAlign w:val="center"/>
                </w:tcPr>
                <w:p>
                  <w:pPr>
                    <w:spacing w:line="320" w:lineRule="exact"/>
                    <w:jc w:val="center"/>
                    <w:rPr>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tcBorders>
                    <w:tl2br w:val="nil"/>
                    <w:tr2bl w:val="nil"/>
                  </w:tcBorders>
                  <w:vAlign w:val="center"/>
                </w:tcPr>
                <w:p>
                  <w:pPr>
                    <w:spacing w:line="320" w:lineRule="exact"/>
                    <w:jc w:val="center"/>
                    <w:rPr>
                      <w:szCs w:val="21"/>
                      <w:highlight w:val="red"/>
                    </w:rPr>
                  </w:pPr>
                </w:p>
              </w:tc>
              <w:tc>
                <w:tcPr>
                  <w:tcW w:w="383" w:type="pct"/>
                  <w:vMerge w:val="continue"/>
                  <w:tcBorders>
                    <w:tl2br w:val="nil"/>
                    <w:tr2bl w:val="nil"/>
                  </w:tcBorders>
                  <w:vAlign w:val="center"/>
                </w:tcPr>
                <w:p>
                  <w:pPr>
                    <w:spacing w:line="320" w:lineRule="exact"/>
                    <w:jc w:val="center"/>
                    <w:rPr>
                      <w:szCs w:val="21"/>
                      <w:highlight w:val="red"/>
                    </w:rPr>
                  </w:pPr>
                </w:p>
              </w:tc>
              <w:tc>
                <w:tcPr>
                  <w:tcW w:w="2368" w:type="pct"/>
                  <w:gridSpan w:val="3"/>
                  <w:tcBorders>
                    <w:tl2br w:val="nil"/>
                    <w:tr2bl w:val="nil"/>
                  </w:tcBorders>
                  <w:vAlign w:val="center"/>
                </w:tcPr>
                <w:p>
                  <w:pPr>
                    <w:spacing w:line="320" w:lineRule="exact"/>
                    <w:jc w:val="center"/>
                    <w:rPr>
                      <w:color w:val="FF0000"/>
                      <w:szCs w:val="21"/>
                    </w:rPr>
                  </w:pPr>
                  <w:r>
                    <w:rPr>
                      <w:rFonts w:hint="eastAsia"/>
                      <w:color w:val="FF0000"/>
                      <w:szCs w:val="21"/>
                    </w:rPr>
                    <w:t>输电线路塔基用地</w:t>
                  </w:r>
                </w:p>
              </w:tc>
              <w:tc>
                <w:tcPr>
                  <w:tcW w:w="773" w:type="pct"/>
                  <w:tcBorders>
                    <w:tl2br w:val="nil"/>
                    <w:tr2bl w:val="nil"/>
                  </w:tcBorders>
                  <w:vAlign w:val="center"/>
                </w:tcPr>
                <w:p>
                  <w:pPr>
                    <w:spacing w:line="320" w:lineRule="exact"/>
                    <w:jc w:val="center"/>
                    <w:rPr>
                      <w:color w:val="FF0000"/>
                      <w:szCs w:val="21"/>
                    </w:rPr>
                  </w:pPr>
                  <w:r>
                    <w:rPr>
                      <w:rFonts w:hint="eastAsia"/>
                      <w:color w:val="FF0000"/>
                      <w:szCs w:val="21"/>
                    </w:rPr>
                    <w:t>未利用地</w:t>
                  </w:r>
                </w:p>
              </w:tc>
              <w:tc>
                <w:tcPr>
                  <w:tcW w:w="617" w:type="pct"/>
                  <w:tcBorders>
                    <w:tl2br w:val="nil"/>
                    <w:tr2bl w:val="nil"/>
                  </w:tcBorders>
                  <w:vAlign w:val="center"/>
                </w:tcPr>
                <w:p>
                  <w:pPr>
                    <w:spacing w:line="320" w:lineRule="exact"/>
                    <w:jc w:val="center"/>
                    <w:rPr>
                      <w:color w:val="FF0000"/>
                      <w:szCs w:val="21"/>
                    </w:rPr>
                  </w:pPr>
                  <w:r>
                    <w:rPr>
                      <w:rFonts w:hint="eastAsia"/>
                      <w:color w:val="FF0000"/>
                      <w:szCs w:val="21"/>
                    </w:rPr>
                    <w:t>485</w:t>
                  </w:r>
                </w:p>
              </w:tc>
              <w:tc>
                <w:tcPr>
                  <w:tcW w:w="594" w:type="pct"/>
                  <w:vMerge w:val="continue"/>
                  <w:tcBorders>
                    <w:tl2br w:val="nil"/>
                    <w:tr2bl w:val="nil"/>
                  </w:tcBorders>
                  <w:vAlign w:val="center"/>
                </w:tcPr>
                <w:p>
                  <w:pPr>
                    <w:spacing w:line="320" w:lineRule="exact"/>
                    <w:jc w:val="center"/>
                    <w:rPr>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restart"/>
                  <w:tcBorders>
                    <w:tl2br w:val="nil"/>
                    <w:tr2bl w:val="nil"/>
                  </w:tcBorders>
                  <w:vAlign w:val="center"/>
                </w:tcPr>
                <w:p>
                  <w:pPr>
                    <w:spacing w:line="320" w:lineRule="exact"/>
                    <w:jc w:val="center"/>
                    <w:rPr>
                      <w:szCs w:val="21"/>
                    </w:rPr>
                  </w:pPr>
                  <w:r>
                    <w:rPr>
                      <w:szCs w:val="21"/>
                    </w:rPr>
                    <w:t>2</w:t>
                  </w:r>
                </w:p>
              </w:tc>
              <w:tc>
                <w:tcPr>
                  <w:tcW w:w="383" w:type="pct"/>
                  <w:vMerge w:val="restart"/>
                  <w:tcBorders>
                    <w:tl2br w:val="nil"/>
                    <w:tr2bl w:val="nil"/>
                  </w:tcBorders>
                  <w:vAlign w:val="center"/>
                </w:tcPr>
                <w:p>
                  <w:pPr>
                    <w:spacing w:line="320" w:lineRule="exact"/>
                    <w:jc w:val="center"/>
                    <w:rPr>
                      <w:szCs w:val="21"/>
                    </w:rPr>
                  </w:pPr>
                  <w:r>
                    <w:rPr>
                      <w:szCs w:val="21"/>
                    </w:rPr>
                    <w:t>临时</w:t>
                  </w:r>
                </w:p>
              </w:tc>
              <w:tc>
                <w:tcPr>
                  <w:tcW w:w="2368" w:type="pct"/>
                  <w:gridSpan w:val="3"/>
                  <w:tcBorders>
                    <w:tl2br w:val="nil"/>
                    <w:tr2bl w:val="nil"/>
                  </w:tcBorders>
                  <w:vAlign w:val="center"/>
                </w:tcPr>
                <w:p>
                  <w:pPr>
                    <w:spacing w:line="320" w:lineRule="exact"/>
                    <w:jc w:val="center"/>
                    <w:rPr>
                      <w:rFonts w:hint="eastAsia" w:eastAsia="宋体"/>
                      <w:szCs w:val="21"/>
                      <w:lang w:eastAsia="zh-CN"/>
                    </w:rPr>
                  </w:pPr>
                  <w:r>
                    <w:rPr>
                      <w:szCs w:val="21"/>
                    </w:rPr>
                    <w:t>施工</w:t>
                  </w:r>
                  <w:r>
                    <w:rPr>
                      <w:rFonts w:hint="eastAsia"/>
                      <w:szCs w:val="21"/>
                    </w:rPr>
                    <w:t>生产生活区</w:t>
                  </w:r>
                  <w:r>
                    <w:rPr>
                      <w:rFonts w:hint="eastAsia"/>
                      <w:color w:val="FF0000"/>
                      <w:szCs w:val="21"/>
                      <w:lang w:eastAsia="zh-CN"/>
                    </w:rPr>
                    <w:t>（</w:t>
                  </w:r>
                  <w:r>
                    <w:rPr>
                      <w:rFonts w:hint="eastAsia"/>
                      <w:color w:val="FF0000"/>
                      <w:szCs w:val="21"/>
                      <w:lang w:val="en-US" w:eastAsia="zh-CN"/>
                    </w:rPr>
                    <w:t>储能电站内</w:t>
                  </w:r>
                  <w:r>
                    <w:rPr>
                      <w:rFonts w:hint="eastAsia"/>
                      <w:color w:val="FF0000"/>
                      <w:szCs w:val="21"/>
                      <w:lang w:eastAsia="zh-CN"/>
                    </w:rPr>
                    <w:t>）</w:t>
                  </w:r>
                </w:p>
              </w:tc>
              <w:tc>
                <w:tcPr>
                  <w:tcW w:w="773" w:type="pct"/>
                  <w:tcBorders>
                    <w:tl2br w:val="nil"/>
                    <w:tr2bl w:val="nil"/>
                  </w:tcBorders>
                  <w:vAlign w:val="center"/>
                </w:tcPr>
                <w:p>
                  <w:pPr>
                    <w:spacing w:line="320" w:lineRule="exact"/>
                    <w:jc w:val="center"/>
                    <w:rPr>
                      <w:szCs w:val="21"/>
                    </w:rPr>
                  </w:pPr>
                  <w:r>
                    <w:rPr>
                      <w:rFonts w:hint="eastAsia"/>
                      <w:szCs w:val="21"/>
                    </w:rPr>
                    <w:t>未利用地</w:t>
                  </w:r>
                </w:p>
              </w:tc>
              <w:tc>
                <w:tcPr>
                  <w:tcW w:w="617" w:type="pct"/>
                  <w:tcBorders>
                    <w:tl2br w:val="nil"/>
                    <w:tr2bl w:val="nil"/>
                  </w:tcBorders>
                  <w:vAlign w:val="center"/>
                </w:tcPr>
                <w:p>
                  <w:pPr>
                    <w:spacing w:line="320" w:lineRule="exact"/>
                    <w:jc w:val="center"/>
                    <w:rPr>
                      <w:szCs w:val="21"/>
                    </w:rPr>
                  </w:pPr>
                  <w:r>
                    <w:rPr>
                      <w:szCs w:val="21"/>
                    </w:rPr>
                    <w:t>500</w:t>
                  </w:r>
                </w:p>
              </w:tc>
              <w:tc>
                <w:tcPr>
                  <w:tcW w:w="594" w:type="pct"/>
                  <w:vMerge w:val="restart"/>
                  <w:tcBorders>
                    <w:tl2br w:val="nil"/>
                    <w:tr2bl w:val="nil"/>
                  </w:tcBorders>
                  <w:vAlign w:val="center"/>
                </w:tcPr>
                <w:p>
                  <w:pPr>
                    <w:spacing w:line="320" w:lineRule="exact"/>
                    <w:jc w:val="center"/>
                    <w:rPr>
                      <w:szCs w:val="21"/>
                    </w:rPr>
                  </w:pPr>
                  <w:r>
                    <w:rPr>
                      <w:rFonts w:hint="eastAsia"/>
                      <w:szCs w:val="21"/>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tcBorders>
                    <w:tl2br w:val="nil"/>
                    <w:tr2bl w:val="nil"/>
                  </w:tcBorders>
                  <w:vAlign w:val="center"/>
                </w:tcPr>
                <w:p>
                  <w:pPr>
                    <w:spacing w:line="320" w:lineRule="exact"/>
                    <w:jc w:val="center"/>
                    <w:rPr>
                      <w:szCs w:val="21"/>
                    </w:rPr>
                  </w:pPr>
                </w:p>
              </w:tc>
              <w:tc>
                <w:tcPr>
                  <w:tcW w:w="383" w:type="pct"/>
                  <w:vMerge w:val="continue"/>
                  <w:tcBorders>
                    <w:tl2br w:val="nil"/>
                    <w:tr2bl w:val="nil"/>
                  </w:tcBorders>
                  <w:vAlign w:val="center"/>
                </w:tcPr>
                <w:p>
                  <w:pPr>
                    <w:spacing w:line="320" w:lineRule="exact"/>
                    <w:jc w:val="center"/>
                    <w:rPr>
                      <w:szCs w:val="21"/>
                    </w:rPr>
                  </w:pPr>
                </w:p>
              </w:tc>
              <w:tc>
                <w:tcPr>
                  <w:tcW w:w="2368" w:type="pct"/>
                  <w:gridSpan w:val="3"/>
                  <w:tcBorders>
                    <w:tl2br w:val="nil"/>
                    <w:tr2bl w:val="nil"/>
                  </w:tcBorders>
                  <w:vAlign w:val="center"/>
                </w:tcPr>
                <w:p>
                  <w:pPr>
                    <w:spacing w:line="320" w:lineRule="exact"/>
                    <w:jc w:val="center"/>
                    <w:rPr>
                      <w:color w:val="FF0000"/>
                      <w:szCs w:val="21"/>
                    </w:rPr>
                  </w:pPr>
                  <w:r>
                    <w:rPr>
                      <w:rFonts w:hint="eastAsia"/>
                      <w:szCs w:val="21"/>
                    </w:rPr>
                    <w:t>材料</w:t>
                  </w:r>
                  <w:r>
                    <w:rPr>
                      <w:szCs w:val="21"/>
                    </w:rPr>
                    <w:t>堆场</w:t>
                  </w:r>
                  <w:r>
                    <w:rPr>
                      <w:rFonts w:hint="eastAsia"/>
                      <w:color w:val="FF0000"/>
                      <w:szCs w:val="21"/>
                      <w:lang w:eastAsia="zh-CN"/>
                    </w:rPr>
                    <w:t>（</w:t>
                  </w:r>
                  <w:r>
                    <w:rPr>
                      <w:rFonts w:hint="eastAsia"/>
                      <w:color w:val="FF0000"/>
                      <w:szCs w:val="21"/>
                      <w:lang w:val="en-US" w:eastAsia="zh-CN"/>
                    </w:rPr>
                    <w:t>储能电站内</w:t>
                  </w:r>
                  <w:r>
                    <w:rPr>
                      <w:rFonts w:hint="eastAsia"/>
                      <w:color w:val="FF0000"/>
                      <w:szCs w:val="21"/>
                      <w:lang w:eastAsia="zh-CN"/>
                    </w:rPr>
                    <w:t>）</w:t>
                  </w:r>
                </w:p>
              </w:tc>
              <w:tc>
                <w:tcPr>
                  <w:tcW w:w="773" w:type="pct"/>
                  <w:tcBorders>
                    <w:tl2br w:val="nil"/>
                    <w:tr2bl w:val="nil"/>
                  </w:tcBorders>
                  <w:vAlign w:val="center"/>
                </w:tcPr>
                <w:p>
                  <w:pPr>
                    <w:spacing w:line="320" w:lineRule="exact"/>
                    <w:jc w:val="center"/>
                    <w:rPr>
                      <w:color w:val="FF0000"/>
                      <w:szCs w:val="21"/>
                    </w:rPr>
                  </w:pPr>
                  <w:r>
                    <w:rPr>
                      <w:rFonts w:hint="eastAsia"/>
                      <w:color w:val="FF0000"/>
                      <w:szCs w:val="21"/>
                    </w:rPr>
                    <w:t>未利用地</w:t>
                  </w:r>
                </w:p>
              </w:tc>
              <w:tc>
                <w:tcPr>
                  <w:tcW w:w="617" w:type="pct"/>
                  <w:tcBorders>
                    <w:tl2br w:val="nil"/>
                    <w:tr2bl w:val="nil"/>
                  </w:tcBorders>
                  <w:vAlign w:val="center"/>
                </w:tcPr>
                <w:p>
                  <w:pPr>
                    <w:spacing w:line="320" w:lineRule="exact"/>
                    <w:jc w:val="center"/>
                    <w:rPr>
                      <w:color w:val="FF0000"/>
                      <w:szCs w:val="21"/>
                    </w:rPr>
                  </w:pPr>
                  <w:r>
                    <w:rPr>
                      <w:rFonts w:hint="eastAsia"/>
                      <w:color w:val="FF0000"/>
                      <w:szCs w:val="21"/>
                    </w:rPr>
                    <w:t>10</w:t>
                  </w:r>
                  <w:r>
                    <w:rPr>
                      <w:rFonts w:hint="eastAsia"/>
                      <w:color w:val="FF0000"/>
                      <w:szCs w:val="21"/>
                      <w:lang w:val="en-US" w:eastAsia="zh-CN"/>
                    </w:rPr>
                    <w:t>0</w:t>
                  </w:r>
                  <w:r>
                    <w:rPr>
                      <w:rFonts w:hint="eastAsia"/>
                      <w:color w:val="FF0000"/>
                      <w:szCs w:val="21"/>
                    </w:rPr>
                    <w:t>0</w:t>
                  </w:r>
                </w:p>
              </w:tc>
              <w:tc>
                <w:tcPr>
                  <w:tcW w:w="594" w:type="pct"/>
                  <w:vMerge w:val="continue"/>
                  <w:tcBorders>
                    <w:tl2br w:val="nil"/>
                    <w:tr2bl w:val="nil"/>
                  </w:tcBorders>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tcBorders>
                    <w:tl2br w:val="nil"/>
                    <w:tr2bl w:val="nil"/>
                  </w:tcBorders>
                  <w:vAlign w:val="center"/>
                </w:tcPr>
                <w:p>
                  <w:pPr>
                    <w:spacing w:line="320" w:lineRule="exact"/>
                    <w:jc w:val="center"/>
                    <w:rPr>
                      <w:szCs w:val="21"/>
                      <w:highlight w:val="red"/>
                    </w:rPr>
                  </w:pPr>
                </w:p>
              </w:tc>
              <w:tc>
                <w:tcPr>
                  <w:tcW w:w="383" w:type="pct"/>
                  <w:vMerge w:val="continue"/>
                  <w:tcBorders>
                    <w:tl2br w:val="nil"/>
                    <w:tr2bl w:val="nil"/>
                  </w:tcBorders>
                  <w:vAlign w:val="center"/>
                </w:tcPr>
                <w:p>
                  <w:pPr>
                    <w:spacing w:line="320" w:lineRule="exact"/>
                    <w:jc w:val="center"/>
                    <w:rPr>
                      <w:szCs w:val="21"/>
                      <w:highlight w:val="red"/>
                    </w:rPr>
                  </w:pPr>
                </w:p>
              </w:tc>
              <w:tc>
                <w:tcPr>
                  <w:tcW w:w="2368" w:type="pct"/>
                  <w:gridSpan w:val="3"/>
                  <w:tcBorders>
                    <w:tl2br w:val="nil"/>
                    <w:tr2bl w:val="nil"/>
                  </w:tcBorders>
                  <w:vAlign w:val="center"/>
                </w:tcPr>
                <w:p>
                  <w:pPr>
                    <w:spacing w:line="320" w:lineRule="exact"/>
                    <w:jc w:val="center"/>
                    <w:rPr>
                      <w:rFonts w:hint="eastAsia" w:eastAsia="宋体"/>
                      <w:szCs w:val="21"/>
                      <w:lang w:eastAsia="zh-CN"/>
                    </w:rPr>
                  </w:pPr>
                  <w:r>
                    <w:rPr>
                      <w:rFonts w:hint="eastAsia"/>
                      <w:color w:val="FF0000"/>
                      <w:szCs w:val="21"/>
                    </w:rPr>
                    <w:t>牵张场</w:t>
                  </w:r>
                  <w:r>
                    <w:rPr>
                      <w:rFonts w:hint="eastAsia"/>
                      <w:color w:val="FF0000"/>
                      <w:szCs w:val="21"/>
                      <w:lang w:eastAsia="zh-CN"/>
                    </w:rPr>
                    <w:t>（</w:t>
                  </w:r>
                  <w:r>
                    <w:rPr>
                      <w:rFonts w:hint="eastAsia"/>
                      <w:color w:val="FF0000"/>
                      <w:szCs w:val="21"/>
                      <w:lang w:val="en-US" w:eastAsia="zh-CN"/>
                    </w:rPr>
                    <w:t>站址外</w:t>
                  </w:r>
                  <w:r>
                    <w:rPr>
                      <w:rFonts w:hint="eastAsia"/>
                      <w:color w:val="FF0000"/>
                      <w:szCs w:val="21"/>
                      <w:lang w:eastAsia="zh-CN"/>
                    </w:rPr>
                    <w:t>）</w:t>
                  </w:r>
                </w:p>
              </w:tc>
              <w:tc>
                <w:tcPr>
                  <w:tcW w:w="773" w:type="pct"/>
                  <w:tcBorders>
                    <w:tl2br w:val="nil"/>
                    <w:tr2bl w:val="nil"/>
                  </w:tcBorders>
                  <w:vAlign w:val="center"/>
                </w:tcPr>
                <w:p>
                  <w:pPr>
                    <w:spacing w:line="320" w:lineRule="exact"/>
                    <w:jc w:val="center"/>
                    <w:rPr>
                      <w:szCs w:val="21"/>
                    </w:rPr>
                  </w:pPr>
                  <w:r>
                    <w:rPr>
                      <w:rFonts w:hint="eastAsia"/>
                      <w:szCs w:val="21"/>
                    </w:rPr>
                    <w:t>未利用地</w:t>
                  </w:r>
                </w:p>
              </w:tc>
              <w:tc>
                <w:tcPr>
                  <w:tcW w:w="617" w:type="pct"/>
                  <w:tcBorders>
                    <w:tl2br w:val="nil"/>
                    <w:tr2bl w:val="nil"/>
                  </w:tcBorders>
                  <w:vAlign w:val="center"/>
                </w:tcPr>
                <w:p>
                  <w:pPr>
                    <w:spacing w:line="320" w:lineRule="exact"/>
                    <w:jc w:val="center"/>
                    <w:rPr>
                      <w:szCs w:val="21"/>
                    </w:rPr>
                  </w:pPr>
                  <w:r>
                    <w:rPr>
                      <w:rFonts w:hint="eastAsia"/>
                      <w:szCs w:val="21"/>
                    </w:rPr>
                    <w:t>1</w:t>
                  </w:r>
                  <w:r>
                    <w:rPr>
                      <w:szCs w:val="21"/>
                    </w:rPr>
                    <w:t>00</w:t>
                  </w:r>
                </w:p>
              </w:tc>
              <w:tc>
                <w:tcPr>
                  <w:tcW w:w="594" w:type="pct"/>
                  <w:vMerge w:val="continue"/>
                  <w:tcBorders>
                    <w:tl2br w:val="nil"/>
                    <w:tr2bl w:val="nil"/>
                  </w:tcBorders>
                  <w:vAlign w:val="center"/>
                </w:tcPr>
                <w:p>
                  <w:pPr>
                    <w:spacing w:line="320" w:lineRule="exact"/>
                    <w:jc w:val="center"/>
                    <w:rPr>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tcBorders>
                    <w:tl2br w:val="nil"/>
                    <w:tr2bl w:val="nil"/>
                  </w:tcBorders>
                  <w:vAlign w:val="center"/>
                </w:tcPr>
                <w:p>
                  <w:pPr>
                    <w:spacing w:line="320" w:lineRule="exact"/>
                    <w:jc w:val="center"/>
                    <w:rPr>
                      <w:szCs w:val="21"/>
                      <w:highlight w:val="red"/>
                    </w:rPr>
                  </w:pPr>
                </w:p>
              </w:tc>
              <w:tc>
                <w:tcPr>
                  <w:tcW w:w="383" w:type="pct"/>
                  <w:vMerge w:val="continue"/>
                  <w:tcBorders>
                    <w:tl2br w:val="nil"/>
                    <w:tr2bl w:val="nil"/>
                  </w:tcBorders>
                  <w:vAlign w:val="center"/>
                </w:tcPr>
                <w:p>
                  <w:pPr>
                    <w:spacing w:line="320" w:lineRule="exact"/>
                    <w:jc w:val="center"/>
                    <w:rPr>
                      <w:szCs w:val="21"/>
                      <w:highlight w:val="red"/>
                    </w:rPr>
                  </w:pPr>
                </w:p>
              </w:tc>
              <w:tc>
                <w:tcPr>
                  <w:tcW w:w="2368" w:type="pct"/>
                  <w:gridSpan w:val="3"/>
                  <w:tcBorders>
                    <w:tl2br w:val="nil"/>
                    <w:tr2bl w:val="nil"/>
                  </w:tcBorders>
                  <w:vAlign w:val="center"/>
                </w:tcPr>
                <w:p>
                  <w:pPr>
                    <w:spacing w:line="320" w:lineRule="exact"/>
                    <w:jc w:val="center"/>
                    <w:rPr>
                      <w:szCs w:val="21"/>
                    </w:rPr>
                  </w:pPr>
                  <w:r>
                    <w:rPr>
                      <w:rFonts w:hint="eastAsia"/>
                      <w:szCs w:val="21"/>
                    </w:rPr>
                    <w:t>临时堆土区</w:t>
                  </w:r>
                  <w:r>
                    <w:rPr>
                      <w:rFonts w:hint="eastAsia"/>
                      <w:color w:val="FF0000"/>
                      <w:szCs w:val="21"/>
                      <w:lang w:eastAsia="zh-CN"/>
                    </w:rPr>
                    <w:t>（</w:t>
                  </w:r>
                  <w:r>
                    <w:rPr>
                      <w:rFonts w:hint="eastAsia"/>
                      <w:color w:val="FF0000"/>
                      <w:szCs w:val="21"/>
                      <w:lang w:val="en-US" w:eastAsia="zh-CN"/>
                    </w:rPr>
                    <w:t>站址外</w:t>
                  </w:r>
                  <w:r>
                    <w:rPr>
                      <w:rFonts w:hint="eastAsia"/>
                      <w:color w:val="FF0000"/>
                      <w:szCs w:val="21"/>
                      <w:lang w:eastAsia="zh-CN"/>
                    </w:rPr>
                    <w:t>）</w:t>
                  </w:r>
                </w:p>
              </w:tc>
              <w:tc>
                <w:tcPr>
                  <w:tcW w:w="773" w:type="pct"/>
                  <w:tcBorders>
                    <w:tl2br w:val="nil"/>
                    <w:tr2bl w:val="nil"/>
                  </w:tcBorders>
                  <w:vAlign w:val="center"/>
                </w:tcPr>
                <w:p>
                  <w:pPr>
                    <w:spacing w:line="320" w:lineRule="exact"/>
                    <w:jc w:val="center"/>
                    <w:rPr>
                      <w:szCs w:val="21"/>
                    </w:rPr>
                  </w:pPr>
                  <w:r>
                    <w:rPr>
                      <w:rFonts w:hint="eastAsia"/>
                      <w:szCs w:val="21"/>
                    </w:rPr>
                    <w:t>未利用地</w:t>
                  </w:r>
                </w:p>
              </w:tc>
              <w:tc>
                <w:tcPr>
                  <w:tcW w:w="617" w:type="pct"/>
                  <w:tcBorders>
                    <w:tl2br w:val="nil"/>
                    <w:tr2bl w:val="nil"/>
                  </w:tcBorders>
                  <w:vAlign w:val="center"/>
                </w:tcPr>
                <w:p>
                  <w:pPr>
                    <w:spacing w:line="320" w:lineRule="exact"/>
                    <w:jc w:val="center"/>
                    <w:rPr>
                      <w:szCs w:val="21"/>
                    </w:rPr>
                  </w:pPr>
                  <w:r>
                    <w:rPr>
                      <w:rFonts w:hint="eastAsia"/>
                      <w:szCs w:val="21"/>
                    </w:rPr>
                    <w:t>8</w:t>
                  </w:r>
                  <w:r>
                    <w:rPr>
                      <w:szCs w:val="21"/>
                    </w:rPr>
                    <w:t>00</w:t>
                  </w:r>
                </w:p>
              </w:tc>
              <w:tc>
                <w:tcPr>
                  <w:tcW w:w="594" w:type="pct"/>
                  <w:vMerge w:val="continue"/>
                  <w:tcBorders>
                    <w:tl2br w:val="nil"/>
                    <w:tr2bl w:val="nil"/>
                  </w:tcBorders>
                  <w:vAlign w:val="center"/>
                </w:tcPr>
                <w:p>
                  <w:pPr>
                    <w:spacing w:line="320" w:lineRule="exact"/>
                    <w:jc w:val="center"/>
                    <w:rPr>
                      <w:szCs w:val="21"/>
                      <w:highlight w:val="red"/>
                    </w:rPr>
                  </w:pPr>
                </w:p>
              </w:tc>
            </w:tr>
          </w:tbl>
          <w:p>
            <w:pPr>
              <w:widowControl/>
              <w:adjustRightInd w:val="0"/>
              <w:snapToGrid w:val="0"/>
              <w:spacing w:line="360" w:lineRule="auto"/>
              <w:ind w:firstLine="482" w:firstLineChars="200"/>
            </w:pPr>
            <w:r>
              <w:rPr>
                <w:b/>
                <w:bCs/>
                <w:color w:val="000000"/>
                <w:kern w:val="0"/>
                <w:sz w:val="24"/>
                <w:lang w:bidi="ar"/>
              </w:rPr>
              <w:t>（二）土石方平衡情况</w:t>
            </w:r>
          </w:p>
          <w:p>
            <w:pPr>
              <w:pStyle w:val="21"/>
              <w:adjustRightInd w:val="0"/>
              <w:snapToGrid w:val="0"/>
              <w:spacing w:before="0" w:after="0" w:line="360" w:lineRule="auto"/>
              <w:ind w:firstLine="480" w:firstLineChars="200"/>
              <w:jc w:val="both"/>
              <w:rPr>
                <w:rFonts w:ascii="Times New Roman" w:hAnsi="Times New Roman" w:cs="Times New Roman"/>
                <w:color w:val="FF0000"/>
                <w:lang w:eastAsia="zh-CN"/>
              </w:rPr>
            </w:pPr>
            <w:bookmarkStart w:id="13" w:name="_Toc28707"/>
            <w:r>
              <w:rPr>
                <w:rFonts w:ascii="Times New Roman" w:hAnsi="Times New Roman" w:cs="Times New Roman"/>
                <w:b w:val="0"/>
                <w:bCs w:val="0"/>
                <w:sz w:val="24"/>
                <w:szCs w:val="24"/>
                <w:lang w:eastAsia="zh-CN"/>
              </w:rPr>
              <w:t>站区主要是场地平整及基础挖填而产生较大量土方，站用</w:t>
            </w:r>
            <w:r>
              <w:rPr>
                <w:rFonts w:hint="eastAsia" w:ascii="Times New Roman" w:hAnsi="Times New Roman" w:cs="Times New Roman"/>
                <w:b w:val="0"/>
                <w:bCs w:val="0"/>
                <w:sz w:val="24"/>
                <w:szCs w:val="24"/>
                <w:lang w:eastAsia="zh-CN"/>
              </w:rPr>
              <w:t>、输电线路</w:t>
            </w:r>
            <w:r>
              <w:rPr>
                <w:rFonts w:ascii="Times New Roman" w:hAnsi="Times New Roman" w:cs="Times New Roman"/>
                <w:b w:val="0"/>
                <w:bCs w:val="0"/>
                <w:sz w:val="24"/>
                <w:szCs w:val="24"/>
                <w:lang w:eastAsia="zh-CN"/>
              </w:rPr>
              <w:t>和供排水管线</w:t>
            </w:r>
            <w:r>
              <w:rPr>
                <w:rFonts w:hint="eastAsia" w:ascii="Times New Roman" w:hAnsi="Times New Roman" w:cs="Times New Roman"/>
                <w:b w:val="0"/>
                <w:bCs w:val="0"/>
                <w:sz w:val="24"/>
                <w:szCs w:val="24"/>
                <w:lang w:eastAsia="zh-CN"/>
              </w:rPr>
              <w:t>等</w:t>
            </w:r>
            <w:r>
              <w:rPr>
                <w:rFonts w:ascii="Times New Roman" w:hAnsi="Times New Roman" w:cs="Times New Roman"/>
                <w:b w:val="0"/>
                <w:bCs w:val="0"/>
                <w:sz w:val="24"/>
                <w:szCs w:val="24"/>
                <w:lang w:eastAsia="zh-CN"/>
              </w:rPr>
              <w:t>主要是施工挖填土方。</w:t>
            </w:r>
            <w:r>
              <w:rPr>
                <w:rFonts w:ascii="Times New Roman" w:hAnsi="Times New Roman" w:cs="Times New Roman"/>
                <w:b w:val="0"/>
                <w:bCs w:val="0"/>
                <w:color w:val="FF0000"/>
                <w:sz w:val="24"/>
                <w:szCs w:val="24"/>
                <w:lang w:eastAsia="zh-CN"/>
              </w:rPr>
              <w:t>本项目总挖方</w:t>
            </w:r>
            <w:r>
              <w:rPr>
                <w:rFonts w:hint="eastAsia" w:ascii="Times New Roman" w:hAnsi="Times New Roman" w:cs="Times New Roman"/>
                <w:b w:val="0"/>
                <w:bCs w:val="0"/>
                <w:color w:val="FF0000"/>
                <w:sz w:val="24"/>
                <w:szCs w:val="24"/>
                <w:lang w:eastAsia="zh-CN"/>
              </w:rPr>
              <w:t>28580</w:t>
            </w:r>
            <w:r>
              <w:rPr>
                <w:rFonts w:ascii="Times New Roman" w:hAnsi="Times New Roman" w:cs="Times New Roman"/>
                <w:b w:val="0"/>
                <w:bCs w:val="0"/>
                <w:color w:val="FF0000"/>
                <w:sz w:val="24"/>
                <w:szCs w:val="24"/>
                <w:lang w:eastAsia="zh-CN"/>
              </w:rPr>
              <w:t>m</w:t>
            </w:r>
            <w:r>
              <w:rPr>
                <w:rFonts w:ascii="Times New Roman" w:hAnsi="Times New Roman" w:cs="Times New Roman"/>
                <w:b w:val="0"/>
                <w:bCs w:val="0"/>
                <w:color w:val="FF0000"/>
                <w:sz w:val="24"/>
                <w:szCs w:val="24"/>
                <w:vertAlign w:val="superscript"/>
                <w:lang w:eastAsia="zh-CN"/>
              </w:rPr>
              <w:t>3</w:t>
            </w:r>
            <w:r>
              <w:rPr>
                <w:rFonts w:ascii="Times New Roman" w:hAnsi="Times New Roman" w:cs="Times New Roman"/>
                <w:b w:val="0"/>
                <w:bCs w:val="0"/>
                <w:color w:val="FF0000"/>
                <w:sz w:val="24"/>
                <w:szCs w:val="24"/>
                <w:lang w:eastAsia="zh-CN"/>
              </w:rPr>
              <w:t>，总借方</w:t>
            </w:r>
            <w:r>
              <w:rPr>
                <w:rFonts w:hint="eastAsia" w:ascii="Times New Roman" w:hAnsi="Times New Roman" w:cs="Times New Roman"/>
                <w:b w:val="0"/>
                <w:bCs w:val="0"/>
                <w:color w:val="FF0000"/>
                <w:sz w:val="24"/>
                <w:szCs w:val="24"/>
                <w:lang w:eastAsia="zh-CN"/>
              </w:rPr>
              <w:t>17240</w:t>
            </w:r>
            <w:r>
              <w:rPr>
                <w:rFonts w:ascii="Times New Roman" w:hAnsi="Times New Roman" w:cs="Times New Roman"/>
                <w:b w:val="0"/>
                <w:bCs w:val="0"/>
                <w:color w:val="FF0000"/>
                <w:sz w:val="24"/>
                <w:szCs w:val="24"/>
                <w:lang w:eastAsia="zh-CN"/>
              </w:rPr>
              <w:t>m</w:t>
            </w:r>
            <w:r>
              <w:rPr>
                <w:rFonts w:ascii="Times New Roman" w:hAnsi="Times New Roman" w:cs="Times New Roman"/>
                <w:b w:val="0"/>
                <w:bCs w:val="0"/>
                <w:color w:val="FF0000"/>
                <w:sz w:val="24"/>
                <w:szCs w:val="24"/>
                <w:vertAlign w:val="superscript"/>
                <w:lang w:eastAsia="zh-CN"/>
              </w:rPr>
              <w:t>3</w:t>
            </w:r>
            <w:r>
              <w:rPr>
                <w:rFonts w:ascii="Times New Roman" w:hAnsi="Times New Roman" w:cs="Times New Roman"/>
                <w:b w:val="0"/>
                <w:bCs w:val="0"/>
                <w:color w:val="FF0000"/>
                <w:sz w:val="24"/>
                <w:szCs w:val="24"/>
                <w:lang w:eastAsia="zh-CN"/>
              </w:rPr>
              <w:t>，总填方</w:t>
            </w:r>
            <w:r>
              <w:rPr>
                <w:rFonts w:hint="eastAsia" w:ascii="Times New Roman" w:hAnsi="Times New Roman" w:cs="Times New Roman"/>
                <w:b w:val="0"/>
                <w:bCs w:val="0"/>
                <w:color w:val="FF0000"/>
                <w:sz w:val="24"/>
                <w:szCs w:val="24"/>
                <w:lang w:eastAsia="zh-CN"/>
              </w:rPr>
              <w:t>45780</w:t>
            </w:r>
            <w:r>
              <w:rPr>
                <w:rFonts w:ascii="Times New Roman" w:hAnsi="Times New Roman" w:cs="Times New Roman"/>
                <w:b w:val="0"/>
                <w:bCs w:val="0"/>
                <w:color w:val="FF0000"/>
                <w:sz w:val="24"/>
                <w:szCs w:val="24"/>
                <w:lang w:eastAsia="zh-CN"/>
              </w:rPr>
              <w:t>m</w:t>
            </w:r>
            <w:r>
              <w:rPr>
                <w:rFonts w:ascii="Times New Roman" w:hAnsi="Times New Roman" w:cs="Times New Roman"/>
                <w:b w:val="0"/>
                <w:bCs w:val="0"/>
                <w:color w:val="FF0000"/>
                <w:sz w:val="24"/>
                <w:szCs w:val="24"/>
                <w:vertAlign w:val="superscript"/>
                <w:lang w:eastAsia="zh-CN"/>
              </w:rPr>
              <w:t>3</w:t>
            </w:r>
            <w:r>
              <w:rPr>
                <w:rFonts w:ascii="Times New Roman" w:hAnsi="Times New Roman" w:cs="Times New Roman"/>
                <w:b w:val="0"/>
                <w:bCs w:val="0"/>
                <w:color w:val="FF0000"/>
                <w:sz w:val="24"/>
                <w:szCs w:val="24"/>
                <w:lang w:eastAsia="zh-CN"/>
              </w:rPr>
              <w:t>，总弃方</w:t>
            </w:r>
            <w:r>
              <w:rPr>
                <w:rFonts w:hint="eastAsia" w:ascii="Times New Roman" w:hAnsi="Times New Roman" w:cs="Times New Roman"/>
                <w:b w:val="0"/>
                <w:bCs w:val="0"/>
                <w:color w:val="FF0000"/>
                <w:sz w:val="24"/>
                <w:szCs w:val="24"/>
                <w:lang w:eastAsia="zh-CN"/>
              </w:rPr>
              <w:t>4</w:t>
            </w:r>
            <w:r>
              <w:rPr>
                <w:rFonts w:ascii="Times New Roman" w:hAnsi="Times New Roman" w:cs="Times New Roman"/>
                <w:b w:val="0"/>
                <w:bCs w:val="0"/>
                <w:color w:val="FF0000"/>
                <w:sz w:val="24"/>
                <w:szCs w:val="24"/>
                <w:lang w:eastAsia="zh-CN"/>
              </w:rPr>
              <w:t>0m</w:t>
            </w:r>
            <w:r>
              <w:rPr>
                <w:rFonts w:ascii="Times New Roman" w:hAnsi="Times New Roman" w:cs="Times New Roman"/>
                <w:b w:val="0"/>
                <w:bCs w:val="0"/>
                <w:color w:val="FF0000"/>
                <w:sz w:val="24"/>
                <w:szCs w:val="24"/>
                <w:vertAlign w:val="superscript"/>
                <w:lang w:eastAsia="zh-CN"/>
              </w:rPr>
              <w:t>3</w:t>
            </w:r>
            <w:r>
              <w:rPr>
                <w:rFonts w:hint="eastAsia" w:ascii="Times New Roman" w:hAnsi="Times New Roman" w:cs="Times New Roman"/>
                <w:b w:val="0"/>
                <w:bCs w:val="0"/>
                <w:color w:val="FF0000"/>
                <w:sz w:val="24"/>
                <w:szCs w:val="24"/>
                <w:lang w:eastAsia="zh-CN"/>
              </w:rPr>
              <w:t>，调配用于储能电站场地平整</w:t>
            </w:r>
            <w:r>
              <w:rPr>
                <w:rFonts w:ascii="Times New Roman" w:hAnsi="Times New Roman" w:cs="Times New Roman"/>
                <w:b w:val="0"/>
                <w:bCs w:val="0"/>
                <w:color w:val="FF0000"/>
                <w:sz w:val="24"/>
                <w:szCs w:val="24"/>
                <w:lang w:eastAsia="zh-CN"/>
              </w:rPr>
              <w:t>。项目</w:t>
            </w:r>
            <w:r>
              <w:rPr>
                <w:rFonts w:hint="eastAsia" w:ascii="Times New Roman" w:hAnsi="Times New Roman" w:cs="Times New Roman"/>
                <w:b w:val="0"/>
                <w:bCs w:val="0"/>
                <w:color w:val="FF0000"/>
                <w:sz w:val="24"/>
                <w:szCs w:val="24"/>
                <w:lang w:eastAsia="zh-CN"/>
              </w:rPr>
              <w:t>所需的砂石料等从附近砂石料场购买，</w:t>
            </w:r>
            <w:r>
              <w:rPr>
                <w:rFonts w:ascii="Times New Roman" w:hAnsi="Times New Roman" w:cs="Times New Roman"/>
                <w:b w:val="0"/>
                <w:bCs w:val="0"/>
                <w:color w:val="FF0000"/>
                <w:sz w:val="24"/>
                <w:szCs w:val="24"/>
                <w:lang w:eastAsia="zh-CN"/>
              </w:rPr>
              <w:t>土石方平衡详见表2-4</w:t>
            </w:r>
            <w:r>
              <w:rPr>
                <w:rFonts w:ascii="Times New Roman" w:hAnsi="Times New Roman" w:cs="Times New Roman"/>
                <w:color w:val="FF0000"/>
                <w:sz w:val="24"/>
                <w:szCs w:val="24"/>
                <w:lang w:eastAsia="zh-CN"/>
              </w:rPr>
              <w:t>。</w:t>
            </w:r>
            <w:bookmarkEnd w:id="13"/>
          </w:p>
          <w:p>
            <w:pPr>
              <w:adjustRightInd w:val="0"/>
              <w:snapToGrid w:val="0"/>
              <w:spacing w:before="120" w:beforeLines="50" w:line="360" w:lineRule="auto"/>
              <w:jc w:val="center"/>
              <w:rPr>
                <w:color w:val="FF0000"/>
              </w:rPr>
            </w:pPr>
            <w:r>
              <w:rPr>
                <w:b/>
                <w:bCs/>
                <w:color w:val="FF0000"/>
                <w:kern w:val="0"/>
                <w:sz w:val="24"/>
                <w:lang w:bidi="ar"/>
              </w:rPr>
              <w:t xml:space="preserve">表2-4 </w:t>
            </w:r>
            <w:r>
              <w:rPr>
                <w:rFonts w:hint="eastAsia"/>
                <w:b/>
                <w:bCs/>
                <w:color w:val="FF0000"/>
                <w:kern w:val="0"/>
                <w:sz w:val="24"/>
                <w:lang w:bidi="ar"/>
              </w:rPr>
              <w:t xml:space="preserve"> </w:t>
            </w:r>
            <w:r>
              <w:rPr>
                <w:b/>
                <w:bCs/>
                <w:color w:val="FF0000"/>
                <w:kern w:val="0"/>
                <w:sz w:val="24"/>
                <w:lang w:bidi="ar"/>
              </w:rPr>
              <w:t xml:space="preserve">  项目土石方平衡一览表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555"/>
              <w:gridCol w:w="1077"/>
              <w:gridCol w:w="1611"/>
              <w:gridCol w:w="1500"/>
              <w:gridCol w:w="11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0" w:type="pct"/>
                  <w:gridSpan w:val="2"/>
                  <w:tcBorders>
                    <w:tl2br w:val="nil"/>
                    <w:tr2bl w:val="nil"/>
                  </w:tcBorders>
                  <w:vAlign w:val="center"/>
                </w:tcPr>
                <w:p>
                  <w:pPr>
                    <w:spacing w:line="320" w:lineRule="exact"/>
                    <w:jc w:val="center"/>
                    <w:rPr>
                      <w:color w:val="FF0000"/>
                      <w:szCs w:val="21"/>
                    </w:rPr>
                  </w:pPr>
                  <w:r>
                    <w:rPr>
                      <w:color w:val="FF0000"/>
                      <w:szCs w:val="21"/>
                    </w:rPr>
                    <w:t>项目</w:t>
                  </w:r>
                </w:p>
              </w:tc>
              <w:tc>
                <w:tcPr>
                  <w:tcW w:w="661" w:type="pct"/>
                  <w:tcBorders>
                    <w:tl2br w:val="nil"/>
                    <w:tr2bl w:val="nil"/>
                  </w:tcBorders>
                  <w:vAlign w:val="center"/>
                </w:tcPr>
                <w:p>
                  <w:pPr>
                    <w:spacing w:line="320" w:lineRule="exact"/>
                    <w:jc w:val="center"/>
                    <w:rPr>
                      <w:color w:val="FF0000"/>
                      <w:szCs w:val="21"/>
                    </w:rPr>
                  </w:pPr>
                  <w:r>
                    <w:rPr>
                      <w:color w:val="FF0000"/>
                      <w:szCs w:val="21"/>
                    </w:rPr>
                    <w:t>挖方</w:t>
                  </w:r>
                </w:p>
              </w:tc>
              <w:tc>
                <w:tcPr>
                  <w:tcW w:w="989" w:type="pct"/>
                  <w:tcBorders>
                    <w:tl2br w:val="nil"/>
                    <w:tr2bl w:val="nil"/>
                  </w:tcBorders>
                  <w:vAlign w:val="center"/>
                </w:tcPr>
                <w:p>
                  <w:pPr>
                    <w:spacing w:line="320" w:lineRule="exact"/>
                    <w:jc w:val="center"/>
                    <w:rPr>
                      <w:color w:val="FF0000"/>
                      <w:szCs w:val="21"/>
                    </w:rPr>
                  </w:pPr>
                  <w:r>
                    <w:rPr>
                      <w:color w:val="FF0000"/>
                      <w:szCs w:val="21"/>
                    </w:rPr>
                    <w:t>借方</w:t>
                  </w:r>
                  <w:r>
                    <w:rPr>
                      <w:rFonts w:hint="eastAsia"/>
                      <w:color w:val="FF0000"/>
                      <w:szCs w:val="21"/>
                    </w:rPr>
                    <w:t>（外购）</w:t>
                  </w:r>
                </w:p>
              </w:tc>
              <w:tc>
                <w:tcPr>
                  <w:tcW w:w="921" w:type="pct"/>
                  <w:tcBorders>
                    <w:tl2br w:val="nil"/>
                    <w:tr2bl w:val="nil"/>
                  </w:tcBorders>
                  <w:vAlign w:val="center"/>
                </w:tcPr>
                <w:p>
                  <w:pPr>
                    <w:spacing w:line="320" w:lineRule="exact"/>
                    <w:jc w:val="center"/>
                    <w:rPr>
                      <w:color w:val="FF0000"/>
                      <w:szCs w:val="21"/>
                    </w:rPr>
                  </w:pPr>
                  <w:r>
                    <w:rPr>
                      <w:color w:val="FF0000"/>
                      <w:szCs w:val="21"/>
                    </w:rPr>
                    <w:t>填方</w:t>
                  </w:r>
                </w:p>
              </w:tc>
              <w:tc>
                <w:tcPr>
                  <w:tcW w:w="727" w:type="pct"/>
                  <w:tcBorders>
                    <w:tl2br w:val="nil"/>
                    <w:tr2bl w:val="nil"/>
                  </w:tcBorders>
                  <w:vAlign w:val="center"/>
                </w:tcPr>
                <w:p>
                  <w:pPr>
                    <w:spacing w:line="320" w:lineRule="exact"/>
                    <w:jc w:val="center"/>
                    <w:rPr>
                      <w:color w:val="FF0000"/>
                      <w:szCs w:val="21"/>
                    </w:rPr>
                  </w:pPr>
                  <w:r>
                    <w:rPr>
                      <w:color w:val="FF0000"/>
                      <w:szCs w:val="21"/>
                    </w:rPr>
                    <w:t>弃方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vMerge w:val="restart"/>
                  <w:tcBorders>
                    <w:tl2br w:val="nil"/>
                    <w:tr2bl w:val="nil"/>
                  </w:tcBorders>
                  <w:vAlign w:val="center"/>
                </w:tcPr>
                <w:p>
                  <w:pPr>
                    <w:spacing w:line="320" w:lineRule="exact"/>
                    <w:jc w:val="center"/>
                    <w:rPr>
                      <w:color w:val="FF0000"/>
                      <w:szCs w:val="21"/>
                    </w:rPr>
                  </w:pPr>
                  <w:r>
                    <w:rPr>
                      <w:rFonts w:hint="eastAsia"/>
                      <w:color w:val="FF0000"/>
                      <w:szCs w:val="21"/>
                    </w:rPr>
                    <w:t>储能电</w:t>
                  </w:r>
                  <w:r>
                    <w:rPr>
                      <w:color w:val="FF0000"/>
                      <w:szCs w:val="21"/>
                    </w:rPr>
                    <w:t>站</w:t>
                  </w: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储能区</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19500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1204</w:t>
                  </w:r>
                  <w:r>
                    <w:rPr>
                      <w:color w:val="FF0000"/>
                      <w:szCs w:val="21"/>
                    </w:rPr>
                    <w:t>0</w:t>
                  </w:r>
                  <w:r>
                    <w:rPr>
                      <w:rFonts w:hint="eastAsia"/>
                      <w:color w:val="FF0000"/>
                      <w:szCs w:val="21"/>
                    </w:rPr>
                    <w:t>（含顺化变电站弃方40）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31540</w:t>
                  </w:r>
                </w:p>
              </w:tc>
              <w:tc>
                <w:tcPr>
                  <w:tcW w:w="727" w:type="pct"/>
                  <w:tcBorders>
                    <w:tl2br w:val="nil"/>
                    <w:tr2bl w:val="nil"/>
                  </w:tcBorders>
                  <w:vAlign w:val="center"/>
                </w:tcPr>
                <w:p>
                  <w:pPr>
                    <w:spacing w:line="320" w:lineRule="exact"/>
                    <w:jc w:val="center"/>
                    <w:rPr>
                      <w:color w:val="FF0000"/>
                      <w:szCs w:val="21"/>
                    </w:rPr>
                  </w:pPr>
                  <w:r>
                    <w:rPr>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vMerge w:val="continue"/>
                  <w:tcBorders>
                    <w:tl2br w:val="nil"/>
                    <w:tr2bl w:val="nil"/>
                  </w:tcBorders>
                  <w:vAlign w:val="center"/>
                </w:tcPr>
                <w:p>
                  <w:pPr>
                    <w:spacing w:line="320" w:lineRule="exact"/>
                    <w:jc w:val="center"/>
                    <w:rPr>
                      <w:color w:val="FF0000"/>
                      <w:szCs w:val="21"/>
                    </w:rPr>
                  </w:pP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升压站</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6500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4000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10500</w:t>
                  </w:r>
                </w:p>
              </w:tc>
              <w:tc>
                <w:tcPr>
                  <w:tcW w:w="727" w:type="pct"/>
                  <w:tcBorders>
                    <w:tl2br w:val="nil"/>
                    <w:tr2bl w:val="nil"/>
                  </w:tcBorders>
                  <w:vAlign w:val="center"/>
                </w:tcPr>
                <w:p>
                  <w:pPr>
                    <w:spacing w:line="320" w:lineRule="exact"/>
                    <w:jc w:val="center"/>
                    <w:rPr>
                      <w:color w:val="FF0000"/>
                      <w:szCs w:val="21"/>
                    </w:rPr>
                  </w:pPr>
                  <w:r>
                    <w:rPr>
                      <w:rFonts w:hint="eastAsia"/>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vMerge w:val="continue"/>
                  <w:tcBorders>
                    <w:tl2br w:val="nil"/>
                    <w:tr2bl w:val="nil"/>
                  </w:tcBorders>
                  <w:vAlign w:val="center"/>
                </w:tcPr>
                <w:p>
                  <w:pPr>
                    <w:spacing w:line="320" w:lineRule="exact"/>
                    <w:jc w:val="center"/>
                    <w:rPr>
                      <w:color w:val="FF0000"/>
                      <w:szCs w:val="21"/>
                    </w:rPr>
                  </w:pP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供排水线路</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900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200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1100</w:t>
                  </w:r>
                </w:p>
              </w:tc>
              <w:tc>
                <w:tcPr>
                  <w:tcW w:w="727" w:type="pct"/>
                  <w:tcBorders>
                    <w:tl2br w:val="nil"/>
                    <w:tr2bl w:val="nil"/>
                  </w:tcBorders>
                  <w:vAlign w:val="center"/>
                </w:tcPr>
                <w:p>
                  <w:pPr>
                    <w:spacing w:line="320" w:lineRule="exact"/>
                    <w:jc w:val="center"/>
                    <w:rPr>
                      <w:color w:val="FF0000"/>
                      <w:szCs w:val="21"/>
                    </w:rPr>
                  </w:pPr>
                  <w:r>
                    <w:rPr>
                      <w:rFonts w:hint="eastAsia"/>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vMerge w:val="continue"/>
                  <w:tcBorders>
                    <w:tl2br w:val="nil"/>
                    <w:tr2bl w:val="nil"/>
                  </w:tcBorders>
                  <w:vAlign w:val="center"/>
                </w:tcPr>
                <w:p>
                  <w:pPr>
                    <w:spacing w:line="320" w:lineRule="exact"/>
                    <w:jc w:val="center"/>
                    <w:rPr>
                      <w:color w:val="FF0000"/>
                      <w:szCs w:val="21"/>
                    </w:rPr>
                  </w:pP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环保工程</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1100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600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1700</w:t>
                  </w:r>
                </w:p>
              </w:tc>
              <w:tc>
                <w:tcPr>
                  <w:tcW w:w="727" w:type="pct"/>
                  <w:tcBorders>
                    <w:tl2br w:val="nil"/>
                    <w:tr2bl w:val="nil"/>
                  </w:tcBorders>
                  <w:vAlign w:val="center"/>
                </w:tcPr>
                <w:p>
                  <w:pPr>
                    <w:spacing w:line="320" w:lineRule="exact"/>
                    <w:jc w:val="center"/>
                    <w:rPr>
                      <w:color w:val="FF0000"/>
                      <w:szCs w:val="21"/>
                    </w:rPr>
                  </w:pPr>
                  <w:r>
                    <w:rPr>
                      <w:rFonts w:hint="eastAsia"/>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vMerge w:val="continue"/>
                  <w:tcBorders>
                    <w:tl2br w:val="nil"/>
                    <w:tr2bl w:val="nil"/>
                  </w:tcBorders>
                  <w:vAlign w:val="center"/>
                </w:tcPr>
                <w:p>
                  <w:pPr>
                    <w:spacing w:line="320" w:lineRule="exact"/>
                    <w:jc w:val="center"/>
                    <w:rPr>
                      <w:color w:val="FF0000"/>
                      <w:szCs w:val="21"/>
                    </w:rPr>
                  </w:pP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小计</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28000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16840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44840</w:t>
                  </w:r>
                </w:p>
              </w:tc>
              <w:tc>
                <w:tcPr>
                  <w:tcW w:w="727" w:type="pct"/>
                  <w:tcBorders>
                    <w:tl2br w:val="nil"/>
                    <w:tr2bl w:val="nil"/>
                  </w:tcBorders>
                  <w:vAlign w:val="center"/>
                </w:tcPr>
                <w:p>
                  <w:pPr>
                    <w:spacing w:line="320" w:lineRule="exact"/>
                    <w:jc w:val="center"/>
                    <w:rPr>
                      <w:color w:val="FF0000"/>
                      <w:szCs w:val="21"/>
                    </w:rPr>
                  </w:pPr>
                  <w:r>
                    <w:rPr>
                      <w:rFonts w:hint="eastAsia"/>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0" w:type="pct"/>
                  <w:gridSpan w:val="2"/>
                  <w:tcBorders>
                    <w:tl2br w:val="nil"/>
                    <w:tr2bl w:val="nil"/>
                  </w:tcBorders>
                  <w:vAlign w:val="center"/>
                </w:tcPr>
                <w:p>
                  <w:pPr>
                    <w:spacing w:line="320" w:lineRule="exact"/>
                    <w:jc w:val="center"/>
                    <w:rPr>
                      <w:color w:val="FF0000"/>
                      <w:szCs w:val="21"/>
                    </w:rPr>
                  </w:pPr>
                  <w:r>
                    <w:rPr>
                      <w:color w:val="FF0000"/>
                      <w:szCs w:val="21"/>
                    </w:rPr>
                    <w:t>进站道路</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200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300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500</w:t>
                  </w:r>
                </w:p>
              </w:tc>
              <w:tc>
                <w:tcPr>
                  <w:tcW w:w="727" w:type="pct"/>
                  <w:tcBorders>
                    <w:tl2br w:val="nil"/>
                    <w:tr2bl w:val="nil"/>
                  </w:tcBorders>
                  <w:vAlign w:val="center"/>
                </w:tcPr>
                <w:p>
                  <w:pPr>
                    <w:spacing w:line="320" w:lineRule="exact"/>
                    <w:jc w:val="center"/>
                    <w:rPr>
                      <w:color w:val="FF0000"/>
                      <w:szCs w:val="21"/>
                    </w:rPr>
                  </w:pPr>
                  <w:r>
                    <w:rPr>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tcBorders>
                    <w:tl2br w:val="nil"/>
                    <w:tr2bl w:val="nil"/>
                  </w:tcBorders>
                  <w:vAlign w:val="center"/>
                </w:tcPr>
                <w:p>
                  <w:pPr>
                    <w:spacing w:line="320" w:lineRule="exact"/>
                    <w:jc w:val="center"/>
                    <w:rPr>
                      <w:color w:val="FF0000"/>
                      <w:szCs w:val="21"/>
                    </w:rPr>
                  </w:pPr>
                  <w:r>
                    <w:rPr>
                      <w:rFonts w:hint="eastAsia"/>
                      <w:color w:val="FF0000"/>
                      <w:szCs w:val="21"/>
                    </w:rPr>
                    <w:t>输电线路</w:t>
                  </w: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塔基</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260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80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340</w:t>
                  </w:r>
                </w:p>
              </w:tc>
              <w:tc>
                <w:tcPr>
                  <w:tcW w:w="727" w:type="pct"/>
                  <w:tcBorders>
                    <w:tl2br w:val="nil"/>
                    <w:tr2bl w:val="nil"/>
                  </w:tcBorders>
                  <w:vAlign w:val="center"/>
                </w:tcPr>
                <w:p>
                  <w:pPr>
                    <w:spacing w:line="320" w:lineRule="exact"/>
                    <w:jc w:val="center"/>
                    <w:rPr>
                      <w:color w:val="FF0000"/>
                      <w:szCs w:val="21"/>
                    </w:rPr>
                  </w:pPr>
                  <w:r>
                    <w:rPr>
                      <w:color w:val="FF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6" w:type="pct"/>
                  <w:tcBorders>
                    <w:tl2br w:val="nil"/>
                    <w:tr2bl w:val="nil"/>
                  </w:tcBorders>
                  <w:vAlign w:val="center"/>
                </w:tcPr>
                <w:p>
                  <w:pPr>
                    <w:spacing w:line="320" w:lineRule="exact"/>
                    <w:jc w:val="center"/>
                    <w:rPr>
                      <w:color w:val="FF0000"/>
                      <w:szCs w:val="21"/>
                    </w:rPr>
                  </w:pPr>
                  <w:r>
                    <w:rPr>
                      <w:rFonts w:hint="eastAsia"/>
                      <w:color w:val="FF0000"/>
                      <w:szCs w:val="21"/>
                    </w:rPr>
                    <w:t>顺化变电站</w:t>
                  </w:r>
                </w:p>
              </w:tc>
              <w:tc>
                <w:tcPr>
                  <w:tcW w:w="954" w:type="pct"/>
                  <w:tcBorders>
                    <w:tl2br w:val="nil"/>
                    <w:tr2bl w:val="nil"/>
                  </w:tcBorders>
                  <w:vAlign w:val="center"/>
                </w:tcPr>
                <w:p>
                  <w:pPr>
                    <w:spacing w:line="320" w:lineRule="exact"/>
                    <w:jc w:val="center"/>
                    <w:rPr>
                      <w:color w:val="FF0000"/>
                      <w:szCs w:val="21"/>
                    </w:rPr>
                  </w:pPr>
                  <w:r>
                    <w:rPr>
                      <w:rFonts w:hint="eastAsia"/>
                      <w:color w:val="FF0000"/>
                      <w:szCs w:val="21"/>
                    </w:rPr>
                    <w:t>基础扩建</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120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20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100</w:t>
                  </w:r>
                </w:p>
              </w:tc>
              <w:tc>
                <w:tcPr>
                  <w:tcW w:w="727" w:type="pct"/>
                  <w:tcBorders>
                    <w:tl2br w:val="nil"/>
                    <w:tr2bl w:val="nil"/>
                  </w:tcBorders>
                  <w:vAlign w:val="center"/>
                </w:tcPr>
                <w:p>
                  <w:pPr>
                    <w:spacing w:line="320" w:lineRule="exact"/>
                    <w:jc w:val="center"/>
                    <w:rPr>
                      <w:color w:val="FF0000"/>
                      <w:szCs w:val="21"/>
                    </w:rPr>
                  </w:pPr>
                  <w:r>
                    <w:rPr>
                      <w:rFonts w:hint="eastAsia"/>
                      <w:color w:val="FF0000"/>
                      <w:szCs w:val="21"/>
                    </w:rPr>
                    <w:t>40</w:t>
                  </w:r>
                  <w:r>
                    <w:rPr>
                      <w:rFonts w:hint="eastAsia"/>
                      <w:color w:val="FF0000"/>
                    </w:rPr>
                    <w:t>（用于民乐储能站场地平整）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0" w:type="pct"/>
                  <w:gridSpan w:val="2"/>
                  <w:tcBorders>
                    <w:tl2br w:val="nil"/>
                    <w:tr2bl w:val="nil"/>
                  </w:tcBorders>
                  <w:vAlign w:val="center"/>
                </w:tcPr>
                <w:p>
                  <w:pPr>
                    <w:spacing w:line="320" w:lineRule="exact"/>
                    <w:jc w:val="center"/>
                    <w:rPr>
                      <w:color w:val="FF0000"/>
                      <w:szCs w:val="21"/>
                    </w:rPr>
                  </w:pPr>
                  <w:r>
                    <w:rPr>
                      <w:color w:val="FF0000"/>
                      <w:szCs w:val="21"/>
                    </w:rPr>
                    <w:t>合计</w:t>
                  </w:r>
                </w:p>
              </w:tc>
              <w:tc>
                <w:tcPr>
                  <w:tcW w:w="661" w:type="pct"/>
                  <w:tcBorders>
                    <w:tl2br w:val="nil"/>
                    <w:tr2bl w:val="nil"/>
                  </w:tcBorders>
                  <w:vAlign w:val="center"/>
                </w:tcPr>
                <w:p>
                  <w:pPr>
                    <w:spacing w:line="320" w:lineRule="exact"/>
                    <w:jc w:val="center"/>
                    <w:rPr>
                      <w:color w:val="FF0000"/>
                      <w:szCs w:val="21"/>
                    </w:rPr>
                  </w:pPr>
                  <w:r>
                    <w:rPr>
                      <w:rFonts w:hint="eastAsia"/>
                      <w:color w:val="FF0000"/>
                      <w:szCs w:val="21"/>
                    </w:rPr>
                    <w:t>28580</w:t>
                  </w:r>
                </w:p>
              </w:tc>
              <w:tc>
                <w:tcPr>
                  <w:tcW w:w="989" w:type="pct"/>
                  <w:tcBorders>
                    <w:tl2br w:val="nil"/>
                    <w:tr2bl w:val="nil"/>
                  </w:tcBorders>
                  <w:vAlign w:val="center"/>
                </w:tcPr>
                <w:p>
                  <w:pPr>
                    <w:spacing w:line="320" w:lineRule="exact"/>
                    <w:jc w:val="center"/>
                    <w:rPr>
                      <w:color w:val="FF0000"/>
                      <w:szCs w:val="21"/>
                    </w:rPr>
                  </w:pPr>
                  <w:r>
                    <w:rPr>
                      <w:rFonts w:hint="eastAsia"/>
                      <w:color w:val="FF0000"/>
                      <w:szCs w:val="21"/>
                    </w:rPr>
                    <w:t>17240</w:t>
                  </w:r>
                </w:p>
              </w:tc>
              <w:tc>
                <w:tcPr>
                  <w:tcW w:w="921" w:type="pct"/>
                  <w:tcBorders>
                    <w:tl2br w:val="nil"/>
                    <w:tr2bl w:val="nil"/>
                  </w:tcBorders>
                  <w:vAlign w:val="center"/>
                </w:tcPr>
                <w:p>
                  <w:pPr>
                    <w:spacing w:line="320" w:lineRule="exact"/>
                    <w:jc w:val="center"/>
                    <w:rPr>
                      <w:color w:val="FF0000"/>
                      <w:szCs w:val="21"/>
                    </w:rPr>
                  </w:pPr>
                  <w:r>
                    <w:rPr>
                      <w:rFonts w:hint="eastAsia"/>
                      <w:color w:val="FF0000"/>
                      <w:szCs w:val="21"/>
                    </w:rPr>
                    <w:t>45780</w:t>
                  </w:r>
                </w:p>
              </w:tc>
              <w:tc>
                <w:tcPr>
                  <w:tcW w:w="727" w:type="pct"/>
                  <w:tcBorders>
                    <w:tl2br w:val="nil"/>
                    <w:tr2bl w:val="nil"/>
                  </w:tcBorders>
                  <w:vAlign w:val="center"/>
                </w:tcPr>
                <w:p>
                  <w:pPr>
                    <w:spacing w:line="320" w:lineRule="exact"/>
                    <w:jc w:val="center"/>
                    <w:rPr>
                      <w:color w:val="FF0000"/>
                      <w:szCs w:val="21"/>
                    </w:rPr>
                  </w:pPr>
                  <w:r>
                    <w:rPr>
                      <w:rFonts w:hint="eastAsia"/>
                      <w:color w:val="FF0000"/>
                      <w:szCs w:val="21"/>
                    </w:rPr>
                    <w:t>40</w:t>
                  </w:r>
                </w:p>
              </w:tc>
            </w:tr>
          </w:tbl>
          <w:p>
            <w:pPr>
              <w:spacing w:before="120" w:beforeLines="50" w:after="120" w:afterLines="50" w:line="360" w:lineRule="auto"/>
              <w:outlineLvl w:val="0"/>
              <w:rPr>
                <w:b/>
                <w:bCs/>
                <w:sz w:val="24"/>
              </w:rPr>
            </w:pPr>
            <w:bookmarkStart w:id="14" w:name="_Toc24187"/>
            <w:r>
              <w:rPr>
                <w:b/>
                <w:bCs/>
                <w:sz w:val="24"/>
              </w:rPr>
              <w:t>2</w:t>
            </w:r>
            <w:r>
              <w:rPr>
                <w:rFonts w:hint="eastAsia"/>
                <w:b/>
                <w:bCs/>
                <w:sz w:val="24"/>
              </w:rPr>
              <w:t>.1</w:t>
            </w:r>
            <w:r>
              <w:rPr>
                <w:b/>
                <w:bCs/>
                <w:sz w:val="24"/>
              </w:rPr>
              <w:t>.3项目</w:t>
            </w:r>
            <w:r>
              <w:rPr>
                <w:rFonts w:hint="eastAsia"/>
                <w:b/>
                <w:bCs/>
                <w:sz w:val="24"/>
              </w:rPr>
              <w:t>储电量统计</w:t>
            </w:r>
            <w:bookmarkEnd w:id="14"/>
          </w:p>
          <w:p>
            <w:pPr>
              <w:pStyle w:val="8"/>
              <w:adjustRightInd w:val="0"/>
              <w:snapToGrid w:val="0"/>
              <w:spacing w:after="0" w:line="360" w:lineRule="auto"/>
              <w:ind w:left="0" w:leftChars="0" w:firstLine="480"/>
            </w:pPr>
            <w:r>
              <w:rPr>
                <w:rFonts w:hint="eastAsia"/>
                <w:sz w:val="24"/>
              </w:rPr>
              <w:t>项目储能电站全年储电量约为8657.4万kWh，储电利用小时数约为577.2h。</w:t>
            </w:r>
          </w:p>
          <w:p>
            <w:pPr>
              <w:adjustRightInd w:val="0"/>
              <w:snapToGrid w:val="0"/>
              <w:spacing w:before="120" w:beforeLines="50" w:after="120" w:afterLines="50" w:line="360" w:lineRule="auto"/>
              <w:rPr>
                <w:b/>
                <w:bCs/>
                <w:kern w:val="0"/>
                <w:sz w:val="24"/>
              </w:rPr>
            </w:pPr>
            <w:r>
              <w:rPr>
                <w:b/>
                <w:bCs/>
                <w:sz w:val="24"/>
              </w:rPr>
              <w:t>2.</w:t>
            </w:r>
            <w:r>
              <w:rPr>
                <w:rFonts w:hint="eastAsia"/>
                <w:b/>
                <w:bCs/>
                <w:sz w:val="24"/>
              </w:rPr>
              <w:t>1.</w:t>
            </w:r>
            <w:r>
              <w:rPr>
                <w:b/>
                <w:bCs/>
                <w:sz w:val="24"/>
              </w:rPr>
              <w:t>4</w:t>
            </w:r>
            <w:r>
              <w:rPr>
                <w:rFonts w:hint="eastAsia"/>
                <w:b/>
                <w:bCs/>
                <w:sz w:val="24"/>
              </w:rPr>
              <w:t>项目设备选型</w:t>
            </w:r>
          </w:p>
          <w:p>
            <w:pPr>
              <w:adjustRightInd w:val="0"/>
              <w:snapToGrid w:val="0"/>
              <w:spacing w:line="360" w:lineRule="auto"/>
              <w:ind w:firstLine="482" w:firstLineChars="200"/>
              <w:rPr>
                <w:b/>
                <w:bCs/>
                <w:kern w:val="0"/>
                <w:sz w:val="24"/>
              </w:rPr>
            </w:pPr>
            <w:r>
              <w:rPr>
                <w:rFonts w:hint="eastAsia"/>
                <w:b/>
                <w:bCs/>
                <w:kern w:val="0"/>
                <w:sz w:val="24"/>
              </w:rPr>
              <w:t>2.1.4.1储能电站设备</w:t>
            </w:r>
          </w:p>
          <w:p>
            <w:pPr>
              <w:adjustRightInd w:val="0"/>
              <w:snapToGrid w:val="0"/>
              <w:spacing w:before="120" w:beforeLines="50" w:line="360" w:lineRule="auto"/>
              <w:jc w:val="center"/>
              <w:rPr>
                <w:kern w:val="0"/>
                <w:sz w:val="24"/>
              </w:rPr>
            </w:pPr>
            <w:r>
              <w:rPr>
                <w:rFonts w:hint="eastAsia"/>
                <w:b/>
                <w:bCs/>
                <w:kern w:val="0"/>
                <w:sz w:val="24"/>
              </w:rPr>
              <w:t>表2-5      储能电站设备选型一览表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484"/>
              <w:gridCol w:w="3549"/>
              <w:gridCol w:w="13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kern w:val="21"/>
                      <w:szCs w:val="21"/>
                    </w:rPr>
                    <w:t>序号</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设备名称</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型号/</w:t>
                  </w:r>
                  <w:r>
                    <w:rPr>
                      <w:kern w:val="21"/>
                      <w:szCs w:val="21"/>
                    </w:rPr>
                    <w:t>规格</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kern w:val="21"/>
                      <w:szCs w:val="21"/>
                    </w:rPr>
                    <w:t>1</w:t>
                  </w:r>
                </w:p>
              </w:tc>
              <w:tc>
                <w:tcPr>
                  <w:tcW w:w="1524" w:type="pct"/>
                  <w:tcBorders>
                    <w:tl2br w:val="nil"/>
                    <w:tr2bl w:val="nil"/>
                  </w:tcBorders>
                  <w:vAlign w:val="center"/>
                </w:tcPr>
                <w:p>
                  <w:pPr>
                    <w:adjustRightInd w:val="0"/>
                    <w:snapToGrid w:val="0"/>
                    <w:jc w:val="center"/>
                    <w:rPr>
                      <w:kern w:val="21"/>
                      <w:szCs w:val="21"/>
                    </w:rPr>
                  </w:pPr>
                  <w:r>
                    <w:rPr>
                      <w:kern w:val="21"/>
                      <w:szCs w:val="21"/>
                    </w:rPr>
                    <w:t>储能电池集装箱</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单个40</w:t>
                  </w:r>
                  <w:r>
                    <w:rPr>
                      <w:kern w:val="21"/>
                      <w:szCs w:val="21"/>
                    </w:rPr>
                    <w:t>尺6.709MWh</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1.1</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负荷柜</w:t>
                  </w:r>
                </w:p>
              </w:tc>
              <w:tc>
                <w:tcPr>
                  <w:tcW w:w="2178" w:type="pct"/>
                  <w:tcBorders>
                    <w:tl2br w:val="nil"/>
                    <w:tr2bl w:val="nil"/>
                  </w:tcBorders>
                  <w:vAlign w:val="center"/>
                </w:tcPr>
                <w:p>
                  <w:pPr>
                    <w:adjustRightInd w:val="0"/>
                    <w:snapToGrid w:val="0"/>
                    <w:jc w:val="center"/>
                    <w:rPr>
                      <w:kern w:val="21"/>
                      <w:szCs w:val="21"/>
                    </w:rPr>
                  </w:pPr>
                  <w:r>
                    <w:rPr>
                      <w:kern w:val="21"/>
                      <w:szCs w:val="21"/>
                    </w:rPr>
                    <w:t>三相五线TN-S供电系统</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1.2</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控制柜</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1.3</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防爆型灯具照明系统</w:t>
                  </w:r>
                </w:p>
              </w:tc>
              <w:tc>
                <w:tcPr>
                  <w:tcW w:w="2178" w:type="pct"/>
                  <w:tcBorders>
                    <w:tl2br w:val="nil"/>
                    <w:tr2bl w:val="nil"/>
                  </w:tcBorders>
                  <w:vAlign w:val="center"/>
                </w:tcPr>
                <w:p>
                  <w:pPr>
                    <w:adjustRightInd w:val="0"/>
                    <w:snapToGrid w:val="0"/>
                    <w:jc w:val="center"/>
                    <w:rPr>
                      <w:kern w:val="21"/>
                      <w:szCs w:val="21"/>
                    </w:rPr>
                  </w:pPr>
                  <w:r>
                    <w:rPr>
                      <w:kern w:val="21"/>
                      <w:szCs w:val="21"/>
                    </w:rPr>
                    <w:t>照度300Lx</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1.4</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消防系统</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1.5</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温湿度监测系统</w:t>
                  </w:r>
                </w:p>
              </w:tc>
              <w:tc>
                <w:tcPr>
                  <w:tcW w:w="2178" w:type="pct"/>
                  <w:tcBorders>
                    <w:tl2br w:val="nil"/>
                    <w:tr2bl w:val="nil"/>
                  </w:tcBorders>
                  <w:vAlign w:val="center"/>
                </w:tcPr>
                <w:p>
                  <w:pPr>
                    <w:adjustRightInd w:val="0"/>
                    <w:snapToGrid w:val="0"/>
                    <w:jc w:val="center"/>
                    <w:rPr>
                      <w:kern w:val="21"/>
                    </w:rPr>
                  </w:pPr>
                  <w:r>
                    <w:rPr>
                      <w:rFonts w:hint="eastAsia"/>
                      <w:kern w:val="21"/>
                      <w:szCs w:val="21"/>
                    </w:rPr>
                    <w:t>-</w:t>
                  </w:r>
                </w:p>
              </w:tc>
              <w:tc>
                <w:tcPr>
                  <w:tcW w:w="829" w:type="pct"/>
                  <w:tcBorders>
                    <w:tl2br w:val="nil"/>
                    <w:tr2bl w:val="nil"/>
                  </w:tcBorders>
                  <w:vAlign w:val="center"/>
                </w:tcPr>
                <w:p>
                  <w:pPr>
                    <w:pStyle w:val="8"/>
                    <w:adjustRightInd w:val="0"/>
                    <w:snapToGrid w:val="0"/>
                    <w:spacing w:after="0"/>
                    <w:ind w:left="0" w:leftChars="0" w:firstLine="0" w:firstLineChars="0"/>
                    <w:jc w:val="center"/>
                    <w:rPr>
                      <w:kern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1.6</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3.0MW升压变换系统</w:t>
                  </w:r>
                </w:p>
              </w:tc>
              <w:tc>
                <w:tcPr>
                  <w:tcW w:w="2178" w:type="pct"/>
                  <w:tcBorders>
                    <w:tl2br w:val="nil"/>
                    <w:tr2bl w:val="nil"/>
                  </w:tcBorders>
                  <w:vAlign w:val="center"/>
                </w:tcPr>
                <w:p>
                  <w:pPr>
                    <w:adjustRightInd w:val="0"/>
                    <w:snapToGrid w:val="0"/>
                    <w:jc w:val="center"/>
                    <w:rPr>
                      <w:kern w:val="21"/>
                    </w:rPr>
                  </w:pPr>
                  <w:r>
                    <w:rPr>
                      <w:rFonts w:hint="eastAsia"/>
                      <w:kern w:val="21"/>
                      <w:szCs w:val="21"/>
                    </w:rPr>
                    <w:t>-</w:t>
                  </w:r>
                </w:p>
              </w:tc>
              <w:tc>
                <w:tcPr>
                  <w:tcW w:w="829" w:type="pct"/>
                  <w:tcBorders>
                    <w:tl2br w:val="nil"/>
                    <w:tr2bl w:val="nil"/>
                  </w:tcBorders>
                  <w:vAlign w:val="center"/>
                </w:tcPr>
                <w:p>
                  <w:pPr>
                    <w:pStyle w:val="8"/>
                    <w:adjustRightInd w:val="0"/>
                    <w:snapToGrid w:val="0"/>
                    <w:spacing w:after="0"/>
                    <w:ind w:left="0" w:leftChars="0" w:firstLine="0" w:firstLineChars="0"/>
                    <w:jc w:val="center"/>
                    <w:rPr>
                      <w:kern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1.6.1</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储能变流器（PCS）</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1500kW，1450mm*900mm*2000mm</w:t>
                  </w:r>
                </w:p>
              </w:tc>
              <w:tc>
                <w:tcPr>
                  <w:tcW w:w="829" w:type="pct"/>
                  <w:tcBorders>
                    <w:tl2br w:val="nil"/>
                    <w:tr2bl w:val="nil"/>
                  </w:tcBorders>
                  <w:vAlign w:val="center"/>
                </w:tcPr>
                <w:p>
                  <w:pPr>
                    <w:adjustRightInd w:val="0"/>
                    <w:snapToGrid w:val="0"/>
                    <w:jc w:val="center"/>
                    <w:rPr>
                      <w:kern w:val="21"/>
                    </w:rPr>
                  </w:pPr>
                  <w:r>
                    <w:rPr>
                      <w:rFonts w:hint="eastAsia"/>
                      <w:kern w:val="21"/>
                      <w:szCs w:val="21"/>
                    </w:rPr>
                    <w:t>334台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1.6.2</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35kV变压器</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SCB10双绕组干式变压器，电压等级35kV/0.69kV，接线方式Dy11</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1.6.3</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35kV高压柜</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1.6.4</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低压通信柜</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1.6.5</w:t>
                  </w:r>
                </w:p>
              </w:tc>
              <w:tc>
                <w:tcPr>
                  <w:tcW w:w="1524" w:type="pct"/>
                  <w:tcBorders>
                    <w:tl2br w:val="nil"/>
                    <w:tr2bl w:val="nil"/>
                  </w:tcBorders>
                  <w:vAlign w:val="center"/>
                </w:tcPr>
                <w:p>
                  <w:pPr>
                    <w:adjustRightInd w:val="0"/>
                    <w:snapToGrid w:val="0"/>
                    <w:jc w:val="center"/>
                    <w:rPr>
                      <w:kern w:val="21"/>
                      <w:szCs w:val="21"/>
                    </w:rPr>
                  </w:pPr>
                  <w:r>
                    <w:rPr>
                      <w:rFonts w:hint="eastAsia"/>
                      <w:kern w:val="21"/>
                      <w:szCs w:val="21"/>
                    </w:rPr>
                    <w:t>电池预制舱</w:t>
                  </w:r>
                </w:p>
              </w:tc>
              <w:tc>
                <w:tcPr>
                  <w:tcW w:w="2178" w:type="pct"/>
                  <w:tcBorders>
                    <w:tl2br w:val="nil"/>
                    <w:tr2bl w:val="nil"/>
                  </w:tcBorders>
                  <w:vAlign w:val="center"/>
                </w:tcPr>
                <w:p>
                  <w:pPr>
                    <w:adjustRightInd w:val="0"/>
                    <w:snapToGrid w:val="0"/>
                    <w:jc w:val="center"/>
                    <w:rPr>
                      <w:kern w:val="21"/>
                      <w:szCs w:val="21"/>
                    </w:rPr>
                  </w:pPr>
                  <w:r>
                    <w:rPr>
                      <w:rFonts w:hint="eastAsia"/>
                      <w:kern w:val="21"/>
                      <w:szCs w:val="21"/>
                    </w:rPr>
                    <w:t>-</w:t>
                  </w:r>
                </w:p>
              </w:tc>
              <w:tc>
                <w:tcPr>
                  <w:tcW w:w="829" w:type="pct"/>
                  <w:tcBorders>
                    <w:tl2br w:val="nil"/>
                    <w:tr2bl w:val="nil"/>
                  </w:tcBorders>
                  <w:vAlign w:val="center"/>
                </w:tcPr>
                <w:p>
                  <w:pPr>
                    <w:adjustRightInd w:val="0"/>
                    <w:snapToGrid w:val="0"/>
                    <w:jc w:val="center"/>
                    <w:rPr>
                      <w:kern w:val="21"/>
                      <w:szCs w:val="21"/>
                    </w:rPr>
                  </w:pPr>
                  <w:r>
                    <w:rPr>
                      <w:rFonts w:hint="eastAsia"/>
                      <w:kern w:val="21"/>
                      <w:szCs w:val="21"/>
                    </w:rPr>
                    <w:t>167套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1.7</w:t>
                  </w:r>
                </w:p>
              </w:tc>
              <w:tc>
                <w:tcPr>
                  <w:tcW w:w="1524"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风机</w:t>
                  </w:r>
                </w:p>
              </w:tc>
              <w:tc>
                <w:tcPr>
                  <w:tcW w:w="2178"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每箱1台，防爆壁式轴流风机，1480m</w:t>
                  </w:r>
                  <w:r>
                    <w:rPr>
                      <w:rFonts w:hint="eastAsia"/>
                      <w:color w:val="FF0000"/>
                      <w:kern w:val="21"/>
                      <w:szCs w:val="21"/>
                      <w:vertAlign w:val="superscript"/>
                    </w:rPr>
                    <w:t>3</w:t>
                  </w:r>
                  <w:r>
                    <w:rPr>
                      <w:rFonts w:hint="eastAsia"/>
                      <w:color w:val="FF0000"/>
                      <w:kern w:val="21"/>
                      <w:szCs w:val="21"/>
                    </w:rPr>
                    <w:t>/h，每台最大功率120W</w:t>
                  </w:r>
                </w:p>
              </w:tc>
              <w:tc>
                <w:tcPr>
                  <w:tcW w:w="829"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167台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1.8</w:t>
                  </w:r>
                </w:p>
              </w:tc>
              <w:tc>
                <w:tcPr>
                  <w:tcW w:w="1524"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空调</w:t>
                  </w:r>
                </w:p>
              </w:tc>
              <w:tc>
                <w:tcPr>
                  <w:tcW w:w="2178"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每箱1台，防爆型空调，每台最大功率3.75kW，制冷量为5kW，制热量为3kW</w:t>
                  </w:r>
                </w:p>
              </w:tc>
              <w:tc>
                <w:tcPr>
                  <w:tcW w:w="829"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167台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7" w:type="pct"/>
                  <w:tcBorders>
                    <w:tl2br w:val="nil"/>
                    <w:tr2bl w:val="nil"/>
                  </w:tcBorders>
                  <w:vAlign w:val="center"/>
                </w:tcPr>
                <w:p>
                  <w:pPr>
                    <w:adjustRightInd w:val="0"/>
                    <w:snapToGrid w:val="0"/>
                    <w:jc w:val="center"/>
                    <w:rPr>
                      <w:kern w:val="21"/>
                      <w:szCs w:val="21"/>
                    </w:rPr>
                  </w:pPr>
                  <w:r>
                    <w:rPr>
                      <w:rFonts w:hint="eastAsia"/>
                      <w:kern w:val="21"/>
                      <w:szCs w:val="21"/>
                    </w:rPr>
                    <w:t>1.9</w:t>
                  </w:r>
                </w:p>
              </w:tc>
              <w:tc>
                <w:tcPr>
                  <w:tcW w:w="1524"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液冷机组</w:t>
                  </w:r>
                </w:p>
              </w:tc>
              <w:tc>
                <w:tcPr>
                  <w:tcW w:w="2178"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每箱4组，每台最大功率4.7kW，制冷量为10kW，制热量为2kW，变频，50%乙二醇水溶液</w:t>
                  </w:r>
                </w:p>
              </w:tc>
              <w:tc>
                <w:tcPr>
                  <w:tcW w:w="829" w:type="pct"/>
                  <w:tcBorders>
                    <w:tl2br w:val="nil"/>
                    <w:tr2bl w:val="nil"/>
                  </w:tcBorders>
                  <w:vAlign w:val="center"/>
                </w:tcPr>
                <w:p>
                  <w:pPr>
                    <w:adjustRightInd w:val="0"/>
                    <w:snapToGrid w:val="0"/>
                    <w:jc w:val="center"/>
                    <w:rPr>
                      <w:color w:val="FF0000"/>
                      <w:kern w:val="21"/>
                      <w:szCs w:val="21"/>
                    </w:rPr>
                  </w:pPr>
                  <w:r>
                    <w:rPr>
                      <w:rFonts w:hint="eastAsia"/>
                      <w:color w:val="FF0000"/>
                      <w:kern w:val="21"/>
                      <w:szCs w:val="21"/>
                    </w:rPr>
                    <w:t>668组</w:t>
                  </w:r>
                </w:p>
              </w:tc>
            </w:tr>
          </w:tbl>
          <w:p>
            <w:pPr>
              <w:adjustRightInd w:val="0"/>
              <w:snapToGrid w:val="0"/>
              <w:spacing w:before="120" w:beforeLines="50" w:line="360" w:lineRule="auto"/>
              <w:ind w:firstLine="482" w:firstLineChars="200"/>
              <w:rPr>
                <w:b/>
                <w:bCs/>
                <w:kern w:val="0"/>
                <w:sz w:val="24"/>
              </w:rPr>
            </w:pPr>
            <w:r>
              <w:rPr>
                <w:rFonts w:hint="eastAsia"/>
                <w:b/>
                <w:bCs/>
                <w:kern w:val="0"/>
                <w:sz w:val="24"/>
              </w:rPr>
              <w:t>2.1.4.2升压站设备</w:t>
            </w:r>
          </w:p>
          <w:p>
            <w:pPr>
              <w:pStyle w:val="12"/>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（1）主变压器</w:t>
            </w:r>
          </w:p>
          <w:p>
            <w:pPr>
              <w:adjustRightInd w:val="0"/>
              <w:snapToGrid w:val="0"/>
              <w:spacing w:line="360" w:lineRule="auto"/>
              <w:ind w:firstLine="480" w:firstLineChars="200"/>
              <w:rPr>
                <w:kern w:val="0"/>
                <w:sz w:val="24"/>
              </w:rPr>
            </w:pPr>
            <w:r>
              <w:rPr>
                <w:rFonts w:hint="eastAsia"/>
                <w:kern w:val="0"/>
                <w:sz w:val="24"/>
              </w:rPr>
              <w:t>330kV主变压器选用户外油浸式、三相双绕组带稳压绕组、有载调压节能型变压器，冷却方式为油浸自然风冷ONAN/ONAF；初步设想参数如下：</w:t>
            </w:r>
          </w:p>
          <w:p>
            <w:pPr>
              <w:adjustRightInd w:val="0"/>
              <w:snapToGrid w:val="0"/>
              <w:spacing w:line="360" w:lineRule="auto"/>
              <w:ind w:firstLine="480" w:firstLineChars="200"/>
              <w:rPr>
                <w:kern w:val="0"/>
                <w:sz w:val="24"/>
              </w:rPr>
            </w:pPr>
            <w:r>
              <w:rPr>
                <w:rFonts w:hint="eastAsia"/>
                <w:kern w:val="0"/>
                <w:sz w:val="24"/>
              </w:rPr>
              <w:t>容量比：1台为360/360MVA，1台为240/240MVA</w:t>
            </w:r>
          </w:p>
          <w:p>
            <w:pPr>
              <w:adjustRightInd w:val="0"/>
              <w:snapToGrid w:val="0"/>
              <w:spacing w:line="360" w:lineRule="auto"/>
              <w:ind w:firstLine="480" w:firstLineChars="200"/>
              <w:rPr>
                <w:kern w:val="0"/>
                <w:sz w:val="24"/>
              </w:rPr>
            </w:pPr>
            <w:r>
              <w:rPr>
                <w:rFonts w:hint="eastAsia"/>
                <w:kern w:val="0"/>
                <w:sz w:val="24"/>
              </w:rPr>
              <w:t>电压抽头：345±8×1.25%/37kV</w:t>
            </w:r>
          </w:p>
          <w:p>
            <w:pPr>
              <w:adjustRightInd w:val="0"/>
              <w:snapToGrid w:val="0"/>
              <w:spacing w:line="360" w:lineRule="auto"/>
              <w:ind w:firstLine="480" w:firstLineChars="200"/>
              <w:rPr>
                <w:kern w:val="0"/>
                <w:sz w:val="24"/>
              </w:rPr>
            </w:pPr>
            <w:r>
              <w:rPr>
                <w:rFonts w:hint="eastAsia"/>
                <w:kern w:val="0"/>
                <w:sz w:val="24"/>
              </w:rPr>
              <w:t>接线组别：Yd11</w:t>
            </w:r>
          </w:p>
          <w:p>
            <w:pPr>
              <w:adjustRightInd w:val="0"/>
              <w:snapToGrid w:val="0"/>
              <w:spacing w:line="360" w:lineRule="auto"/>
              <w:ind w:firstLine="480" w:firstLineChars="200"/>
              <w:rPr>
                <w:kern w:val="0"/>
                <w:sz w:val="24"/>
              </w:rPr>
            </w:pPr>
            <w:r>
              <w:rPr>
                <w:rFonts w:hint="eastAsia"/>
                <w:kern w:val="0"/>
                <w:sz w:val="24"/>
              </w:rPr>
              <w:t>接线方式：高压侧架空、低压侧为架空主变本体与散热器为合体式</w:t>
            </w:r>
          </w:p>
          <w:p>
            <w:pPr>
              <w:adjustRightInd w:val="0"/>
              <w:snapToGrid w:val="0"/>
              <w:spacing w:line="360" w:lineRule="auto"/>
              <w:ind w:firstLine="480" w:firstLineChars="200"/>
              <w:rPr>
                <w:kern w:val="0"/>
                <w:sz w:val="24"/>
              </w:rPr>
            </w:pPr>
            <w:r>
              <w:rPr>
                <w:rFonts w:hint="eastAsia"/>
                <w:kern w:val="0"/>
                <w:sz w:val="24"/>
              </w:rPr>
              <w:t>调压方式：有载调压</w:t>
            </w:r>
          </w:p>
          <w:p>
            <w:pPr>
              <w:adjustRightInd w:val="0"/>
              <w:snapToGrid w:val="0"/>
              <w:spacing w:line="360" w:lineRule="auto"/>
              <w:ind w:firstLine="480" w:firstLineChars="200"/>
              <w:rPr>
                <w:kern w:val="0"/>
                <w:sz w:val="24"/>
              </w:rPr>
            </w:pPr>
            <w:r>
              <w:rPr>
                <w:rFonts w:hint="eastAsia"/>
                <w:kern w:val="0"/>
                <w:sz w:val="24"/>
              </w:rPr>
              <w:t>短路容量：Ud=14.5%</w:t>
            </w:r>
          </w:p>
          <w:p>
            <w:pPr>
              <w:adjustRightInd w:val="0"/>
              <w:snapToGrid w:val="0"/>
              <w:spacing w:line="360" w:lineRule="auto"/>
              <w:ind w:firstLine="480" w:firstLineChars="200"/>
              <w:rPr>
                <w:kern w:val="0"/>
                <w:sz w:val="24"/>
              </w:rPr>
            </w:pPr>
            <w:r>
              <w:rPr>
                <w:rFonts w:hint="eastAsia"/>
                <w:kern w:val="0"/>
                <w:sz w:val="24"/>
              </w:rPr>
              <w:t>（2）330kV电气设备</w:t>
            </w:r>
          </w:p>
          <w:p>
            <w:pPr>
              <w:adjustRightInd w:val="0"/>
              <w:snapToGrid w:val="0"/>
              <w:spacing w:line="360" w:lineRule="auto"/>
              <w:ind w:firstLine="480" w:firstLineChars="200"/>
              <w:rPr>
                <w:kern w:val="0"/>
                <w:sz w:val="24"/>
              </w:rPr>
            </w:pPr>
            <w:r>
              <w:rPr>
                <w:rFonts w:hint="eastAsia"/>
                <w:kern w:val="0"/>
                <w:sz w:val="24"/>
              </w:rPr>
              <w:t>330kV配电装置采用户外GIS设备。</w:t>
            </w:r>
          </w:p>
          <w:p>
            <w:pPr>
              <w:adjustRightInd w:val="0"/>
              <w:snapToGrid w:val="0"/>
              <w:spacing w:line="360" w:lineRule="auto"/>
              <w:jc w:val="center"/>
              <w:rPr>
                <w:b/>
                <w:bCs/>
                <w:kern w:val="0"/>
                <w:sz w:val="24"/>
              </w:rPr>
            </w:pPr>
            <w:r>
              <w:rPr>
                <w:b/>
                <w:bCs/>
                <w:kern w:val="0"/>
                <w:sz w:val="24"/>
              </w:rPr>
              <w:t>表2-6    330kV配电装置参数一览</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44"/>
              <w:gridCol w:w="1503"/>
              <w:gridCol w:w="4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序号</w:t>
                  </w:r>
                </w:p>
              </w:tc>
              <w:tc>
                <w:tcPr>
                  <w:tcW w:w="825"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设备</w:t>
                  </w:r>
                </w:p>
              </w:tc>
              <w:tc>
                <w:tcPr>
                  <w:tcW w:w="3735" w:type="pct"/>
                  <w:gridSpan w:val="2"/>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型式及主要参数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vMerge w:val="restar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1</w:t>
                  </w:r>
                </w:p>
              </w:tc>
              <w:tc>
                <w:tcPr>
                  <w:tcW w:w="825" w:type="pct"/>
                  <w:vMerge w:val="restar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GIS</w:t>
                  </w:r>
                </w:p>
              </w:tc>
              <w:tc>
                <w:tcPr>
                  <w:tcW w:w="923"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断路器</w:t>
                  </w:r>
                </w:p>
              </w:tc>
              <w:tc>
                <w:tcPr>
                  <w:tcW w:w="2812"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363kV、2000A、50kA/3s、125kA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825"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923"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电流互感器</w:t>
                  </w:r>
                </w:p>
              </w:tc>
              <w:tc>
                <w:tcPr>
                  <w:tcW w:w="2812"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边TA：TPY/TPY/0.2-断口-0.2S/5P40/5P40</w:t>
                  </w:r>
                </w:p>
                <w:p>
                  <w:pPr>
                    <w:pStyle w:val="12"/>
                    <w:adjustRightInd w:val="0"/>
                    <w:snapToGrid w:val="0"/>
                    <w:jc w:val="center"/>
                    <w:rPr>
                      <w:rFonts w:ascii="Times New Roman" w:hAnsi="Times New Roman"/>
                      <w:kern w:val="0"/>
                      <w:szCs w:val="21"/>
                    </w:rPr>
                  </w:pPr>
                  <w:r>
                    <w:rPr>
                      <w:rFonts w:ascii="Times New Roman" w:hAnsi="Times New Roman"/>
                      <w:kern w:val="0"/>
                      <w:szCs w:val="21"/>
                    </w:rPr>
                    <w:t>TPY 1000-2000/1A 15VA</w:t>
                  </w:r>
                </w:p>
                <w:p>
                  <w:pPr>
                    <w:pStyle w:val="12"/>
                    <w:adjustRightInd w:val="0"/>
                    <w:snapToGrid w:val="0"/>
                    <w:jc w:val="center"/>
                    <w:rPr>
                      <w:rFonts w:ascii="Times New Roman" w:hAnsi="Times New Roman"/>
                      <w:kern w:val="0"/>
                      <w:szCs w:val="21"/>
                    </w:rPr>
                  </w:pPr>
                  <w:r>
                    <w:rPr>
                      <w:rFonts w:ascii="Times New Roman" w:hAnsi="Times New Roman"/>
                      <w:kern w:val="0"/>
                      <w:szCs w:val="21"/>
                    </w:rPr>
                    <w:t>5P40 1000-2000/1A 15VA</w:t>
                  </w:r>
                </w:p>
                <w:p>
                  <w:pPr>
                    <w:pStyle w:val="12"/>
                    <w:adjustRightInd w:val="0"/>
                    <w:snapToGrid w:val="0"/>
                    <w:jc w:val="center"/>
                    <w:rPr>
                      <w:rFonts w:ascii="Times New Roman" w:hAnsi="Times New Roman"/>
                      <w:kern w:val="0"/>
                      <w:szCs w:val="21"/>
                    </w:rPr>
                  </w:pPr>
                  <w:r>
                    <w:rPr>
                      <w:rFonts w:ascii="Times New Roman" w:hAnsi="Times New Roman"/>
                      <w:kern w:val="0"/>
                      <w:szCs w:val="21"/>
                    </w:rPr>
                    <w:t>0.2 500-1000-2000/1A 10VA</w:t>
                  </w:r>
                </w:p>
                <w:p>
                  <w:pPr>
                    <w:pStyle w:val="12"/>
                    <w:adjustRightInd w:val="0"/>
                    <w:snapToGrid w:val="0"/>
                    <w:jc w:val="center"/>
                    <w:rPr>
                      <w:rFonts w:ascii="Times New Roman" w:hAnsi="Times New Roman"/>
                      <w:kern w:val="0"/>
                      <w:szCs w:val="21"/>
                    </w:rPr>
                  </w:pPr>
                  <w:r>
                    <w:rPr>
                      <w:rFonts w:ascii="Times New Roman" w:hAnsi="Times New Roman"/>
                      <w:kern w:val="0"/>
                      <w:szCs w:val="21"/>
                    </w:rPr>
                    <w:t>0.2S 500-1000-2000/1A 10VA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825"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923"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隔离开关</w:t>
                  </w:r>
                </w:p>
              </w:tc>
              <w:tc>
                <w:tcPr>
                  <w:tcW w:w="2812" w:type="pct"/>
                  <w:tcBorders>
                    <w:tl2br w:val="nil"/>
                    <w:tr2bl w:val="nil"/>
                  </w:tcBorders>
                  <w:vAlign w:val="center"/>
                </w:tcPr>
                <w:p>
                  <w:pPr>
                    <w:pStyle w:val="12"/>
                    <w:adjustRightInd w:val="0"/>
                    <w:snapToGrid w:val="0"/>
                    <w:jc w:val="center"/>
                    <w:rPr>
                      <w:rFonts w:ascii="Times New Roman" w:hAnsi="Times New Roman"/>
                    </w:rPr>
                  </w:pPr>
                  <w:r>
                    <w:rPr>
                      <w:rFonts w:ascii="Times New Roman" w:hAnsi="Times New Roman"/>
                    </w:rPr>
                    <w:t>363kV、2000A、50kA/3s、125kA</w:t>
                  </w:r>
                </w:p>
                <w:p>
                  <w:pPr>
                    <w:adjustRightInd w:val="0"/>
                    <w:snapToGrid w:val="0"/>
                    <w:jc w:val="center"/>
                  </w:pPr>
                  <w:r>
                    <w:t>363kV、25000A、50kA/3s、125kA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825"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923"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接地开关</w:t>
                  </w:r>
                </w:p>
              </w:tc>
              <w:tc>
                <w:tcPr>
                  <w:tcW w:w="2812"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363kV、2000A、50kA/3s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825" w:type="pct"/>
                  <w:vMerge w:val="continue"/>
                  <w:tcBorders>
                    <w:tl2br w:val="nil"/>
                    <w:tr2bl w:val="nil"/>
                  </w:tcBorders>
                  <w:vAlign w:val="center"/>
                </w:tcPr>
                <w:p>
                  <w:pPr>
                    <w:pStyle w:val="12"/>
                    <w:adjustRightInd w:val="0"/>
                    <w:snapToGrid w:val="0"/>
                    <w:jc w:val="center"/>
                    <w:rPr>
                      <w:rFonts w:ascii="Times New Roman" w:hAnsi="Times New Roman"/>
                      <w:kern w:val="0"/>
                      <w:szCs w:val="21"/>
                    </w:rPr>
                  </w:pPr>
                </w:p>
              </w:tc>
              <w:tc>
                <w:tcPr>
                  <w:tcW w:w="923"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快速接地开关</w:t>
                  </w:r>
                </w:p>
              </w:tc>
              <w:tc>
                <w:tcPr>
                  <w:tcW w:w="2812"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按照B类，感性电流200A，感应电压22kV，容性电流</w:t>
                  </w:r>
                </w:p>
                <w:p>
                  <w:pPr>
                    <w:pStyle w:val="12"/>
                    <w:adjustRightInd w:val="0"/>
                    <w:snapToGrid w:val="0"/>
                    <w:jc w:val="center"/>
                    <w:rPr>
                      <w:rFonts w:ascii="Times New Roman" w:hAnsi="Times New Roman"/>
                      <w:kern w:val="0"/>
                      <w:szCs w:val="21"/>
                    </w:rPr>
                  </w:pPr>
                  <w:r>
                    <w:rPr>
                      <w:rFonts w:ascii="Times New Roman" w:hAnsi="Times New Roman"/>
                      <w:kern w:val="0"/>
                      <w:szCs w:val="21"/>
                    </w:rPr>
                    <w:t>18A，感应电压22kV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2</w:t>
                  </w:r>
                </w:p>
              </w:tc>
              <w:tc>
                <w:tcPr>
                  <w:tcW w:w="1748" w:type="pct"/>
                  <w:gridSpan w:val="2"/>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电压互感器</w:t>
                  </w:r>
                </w:p>
              </w:tc>
              <w:tc>
                <w:tcPr>
                  <w:tcW w:w="2812"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额定电压比：330/√3/0.1/√3//0.1/√3//0.1/√</w:t>
                  </w:r>
                </w:p>
                <w:p>
                  <w:pPr>
                    <w:pStyle w:val="12"/>
                    <w:adjustRightInd w:val="0"/>
                    <w:snapToGrid w:val="0"/>
                    <w:jc w:val="center"/>
                    <w:rPr>
                      <w:rFonts w:ascii="Times New Roman" w:hAnsi="Times New Roman"/>
                      <w:kern w:val="0"/>
                      <w:szCs w:val="21"/>
                    </w:rPr>
                  </w:pPr>
                  <w:r>
                    <w:rPr>
                      <w:rFonts w:ascii="Times New Roman" w:hAnsi="Times New Roman"/>
                      <w:kern w:val="0"/>
                      <w:szCs w:val="21"/>
                    </w:rPr>
                    <w:t>3/0.1kV</w:t>
                  </w:r>
                </w:p>
                <w:p>
                  <w:pPr>
                    <w:pStyle w:val="12"/>
                    <w:adjustRightInd w:val="0"/>
                    <w:snapToGrid w:val="0"/>
                    <w:jc w:val="center"/>
                    <w:rPr>
                      <w:rFonts w:ascii="Times New Roman" w:hAnsi="Times New Roman"/>
                      <w:kern w:val="0"/>
                      <w:szCs w:val="21"/>
                    </w:rPr>
                  </w:pPr>
                  <w:r>
                    <w:rPr>
                      <w:rFonts w:ascii="Times New Roman" w:hAnsi="Times New Roman"/>
                      <w:kern w:val="0"/>
                      <w:szCs w:val="21"/>
                    </w:rPr>
                    <w:t xml:space="preserve">准确级：0.2/0.5（3P）/0.5(3P)/3P </w:t>
                  </w:r>
                </w:p>
                <w:p>
                  <w:pPr>
                    <w:pStyle w:val="12"/>
                    <w:adjustRightInd w:val="0"/>
                    <w:snapToGrid w:val="0"/>
                    <w:jc w:val="center"/>
                    <w:rPr>
                      <w:rFonts w:ascii="Times New Roman" w:hAnsi="Times New Roman"/>
                      <w:kern w:val="0"/>
                      <w:szCs w:val="21"/>
                    </w:rPr>
                  </w:pPr>
                  <w:r>
                    <w:rPr>
                      <w:rFonts w:ascii="Times New Roman" w:hAnsi="Times New Roman"/>
                      <w:kern w:val="0"/>
                      <w:szCs w:val="21"/>
                    </w:rPr>
                    <w:t>线路：10/10/10/10VA</w:t>
                  </w:r>
                </w:p>
                <w:p>
                  <w:pPr>
                    <w:pStyle w:val="12"/>
                    <w:adjustRightInd w:val="0"/>
                    <w:snapToGrid w:val="0"/>
                    <w:jc w:val="center"/>
                    <w:rPr>
                      <w:rFonts w:ascii="Times New Roman" w:hAnsi="Times New Roman"/>
                      <w:kern w:val="0"/>
                      <w:szCs w:val="21"/>
                    </w:rPr>
                  </w:pPr>
                  <w:r>
                    <w:rPr>
                      <w:rFonts w:ascii="Times New Roman" w:hAnsi="Times New Roman"/>
                      <w:kern w:val="0"/>
                      <w:szCs w:val="21"/>
                    </w:rPr>
                    <w:t>母线：30/30/30/30VA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9"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3</w:t>
                  </w:r>
                </w:p>
              </w:tc>
              <w:tc>
                <w:tcPr>
                  <w:tcW w:w="1748" w:type="pct"/>
                  <w:gridSpan w:val="2"/>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出线避雷器</w:t>
                  </w:r>
                </w:p>
              </w:tc>
              <w:tc>
                <w:tcPr>
                  <w:tcW w:w="2812" w:type="pct"/>
                  <w:tcBorders>
                    <w:tl2br w:val="nil"/>
                    <w:tr2bl w:val="nil"/>
                  </w:tcBorders>
                  <w:vAlign w:val="center"/>
                </w:tcPr>
                <w:p>
                  <w:pPr>
                    <w:pStyle w:val="12"/>
                    <w:adjustRightInd w:val="0"/>
                    <w:snapToGrid w:val="0"/>
                    <w:jc w:val="center"/>
                    <w:rPr>
                      <w:rFonts w:ascii="Times New Roman" w:hAnsi="Times New Roman"/>
                      <w:kern w:val="0"/>
                      <w:szCs w:val="21"/>
                    </w:rPr>
                  </w:pPr>
                  <w:r>
                    <w:rPr>
                      <w:rFonts w:ascii="Times New Roman" w:hAnsi="Times New Roman"/>
                      <w:kern w:val="0"/>
                      <w:szCs w:val="21"/>
                    </w:rPr>
                    <w:t>Y10W1-300/727W</w:t>
                  </w:r>
                </w:p>
              </w:tc>
            </w:tr>
          </w:tbl>
          <w:p>
            <w:pPr>
              <w:pStyle w:val="12"/>
              <w:adjustRightInd w:val="0"/>
              <w:snapToGrid w:val="0"/>
              <w:spacing w:before="120" w:beforeLines="50" w:line="360" w:lineRule="auto"/>
              <w:ind w:firstLine="480" w:firstLineChars="200"/>
              <w:rPr>
                <w:rFonts w:ascii="Times New Roman" w:hAnsi="Times New Roman"/>
                <w:sz w:val="24"/>
              </w:rPr>
            </w:pPr>
            <w:r>
              <w:rPr>
                <w:rFonts w:ascii="Times New Roman" w:hAnsi="Times New Roman"/>
                <w:sz w:val="24"/>
              </w:rPr>
              <w:t>（3）35kV配电装置</w:t>
            </w:r>
          </w:p>
          <w:p>
            <w:pPr>
              <w:pStyle w:val="12"/>
              <w:adjustRightInd w:val="0"/>
              <w:snapToGrid w:val="0"/>
              <w:spacing w:line="360" w:lineRule="auto"/>
              <w:ind w:firstLine="480" w:firstLineChars="200"/>
              <w:rPr>
                <w:rFonts w:ascii="Times New Roman" w:hAnsi="Times New Roman"/>
                <w:sz w:val="24"/>
              </w:rPr>
            </w:pPr>
            <w:r>
              <w:rPr>
                <w:rFonts w:ascii="Times New Roman" w:hAnsi="Times New Roman"/>
                <w:sz w:val="24"/>
              </w:rPr>
              <w:t>本</w:t>
            </w:r>
            <w:r>
              <w:rPr>
                <w:rFonts w:hint="eastAsia" w:ascii="Times New Roman" w:hAnsi="Times New Roman"/>
                <w:sz w:val="24"/>
              </w:rPr>
              <w:t>项目</w:t>
            </w:r>
            <w:r>
              <w:rPr>
                <w:rFonts w:ascii="Times New Roman" w:hAnsi="Times New Roman"/>
                <w:sz w:val="24"/>
              </w:rPr>
              <w:t>主变35kV侧采用单母线接线形式。根据短路电流计算结果，本站35kV设备的短路水平为31.5kA。35kV选择采用铠装移开式金属封闭开关柜，单列布置。选用KYN-40.5型开关柜，无功补偿装置回路选用SF6断路器，其余选用真空断路器。</w:t>
            </w:r>
          </w:p>
          <w:p>
            <w:pPr>
              <w:adjustRightInd w:val="0"/>
              <w:snapToGrid w:val="0"/>
              <w:spacing w:before="120" w:beforeLines="50" w:line="360" w:lineRule="auto"/>
              <w:jc w:val="center"/>
              <w:rPr>
                <w:kern w:val="0"/>
                <w:sz w:val="24"/>
              </w:rPr>
            </w:pPr>
            <w:r>
              <w:rPr>
                <w:rFonts w:hint="eastAsia"/>
                <w:b/>
                <w:bCs/>
                <w:kern w:val="0"/>
                <w:sz w:val="24"/>
              </w:rPr>
              <w:t>表2-7    35kV电气设备参数一览</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778"/>
              <w:gridCol w:w="760"/>
              <w:gridCol w:w="1847"/>
              <w:gridCol w:w="685"/>
              <w:gridCol w:w="465"/>
              <w:gridCol w:w="610"/>
              <w:gridCol w:w="684"/>
              <w:gridCol w:w="684"/>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名称</w:t>
                  </w:r>
                </w:p>
              </w:tc>
              <w:tc>
                <w:tcPr>
                  <w:tcW w:w="477"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型式</w:t>
                  </w:r>
                </w:p>
              </w:tc>
              <w:tc>
                <w:tcPr>
                  <w:tcW w:w="466"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参数</w:t>
                  </w:r>
                </w:p>
              </w:tc>
              <w:tc>
                <w:tcPr>
                  <w:tcW w:w="1132"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互感器/避雷器</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额定电压（kV）</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最高工作电压</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额定电流（A）</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开断电流（kA）</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4S热稳定电力（kA）</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额定峰值耐受电流（kA）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35kV进线柜（无断路器）</w:t>
                  </w:r>
                </w:p>
              </w:tc>
              <w:tc>
                <w:tcPr>
                  <w:tcW w:w="477" w:type="pct"/>
                  <w:tcBorders>
                    <w:tl2br w:val="nil"/>
                    <w:tr2bl w:val="nil"/>
                  </w:tcBorders>
                  <w:vAlign w:val="center"/>
                </w:tcPr>
                <w:p>
                  <w:pPr>
                    <w:widowControl/>
                    <w:adjustRightInd w:val="0"/>
                    <w:snapToGrid w:val="0"/>
                    <w:spacing w:line="200" w:lineRule="exact"/>
                    <w:jc w:val="center"/>
                    <w:rPr>
                      <w:kern w:val="21"/>
                      <w:sz w:val="18"/>
                      <w:szCs w:val="18"/>
                    </w:rPr>
                  </w:pPr>
                  <w:r>
                    <w:rPr>
                      <w:rFonts w:ascii="CIDFont" w:hAnsi="CIDFont" w:eastAsia="CIDFont" w:cs="CIDFont"/>
                      <w:color w:val="000000"/>
                      <w:kern w:val="0"/>
                      <w:sz w:val="18"/>
                      <w:szCs w:val="18"/>
                      <w:lang w:bidi="ar"/>
                    </w:rPr>
                    <w:t>户内</w:t>
                  </w:r>
                </w:p>
              </w:tc>
              <w:tc>
                <w:tcPr>
                  <w:tcW w:w="466"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3150A</w:t>
                  </w:r>
                </w:p>
                <w:p>
                  <w:pPr>
                    <w:adjustRightInd w:val="0"/>
                    <w:snapToGrid w:val="0"/>
                    <w:spacing w:line="200" w:lineRule="exact"/>
                    <w:jc w:val="center"/>
                    <w:rPr>
                      <w:kern w:val="21"/>
                      <w:sz w:val="18"/>
                      <w:szCs w:val="18"/>
                    </w:rPr>
                  </w:pPr>
                  <w:r>
                    <w:rPr>
                      <w:kern w:val="21"/>
                      <w:sz w:val="18"/>
                      <w:szCs w:val="18"/>
                    </w:rPr>
                    <w:t>31.5kA</w:t>
                  </w:r>
                </w:p>
              </w:tc>
              <w:tc>
                <w:tcPr>
                  <w:tcW w:w="1132"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3150</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母线PT/避</w:t>
                  </w:r>
                  <w:r>
                    <w:rPr>
                      <w:rFonts w:hint="eastAsia"/>
                      <w:kern w:val="21"/>
                      <w:sz w:val="18"/>
                      <w:szCs w:val="18"/>
                    </w:rPr>
                    <w:t>雷器柜</w:t>
                  </w:r>
                </w:p>
              </w:tc>
              <w:tc>
                <w:tcPr>
                  <w:tcW w:w="477"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配消谐波装置</w:t>
                  </w:r>
                </w:p>
              </w:tc>
              <w:tc>
                <w:tcPr>
                  <w:tcW w:w="466"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配消谐装置</w:t>
                  </w:r>
                </w:p>
              </w:tc>
              <w:tc>
                <w:tcPr>
                  <w:tcW w:w="113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35/ 3 /0.1/ 3 /0.1/ 3/0.1/ 3 /0.1k/3V，0.2/0.5(3P)/0.5(3P)/3P，Y5WZ-51/134W（G）</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35kV储能出线柜</w:t>
                  </w:r>
                </w:p>
              </w:tc>
              <w:tc>
                <w:tcPr>
                  <w:tcW w:w="477"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真空断路器</w:t>
                  </w:r>
                </w:p>
              </w:tc>
              <w:tc>
                <w:tcPr>
                  <w:tcW w:w="466"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1250A，31.5kA</w:t>
                  </w:r>
                </w:p>
              </w:tc>
              <w:tc>
                <w:tcPr>
                  <w:tcW w:w="113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干式户内、单相40.5kV，</w:t>
                  </w:r>
                </w:p>
                <w:p>
                  <w:pPr>
                    <w:adjustRightInd w:val="0"/>
                    <w:snapToGrid w:val="0"/>
                    <w:spacing w:line="200" w:lineRule="exact"/>
                    <w:jc w:val="center"/>
                    <w:rPr>
                      <w:kern w:val="21"/>
                      <w:sz w:val="18"/>
                      <w:szCs w:val="18"/>
                    </w:rPr>
                  </w:pPr>
                  <w:r>
                    <w:rPr>
                      <w:kern w:val="21"/>
                      <w:sz w:val="18"/>
                      <w:szCs w:val="18"/>
                    </w:rPr>
                    <w:t>5P30/5P30/0.5/0.2S</w:t>
                  </w:r>
                  <w:r>
                    <w:rPr>
                      <w:rFonts w:hint="eastAsia"/>
                      <w:kern w:val="21"/>
                      <w:sz w:val="18"/>
                      <w:szCs w:val="18"/>
                    </w:rPr>
                    <w:t>；</w:t>
                  </w:r>
                </w:p>
                <w:p>
                  <w:pPr>
                    <w:adjustRightInd w:val="0"/>
                    <w:snapToGrid w:val="0"/>
                    <w:spacing w:line="200" w:lineRule="exact"/>
                    <w:jc w:val="center"/>
                    <w:rPr>
                      <w:kern w:val="21"/>
                      <w:sz w:val="18"/>
                      <w:szCs w:val="18"/>
                    </w:rPr>
                  </w:pPr>
                  <w:r>
                    <w:rPr>
                      <w:kern w:val="21"/>
                      <w:sz w:val="18"/>
                      <w:szCs w:val="18"/>
                    </w:rPr>
                    <w:t>1200/300/200/100/1A</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1250</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35kV站用变出线柜</w:t>
                  </w:r>
                </w:p>
              </w:tc>
              <w:tc>
                <w:tcPr>
                  <w:tcW w:w="477"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真空断路器</w:t>
                  </w:r>
                </w:p>
              </w:tc>
              <w:tc>
                <w:tcPr>
                  <w:tcW w:w="466"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1250A，</w:t>
                  </w:r>
                </w:p>
                <w:p>
                  <w:pPr>
                    <w:adjustRightInd w:val="0"/>
                    <w:snapToGrid w:val="0"/>
                    <w:spacing w:line="200" w:lineRule="exact"/>
                    <w:jc w:val="center"/>
                    <w:rPr>
                      <w:kern w:val="21"/>
                      <w:sz w:val="18"/>
                      <w:szCs w:val="18"/>
                    </w:rPr>
                  </w:pPr>
                  <w:r>
                    <w:rPr>
                      <w:kern w:val="21"/>
                      <w:sz w:val="18"/>
                      <w:szCs w:val="18"/>
                    </w:rPr>
                    <w:t>31.5kA</w:t>
                  </w:r>
                </w:p>
              </w:tc>
              <w:tc>
                <w:tcPr>
                  <w:tcW w:w="113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干式户内、单相40.5kV，5P30/5P30/0.5/0.2S</w:t>
                  </w:r>
                  <w:r>
                    <w:rPr>
                      <w:rFonts w:hint="eastAsia"/>
                      <w:kern w:val="21"/>
                      <w:sz w:val="18"/>
                      <w:szCs w:val="18"/>
                    </w:rPr>
                    <w:t>；</w:t>
                  </w:r>
                  <w:r>
                    <w:rPr>
                      <w:kern w:val="21"/>
                      <w:sz w:val="18"/>
                      <w:szCs w:val="18"/>
                    </w:rPr>
                    <w:t>1200/300/200/100/1A</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1250</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户外66kV柱式断路器</w:t>
                  </w:r>
                </w:p>
              </w:tc>
              <w:tc>
                <w:tcPr>
                  <w:tcW w:w="477"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LW-72.5TkV</w:t>
                  </w:r>
                </w:p>
              </w:tc>
              <w:tc>
                <w:tcPr>
                  <w:tcW w:w="466"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3150A</w:t>
                  </w:r>
                </w:p>
                <w:p>
                  <w:pPr>
                    <w:adjustRightInd w:val="0"/>
                    <w:snapToGrid w:val="0"/>
                    <w:spacing w:line="200" w:lineRule="exact"/>
                    <w:jc w:val="center"/>
                    <w:rPr>
                      <w:kern w:val="21"/>
                      <w:sz w:val="18"/>
                      <w:szCs w:val="18"/>
                    </w:rPr>
                  </w:pPr>
                  <w:r>
                    <w:rPr>
                      <w:kern w:val="21"/>
                      <w:sz w:val="18"/>
                      <w:szCs w:val="18"/>
                    </w:rPr>
                    <w:t>31.5kA</w:t>
                  </w:r>
                </w:p>
              </w:tc>
              <w:tc>
                <w:tcPr>
                  <w:tcW w:w="1132"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3150</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户外35kV电流互感器</w:t>
                  </w:r>
                </w:p>
              </w:tc>
              <w:tc>
                <w:tcPr>
                  <w:tcW w:w="477"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66"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113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0.2S/0.2/5P30/TPY/TPY，2000-4000/1A</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户外35kV隔离开关</w:t>
                  </w:r>
                </w:p>
              </w:tc>
              <w:tc>
                <w:tcPr>
                  <w:tcW w:w="477"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GW4-40.5DDW</w:t>
                  </w:r>
                </w:p>
              </w:tc>
              <w:tc>
                <w:tcPr>
                  <w:tcW w:w="466"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3150A</w:t>
                  </w:r>
                </w:p>
                <w:p>
                  <w:pPr>
                    <w:adjustRightInd w:val="0"/>
                    <w:snapToGrid w:val="0"/>
                    <w:spacing w:line="200" w:lineRule="exact"/>
                    <w:jc w:val="center"/>
                    <w:rPr>
                      <w:kern w:val="21"/>
                      <w:sz w:val="18"/>
                      <w:szCs w:val="18"/>
                    </w:rPr>
                  </w:pPr>
                  <w:r>
                    <w:rPr>
                      <w:kern w:val="21"/>
                      <w:sz w:val="18"/>
                      <w:szCs w:val="18"/>
                    </w:rPr>
                    <w:t>31.5kA</w:t>
                  </w:r>
                </w:p>
              </w:tc>
              <w:tc>
                <w:tcPr>
                  <w:tcW w:w="1132"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2500</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31.5</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35kV避雷器</w:t>
                  </w:r>
                </w:p>
              </w:tc>
              <w:tc>
                <w:tcPr>
                  <w:tcW w:w="477"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户外</w:t>
                  </w:r>
                </w:p>
              </w:tc>
              <w:tc>
                <w:tcPr>
                  <w:tcW w:w="466"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1132" w:type="pct"/>
                  <w:tcBorders>
                    <w:tl2br w:val="nil"/>
                    <w:tr2bl w:val="nil"/>
                  </w:tcBorders>
                  <w:vAlign w:val="center"/>
                </w:tcPr>
                <w:p>
                  <w:pPr>
                    <w:adjustRightInd w:val="0"/>
                    <w:snapToGrid w:val="0"/>
                    <w:spacing w:line="200" w:lineRule="exact"/>
                    <w:jc w:val="center"/>
                    <w:rPr>
                      <w:kern w:val="21"/>
                      <w:sz w:val="18"/>
                      <w:szCs w:val="18"/>
                    </w:rPr>
                  </w:pPr>
                  <w:r>
                    <w:rPr>
                      <w:kern w:val="21"/>
                      <w:sz w:val="18"/>
                      <w:szCs w:val="18"/>
                    </w:rPr>
                    <w:t>Y5WZ-51/134W（G）</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35</w:t>
                  </w:r>
                </w:p>
              </w:tc>
              <w:tc>
                <w:tcPr>
                  <w:tcW w:w="285"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40.5</w:t>
                  </w:r>
                </w:p>
              </w:tc>
              <w:tc>
                <w:tcPr>
                  <w:tcW w:w="374"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c>
                <w:tcPr>
                  <w:tcW w:w="420" w:type="pct"/>
                  <w:tcBorders>
                    <w:tl2br w:val="nil"/>
                    <w:tr2bl w:val="nil"/>
                  </w:tcBorders>
                  <w:vAlign w:val="center"/>
                </w:tcPr>
                <w:p>
                  <w:pPr>
                    <w:adjustRightInd w:val="0"/>
                    <w:snapToGrid w:val="0"/>
                    <w:spacing w:line="200" w:lineRule="exact"/>
                    <w:jc w:val="center"/>
                    <w:rPr>
                      <w:kern w:val="21"/>
                      <w:sz w:val="18"/>
                      <w:szCs w:val="18"/>
                    </w:rPr>
                  </w:pPr>
                  <w:r>
                    <w:rPr>
                      <w:rFonts w:hint="eastAsia"/>
                      <w:kern w:val="21"/>
                      <w:sz w:val="18"/>
                      <w:szCs w:val="18"/>
                    </w:rPr>
                    <w:t>/</w:t>
                  </w:r>
                </w:p>
              </w:tc>
            </w:tr>
          </w:tbl>
          <w:p>
            <w:pPr>
              <w:pStyle w:val="12"/>
              <w:adjustRightInd w:val="0"/>
              <w:snapToGrid w:val="0"/>
              <w:spacing w:before="120" w:beforeLines="50" w:line="360" w:lineRule="auto"/>
              <w:ind w:firstLine="480" w:firstLineChars="200"/>
              <w:rPr>
                <w:sz w:val="24"/>
              </w:rPr>
            </w:pPr>
            <w:r>
              <w:rPr>
                <w:rFonts w:hint="eastAsia"/>
                <w:sz w:val="24"/>
              </w:rPr>
              <w:t>项目相关导体选择详见下表。</w:t>
            </w:r>
          </w:p>
          <w:p>
            <w:pPr>
              <w:adjustRightInd w:val="0"/>
              <w:snapToGrid w:val="0"/>
              <w:spacing w:before="120" w:beforeLines="50" w:line="360" w:lineRule="auto"/>
              <w:jc w:val="center"/>
              <w:rPr>
                <w:kern w:val="0"/>
                <w:sz w:val="24"/>
              </w:rPr>
            </w:pPr>
            <w:r>
              <w:rPr>
                <w:rFonts w:hint="eastAsia"/>
                <w:b/>
                <w:bCs/>
                <w:kern w:val="0"/>
                <w:sz w:val="24"/>
              </w:rPr>
              <w:t>表2-8    导线选择一览表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524"/>
              <w:gridCol w:w="888"/>
              <w:gridCol w:w="2326"/>
              <w:gridCol w:w="862"/>
              <w:gridCol w:w="1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restart"/>
                  <w:tcBorders>
                    <w:tl2br w:val="nil"/>
                    <w:tr2bl w:val="nil"/>
                  </w:tcBorders>
                  <w:vAlign w:val="center"/>
                </w:tcPr>
                <w:p>
                  <w:pPr>
                    <w:adjustRightInd w:val="0"/>
                    <w:snapToGrid w:val="0"/>
                    <w:jc w:val="center"/>
                    <w:rPr>
                      <w:kern w:val="21"/>
                      <w:szCs w:val="21"/>
                    </w:rPr>
                  </w:pPr>
                  <w:r>
                    <w:rPr>
                      <w:kern w:val="21"/>
                      <w:szCs w:val="21"/>
                    </w:rPr>
                    <w:t>系统电压（kV）</w:t>
                  </w:r>
                </w:p>
              </w:tc>
              <w:tc>
                <w:tcPr>
                  <w:tcW w:w="936" w:type="pct"/>
                  <w:vMerge w:val="restart"/>
                  <w:tcBorders>
                    <w:tl2br w:val="nil"/>
                    <w:tr2bl w:val="nil"/>
                  </w:tcBorders>
                  <w:vAlign w:val="center"/>
                </w:tcPr>
                <w:p>
                  <w:pPr>
                    <w:adjustRightInd w:val="0"/>
                    <w:snapToGrid w:val="0"/>
                    <w:jc w:val="center"/>
                    <w:rPr>
                      <w:kern w:val="21"/>
                      <w:szCs w:val="21"/>
                    </w:rPr>
                  </w:pPr>
                  <w:r>
                    <w:rPr>
                      <w:kern w:val="21"/>
                      <w:szCs w:val="21"/>
                    </w:rPr>
                    <w:t>回路名称</w:t>
                  </w:r>
                </w:p>
              </w:tc>
              <w:tc>
                <w:tcPr>
                  <w:tcW w:w="545" w:type="pct"/>
                  <w:vMerge w:val="restart"/>
                  <w:tcBorders>
                    <w:tl2br w:val="nil"/>
                    <w:tr2bl w:val="nil"/>
                  </w:tcBorders>
                  <w:vAlign w:val="center"/>
                </w:tcPr>
                <w:p>
                  <w:pPr>
                    <w:adjustRightInd w:val="0"/>
                    <w:snapToGrid w:val="0"/>
                    <w:jc w:val="center"/>
                    <w:rPr>
                      <w:kern w:val="21"/>
                      <w:szCs w:val="21"/>
                    </w:rPr>
                  </w:pPr>
                  <w:r>
                    <w:rPr>
                      <w:kern w:val="21"/>
                      <w:szCs w:val="21"/>
                    </w:rPr>
                    <w:t>回路最大电流（A）</w:t>
                  </w:r>
                </w:p>
              </w:tc>
              <w:tc>
                <w:tcPr>
                  <w:tcW w:w="1956" w:type="pct"/>
                  <w:gridSpan w:val="2"/>
                  <w:tcBorders>
                    <w:tl2br w:val="nil"/>
                    <w:tr2bl w:val="nil"/>
                  </w:tcBorders>
                  <w:vAlign w:val="center"/>
                </w:tcPr>
                <w:p>
                  <w:pPr>
                    <w:adjustRightInd w:val="0"/>
                    <w:snapToGrid w:val="0"/>
                    <w:jc w:val="center"/>
                    <w:rPr>
                      <w:kern w:val="21"/>
                      <w:szCs w:val="21"/>
                    </w:rPr>
                  </w:pPr>
                  <w:r>
                    <w:rPr>
                      <w:kern w:val="21"/>
                      <w:szCs w:val="21"/>
                    </w:rPr>
                    <w:t>选用导体</w:t>
                  </w:r>
                </w:p>
              </w:tc>
              <w:tc>
                <w:tcPr>
                  <w:tcW w:w="1089" w:type="pct"/>
                  <w:vMerge w:val="restart"/>
                  <w:tcBorders>
                    <w:tl2br w:val="nil"/>
                    <w:tr2bl w:val="nil"/>
                  </w:tcBorders>
                  <w:vAlign w:val="center"/>
                </w:tcPr>
                <w:p>
                  <w:pPr>
                    <w:adjustRightInd w:val="0"/>
                    <w:snapToGrid w:val="0"/>
                    <w:jc w:val="center"/>
                    <w:rPr>
                      <w:kern w:val="21"/>
                      <w:szCs w:val="21"/>
                    </w:rPr>
                  </w:pPr>
                  <w:r>
                    <w:rPr>
                      <w:kern w:val="21"/>
                      <w:szCs w:val="21"/>
                    </w:rPr>
                    <w:t>控制条件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continue"/>
                  <w:tcBorders>
                    <w:tl2br w:val="nil"/>
                    <w:tr2bl w:val="nil"/>
                  </w:tcBorders>
                  <w:vAlign w:val="center"/>
                </w:tcPr>
                <w:p>
                  <w:pPr>
                    <w:adjustRightInd w:val="0"/>
                    <w:snapToGrid w:val="0"/>
                    <w:jc w:val="center"/>
                    <w:rPr>
                      <w:kern w:val="21"/>
                      <w:szCs w:val="21"/>
                    </w:rPr>
                  </w:pPr>
                </w:p>
              </w:tc>
              <w:tc>
                <w:tcPr>
                  <w:tcW w:w="936" w:type="pct"/>
                  <w:vMerge w:val="continue"/>
                  <w:tcBorders>
                    <w:tl2br w:val="nil"/>
                    <w:tr2bl w:val="nil"/>
                  </w:tcBorders>
                  <w:vAlign w:val="center"/>
                </w:tcPr>
                <w:p>
                  <w:pPr>
                    <w:adjustRightInd w:val="0"/>
                    <w:snapToGrid w:val="0"/>
                    <w:jc w:val="center"/>
                    <w:rPr>
                      <w:kern w:val="21"/>
                      <w:szCs w:val="21"/>
                    </w:rPr>
                  </w:pPr>
                </w:p>
              </w:tc>
              <w:tc>
                <w:tcPr>
                  <w:tcW w:w="545" w:type="pct"/>
                  <w:vMerge w:val="continue"/>
                  <w:tcBorders>
                    <w:tl2br w:val="nil"/>
                    <w:tr2bl w:val="nil"/>
                  </w:tcBorders>
                  <w:vAlign w:val="center"/>
                </w:tcPr>
                <w:p>
                  <w:pPr>
                    <w:adjustRightInd w:val="0"/>
                    <w:snapToGrid w:val="0"/>
                    <w:jc w:val="center"/>
                    <w:rPr>
                      <w:kern w:val="21"/>
                      <w:szCs w:val="21"/>
                    </w:rPr>
                  </w:pPr>
                </w:p>
              </w:tc>
              <w:tc>
                <w:tcPr>
                  <w:tcW w:w="1427" w:type="pct"/>
                  <w:tcBorders>
                    <w:tl2br w:val="nil"/>
                    <w:tr2bl w:val="nil"/>
                  </w:tcBorders>
                  <w:vAlign w:val="center"/>
                </w:tcPr>
                <w:p>
                  <w:pPr>
                    <w:adjustRightInd w:val="0"/>
                    <w:snapToGrid w:val="0"/>
                    <w:jc w:val="center"/>
                    <w:rPr>
                      <w:kern w:val="21"/>
                      <w:szCs w:val="21"/>
                    </w:rPr>
                  </w:pPr>
                  <w:r>
                    <w:rPr>
                      <w:kern w:val="21"/>
                      <w:szCs w:val="21"/>
                    </w:rPr>
                    <w:t>导线根数×型号</w:t>
                  </w:r>
                </w:p>
              </w:tc>
              <w:tc>
                <w:tcPr>
                  <w:tcW w:w="529" w:type="pct"/>
                  <w:tcBorders>
                    <w:tl2br w:val="nil"/>
                    <w:tr2bl w:val="nil"/>
                  </w:tcBorders>
                  <w:vAlign w:val="center"/>
                </w:tcPr>
                <w:p>
                  <w:pPr>
                    <w:adjustRightInd w:val="0"/>
                    <w:snapToGrid w:val="0"/>
                    <w:jc w:val="center"/>
                    <w:rPr>
                      <w:kern w:val="21"/>
                      <w:szCs w:val="21"/>
                    </w:rPr>
                  </w:pPr>
                  <w:r>
                    <w:rPr>
                      <w:kern w:val="21"/>
                      <w:szCs w:val="21"/>
                    </w:rPr>
                    <w:t>导体载流量（A）</w:t>
                  </w:r>
                </w:p>
              </w:tc>
              <w:tc>
                <w:tcPr>
                  <w:tcW w:w="1089" w:type="pct"/>
                  <w:vMerge w:val="continue"/>
                  <w:tcBorders>
                    <w:tl2br w:val="nil"/>
                    <w:tr2bl w:val="nil"/>
                  </w:tcBorders>
                  <w:vAlign w:val="center"/>
                </w:tcPr>
                <w:p>
                  <w:pPr>
                    <w:adjustRightInd w:val="0"/>
                    <w:snapToGrid w:val="0"/>
                    <w:jc w:val="center"/>
                    <w:rPr>
                      <w:kern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restart"/>
                  <w:tcBorders>
                    <w:tl2br w:val="nil"/>
                    <w:tr2bl w:val="nil"/>
                  </w:tcBorders>
                  <w:vAlign w:val="center"/>
                </w:tcPr>
                <w:p>
                  <w:pPr>
                    <w:adjustRightInd w:val="0"/>
                    <w:snapToGrid w:val="0"/>
                    <w:jc w:val="center"/>
                    <w:rPr>
                      <w:kern w:val="21"/>
                      <w:szCs w:val="21"/>
                    </w:rPr>
                  </w:pPr>
                  <w:r>
                    <w:rPr>
                      <w:rFonts w:hint="eastAsia"/>
                      <w:kern w:val="21"/>
                      <w:szCs w:val="21"/>
                    </w:rPr>
                    <w:t>330</w:t>
                  </w:r>
                </w:p>
              </w:tc>
              <w:tc>
                <w:tcPr>
                  <w:tcW w:w="936" w:type="pct"/>
                  <w:tcBorders>
                    <w:tl2br w:val="nil"/>
                    <w:tr2bl w:val="nil"/>
                  </w:tcBorders>
                  <w:vAlign w:val="center"/>
                </w:tcPr>
                <w:p>
                  <w:pPr>
                    <w:adjustRightInd w:val="0"/>
                    <w:snapToGrid w:val="0"/>
                    <w:jc w:val="center"/>
                    <w:rPr>
                      <w:kern w:val="21"/>
                      <w:szCs w:val="21"/>
                    </w:rPr>
                  </w:pPr>
                  <w:r>
                    <w:rPr>
                      <w:kern w:val="21"/>
                      <w:szCs w:val="21"/>
                    </w:rPr>
                    <w:t>出线</w:t>
                  </w:r>
                </w:p>
              </w:tc>
              <w:tc>
                <w:tcPr>
                  <w:tcW w:w="545" w:type="pct"/>
                  <w:tcBorders>
                    <w:tl2br w:val="nil"/>
                    <w:tr2bl w:val="nil"/>
                  </w:tcBorders>
                  <w:vAlign w:val="center"/>
                </w:tcPr>
                <w:p>
                  <w:pPr>
                    <w:adjustRightInd w:val="0"/>
                    <w:snapToGrid w:val="0"/>
                    <w:jc w:val="center"/>
                    <w:rPr>
                      <w:kern w:val="21"/>
                      <w:szCs w:val="21"/>
                    </w:rPr>
                  </w:pPr>
                  <w:r>
                    <w:rPr>
                      <w:kern w:val="21"/>
                      <w:szCs w:val="21"/>
                    </w:rPr>
                    <w:t>875</w:t>
                  </w:r>
                </w:p>
              </w:tc>
              <w:tc>
                <w:tcPr>
                  <w:tcW w:w="1427" w:type="pct"/>
                  <w:tcBorders>
                    <w:tl2br w:val="nil"/>
                    <w:tr2bl w:val="nil"/>
                  </w:tcBorders>
                  <w:vAlign w:val="center"/>
                </w:tcPr>
                <w:p>
                  <w:pPr>
                    <w:adjustRightInd w:val="0"/>
                    <w:snapToGrid w:val="0"/>
                    <w:jc w:val="center"/>
                    <w:rPr>
                      <w:kern w:val="21"/>
                      <w:szCs w:val="21"/>
                    </w:rPr>
                  </w:pPr>
                  <w:r>
                    <w:rPr>
                      <w:kern w:val="21"/>
                      <w:szCs w:val="21"/>
                    </w:rPr>
                    <w:t>2×JL/G1A-400/50</w:t>
                  </w:r>
                </w:p>
              </w:tc>
              <w:tc>
                <w:tcPr>
                  <w:tcW w:w="529" w:type="pct"/>
                  <w:tcBorders>
                    <w:tl2br w:val="nil"/>
                    <w:tr2bl w:val="nil"/>
                  </w:tcBorders>
                  <w:vAlign w:val="center"/>
                </w:tcPr>
                <w:p>
                  <w:pPr>
                    <w:adjustRightInd w:val="0"/>
                    <w:snapToGrid w:val="0"/>
                    <w:jc w:val="center"/>
                    <w:rPr>
                      <w:kern w:val="21"/>
                      <w:szCs w:val="21"/>
                    </w:rPr>
                  </w:pPr>
                  <w:r>
                    <w:rPr>
                      <w:kern w:val="21"/>
                      <w:szCs w:val="21"/>
                    </w:rPr>
                    <w:t>1538</w:t>
                  </w:r>
                </w:p>
              </w:tc>
              <w:tc>
                <w:tcPr>
                  <w:tcW w:w="1089" w:type="pct"/>
                  <w:tcBorders>
                    <w:tl2br w:val="nil"/>
                    <w:tr2bl w:val="nil"/>
                  </w:tcBorders>
                  <w:vAlign w:val="center"/>
                </w:tcPr>
                <w:p>
                  <w:pPr>
                    <w:adjustRightInd w:val="0"/>
                    <w:snapToGrid w:val="0"/>
                    <w:jc w:val="center"/>
                    <w:rPr>
                      <w:kern w:val="21"/>
                      <w:szCs w:val="21"/>
                    </w:rPr>
                  </w:pPr>
                  <w:r>
                    <w:rPr>
                      <w:kern w:val="21"/>
                      <w:szCs w:val="21"/>
                    </w:rPr>
                    <w:t>由电晕电压控制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continue"/>
                  <w:tcBorders>
                    <w:tl2br w:val="nil"/>
                    <w:tr2bl w:val="nil"/>
                  </w:tcBorders>
                  <w:vAlign w:val="center"/>
                </w:tcPr>
                <w:p>
                  <w:pPr>
                    <w:adjustRightInd w:val="0"/>
                    <w:snapToGrid w:val="0"/>
                    <w:jc w:val="center"/>
                    <w:rPr>
                      <w:kern w:val="21"/>
                      <w:szCs w:val="21"/>
                    </w:rPr>
                  </w:pPr>
                </w:p>
              </w:tc>
              <w:tc>
                <w:tcPr>
                  <w:tcW w:w="936" w:type="pct"/>
                  <w:tcBorders>
                    <w:tl2br w:val="nil"/>
                    <w:tr2bl w:val="nil"/>
                  </w:tcBorders>
                  <w:vAlign w:val="center"/>
                </w:tcPr>
                <w:p>
                  <w:pPr>
                    <w:adjustRightInd w:val="0"/>
                    <w:snapToGrid w:val="0"/>
                    <w:jc w:val="center"/>
                    <w:rPr>
                      <w:kern w:val="21"/>
                      <w:szCs w:val="21"/>
                    </w:rPr>
                  </w:pPr>
                  <w:r>
                    <w:rPr>
                      <w:kern w:val="21"/>
                      <w:szCs w:val="21"/>
                    </w:rPr>
                    <w:t>主变进线</w:t>
                  </w:r>
                </w:p>
              </w:tc>
              <w:tc>
                <w:tcPr>
                  <w:tcW w:w="545" w:type="pct"/>
                  <w:tcBorders>
                    <w:tl2br w:val="nil"/>
                    <w:tr2bl w:val="nil"/>
                  </w:tcBorders>
                  <w:vAlign w:val="center"/>
                </w:tcPr>
                <w:p>
                  <w:pPr>
                    <w:adjustRightInd w:val="0"/>
                    <w:snapToGrid w:val="0"/>
                    <w:jc w:val="center"/>
                    <w:rPr>
                      <w:kern w:val="21"/>
                      <w:szCs w:val="21"/>
                    </w:rPr>
                  </w:pPr>
                  <w:r>
                    <w:rPr>
                      <w:kern w:val="21"/>
                      <w:szCs w:val="21"/>
                    </w:rPr>
                    <w:t>441</w:t>
                  </w:r>
                </w:p>
              </w:tc>
              <w:tc>
                <w:tcPr>
                  <w:tcW w:w="1427" w:type="pct"/>
                  <w:tcBorders>
                    <w:tl2br w:val="nil"/>
                    <w:tr2bl w:val="nil"/>
                  </w:tcBorders>
                  <w:vAlign w:val="center"/>
                </w:tcPr>
                <w:p>
                  <w:pPr>
                    <w:adjustRightInd w:val="0"/>
                    <w:snapToGrid w:val="0"/>
                    <w:jc w:val="center"/>
                    <w:rPr>
                      <w:kern w:val="21"/>
                      <w:szCs w:val="21"/>
                    </w:rPr>
                  </w:pPr>
                  <w:r>
                    <w:rPr>
                      <w:kern w:val="21"/>
                      <w:szCs w:val="21"/>
                    </w:rPr>
                    <w:t>2×JL/G1A-400/50</w:t>
                  </w:r>
                </w:p>
              </w:tc>
              <w:tc>
                <w:tcPr>
                  <w:tcW w:w="529" w:type="pct"/>
                  <w:tcBorders>
                    <w:tl2br w:val="nil"/>
                    <w:tr2bl w:val="nil"/>
                  </w:tcBorders>
                  <w:vAlign w:val="center"/>
                </w:tcPr>
                <w:p>
                  <w:pPr>
                    <w:adjustRightInd w:val="0"/>
                    <w:snapToGrid w:val="0"/>
                    <w:jc w:val="center"/>
                    <w:rPr>
                      <w:kern w:val="21"/>
                      <w:szCs w:val="21"/>
                    </w:rPr>
                  </w:pPr>
                  <w:r>
                    <w:rPr>
                      <w:kern w:val="21"/>
                      <w:szCs w:val="21"/>
                    </w:rPr>
                    <w:t>1538</w:t>
                  </w:r>
                </w:p>
              </w:tc>
              <w:tc>
                <w:tcPr>
                  <w:tcW w:w="1089" w:type="pct"/>
                  <w:tcBorders>
                    <w:tl2br w:val="nil"/>
                    <w:tr2bl w:val="nil"/>
                  </w:tcBorders>
                  <w:vAlign w:val="center"/>
                </w:tcPr>
                <w:p>
                  <w:pPr>
                    <w:adjustRightInd w:val="0"/>
                    <w:snapToGrid w:val="0"/>
                    <w:jc w:val="center"/>
                    <w:rPr>
                      <w:kern w:val="21"/>
                      <w:szCs w:val="21"/>
                    </w:rPr>
                  </w:pPr>
                  <w:r>
                    <w:rPr>
                      <w:kern w:val="21"/>
                      <w:szCs w:val="21"/>
                    </w:rPr>
                    <w:t>由电晕电压控制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restart"/>
                  <w:tcBorders>
                    <w:tl2br w:val="nil"/>
                    <w:tr2bl w:val="nil"/>
                  </w:tcBorders>
                  <w:vAlign w:val="center"/>
                </w:tcPr>
                <w:p>
                  <w:pPr>
                    <w:adjustRightInd w:val="0"/>
                    <w:snapToGrid w:val="0"/>
                    <w:jc w:val="center"/>
                    <w:rPr>
                      <w:kern w:val="21"/>
                      <w:szCs w:val="21"/>
                    </w:rPr>
                  </w:pPr>
                  <w:r>
                    <w:rPr>
                      <w:rFonts w:hint="eastAsia"/>
                      <w:kern w:val="21"/>
                      <w:szCs w:val="21"/>
                    </w:rPr>
                    <w:t>35</w:t>
                  </w:r>
                </w:p>
              </w:tc>
              <w:tc>
                <w:tcPr>
                  <w:tcW w:w="936" w:type="pct"/>
                  <w:tcBorders>
                    <w:tl2br w:val="nil"/>
                    <w:tr2bl w:val="nil"/>
                  </w:tcBorders>
                  <w:vAlign w:val="center"/>
                </w:tcPr>
                <w:p>
                  <w:pPr>
                    <w:adjustRightInd w:val="0"/>
                    <w:snapToGrid w:val="0"/>
                    <w:jc w:val="center"/>
                    <w:rPr>
                      <w:kern w:val="21"/>
                      <w:szCs w:val="21"/>
                    </w:rPr>
                  </w:pPr>
                  <w:r>
                    <w:rPr>
                      <w:kern w:val="21"/>
                      <w:szCs w:val="21"/>
                    </w:rPr>
                    <w:t>主变进线</w:t>
                  </w:r>
                </w:p>
              </w:tc>
              <w:tc>
                <w:tcPr>
                  <w:tcW w:w="545" w:type="pct"/>
                  <w:tcBorders>
                    <w:tl2br w:val="nil"/>
                    <w:tr2bl w:val="nil"/>
                  </w:tcBorders>
                  <w:vAlign w:val="center"/>
                </w:tcPr>
                <w:p>
                  <w:pPr>
                    <w:adjustRightInd w:val="0"/>
                    <w:snapToGrid w:val="0"/>
                    <w:jc w:val="center"/>
                    <w:rPr>
                      <w:kern w:val="21"/>
                      <w:szCs w:val="21"/>
                    </w:rPr>
                  </w:pPr>
                  <w:r>
                    <w:rPr>
                      <w:kern w:val="21"/>
                      <w:szCs w:val="21"/>
                    </w:rPr>
                    <w:t>4157</w:t>
                  </w:r>
                </w:p>
              </w:tc>
              <w:tc>
                <w:tcPr>
                  <w:tcW w:w="1427" w:type="pct"/>
                  <w:tcBorders>
                    <w:tl2br w:val="nil"/>
                    <w:tr2bl w:val="nil"/>
                  </w:tcBorders>
                  <w:vAlign w:val="center"/>
                </w:tcPr>
                <w:p>
                  <w:pPr>
                    <w:adjustRightInd w:val="0"/>
                    <w:snapToGrid w:val="0"/>
                    <w:jc w:val="center"/>
                    <w:rPr>
                      <w:kern w:val="21"/>
                      <w:szCs w:val="21"/>
                    </w:rPr>
                  </w:pPr>
                  <w:r>
                    <w:rPr>
                      <w:kern w:val="21"/>
                      <w:szCs w:val="21"/>
                    </w:rPr>
                    <w:t>6063G-φ200/184</w:t>
                  </w:r>
                </w:p>
              </w:tc>
              <w:tc>
                <w:tcPr>
                  <w:tcW w:w="529" w:type="pct"/>
                  <w:tcBorders>
                    <w:tl2br w:val="nil"/>
                    <w:tr2bl w:val="nil"/>
                  </w:tcBorders>
                  <w:vAlign w:val="center"/>
                </w:tcPr>
                <w:p>
                  <w:pPr>
                    <w:adjustRightInd w:val="0"/>
                    <w:snapToGrid w:val="0"/>
                    <w:jc w:val="center"/>
                    <w:rPr>
                      <w:kern w:val="21"/>
                      <w:szCs w:val="21"/>
                    </w:rPr>
                  </w:pPr>
                  <w:r>
                    <w:rPr>
                      <w:kern w:val="21"/>
                      <w:szCs w:val="21"/>
                    </w:rPr>
                    <w:t>5687</w:t>
                  </w:r>
                </w:p>
              </w:tc>
              <w:tc>
                <w:tcPr>
                  <w:tcW w:w="1089" w:type="pct"/>
                  <w:tcBorders>
                    <w:tl2br w:val="nil"/>
                    <w:tr2bl w:val="nil"/>
                  </w:tcBorders>
                  <w:vAlign w:val="center"/>
                </w:tcPr>
                <w:p>
                  <w:pPr>
                    <w:adjustRightInd w:val="0"/>
                    <w:snapToGrid w:val="0"/>
                    <w:jc w:val="center"/>
                    <w:rPr>
                      <w:kern w:val="21"/>
                      <w:szCs w:val="21"/>
                    </w:rPr>
                  </w:pPr>
                  <w:r>
                    <w:rPr>
                      <w:kern w:val="21"/>
                      <w:szCs w:val="21"/>
                    </w:rPr>
                    <w:t>由载流量控制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continue"/>
                  <w:tcBorders>
                    <w:tl2br w:val="nil"/>
                    <w:tr2bl w:val="nil"/>
                  </w:tcBorders>
                  <w:vAlign w:val="center"/>
                </w:tcPr>
                <w:p>
                  <w:pPr>
                    <w:adjustRightInd w:val="0"/>
                    <w:snapToGrid w:val="0"/>
                    <w:jc w:val="center"/>
                    <w:rPr>
                      <w:kern w:val="21"/>
                      <w:szCs w:val="21"/>
                    </w:rPr>
                  </w:pPr>
                </w:p>
              </w:tc>
              <w:tc>
                <w:tcPr>
                  <w:tcW w:w="936" w:type="pct"/>
                  <w:tcBorders>
                    <w:tl2br w:val="nil"/>
                    <w:tr2bl w:val="nil"/>
                  </w:tcBorders>
                  <w:vAlign w:val="center"/>
                </w:tcPr>
                <w:p>
                  <w:pPr>
                    <w:adjustRightInd w:val="0"/>
                    <w:snapToGrid w:val="0"/>
                    <w:jc w:val="center"/>
                    <w:rPr>
                      <w:kern w:val="21"/>
                      <w:szCs w:val="21"/>
                    </w:rPr>
                  </w:pPr>
                  <w:r>
                    <w:rPr>
                      <w:kern w:val="21"/>
                      <w:szCs w:val="21"/>
                    </w:rPr>
                    <w:t>主变分支进线</w:t>
                  </w:r>
                </w:p>
              </w:tc>
              <w:tc>
                <w:tcPr>
                  <w:tcW w:w="545" w:type="pct"/>
                  <w:tcBorders>
                    <w:tl2br w:val="nil"/>
                    <w:tr2bl w:val="nil"/>
                  </w:tcBorders>
                  <w:vAlign w:val="center"/>
                </w:tcPr>
                <w:p>
                  <w:pPr>
                    <w:adjustRightInd w:val="0"/>
                    <w:snapToGrid w:val="0"/>
                    <w:jc w:val="center"/>
                    <w:rPr>
                      <w:kern w:val="21"/>
                      <w:szCs w:val="21"/>
                    </w:rPr>
                  </w:pPr>
                  <w:r>
                    <w:rPr>
                      <w:kern w:val="21"/>
                      <w:szCs w:val="21"/>
                    </w:rPr>
                    <w:t>1850</w:t>
                  </w:r>
                </w:p>
              </w:tc>
              <w:tc>
                <w:tcPr>
                  <w:tcW w:w="1427" w:type="pct"/>
                  <w:tcBorders>
                    <w:tl2br w:val="nil"/>
                    <w:tr2bl w:val="nil"/>
                  </w:tcBorders>
                  <w:vAlign w:val="center"/>
                </w:tcPr>
                <w:p>
                  <w:pPr>
                    <w:adjustRightInd w:val="0"/>
                    <w:snapToGrid w:val="0"/>
                    <w:jc w:val="center"/>
                    <w:rPr>
                      <w:kern w:val="21"/>
                      <w:szCs w:val="21"/>
                    </w:rPr>
                  </w:pPr>
                  <w:r>
                    <w:rPr>
                      <w:kern w:val="21"/>
                      <w:szCs w:val="21"/>
                    </w:rPr>
                    <w:t>6063G-φ130/116</w:t>
                  </w:r>
                </w:p>
              </w:tc>
              <w:tc>
                <w:tcPr>
                  <w:tcW w:w="529" w:type="pct"/>
                  <w:tcBorders>
                    <w:tl2br w:val="nil"/>
                    <w:tr2bl w:val="nil"/>
                  </w:tcBorders>
                  <w:vAlign w:val="center"/>
                </w:tcPr>
                <w:p>
                  <w:pPr>
                    <w:adjustRightInd w:val="0"/>
                    <w:snapToGrid w:val="0"/>
                    <w:jc w:val="center"/>
                    <w:rPr>
                      <w:kern w:val="21"/>
                      <w:szCs w:val="21"/>
                    </w:rPr>
                  </w:pPr>
                  <w:r>
                    <w:rPr>
                      <w:kern w:val="21"/>
                      <w:szCs w:val="21"/>
                    </w:rPr>
                    <w:t>3661</w:t>
                  </w:r>
                </w:p>
              </w:tc>
              <w:tc>
                <w:tcPr>
                  <w:tcW w:w="1089" w:type="pct"/>
                  <w:tcBorders>
                    <w:tl2br w:val="nil"/>
                    <w:tr2bl w:val="nil"/>
                  </w:tcBorders>
                  <w:vAlign w:val="center"/>
                </w:tcPr>
                <w:p>
                  <w:pPr>
                    <w:adjustRightInd w:val="0"/>
                    <w:snapToGrid w:val="0"/>
                    <w:jc w:val="center"/>
                    <w:rPr>
                      <w:kern w:val="21"/>
                      <w:szCs w:val="21"/>
                    </w:rPr>
                  </w:pPr>
                  <w:r>
                    <w:rPr>
                      <w:kern w:val="21"/>
                      <w:szCs w:val="21"/>
                    </w:rPr>
                    <w:t>由载流量控制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continue"/>
                  <w:tcBorders>
                    <w:tl2br w:val="nil"/>
                    <w:tr2bl w:val="nil"/>
                  </w:tcBorders>
                  <w:vAlign w:val="center"/>
                </w:tcPr>
                <w:p>
                  <w:pPr>
                    <w:adjustRightInd w:val="0"/>
                    <w:snapToGrid w:val="0"/>
                    <w:jc w:val="center"/>
                    <w:rPr>
                      <w:kern w:val="21"/>
                      <w:szCs w:val="21"/>
                    </w:rPr>
                  </w:pPr>
                </w:p>
              </w:tc>
              <w:tc>
                <w:tcPr>
                  <w:tcW w:w="936" w:type="pct"/>
                  <w:tcBorders>
                    <w:tl2br w:val="nil"/>
                    <w:tr2bl w:val="nil"/>
                  </w:tcBorders>
                  <w:vAlign w:val="center"/>
                </w:tcPr>
                <w:p>
                  <w:pPr>
                    <w:adjustRightInd w:val="0"/>
                    <w:snapToGrid w:val="0"/>
                    <w:jc w:val="center"/>
                    <w:rPr>
                      <w:kern w:val="21"/>
                      <w:szCs w:val="21"/>
                    </w:rPr>
                  </w:pPr>
                  <w:r>
                    <w:rPr>
                      <w:kern w:val="21"/>
                      <w:szCs w:val="21"/>
                    </w:rPr>
                    <w:t>储能</w:t>
                  </w:r>
                </w:p>
              </w:tc>
              <w:tc>
                <w:tcPr>
                  <w:tcW w:w="545" w:type="pct"/>
                  <w:tcBorders>
                    <w:tl2br w:val="nil"/>
                    <w:tr2bl w:val="nil"/>
                  </w:tcBorders>
                  <w:vAlign w:val="center"/>
                </w:tcPr>
                <w:p>
                  <w:pPr>
                    <w:adjustRightInd w:val="0"/>
                    <w:snapToGrid w:val="0"/>
                    <w:jc w:val="center"/>
                    <w:rPr>
                      <w:kern w:val="21"/>
                      <w:szCs w:val="21"/>
                    </w:rPr>
                  </w:pPr>
                  <w:r>
                    <w:rPr>
                      <w:kern w:val="21"/>
                      <w:szCs w:val="21"/>
                    </w:rPr>
                    <w:t>208</w:t>
                  </w:r>
                </w:p>
              </w:tc>
              <w:tc>
                <w:tcPr>
                  <w:tcW w:w="1427" w:type="pct"/>
                  <w:tcBorders>
                    <w:tl2br w:val="nil"/>
                    <w:tr2bl w:val="nil"/>
                  </w:tcBorders>
                  <w:vAlign w:val="center"/>
                </w:tcPr>
                <w:p>
                  <w:pPr>
                    <w:adjustRightInd w:val="0"/>
                    <w:snapToGrid w:val="0"/>
                    <w:jc w:val="center"/>
                    <w:rPr>
                      <w:kern w:val="21"/>
                      <w:szCs w:val="21"/>
                    </w:rPr>
                  </w:pPr>
                  <w:r>
                    <w:rPr>
                      <w:kern w:val="21"/>
                      <w:szCs w:val="21"/>
                    </w:rPr>
                    <w:t>3（ZC-YJY23-26/</w:t>
                  </w:r>
                </w:p>
                <w:p>
                  <w:pPr>
                    <w:adjustRightInd w:val="0"/>
                    <w:snapToGrid w:val="0"/>
                    <w:jc w:val="center"/>
                    <w:rPr>
                      <w:kern w:val="21"/>
                      <w:szCs w:val="21"/>
                    </w:rPr>
                  </w:pPr>
                  <w:r>
                    <w:rPr>
                      <w:rFonts w:hint="eastAsia"/>
                      <w:kern w:val="21"/>
                      <w:szCs w:val="21"/>
                    </w:rPr>
                    <w:t>35</w:t>
                  </w:r>
                  <w:r>
                    <w:rPr>
                      <w:kern w:val="21"/>
                      <w:szCs w:val="21"/>
                    </w:rPr>
                    <w:t>kV-1×240）</w:t>
                  </w:r>
                </w:p>
              </w:tc>
              <w:tc>
                <w:tcPr>
                  <w:tcW w:w="529" w:type="pct"/>
                  <w:tcBorders>
                    <w:tl2br w:val="nil"/>
                    <w:tr2bl w:val="nil"/>
                  </w:tcBorders>
                  <w:vAlign w:val="center"/>
                </w:tcPr>
                <w:p>
                  <w:pPr>
                    <w:adjustRightInd w:val="0"/>
                    <w:snapToGrid w:val="0"/>
                    <w:jc w:val="center"/>
                    <w:rPr>
                      <w:kern w:val="21"/>
                      <w:szCs w:val="21"/>
                    </w:rPr>
                  </w:pPr>
                  <w:r>
                    <w:rPr>
                      <w:kern w:val="21"/>
                      <w:szCs w:val="21"/>
                    </w:rPr>
                    <w:t>420</w:t>
                  </w:r>
                </w:p>
              </w:tc>
              <w:tc>
                <w:tcPr>
                  <w:tcW w:w="1089" w:type="pct"/>
                  <w:tcBorders>
                    <w:tl2br w:val="nil"/>
                    <w:tr2bl w:val="nil"/>
                  </w:tcBorders>
                  <w:vAlign w:val="center"/>
                </w:tcPr>
                <w:p>
                  <w:pPr>
                    <w:adjustRightInd w:val="0"/>
                    <w:snapToGrid w:val="0"/>
                    <w:jc w:val="center"/>
                    <w:rPr>
                      <w:kern w:val="21"/>
                      <w:szCs w:val="21"/>
                    </w:rPr>
                  </w:pPr>
                  <w:r>
                    <w:rPr>
                      <w:kern w:val="21"/>
                      <w:szCs w:val="21"/>
                    </w:rPr>
                    <w:t>由载流量控制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pct"/>
                  <w:vMerge w:val="continue"/>
                  <w:tcBorders>
                    <w:tl2br w:val="nil"/>
                    <w:tr2bl w:val="nil"/>
                  </w:tcBorders>
                  <w:vAlign w:val="center"/>
                </w:tcPr>
                <w:p>
                  <w:pPr>
                    <w:adjustRightInd w:val="0"/>
                    <w:snapToGrid w:val="0"/>
                    <w:jc w:val="center"/>
                    <w:rPr>
                      <w:kern w:val="21"/>
                      <w:szCs w:val="21"/>
                    </w:rPr>
                  </w:pPr>
                </w:p>
              </w:tc>
              <w:tc>
                <w:tcPr>
                  <w:tcW w:w="936" w:type="pct"/>
                  <w:tcBorders>
                    <w:tl2br w:val="nil"/>
                    <w:tr2bl w:val="nil"/>
                  </w:tcBorders>
                  <w:vAlign w:val="center"/>
                </w:tcPr>
                <w:p>
                  <w:pPr>
                    <w:adjustRightInd w:val="0"/>
                    <w:snapToGrid w:val="0"/>
                    <w:jc w:val="center"/>
                    <w:rPr>
                      <w:kern w:val="21"/>
                      <w:szCs w:val="21"/>
                    </w:rPr>
                  </w:pPr>
                  <w:r>
                    <w:rPr>
                      <w:kern w:val="21"/>
                      <w:szCs w:val="21"/>
                    </w:rPr>
                    <w:t>站用变回路</w:t>
                  </w:r>
                </w:p>
              </w:tc>
              <w:tc>
                <w:tcPr>
                  <w:tcW w:w="545" w:type="pct"/>
                  <w:tcBorders>
                    <w:tl2br w:val="nil"/>
                    <w:tr2bl w:val="nil"/>
                  </w:tcBorders>
                  <w:vAlign w:val="center"/>
                </w:tcPr>
                <w:p>
                  <w:pPr>
                    <w:adjustRightInd w:val="0"/>
                    <w:snapToGrid w:val="0"/>
                    <w:jc w:val="center"/>
                    <w:rPr>
                      <w:kern w:val="21"/>
                      <w:szCs w:val="21"/>
                    </w:rPr>
                  </w:pPr>
                  <w:r>
                    <w:rPr>
                      <w:kern w:val="21"/>
                      <w:szCs w:val="21"/>
                    </w:rPr>
                    <w:t>52</w:t>
                  </w:r>
                </w:p>
              </w:tc>
              <w:tc>
                <w:tcPr>
                  <w:tcW w:w="1427" w:type="pct"/>
                  <w:tcBorders>
                    <w:tl2br w:val="nil"/>
                    <w:tr2bl w:val="nil"/>
                  </w:tcBorders>
                  <w:vAlign w:val="center"/>
                </w:tcPr>
                <w:p>
                  <w:pPr>
                    <w:adjustRightInd w:val="0"/>
                    <w:snapToGrid w:val="0"/>
                    <w:jc w:val="center"/>
                    <w:rPr>
                      <w:kern w:val="21"/>
                      <w:szCs w:val="21"/>
                    </w:rPr>
                  </w:pPr>
                  <w:r>
                    <w:rPr>
                      <w:kern w:val="21"/>
                      <w:szCs w:val="21"/>
                    </w:rPr>
                    <w:t>ZR-YJY23-26/35kV-</w:t>
                  </w:r>
                  <w:r>
                    <w:rPr>
                      <w:rFonts w:hint="eastAsia"/>
                      <w:kern w:val="21"/>
                      <w:szCs w:val="21"/>
                    </w:rPr>
                    <w:t>3</w:t>
                  </w:r>
                  <w:r>
                    <w:rPr>
                      <w:kern w:val="21"/>
                      <w:szCs w:val="21"/>
                    </w:rPr>
                    <w:t>×</w:t>
                  </w:r>
                  <w:r>
                    <w:rPr>
                      <w:rFonts w:hint="eastAsia"/>
                      <w:kern w:val="21"/>
                      <w:szCs w:val="21"/>
                    </w:rPr>
                    <w:t>12</w:t>
                  </w:r>
                  <w:r>
                    <w:rPr>
                      <w:kern w:val="21"/>
                      <w:szCs w:val="21"/>
                    </w:rPr>
                    <w:t>0</w:t>
                  </w:r>
                </w:p>
              </w:tc>
              <w:tc>
                <w:tcPr>
                  <w:tcW w:w="529" w:type="pct"/>
                  <w:tcBorders>
                    <w:tl2br w:val="nil"/>
                    <w:tr2bl w:val="nil"/>
                  </w:tcBorders>
                  <w:vAlign w:val="center"/>
                </w:tcPr>
                <w:p>
                  <w:pPr>
                    <w:adjustRightInd w:val="0"/>
                    <w:snapToGrid w:val="0"/>
                    <w:jc w:val="center"/>
                    <w:rPr>
                      <w:kern w:val="21"/>
                      <w:szCs w:val="21"/>
                    </w:rPr>
                  </w:pPr>
                  <w:r>
                    <w:rPr>
                      <w:kern w:val="21"/>
                      <w:szCs w:val="21"/>
                    </w:rPr>
                    <w:t>285</w:t>
                  </w:r>
                </w:p>
              </w:tc>
              <w:tc>
                <w:tcPr>
                  <w:tcW w:w="1089" w:type="pct"/>
                  <w:tcBorders>
                    <w:tl2br w:val="nil"/>
                    <w:tr2bl w:val="nil"/>
                  </w:tcBorders>
                  <w:vAlign w:val="center"/>
                </w:tcPr>
                <w:p>
                  <w:pPr>
                    <w:adjustRightInd w:val="0"/>
                    <w:snapToGrid w:val="0"/>
                    <w:jc w:val="center"/>
                    <w:rPr>
                      <w:kern w:val="21"/>
                      <w:szCs w:val="21"/>
                    </w:rPr>
                  </w:pPr>
                  <w:r>
                    <w:rPr>
                      <w:kern w:val="21"/>
                      <w:szCs w:val="21"/>
                    </w:rPr>
                    <w:t>由热稳定</w:t>
                  </w:r>
                  <w:r>
                    <w:rPr>
                      <w:rFonts w:hint="eastAsia"/>
                      <w:kern w:val="21"/>
                      <w:szCs w:val="21"/>
                    </w:rPr>
                    <w:t>控制</w:t>
                  </w:r>
                </w:p>
              </w:tc>
            </w:tr>
          </w:tbl>
          <w:p>
            <w:pPr>
              <w:adjustRightInd w:val="0"/>
              <w:snapToGrid w:val="0"/>
              <w:spacing w:before="120" w:beforeLines="50" w:after="120" w:afterLines="50" w:line="360" w:lineRule="auto"/>
              <w:rPr>
                <w:b/>
                <w:bCs/>
                <w:sz w:val="24"/>
              </w:rPr>
            </w:pPr>
            <w:r>
              <w:rPr>
                <w:rFonts w:hint="eastAsia"/>
                <w:b/>
                <w:bCs/>
                <w:sz w:val="24"/>
              </w:rPr>
              <w:t>2.1.5</w:t>
            </w:r>
            <w:r>
              <w:rPr>
                <w:b/>
                <w:bCs/>
                <w:sz w:val="24"/>
              </w:rPr>
              <w:t>原辅材料消耗</w:t>
            </w:r>
          </w:p>
          <w:p>
            <w:pPr>
              <w:adjustRightInd w:val="0"/>
              <w:snapToGrid w:val="0"/>
              <w:spacing w:before="120" w:beforeLines="50" w:line="360" w:lineRule="auto"/>
              <w:jc w:val="center"/>
              <w:rPr>
                <w:color w:val="000000"/>
                <w:kern w:val="0"/>
                <w:sz w:val="24"/>
              </w:rPr>
            </w:pPr>
            <w:r>
              <w:rPr>
                <w:b/>
                <w:color w:val="000000"/>
                <w:sz w:val="24"/>
              </w:rPr>
              <w:t>表2-</w:t>
            </w:r>
            <w:r>
              <w:rPr>
                <w:rFonts w:hint="eastAsia"/>
                <w:b/>
                <w:color w:val="000000"/>
                <w:sz w:val="24"/>
              </w:rPr>
              <w:t>9</w:t>
            </w:r>
            <w:r>
              <w:rPr>
                <w:b/>
                <w:color w:val="000000"/>
                <w:sz w:val="24"/>
              </w:rPr>
              <w:t xml:space="preserve">    本项目主要原辅材料消耗一览表</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1483"/>
              <w:gridCol w:w="1411"/>
              <w:gridCol w:w="44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70" w:type="pct"/>
                  <w:tcBorders>
                    <w:tl2br w:val="nil"/>
                    <w:tr2bl w:val="nil"/>
                  </w:tcBorders>
                  <w:vAlign w:val="center"/>
                </w:tcPr>
                <w:p>
                  <w:pPr>
                    <w:adjustRightInd w:val="0"/>
                    <w:snapToGrid w:val="0"/>
                    <w:jc w:val="center"/>
                    <w:rPr>
                      <w:color w:val="000000"/>
                      <w:szCs w:val="21"/>
                    </w:rPr>
                  </w:pPr>
                  <w:r>
                    <w:rPr>
                      <w:color w:val="000000"/>
                      <w:szCs w:val="21"/>
                    </w:rPr>
                    <w:t>序号</w:t>
                  </w:r>
                </w:p>
              </w:tc>
              <w:tc>
                <w:tcPr>
                  <w:tcW w:w="910" w:type="pct"/>
                  <w:tcBorders>
                    <w:tl2br w:val="nil"/>
                    <w:tr2bl w:val="nil"/>
                  </w:tcBorders>
                  <w:vAlign w:val="center"/>
                </w:tcPr>
                <w:p>
                  <w:pPr>
                    <w:adjustRightInd w:val="0"/>
                    <w:snapToGrid w:val="0"/>
                    <w:jc w:val="center"/>
                    <w:rPr>
                      <w:color w:val="000000"/>
                      <w:szCs w:val="21"/>
                    </w:rPr>
                  </w:pPr>
                  <w:r>
                    <w:rPr>
                      <w:color w:val="000000"/>
                      <w:szCs w:val="21"/>
                    </w:rPr>
                    <w:t>名称</w:t>
                  </w:r>
                </w:p>
              </w:tc>
              <w:tc>
                <w:tcPr>
                  <w:tcW w:w="866" w:type="pct"/>
                  <w:tcBorders>
                    <w:tl2br w:val="nil"/>
                    <w:tr2bl w:val="nil"/>
                  </w:tcBorders>
                  <w:vAlign w:val="center"/>
                </w:tcPr>
                <w:p>
                  <w:pPr>
                    <w:adjustRightInd w:val="0"/>
                    <w:snapToGrid w:val="0"/>
                    <w:jc w:val="center"/>
                    <w:rPr>
                      <w:color w:val="000000"/>
                      <w:szCs w:val="21"/>
                    </w:rPr>
                  </w:pPr>
                  <w:r>
                    <w:rPr>
                      <w:color w:val="000000"/>
                      <w:szCs w:val="21"/>
                    </w:rPr>
                    <w:t>用量</w:t>
                  </w:r>
                </w:p>
              </w:tc>
              <w:tc>
                <w:tcPr>
                  <w:tcW w:w="2752" w:type="pct"/>
                  <w:tcBorders>
                    <w:tl2br w:val="nil"/>
                    <w:tr2bl w:val="nil"/>
                  </w:tcBorders>
                  <w:vAlign w:val="center"/>
                </w:tcPr>
                <w:p>
                  <w:pPr>
                    <w:adjustRightInd w:val="0"/>
                    <w:snapToGrid w:val="0"/>
                    <w:jc w:val="center"/>
                    <w:rPr>
                      <w:color w:val="000000"/>
                      <w:szCs w:val="21"/>
                    </w:rPr>
                  </w:pPr>
                  <w:r>
                    <w:rPr>
                      <w:color w:val="000000"/>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70" w:type="pct"/>
                  <w:tcBorders>
                    <w:tl2br w:val="nil"/>
                    <w:tr2bl w:val="nil"/>
                  </w:tcBorders>
                  <w:vAlign w:val="center"/>
                </w:tcPr>
                <w:p>
                  <w:pPr>
                    <w:adjustRightInd w:val="0"/>
                    <w:snapToGrid w:val="0"/>
                    <w:jc w:val="center"/>
                    <w:rPr>
                      <w:color w:val="000000"/>
                      <w:szCs w:val="21"/>
                    </w:rPr>
                  </w:pPr>
                  <w:r>
                    <w:rPr>
                      <w:rFonts w:hint="eastAsia"/>
                      <w:color w:val="000000"/>
                      <w:szCs w:val="21"/>
                    </w:rPr>
                    <w:t>1</w:t>
                  </w:r>
                </w:p>
              </w:tc>
              <w:tc>
                <w:tcPr>
                  <w:tcW w:w="910" w:type="pct"/>
                  <w:tcBorders>
                    <w:tl2br w:val="nil"/>
                    <w:tr2bl w:val="nil"/>
                  </w:tcBorders>
                  <w:vAlign w:val="center"/>
                </w:tcPr>
                <w:p>
                  <w:pPr>
                    <w:adjustRightInd w:val="0"/>
                    <w:snapToGrid w:val="0"/>
                    <w:jc w:val="center"/>
                    <w:rPr>
                      <w:color w:val="000000"/>
                      <w:szCs w:val="21"/>
                    </w:rPr>
                  </w:pPr>
                  <w:r>
                    <w:rPr>
                      <w:color w:val="000000"/>
                      <w:szCs w:val="21"/>
                    </w:rPr>
                    <w:t>储能电池</w:t>
                  </w:r>
                </w:p>
              </w:tc>
              <w:tc>
                <w:tcPr>
                  <w:tcW w:w="866" w:type="pct"/>
                  <w:tcBorders>
                    <w:tl2br w:val="nil"/>
                    <w:tr2bl w:val="nil"/>
                  </w:tcBorders>
                  <w:vAlign w:val="center"/>
                </w:tcPr>
                <w:p>
                  <w:pPr>
                    <w:adjustRightInd w:val="0"/>
                    <w:snapToGrid w:val="0"/>
                    <w:jc w:val="center"/>
                    <w:rPr>
                      <w:color w:val="000000"/>
                      <w:szCs w:val="21"/>
                    </w:rPr>
                  </w:pPr>
                  <w:r>
                    <w:rPr>
                      <w:rFonts w:hint="eastAsia"/>
                      <w:color w:val="000000"/>
                      <w:szCs w:val="21"/>
                    </w:rPr>
                    <w:t>24048个</w:t>
                  </w:r>
                </w:p>
              </w:tc>
              <w:tc>
                <w:tcPr>
                  <w:tcW w:w="2752" w:type="pct"/>
                  <w:tcBorders>
                    <w:tl2br w:val="nil"/>
                    <w:tr2bl w:val="nil"/>
                  </w:tcBorders>
                  <w:vAlign w:val="center"/>
                </w:tcPr>
                <w:p>
                  <w:pPr>
                    <w:adjustRightInd w:val="0"/>
                    <w:snapToGrid w:val="0"/>
                    <w:jc w:val="center"/>
                    <w:rPr>
                      <w:color w:val="000000"/>
                      <w:szCs w:val="21"/>
                    </w:rPr>
                  </w:pPr>
                  <w:r>
                    <w:rPr>
                      <w:color w:val="000000"/>
                      <w:szCs w:val="21"/>
                    </w:rPr>
                    <w:t>磷酸铁锂电池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70" w:type="pct"/>
                  <w:tcBorders>
                    <w:tl2br w:val="nil"/>
                    <w:tr2bl w:val="nil"/>
                  </w:tcBorders>
                  <w:vAlign w:val="center"/>
                </w:tcPr>
                <w:p>
                  <w:pPr>
                    <w:adjustRightInd w:val="0"/>
                    <w:snapToGrid w:val="0"/>
                    <w:jc w:val="center"/>
                    <w:rPr>
                      <w:color w:val="000000"/>
                      <w:szCs w:val="21"/>
                    </w:rPr>
                  </w:pPr>
                  <w:r>
                    <w:rPr>
                      <w:rFonts w:hint="eastAsia"/>
                      <w:color w:val="000000"/>
                      <w:szCs w:val="21"/>
                    </w:rPr>
                    <w:t>2</w:t>
                  </w:r>
                </w:p>
              </w:tc>
              <w:tc>
                <w:tcPr>
                  <w:tcW w:w="910" w:type="pct"/>
                  <w:tcBorders>
                    <w:tl2br w:val="nil"/>
                    <w:tr2bl w:val="nil"/>
                  </w:tcBorders>
                  <w:vAlign w:val="center"/>
                </w:tcPr>
                <w:p>
                  <w:pPr>
                    <w:adjustRightInd w:val="0"/>
                    <w:snapToGrid w:val="0"/>
                    <w:jc w:val="center"/>
                    <w:rPr>
                      <w:color w:val="000000"/>
                      <w:szCs w:val="21"/>
                    </w:rPr>
                  </w:pPr>
                  <w:r>
                    <w:rPr>
                      <w:color w:val="000000"/>
                      <w:szCs w:val="21"/>
                    </w:rPr>
                    <w:t>变压器油</w:t>
                  </w:r>
                </w:p>
              </w:tc>
              <w:tc>
                <w:tcPr>
                  <w:tcW w:w="866" w:type="pct"/>
                  <w:tcBorders>
                    <w:tl2br w:val="nil"/>
                    <w:tr2bl w:val="nil"/>
                  </w:tcBorders>
                  <w:vAlign w:val="center"/>
                </w:tcPr>
                <w:p>
                  <w:pPr>
                    <w:adjustRightInd w:val="0"/>
                    <w:snapToGrid w:val="0"/>
                    <w:jc w:val="center"/>
                    <w:rPr>
                      <w:color w:val="000000"/>
                      <w:szCs w:val="21"/>
                    </w:rPr>
                  </w:pPr>
                  <w:r>
                    <w:rPr>
                      <w:rFonts w:hint="eastAsia"/>
                      <w:color w:val="000000"/>
                      <w:szCs w:val="21"/>
                    </w:rPr>
                    <w:t>155</w:t>
                  </w:r>
                  <w:r>
                    <w:rPr>
                      <w:color w:val="000000"/>
                      <w:szCs w:val="21"/>
                    </w:rPr>
                    <w:t>t</w:t>
                  </w:r>
                </w:p>
              </w:tc>
              <w:tc>
                <w:tcPr>
                  <w:tcW w:w="2752" w:type="pct"/>
                  <w:tcBorders>
                    <w:tl2br w:val="nil"/>
                    <w:tr2bl w:val="nil"/>
                  </w:tcBorders>
                  <w:vAlign w:val="center"/>
                </w:tcPr>
                <w:p>
                  <w:pPr>
                    <w:adjustRightInd w:val="0"/>
                    <w:snapToGrid w:val="0"/>
                    <w:jc w:val="center"/>
                    <w:rPr>
                      <w:color w:val="000000"/>
                      <w:szCs w:val="21"/>
                    </w:rPr>
                  </w:pPr>
                  <w:r>
                    <w:rPr>
                      <w:rFonts w:hint="eastAsia"/>
                      <w:color w:val="000000"/>
                      <w:szCs w:val="21"/>
                    </w:rPr>
                    <w:t>升压站</w:t>
                  </w:r>
                  <w:r>
                    <w:rPr>
                      <w:color w:val="000000"/>
                      <w:szCs w:val="21"/>
                    </w:rPr>
                    <w:t>2台主变</w:t>
                  </w:r>
                  <w:r>
                    <w:rPr>
                      <w:rFonts w:hint="eastAsia"/>
                      <w:color w:val="000000"/>
                      <w:szCs w:val="21"/>
                    </w:rPr>
                    <w:t>1×360MVA+1×240MVA，</w:t>
                  </w:r>
                  <w:r>
                    <w:rPr>
                      <w:szCs w:val="21"/>
                    </w:rPr>
                    <w:t>单台360MVA变压器油重85t，单台240MVA变压器油重70t，合计</w:t>
                  </w:r>
                  <w:r>
                    <w:rPr>
                      <w:rFonts w:hint="eastAsia"/>
                      <w:szCs w:val="21"/>
                    </w:rPr>
                    <w:t>155</w:t>
                  </w:r>
                  <w:r>
                    <w:rPr>
                      <w:szCs w:val="21"/>
                    </w:rPr>
                    <w:t>t</w:t>
                  </w:r>
                  <w:r>
                    <w:rPr>
                      <w:rFonts w:hint="eastAsia"/>
                      <w:szCs w:val="21"/>
                    </w:rPr>
                    <w:t>；储能电站每个储能子阵35kV变压器为干式变压器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70" w:type="pct"/>
                  <w:tcBorders>
                    <w:tl2br w:val="nil"/>
                    <w:tr2bl w:val="nil"/>
                  </w:tcBorders>
                  <w:vAlign w:val="center"/>
                </w:tcPr>
                <w:p>
                  <w:pPr>
                    <w:adjustRightInd w:val="0"/>
                    <w:snapToGrid w:val="0"/>
                    <w:jc w:val="center"/>
                    <w:rPr>
                      <w:color w:val="000000"/>
                      <w:szCs w:val="21"/>
                    </w:rPr>
                  </w:pPr>
                  <w:r>
                    <w:rPr>
                      <w:rFonts w:hint="eastAsia"/>
                      <w:color w:val="000000"/>
                      <w:szCs w:val="21"/>
                    </w:rPr>
                    <w:t>3</w:t>
                  </w:r>
                </w:p>
              </w:tc>
              <w:tc>
                <w:tcPr>
                  <w:tcW w:w="910" w:type="pct"/>
                  <w:tcBorders>
                    <w:tl2br w:val="nil"/>
                    <w:tr2bl w:val="nil"/>
                  </w:tcBorders>
                  <w:vAlign w:val="center"/>
                </w:tcPr>
                <w:p>
                  <w:pPr>
                    <w:adjustRightInd w:val="0"/>
                    <w:snapToGrid w:val="0"/>
                    <w:jc w:val="center"/>
                    <w:rPr>
                      <w:color w:val="000000"/>
                      <w:szCs w:val="21"/>
                    </w:rPr>
                  </w:pPr>
                  <w:r>
                    <w:rPr>
                      <w:color w:val="000000"/>
                      <w:szCs w:val="21"/>
                    </w:rPr>
                    <w:t>电</w:t>
                  </w:r>
                </w:p>
              </w:tc>
              <w:tc>
                <w:tcPr>
                  <w:tcW w:w="866" w:type="pct"/>
                  <w:tcBorders>
                    <w:tl2br w:val="nil"/>
                    <w:tr2bl w:val="nil"/>
                  </w:tcBorders>
                  <w:vAlign w:val="center"/>
                </w:tcPr>
                <w:p>
                  <w:pPr>
                    <w:adjustRightInd w:val="0"/>
                    <w:snapToGrid w:val="0"/>
                    <w:jc w:val="center"/>
                    <w:rPr>
                      <w:color w:val="000000"/>
                      <w:szCs w:val="21"/>
                    </w:rPr>
                  </w:pPr>
                  <w:r>
                    <w:rPr>
                      <w:rFonts w:hint="eastAsia"/>
                      <w:color w:val="000000"/>
                      <w:szCs w:val="21"/>
                    </w:rPr>
                    <w:t>2万</w:t>
                  </w:r>
                  <w:r>
                    <w:rPr>
                      <w:color w:val="000000"/>
                      <w:szCs w:val="21"/>
                    </w:rPr>
                    <w:t>k</w:t>
                  </w:r>
                  <w:r>
                    <w:rPr>
                      <w:rFonts w:hint="eastAsia"/>
                      <w:color w:val="000000"/>
                      <w:szCs w:val="21"/>
                    </w:rPr>
                    <w:t>Wh</w:t>
                  </w:r>
                  <w:r>
                    <w:rPr>
                      <w:color w:val="000000"/>
                      <w:szCs w:val="21"/>
                    </w:rPr>
                    <w:t>/a</w:t>
                  </w:r>
                </w:p>
              </w:tc>
              <w:tc>
                <w:tcPr>
                  <w:tcW w:w="2752" w:type="pct"/>
                  <w:tcBorders>
                    <w:tl2br w:val="nil"/>
                    <w:tr2bl w:val="nil"/>
                  </w:tcBorders>
                  <w:vAlign w:val="center"/>
                </w:tcPr>
                <w:p>
                  <w:pPr>
                    <w:adjustRightInd w:val="0"/>
                    <w:snapToGrid w:val="0"/>
                    <w:jc w:val="center"/>
                    <w:rPr>
                      <w:color w:val="000000"/>
                      <w:szCs w:val="21"/>
                    </w:rPr>
                  </w:pPr>
                  <w:r>
                    <w:rPr>
                      <w:rFonts w:hint="eastAsia"/>
                      <w:color w:val="000000"/>
                      <w:szCs w:val="21"/>
                    </w:rPr>
                    <w:t>包括</w:t>
                  </w:r>
                  <w:r>
                    <w:rPr>
                      <w:color w:val="000000"/>
                      <w:szCs w:val="21"/>
                    </w:rPr>
                    <w:t>站用电及照明用电等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70" w:type="pct"/>
                  <w:tcBorders>
                    <w:tl2br w:val="nil"/>
                    <w:tr2bl w:val="nil"/>
                  </w:tcBorders>
                  <w:vAlign w:val="center"/>
                </w:tcPr>
                <w:p>
                  <w:pPr>
                    <w:adjustRightInd w:val="0"/>
                    <w:snapToGrid w:val="0"/>
                    <w:jc w:val="center"/>
                    <w:rPr>
                      <w:color w:val="000000"/>
                      <w:szCs w:val="21"/>
                    </w:rPr>
                  </w:pPr>
                  <w:r>
                    <w:rPr>
                      <w:rFonts w:hint="eastAsia"/>
                      <w:color w:val="000000"/>
                      <w:szCs w:val="21"/>
                    </w:rPr>
                    <w:t>4</w:t>
                  </w:r>
                </w:p>
              </w:tc>
              <w:tc>
                <w:tcPr>
                  <w:tcW w:w="910" w:type="pct"/>
                  <w:tcBorders>
                    <w:tl2br w:val="nil"/>
                    <w:tr2bl w:val="nil"/>
                  </w:tcBorders>
                  <w:vAlign w:val="center"/>
                </w:tcPr>
                <w:p>
                  <w:pPr>
                    <w:adjustRightInd w:val="0"/>
                    <w:snapToGrid w:val="0"/>
                    <w:jc w:val="center"/>
                    <w:rPr>
                      <w:color w:val="000000"/>
                      <w:szCs w:val="21"/>
                    </w:rPr>
                  </w:pPr>
                  <w:r>
                    <w:rPr>
                      <w:color w:val="000000"/>
                      <w:szCs w:val="21"/>
                    </w:rPr>
                    <w:t>水</w:t>
                  </w:r>
                </w:p>
              </w:tc>
              <w:tc>
                <w:tcPr>
                  <w:tcW w:w="866" w:type="pct"/>
                  <w:tcBorders>
                    <w:tl2br w:val="nil"/>
                    <w:tr2bl w:val="nil"/>
                  </w:tcBorders>
                  <w:vAlign w:val="center"/>
                </w:tcPr>
                <w:p>
                  <w:pPr>
                    <w:adjustRightInd w:val="0"/>
                    <w:snapToGrid w:val="0"/>
                    <w:jc w:val="center"/>
                    <w:rPr>
                      <w:color w:val="000000"/>
                      <w:szCs w:val="21"/>
                    </w:rPr>
                  </w:pPr>
                  <w:r>
                    <w:rPr>
                      <w:rFonts w:hint="eastAsia"/>
                      <w:color w:val="000000"/>
                      <w:szCs w:val="21"/>
                    </w:rPr>
                    <w:t>20.8</w:t>
                  </w:r>
                  <w:r>
                    <w:rPr>
                      <w:color w:val="000000"/>
                      <w:szCs w:val="21"/>
                    </w:rPr>
                    <w:t>m</w:t>
                  </w:r>
                  <w:r>
                    <w:rPr>
                      <w:color w:val="000000"/>
                      <w:szCs w:val="21"/>
                      <w:vertAlign w:val="superscript"/>
                    </w:rPr>
                    <w:t>3</w:t>
                  </w:r>
                  <w:r>
                    <w:rPr>
                      <w:color w:val="000000"/>
                      <w:szCs w:val="21"/>
                    </w:rPr>
                    <w:t>/a</w:t>
                  </w:r>
                </w:p>
              </w:tc>
              <w:tc>
                <w:tcPr>
                  <w:tcW w:w="2752" w:type="pct"/>
                  <w:tcBorders>
                    <w:tl2br w:val="nil"/>
                    <w:tr2bl w:val="nil"/>
                  </w:tcBorders>
                  <w:vAlign w:val="center"/>
                </w:tcPr>
                <w:p>
                  <w:pPr>
                    <w:adjustRightInd w:val="0"/>
                    <w:snapToGrid w:val="0"/>
                    <w:jc w:val="center"/>
                    <w:rPr>
                      <w:color w:val="000000"/>
                      <w:szCs w:val="21"/>
                    </w:rPr>
                  </w:pPr>
                  <w:r>
                    <w:rPr>
                      <w:color w:val="000000"/>
                      <w:szCs w:val="21"/>
                    </w:rPr>
                    <w:t>给水从</w:t>
                  </w:r>
                  <w:r>
                    <w:rPr>
                      <w:rFonts w:hint="eastAsia"/>
                      <w:color w:val="000000"/>
                      <w:szCs w:val="21"/>
                    </w:rPr>
                    <w:t>附近水源拉运</w:t>
                  </w:r>
                </w:p>
              </w:tc>
            </w:tr>
          </w:tbl>
          <w:p>
            <w:pPr>
              <w:adjustRightInd w:val="0"/>
              <w:snapToGrid w:val="0"/>
              <w:spacing w:before="120" w:beforeLines="50" w:line="360" w:lineRule="auto"/>
              <w:ind w:firstLine="480" w:firstLineChars="200"/>
              <w:rPr>
                <w:sz w:val="24"/>
              </w:rPr>
            </w:pPr>
            <w:r>
              <w:rPr>
                <w:rFonts w:hint="eastAsia"/>
                <w:sz w:val="24"/>
              </w:rPr>
              <w:t>储能电站</w:t>
            </w:r>
            <w:r>
              <w:rPr>
                <w:sz w:val="24"/>
              </w:rPr>
              <w:t>所用</w:t>
            </w:r>
            <w:r>
              <w:rPr>
                <w:rFonts w:hint="eastAsia"/>
                <w:sz w:val="24"/>
              </w:rPr>
              <w:t>储能电池</w:t>
            </w:r>
            <w:r>
              <w:rPr>
                <w:sz w:val="24"/>
              </w:rPr>
              <w:t>主要</w:t>
            </w:r>
            <w:r>
              <w:rPr>
                <w:rFonts w:hint="eastAsia"/>
                <w:sz w:val="24"/>
              </w:rPr>
              <w:t>选用3.2V/280Ah磷酸铁锂电池</w:t>
            </w:r>
            <w:r>
              <w:rPr>
                <w:sz w:val="24"/>
              </w:rPr>
              <w:t>，采用1P52S的电池插箱进行配置，电池插箱规格为166.4V/280Ah，额定能量为46.6kWh，8个电池插箱成簇，电池簇规格为1331.2V/280Ah/372kWh</w:t>
            </w:r>
            <w:r>
              <w:rPr>
                <w:rFonts w:hint="eastAsia"/>
                <w:sz w:val="24"/>
              </w:rPr>
              <w:t>，</w:t>
            </w:r>
            <w:r>
              <w:rPr>
                <w:sz w:val="24"/>
              </w:rPr>
              <w:t>9簇成堆，电池堆额定能量为3.354624MWh，共2堆，额定能量为6.709MWh，集成于1台40尺集装箱内。本项目共采用</w:t>
            </w:r>
            <w:r>
              <w:rPr>
                <w:rFonts w:hint="eastAsia"/>
                <w:sz w:val="24"/>
              </w:rPr>
              <w:t>167</w:t>
            </w:r>
            <w:r>
              <w:rPr>
                <w:sz w:val="24"/>
              </w:rPr>
              <w:t>套6.709MWh电池集装箱，总装机容量为</w:t>
            </w:r>
            <w:r>
              <w:rPr>
                <w:rFonts w:hint="eastAsia"/>
                <w:sz w:val="24"/>
              </w:rPr>
              <w:t>1000</w:t>
            </w:r>
            <w:r>
              <w:rPr>
                <w:sz w:val="24"/>
              </w:rPr>
              <w:t>MWh，直流侧额定电压为1331.2V，直流电压范围为1164.8V</w:t>
            </w:r>
            <w:r>
              <w:rPr>
                <w:rFonts w:hint="eastAsia"/>
                <w:sz w:val="24"/>
              </w:rPr>
              <w:t>~</w:t>
            </w:r>
            <w:r>
              <w:rPr>
                <w:sz w:val="24"/>
              </w:rPr>
              <w:t>1497.6V。</w:t>
            </w:r>
          </w:p>
          <w:p>
            <w:pPr>
              <w:spacing w:line="360" w:lineRule="auto"/>
              <w:ind w:firstLine="480" w:firstLineChars="200"/>
              <w:rPr>
                <w:sz w:val="24"/>
              </w:rPr>
            </w:pPr>
            <w:r>
              <w:rPr>
                <w:sz w:val="24"/>
              </w:rPr>
              <w:t>储能变流升压系统由</w:t>
            </w:r>
            <w:r>
              <w:rPr>
                <w:rFonts w:hint="eastAsia"/>
                <w:sz w:val="24"/>
              </w:rPr>
              <w:t>167</w:t>
            </w:r>
            <w:r>
              <w:rPr>
                <w:sz w:val="24"/>
              </w:rPr>
              <w:t>个变流升压集装箱组成，每个集装箱包括2台1.5MW变流器、1台3150kVA升压变压器，1台配电监控柜、1套就地监控系统、1台环网柜。</w:t>
            </w:r>
          </w:p>
          <w:p>
            <w:pPr>
              <w:adjustRightInd w:val="0"/>
              <w:snapToGrid w:val="0"/>
              <w:spacing w:before="120" w:beforeLines="50" w:line="360" w:lineRule="auto"/>
              <w:jc w:val="center"/>
              <w:rPr>
                <w:kern w:val="0"/>
                <w:sz w:val="24"/>
              </w:rPr>
            </w:pPr>
            <w:r>
              <w:rPr>
                <w:rFonts w:hint="eastAsia"/>
                <w:b/>
                <w:bCs/>
                <w:kern w:val="0"/>
                <w:sz w:val="24"/>
              </w:rPr>
              <w:t>表2-10    磷酸铁锂电池单体电芯技术参数</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282"/>
              <w:gridCol w:w="3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序号</w:t>
                  </w:r>
                </w:p>
              </w:tc>
              <w:tc>
                <w:tcPr>
                  <w:tcW w:w="2014" w:type="pct"/>
                  <w:tcBorders>
                    <w:tl2br w:val="nil"/>
                    <w:tr2bl w:val="nil"/>
                  </w:tcBorders>
                  <w:vAlign w:val="center"/>
                </w:tcPr>
                <w:p>
                  <w:pPr>
                    <w:adjustRightInd w:val="0"/>
                    <w:snapToGrid w:val="0"/>
                    <w:jc w:val="center"/>
                    <w:rPr>
                      <w:kern w:val="21"/>
                      <w:szCs w:val="21"/>
                    </w:rPr>
                  </w:pPr>
                  <w:r>
                    <w:rPr>
                      <w:kern w:val="21"/>
                      <w:szCs w:val="21"/>
                    </w:rPr>
                    <w:t>项目</w:t>
                  </w:r>
                </w:p>
              </w:tc>
              <w:tc>
                <w:tcPr>
                  <w:tcW w:w="2291" w:type="pct"/>
                  <w:tcBorders>
                    <w:tl2br w:val="nil"/>
                    <w:tr2bl w:val="nil"/>
                  </w:tcBorders>
                  <w:vAlign w:val="center"/>
                </w:tcPr>
                <w:p>
                  <w:pPr>
                    <w:adjustRightInd w:val="0"/>
                    <w:snapToGrid w:val="0"/>
                    <w:jc w:val="center"/>
                    <w:rPr>
                      <w:kern w:val="21"/>
                      <w:szCs w:val="21"/>
                    </w:rPr>
                  </w:pPr>
                  <w:r>
                    <w:rPr>
                      <w:kern w:val="21"/>
                      <w:szCs w:val="21"/>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1</w:t>
                  </w:r>
                </w:p>
              </w:tc>
              <w:tc>
                <w:tcPr>
                  <w:tcW w:w="2014" w:type="pct"/>
                  <w:tcBorders>
                    <w:tl2br w:val="nil"/>
                    <w:tr2bl w:val="nil"/>
                  </w:tcBorders>
                  <w:vAlign w:val="center"/>
                </w:tcPr>
                <w:p>
                  <w:pPr>
                    <w:adjustRightInd w:val="0"/>
                    <w:snapToGrid w:val="0"/>
                    <w:jc w:val="center"/>
                    <w:rPr>
                      <w:kern w:val="21"/>
                      <w:szCs w:val="21"/>
                    </w:rPr>
                  </w:pPr>
                  <w:r>
                    <w:rPr>
                      <w:kern w:val="21"/>
                      <w:szCs w:val="21"/>
                    </w:rPr>
                    <w:t>标称容量（Ah）</w:t>
                  </w:r>
                </w:p>
              </w:tc>
              <w:tc>
                <w:tcPr>
                  <w:tcW w:w="2291" w:type="pct"/>
                  <w:tcBorders>
                    <w:tl2br w:val="nil"/>
                    <w:tr2bl w:val="nil"/>
                  </w:tcBorders>
                  <w:vAlign w:val="center"/>
                </w:tcPr>
                <w:p>
                  <w:pPr>
                    <w:adjustRightInd w:val="0"/>
                    <w:snapToGrid w:val="0"/>
                    <w:jc w:val="center"/>
                    <w:rPr>
                      <w:kern w:val="21"/>
                      <w:szCs w:val="21"/>
                    </w:rPr>
                  </w:pPr>
                  <w:r>
                    <w:rPr>
                      <w:kern w:val="21"/>
                      <w:szCs w:val="21"/>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2</w:t>
                  </w:r>
                </w:p>
              </w:tc>
              <w:tc>
                <w:tcPr>
                  <w:tcW w:w="2014" w:type="pct"/>
                  <w:tcBorders>
                    <w:tl2br w:val="nil"/>
                    <w:tr2bl w:val="nil"/>
                  </w:tcBorders>
                  <w:vAlign w:val="center"/>
                </w:tcPr>
                <w:p>
                  <w:pPr>
                    <w:adjustRightInd w:val="0"/>
                    <w:snapToGrid w:val="0"/>
                    <w:jc w:val="center"/>
                    <w:rPr>
                      <w:kern w:val="21"/>
                      <w:szCs w:val="21"/>
                    </w:rPr>
                  </w:pPr>
                  <w:r>
                    <w:rPr>
                      <w:kern w:val="21"/>
                      <w:szCs w:val="21"/>
                    </w:rPr>
                    <w:t>标称电压</w:t>
                  </w:r>
                </w:p>
              </w:tc>
              <w:tc>
                <w:tcPr>
                  <w:tcW w:w="2291" w:type="pct"/>
                  <w:tcBorders>
                    <w:tl2br w:val="nil"/>
                    <w:tr2bl w:val="nil"/>
                  </w:tcBorders>
                  <w:vAlign w:val="center"/>
                </w:tcPr>
                <w:p>
                  <w:pPr>
                    <w:adjustRightInd w:val="0"/>
                    <w:snapToGrid w:val="0"/>
                    <w:jc w:val="center"/>
                    <w:rPr>
                      <w:kern w:val="21"/>
                      <w:szCs w:val="21"/>
                    </w:rPr>
                  </w:pPr>
                  <w:r>
                    <w:rPr>
                      <w:kern w:val="21"/>
                      <w:szCs w:val="21"/>
                    </w:rPr>
                    <w:t>3.20V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3</w:t>
                  </w:r>
                </w:p>
              </w:tc>
              <w:tc>
                <w:tcPr>
                  <w:tcW w:w="2014" w:type="pct"/>
                  <w:tcBorders>
                    <w:tl2br w:val="nil"/>
                    <w:tr2bl w:val="nil"/>
                  </w:tcBorders>
                  <w:vAlign w:val="center"/>
                </w:tcPr>
                <w:p>
                  <w:pPr>
                    <w:adjustRightInd w:val="0"/>
                    <w:snapToGrid w:val="0"/>
                    <w:jc w:val="center"/>
                    <w:rPr>
                      <w:kern w:val="21"/>
                      <w:szCs w:val="21"/>
                    </w:rPr>
                  </w:pPr>
                  <w:r>
                    <w:rPr>
                      <w:kern w:val="21"/>
                      <w:szCs w:val="21"/>
                    </w:rPr>
                    <w:t>工作电压范围</w:t>
                  </w:r>
                </w:p>
              </w:tc>
              <w:tc>
                <w:tcPr>
                  <w:tcW w:w="2291" w:type="pct"/>
                  <w:tcBorders>
                    <w:tl2br w:val="nil"/>
                    <w:tr2bl w:val="nil"/>
                  </w:tcBorders>
                  <w:vAlign w:val="center"/>
                </w:tcPr>
                <w:p>
                  <w:pPr>
                    <w:adjustRightInd w:val="0"/>
                    <w:snapToGrid w:val="0"/>
                    <w:jc w:val="center"/>
                    <w:rPr>
                      <w:kern w:val="21"/>
                      <w:szCs w:val="21"/>
                    </w:rPr>
                  </w:pPr>
                  <w:r>
                    <w:rPr>
                      <w:kern w:val="21"/>
                      <w:szCs w:val="21"/>
                    </w:rPr>
                    <w:t>2.8V～3.6V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4</w:t>
                  </w:r>
                </w:p>
              </w:tc>
              <w:tc>
                <w:tcPr>
                  <w:tcW w:w="2014" w:type="pct"/>
                  <w:tcBorders>
                    <w:tl2br w:val="nil"/>
                    <w:tr2bl w:val="nil"/>
                  </w:tcBorders>
                  <w:vAlign w:val="center"/>
                </w:tcPr>
                <w:p>
                  <w:pPr>
                    <w:adjustRightInd w:val="0"/>
                    <w:snapToGrid w:val="0"/>
                    <w:jc w:val="center"/>
                    <w:rPr>
                      <w:kern w:val="21"/>
                      <w:szCs w:val="21"/>
                    </w:rPr>
                  </w:pPr>
                  <w:r>
                    <w:rPr>
                      <w:kern w:val="21"/>
                      <w:szCs w:val="21"/>
                    </w:rPr>
                    <w:t>工作温度范围</w:t>
                  </w:r>
                </w:p>
              </w:tc>
              <w:tc>
                <w:tcPr>
                  <w:tcW w:w="2291" w:type="pct"/>
                  <w:tcBorders>
                    <w:tl2br w:val="nil"/>
                    <w:tr2bl w:val="nil"/>
                  </w:tcBorders>
                  <w:vAlign w:val="center"/>
                </w:tcPr>
                <w:p>
                  <w:pPr>
                    <w:pStyle w:val="8"/>
                    <w:adjustRightInd w:val="0"/>
                    <w:snapToGrid w:val="0"/>
                    <w:spacing w:after="0"/>
                    <w:ind w:left="0" w:leftChars="0" w:firstLine="0" w:firstLineChars="0"/>
                    <w:jc w:val="center"/>
                    <w:rPr>
                      <w:kern w:val="21"/>
                    </w:rPr>
                  </w:pPr>
                  <w:r>
                    <w:rPr>
                      <w:kern w:val="21"/>
                    </w:rPr>
                    <w:t>充电：0℃~55℃</w:t>
                  </w:r>
                </w:p>
                <w:p>
                  <w:pPr>
                    <w:pStyle w:val="8"/>
                    <w:adjustRightInd w:val="0"/>
                    <w:snapToGrid w:val="0"/>
                    <w:spacing w:after="0"/>
                    <w:ind w:left="0" w:leftChars="0" w:firstLine="0" w:firstLineChars="0"/>
                    <w:jc w:val="center"/>
                    <w:rPr>
                      <w:kern w:val="21"/>
                    </w:rPr>
                  </w:pPr>
                  <w:r>
                    <w:rPr>
                      <w:kern w:val="21"/>
                    </w:rPr>
                    <w:t>放电：-20℃~55℃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5</w:t>
                  </w:r>
                </w:p>
              </w:tc>
              <w:tc>
                <w:tcPr>
                  <w:tcW w:w="2014" w:type="pct"/>
                  <w:tcBorders>
                    <w:tl2br w:val="nil"/>
                    <w:tr2bl w:val="nil"/>
                  </w:tcBorders>
                  <w:vAlign w:val="center"/>
                </w:tcPr>
                <w:p>
                  <w:pPr>
                    <w:adjustRightInd w:val="0"/>
                    <w:snapToGrid w:val="0"/>
                    <w:jc w:val="center"/>
                    <w:rPr>
                      <w:kern w:val="21"/>
                      <w:szCs w:val="21"/>
                    </w:rPr>
                  </w:pPr>
                  <w:r>
                    <w:rPr>
                      <w:kern w:val="21"/>
                      <w:szCs w:val="21"/>
                    </w:rPr>
                    <w:t>存储温度</w:t>
                  </w:r>
                </w:p>
              </w:tc>
              <w:tc>
                <w:tcPr>
                  <w:tcW w:w="2291" w:type="pct"/>
                  <w:tcBorders>
                    <w:tl2br w:val="nil"/>
                    <w:tr2bl w:val="nil"/>
                  </w:tcBorders>
                  <w:vAlign w:val="center"/>
                </w:tcPr>
                <w:p>
                  <w:pPr>
                    <w:adjustRightInd w:val="0"/>
                    <w:snapToGrid w:val="0"/>
                    <w:jc w:val="center"/>
                    <w:rPr>
                      <w:kern w:val="21"/>
                      <w:szCs w:val="21"/>
                    </w:rPr>
                  </w:pPr>
                  <w:r>
                    <w:rPr>
                      <w:rFonts w:hint="eastAsia"/>
                      <w:kern w:val="21"/>
                    </w:rPr>
                    <w:t>-3</w:t>
                  </w:r>
                  <w:r>
                    <w:rPr>
                      <w:kern w:val="21"/>
                    </w:rPr>
                    <w:t>0℃~</w:t>
                  </w:r>
                  <w:r>
                    <w:rPr>
                      <w:rFonts w:hint="eastAsia"/>
                      <w:kern w:val="21"/>
                    </w:rPr>
                    <w:t>6</w:t>
                  </w:r>
                  <w:r>
                    <w:rPr>
                      <w:kern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6</w:t>
                  </w:r>
                </w:p>
              </w:tc>
              <w:tc>
                <w:tcPr>
                  <w:tcW w:w="2014" w:type="pct"/>
                  <w:tcBorders>
                    <w:tl2br w:val="nil"/>
                    <w:tr2bl w:val="nil"/>
                  </w:tcBorders>
                  <w:vAlign w:val="center"/>
                </w:tcPr>
                <w:p>
                  <w:pPr>
                    <w:adjustRightInd w:val="0"/>
                    <w:snapToGrid w:val="0"/>
                    <w:jc w:val="center"/>
                    <w:rPr>
                      <w:kern w:val="21"/>
                      <w:szCs w:val="21"/>
                    </w:rPr>
                  </w:pPr>
                  <w:r>
                    <w:rPr>
                      <w:kern w:val="21"/>
                      <w:szCs w:val="21"/>
                    </w:rPr>
                    <w:t>电芯重量</w:t>
                  </w:r>
                </w:p>
              </w:tc>
              <w:tc>
                <w:tcPr>
                  <w:tcW w:w="2291" w:type="pct"/>
                  <w:tcBorders>
                    <w:tl2br w:val="nil"/>
                    <w:tr2bl w:val="nil"/>
                  </w:tcBorders>
                  <w:vAlign w:val="center"/>
                </w:tcPr>
                <w:p>
                  <w:pPr>
                    <w:adjustRightInd w:val="0"/>
                    <w:snapToGrid w:val="0"/>
                    <w:jc w:val="center"/>
                    <w:rPr>
                      <w:kern w:val="21"/>
                      <w:szCs w:val="21"/>
                    </w:rPr>
                  </w:pPr>
                  <w:r>
                    <w:rPr>
                      <w:kern w:val="21"/>
                      <w:szCs w:val="21"/>
                    </w:rPr>
                    <w:t>约5.46kg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pct"/>
                  <w:tcBorders>
                    <w:tl2br w:val="nil"/>
                    <w:tr2bl w:val="nil"/>
                  </w:tcBorders>
                  <w:vAlign w:val="center"/>
                </w:tcPr>
                <w:p>
                  <w:pPr>
                    <w:adjustRightInd w:val="0"/>
                    <w:snapToGrid w:val="0"/>
                    <w:jc w:val="center"/>
                    <w:rPr>
                      <w:kern w:val="21"/>
                      <w:szCs w:val="21"/>
                    </w:rPr>
                  </w:pPr>
                  <w:r>
                    <w:rPr>
                      <w:kern w:val="21"/>
                      <w:szCs w:val="21"/>
                    </w:rPr>
                    <w:t>7</w:t>
                  </w:r>
                </w:p>
              </w:tc>
              <w:tc>
                <w:tcPr>
                  <w:tcW w:w="2014" w:type="pct"/>
                  <w:tcBorders>
                    <w:tl2br w:val="nil"/>
                    <w:tr2bl w:val="nil"/>
                  </w:tcBorders>
                  <w:vAlign w:val="center"/>
                </w:tcPr>
                <w:p>
                  <w:pPr>
                    <w:adjustRightInd w:val="0"/>
                    <w:snapToGrid w:val="0"/>
                    <w:jc w:val="center"/>
                    <w:rPr>
                      <w:kern w:val="21"/>
                      <w:szCs w:val="21"/>
                    </w:rPr>
                  </w:pPr>
                  <w:r>
                    <w:rPr>
                      <w:kern w:val="21"/>
                      <w:szCs w:val="21"/>
                    </w:rPr>
                    <w:t>电芯尺寸（W*D*H）</w:t>
                  </w:r>
                </w:p>
              </w:tc>
              <w:tc>
                <w:tcPr>
                  <w:tcW w:w="2291" w:type="pct"/>
                  <w:tcBorders>
                    <w:tl2br w:val="nil"/>
                    <w:tr2bl w:val="nil"/>
                  </w:tcBorders>
                  <w:vAlign w:val="center"/>
                </w:tcPr>
                <w:p>
                  <w:pPr>
                    <w:adjustRightInd w:val="0"/>
                    <w:snapToGrid w:val="0"/>
                    <w:jc w:val="center"/>
                    <w:rPr>
                      <w:kern w:val="21"/>
                      <w:szCs w:val="21"/>
                    </w:rPr>
                  </w:pPr>
                  <w:r>
                    <w:rPr>
                      <w:kern w:val="21"/>
                      <w:szCs w:val="21"/>
                    </w:rPr>
                    <w:t>173.9*71.6*204.6mm</w:t>
                  </w:r>
                </w:p>
              </w:tc>
            </w:tr>
          </w:tbl>
          <w:p>
            <w:pPr>
              <w:adjustRightInd w:val="0"/>
              <w:snapToGrid w:val="0"/>
              <w:spacing w:before="120" w:beforeLines="50" w:line="360" w:lineRule="auto"/>
              <w:jc w:val="center"/>
              <w:rPr>
                <w:kern w:val="0"/>
                <w:sz w:val="24"/>
              </w:rPr>
            </w:pPr>
            <w:r>
              <w:rPr>
                <w:rFonts w:hint="eastAsia"/>
                <w:b/>
                <w:bCs/>
                <w:kern w:val="0"/>
                <w:sz w:val="24"/>
              </w:rPr>
              <w:t>表2-11    6.709MWh储能电池集装箱技术参数</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3180"/>
              <w:gridCol w:w="2038"/>
              <w:gridCol w:w="2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spacing w:line="360" w:lineRule="auto"/>
                    <w:jc w:val="center"/>
                    <w:rPr>
                      <w:kern w:val="21"/>
                      <w:szCs w:val="21"/>
                    </w:rPr>
                  </w:pPr>
                  <w:r>
                    <w:rPr>
                      <w:kern w:val="21"/>
                      <w:szCs w:val="21"/>
                    </w:rPr>
                    <w:t>序号</w:t>
                  </w:r>
                </w:p>
              </w:tc>
              <w:tc>
                <w:tcPr>
                  <w:tcW w:w="1952" w:type="pct"/>
                  <w:tcBorders>
                    <w:tl2br w:val="nil"/>
                    <w:tr2bl w:val="nil"/>
                  </w:tcBorders>
                  <w:vAlign w:val="center"/>
                </w:tcPr>
                <w:p>
                  <w:pPr>
                    <w:adjustRightInd w:val="0"/>
                    <w:snapToGrid w:val="0"/>
                    <w:spacing w:line="360" w:lineRule="auto"/>
                    <w:jc w:val="center"/>
                    <w:rPr>
                      <w:kern w:val="21"/>
                      <w:szCs w:val="21"/>
                    </w:rPr>
                  </w:pPr>
                  <w:r>
                    <w:rPr>
                      <w:kern w:val="21"/>
                      <w:szCs w:val="21"/>
                    </w:rPr>
                    <w:t>项目</w:t>
                  </w:r>
                </w:p>
              </w:tc>
              <w:tc>
                <w:tcPr>
                  <w:tcW w:w="1250" w:type="pct"/>
                  <w:tcBorders>
                    <w:tl2br w:val="nil"/>
                    <w:tr2bl w:val="nil"/>
                  </w:tcBorders>
                  <w:vAlign w:val="center"/>
                </w:tcPr>
                <w:p>
                  <w:pPr>
                    <w:adjustRightInd w:val="0"/>
                    <w:snapToGrid w:val="0"/>
                    <w:spacing w:line="360" w:lineRule="auto"/>
                    <w:jc w:val="center"/>
                    <w:rPr>
                      <w:kern w:val="21"/>
                      <w:szCs w:val="21"/>
                    </w:rPr>
                  </w:pPr>
                  <w:r>
                    <w:rPr>
                      <w:kern w:val="21"/>
                      <w:szCs w:val="21"/>
                    </w:rPr>
                    <w:t>规格</w:t>
                  </w:r>
                </w:p>
              </w:tc>
              <w:tc>
                <w:tcPr>
                  <w:tcW w:w="1250" w:type="pct"/>
                  <w:tcBorders>
                    <w:tl2br w:val="nil"/>
                    <w:tr2bl w:val="nil"/>
                  </w:tcBorders>
                  <w:vAlign w:val="center"/>
                </w:tcPr>
                <w:p>
                  <w:pPr>
                    <w:adjustRightInd w:val="0"/>
                    <w:snapToGrid w:val="0"/>
                    <w:spacing w:line="360" w:lineRule="auto"/>
                    <w:jc w:val="center"/>
                    <w:rPr>
                      <w:kern w:val="21"/>
                      <w:szCs w:val="21"/>
                    </w:rPr>
                  </w:pPr>
                  <w:r>
                    <w:rPr>
                      <w:rFonts w:hint="eastAsia"/>
                      <w:kern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1</w:t>
                  </w:r>
                </w:p>
              </w:tc>
              <w:tc>
                <w:tcPr>
                  <w:tcW w:w="1952" w:type="pct"/>
                  <w:tcBorders>
                    <w:tl2br w:val="nil"/>
                    <w:tr2bl w:val="nil"/>
                  </w:tcBorders>
                  <w:vAlign w:val="center"/>
                </w:tcPr>
                <w:p>
                  <w:pPr>
                    <w:adjustRightInd w:val="0"/>
                    <w:snapToGrid w:val="0"/>
                    <w:jc w:val="center"/>
                    <w:rPr>
                      <w:kern w:val="21"/>
                      <w:szCs w:val="21"/>
                    </w:rPr>
                  </w:pPr>
                  <w:r>
                    <w:rPr>
                      <w:kern w:val="21"/>
                      <w:szCs w:val="21"/>
                    </w:rPr>
                    <w:t>电池系统容量（kWh）</w:t>
                  </w:r>
                </w:p>
              </w:tc>
              <w:tc>
                <w:tcPr>
                  <w:tcW w:w="1250" w:type="pct"/>
                  <w:tcBorders>
                    <w:tl2br w:val="nil"/>
                    <w:tr2bl w:val="nil"/>
                  </w:tcBorders>
                  <w:vAlign w:val="center"/>
                </w:tcPr>
                <w:p>
                  <w:pPr>
                    <w:adjustRightInd w:val="0"/>
                    <w:snapToGrid w:val="0"/>
                    <w:jc w:val="center"/>
                    <w:rPr>
                      <w:kern w:val="21"/>
                      <w:szCs w:val="21"/>
                    </w:rPr>
                  </w:pPr>
                  <w:r>
                    <w:rPr>
                      <w:kern w:val="21"/>
                      <w:szCs w:val="21"/>
                    </w:rPr>
                    <w:t>6709kWh@0.5C</w:t>
                  </w:r>
                  <w:r>
                    <w:rPr>
                      <w:rFonts w:hint="eastAsia"/>
                      <w:kern w:val="21"/>
                      <w:szCs w:val="21"/>
                    </w:rPr>
                    <w:t>，</w:t>
                  </w:r>
                  <w:r>
                    <w:rPr>
                      <w:kern w:val="21"/>
                      <w:szCs w:val="21"/>
                    </w:rPr>
                    <w:t>25℃</w:t>
                  </w:r>
                </w:p>
              </w:tc>
              <w:tc>
                <w:tcPr>
                  <w:tcW w:w="1250" w:type="pct"/>
                  <w:tcBorders>
                    <w:tl2br w:val="nil"/>
                    <w:tr2bl w:val="nil"/>
                  </w:tcBorders>
                  <w:vAlign w:val="center"/>
                </w:tcPr>
                <w:p>
                  <w:pPr>
                    <w:adjustRightInd w:val="0"/>
                    <w:snapToGrid w:val="0"/>
                    <w:jc w:val="center"/>
                    <w:rPr>
                      <w:kern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2</w:t>
                  </w:r>
                </w:p>
              </w:tc>
              <w:tc>
                <w:tcPr>
                  <w:tcW w:w="1952" w:type="pct"/>
                  <w:tcBorders>
                    <w:tl2br w:val="nil"/>
                    <w:tr2bl w:val="nil"/>
                  </w:tcBorders>
                  <w:vAlign w:val="center"/>
                </w:tcPr>
                <w:p>
                  <w:pPr>
                    <w:adjustRightInd w:val="0"/>
                    <w:snapToGrid w:val="0"/>
                    <w:jc w:val="center"/>
                    <w:rPr>
                      <w:kern w:val="21"/>
                      <w:szCs w:val="21"/>
                    </w:rPr>
                  </w:pPr>
                  <w:r>
                    <w:rPr>
                      <w:kern w:val="21"/>
                      <w:szCs w:val="21"/>
                    </w:rPr>
                    <w:t>充放电倍率（C）</w:t>
                  </w:r>
                </w:p>
              </w:tc>
              <w:tc>
                <w:tcPr>
                  <w:tcW w:w="1250" w:type="pct"/>
                  <w:tcBorders>
                    <w:tl2br w:val="nil"/>
                    <w:tr2bl w:val="nil"/>
                  </w:tcBorders>
                  <w:vAlign w:val="center"/>
                </w:tcPr>
                <w:p>
                  <w:pPr>
                    <w:adjustRightInd w:val="0"/>
                    <w:snapToGrid w:val="0"/>
                    <w:jc w:val="center"/>
                    <w:rPr>
                      <w:kern w:val="21"/>
                      <w:szCs w:val="21"/>
                    </w:rPr>
                  </w:pPr>
                  <w:r>
                    <w:rPr>
                      <w:kern w:val="21"/>
                      <w:szCs w:val="21"/>
                    </w:rPr>
                    <w:t>0.5C/0.5C</w:t>
                  </w:r>
                </w:p>
              </w:tc>
              <w:tc>
                <w:tcPr>
                  <w:tcW w:w="1250" w:type="pct"/>
                  <w:tcBorders>
                    <w:tl2br w:val="nil"/>
                    <w:tr2bl w:val="nil"/>
                  </w:tcBorders>
                  <w:vAlign w:val="center"/>
                </w:tcPr>
                <w:p>
                  <w:pPr>
                    <w:adjustRightInd w:val="0"/>
                    <w:snapToGrid w:val="0"/>
                    <w:jc w:val="center"/>
                    <w:rPr>
                      <w:kern w:val="21"/>
                      <w:szCs w:val="21"/>
                    </w:rPr>
                  </w:pPr>
                  <w:r>
                    <w:rPr>
                      <w:kern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3</w:t>
                  </w:r>
                </w:p>
              </w:tc>
              <w:tc>
                <w:tcPr>
                  <w:tcW w:w="1952" w:type="pct"/>
                  <w:tcBorders>
                    <w:tl2br w:val="nil"/>
                    <w:tr2bl w:val="nil"/>
                  </w:tcBorders>
                  <w:vAlign w:val="center"/>
                </w:tcPr>
                <w:p>
                  <w:pPr>
                    <w:adjustRightInd w:val="0"/>
                    <w:snapToGrid w:val="0"/>
                    <w:jc w:val="center"/>
                    <w:rPr>
                      <w:kern w:val="21"/>
                      <w:szCs w:val="21"/>
                    </w:rPr>
                  </w:pPr>
                  <w:r>
                    <w:rPr>
                      <w:kern w:val="21"/>
                      <w:szCs w:val="21"/>
                    </w:rPr>
                    <w:t>日历寿命（年）</w:t>
                  </w:r>
                </w:p>
              </w:tc>
              <w:tc>
                <w:tcPr>
                  <w:tcW w:w="1250" w:type="pct"/>
                  <w:tcBorders>
                    <w:tl2br w:val="nil"/>
                    <w:tr2bl w:val="nil"/>
                  </w:tcBorders>
                  <w:vAlign w:val="center"/>
                </w:tcPr>
                <w:p>
                  <w:pPr>
                    <w:adjustRightInd w:val="0"/>
                    <w:snapToGrid w:val="0"/>
                    <w:jc w:val="center"/>
                    <w:rPr>
                      <w:kern w:val="21"/>
                      <w:szCs w:val="21"/>
                    </w:rPr>
                  </w:pPr>
                  <w:r>
                    <w:rPr>
                      <w:kern w:val="21"/>
                      <w:szCs w:val="21"/>
                    </w:rPr>
                    <w:t>＞15年</w:t>
                  </w:r>
                </w:p>
              </w:tc>
              <w:tc>
                <w:tcPr>
                  <w:tcW w:w="1250" w:type="pct"/>
                  <w:tcBorders>
                    <w:tl2br w:val="nil"/>
                    <w:tr2bl w:val="nil"/>
                  </w:tcBorders>
                  <w:vAlign w:val="center"/>
                </w:tcPr>
                <w:p>
                  <w:pPr>
                    <w:adjustRightInd w:val="0"/>
                    <w:snapToGrid w:val="0"/>
                    <w:jc w:val="center"/>
                    <w:rPr>
                      <w:kern w:val="21"/>
                      <w:szCs w:val="21"/>
                    </w:rPr>
                  </w:pPr>
                  <w:r>
                    <w:rPr>
                      <w:kern w:val="21"/>
                      <w:szCs w:val="21"/>
                    </w:rPr>
                    <w:t>EOL</w:t>
                  </w:r>
                  <w:r>
                    <w:rPr>
                      <w:rFonts w:hint="eastAsia"/>
                      <w:kern w:val="21"/>
                      <w:szCs w:val="21"/>
                    </w:rPr>
                    <w:t>不</w:t>
                  </w:r>
                  <w:r>
                    <w:rPr>
                      <w:kern w:val="21"/>
                      <w:szCs w:val="21"/>
                    </w:rPr>
                    <w:t>低于80%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4</w:t>
                  </w:r>
                </w:p>
              </w:tc>
              <w:tc>
                <w:tcPr>
                  <w:tcW w:w="1952" w:type="pct"/>
                  <w:tcBorders>
                    <w:tl2br w:val="nil"/>
                    <w:tr2bl w:val="nil"/>
                  </w:tcBorders>
                  <w:vAlign w:val="center"/>
                </w:tcPr>
                <w:p>
                  <w:pPr>
                    <w:adjustRightInd w:val="0"/>
                    <w:snapToGrid w:val="0"/>
                    <w:jc w:val="center"/>
                    <w:rPr>
                      <w:kern w:val="21"/>
                      <w:szCs w:val="21"/>
                    </w:rPr>
                  </w:pPr>
                  <w:r>
                    <w:rPr>
                      <w:kern w:val="21"/>
                      <w:szCs w:val="21"/>
                    </w:rPr>
                    <w:t>系统循环次数（次）</w:t>
                  </w:r>
                </w:p>
              </w:tc>
              <w:tc>
                <w:tcPr>
                  <w:tcW w:w="1250" w:type="pct"/>
                  <w:tcBorders>
                    <w:tl2br w:val="nil"/>
                    <w:tr2bl w:val="nil"/>
                  </w:tcBorders>
                  <w:vAlign w:val="center"/>
                </w:tcPr>
                <w:p>
                  <w:pPr>
                    <w:adjustRightInd w:val="0"/>
                    <w:snapToGrid w:val="0"/>
                    <w:jc w:val="center"/>
                    <w:rPr>
                      <w:kern w:val="21"/>
                      <w:szCs w:val="21"/>
                    </w:rPr>
                  </w:pPr>
                  <w:r>
                    <w:rPr>
                      <w:kern w:val="21"/>
                      <w:szCs w:val="21"/>
                    </w:rPr>
                    <w:t>＞6000</w:t>
                  </w:r>
                </w:p>
              </w:tc>
              <w:tc>
                <w:tcPr>
                  <w:tcW w:w="1250" w:type="pct"/>
                  <w:tcBorders>
                    <w:tl2br w:val="nil"/>
                    <w:tr2bl w:val="nil"/>
                  </w:tcBorders>
                  <w:vAlign w:val="center"/>
                </w:tcPr>
                <w:p>
                  <w:pPr>
                    <w:adjustRightInd w:val="0"/>
                    <w:snapToGrid w:val="0"/>
                    <w:jc w:val="center"/>
                    <w:rPr>
                      <w:kern w:val="21"/>
                      <w:szCs w:val="21"/>
                    </w:rPr>
                  </w:pPr>
                  <w:r>
                    <w:rPr>
                      <w:kern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5</w:t>
                  </w:r>
                </w:p>
              </w:tc>
              <w:tc>
                <w:tcPr>
                  <w:tcW w:w="1952" w:type="pct"/>
                  <w:tcBorders>
                    <w:tl2br w:val="nil"/>
                    <w:tr2bl w:val="nil"/>
                  </w:tcBorders>
                  <w:vAlign w:val="center"/>
                </w:tcPr>
                <w:p>
                  <w:pPr>
                    <w:adjustRightInd w:val="0"/>
                    <w:snapToGrid w:val="0"/>
                    <w:jc w:val="center"/>
                    <w:rPr>
                      <w:kern w:val="21"/>
                      <w:szCs w:val="21"/>
                    </w:rPr>
                  </w:pPr>
                  <w:r>
                    <w:rPr>
                      <w:kern w:val="21"/>
                      <w:szCs w:val="21"/>
                    </w:rPr>
                    <w:t>单体电芯数量（块）</w:t>
                  </w:r>
                </w:p>
              </w:tc>
              <w:tc>
                <w:tcPr>
                  <w:tcW w:w="1250" w:type="pct"/>
                  <w:tcBorders>
                    <w:tl2br w:val="nil"/>
                    <w:tr2bl w:val="nil"/>
                  </w:tcBorders>
                  <w:vAlign w:val="center"/>
                </w:tcPr>
                <w:p>
                  <w:pPr>
                    <w:adjustRightInd w:val="0"/>
                    <w:snapToGrid w:val="0"/>
                    <w:jc w:val="center"/>
                    <w:rPr>
                      <w:kern w:val="21"/>
                      <w:szCs w:val="21"/>
                    </w:rPr>
                  </w:pPr>
                  <w:r>
                    <w:rPr>
                      <w:kern w:val="21"/>
                      <w:szCs w:val="21"/>
                    </w:rPr>
                    <w:t>7488</w:t>
                  </w:r>
                </w:p>
              </w:tc>
              <w:tc>
                <w:tcPr>
                  <w:tcW w:w="1250" w:type="pct"/>
                  <w:tcBorders>
                    <w:tl2br w:val="nil"/>
                    <w:tr2bl w:val="nil"/>
                  </w:tcBorders>
                  <w:vAlign w:val="center"/>
                </w:tcPr>
                <w:p>
                  <w:pPr>
                    <w:adjustRightInd w:val="0"/>
                    <w:snapToGrid w:val="0"/>
                    <w:jc w:val="center"/>
                    <w:rPr>
                      <w:kern w:val="21"/>
                      <w:szCs w:val="21"/>
                    </w:rPr>
                  </w:pPr>
                  <w:r>
                    <w:rPr>
                      <w:kern w:val="21"/>
                      <w:szCs w:val="21"/>
                    </w:rPr>
                    <w:t>单个集装箱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6</w:t>
                  </w:r>
                </w:p>
              </w:tc>
              <w:tc>
                <w:tcPr>
                  <w:tcW w:w="1952" w:type="pct"/>
                  <w:tcBorders>
                    <w:tl2br w:val="nil"/>
                    <w:tr2bl w:val="nil"/>
                  </w:tcBorders>
                  <w:vAlign w:val="center"/>
                </w:tcPr>
                <w:p>
                  <w:pPr>
                    <w:adjustRightInd w:val="0"/>
                    <w:snapToGrid w:val="0"/>
                    <w:jc w:val="center"/>
                    <w:rPr>
                      <w:kern w:val="21"/>
                      <w:szCs w:val="21"/>
                    </w:rPr>
                  </w:pPr>
                  <w:r>
                    <w:rPr>
                      <w:kern w:val="21"/>
                      <w:szCs w:val="21"/>
                    </w:rPr>
                    <w:t>电池模组数量（个）</w:t>
                  </w:r>
                </w:p>
              </w:tc>
              <w:tc>
                <w:tcPr>
                  <w:tcW w:w="1250" w:type="pct"/>
                  <w:tcBorders>
                    <w:tl2br w:val="nil"/>
                    <w:tr2bl w:val="nil"/>
                  </w:tcBorders>
                  <w:vAlign w:val="center"/>
                </w:tcPr>
                <w:p>
                  <w:pPr>
                    <w:adjustRightInd w:val="0"/>
                    <w:snapToGrid w:val="0"/>
                    <w:jc w:val="center"/>
                    <w:rPr>
                      <w:kern w:val="21"/>
                      <w:szCs w:val="21"/>
                    </w:rPr>
                  </w:pPr>
                  <w:r>
                    <w:rPr>
                      <w:kern w:val="21"/>
                      <w:szCs w:val="21"/>
                    </w:rPr>
                    <w:t>144</w:t>
                  </w:r>
                </w:p>
              </w:tc>
              <w:tc>
                <w:tcPr>
                  <w:tcW w:w="1250" w:type="pct"/>
                  <w:tcBorders>
                    <w:tl2br w:val="nil"/>
                    <w:tr2bl w:val="nil"/>
                  </w:tcBorders>
                  <w:vAlign w:val="center"/>
                </w:tcPr>
                <w:p>
                  <w:pPr>
                    <w:adjustRightInd w:val="0"/>
                    <w:snapToGrid w:val="0"/>
                    <w:jc w:val="center"/>
                    <w:rPr>
                      <w:kern w:val="21"/>
                      <w:szCs w:val="21"/>
                    </w:rPr>
                  </w:pPr>
                  <w:r>
                    <w:rPr>
                      <w:kern w:val="21"/>
                      <w:szCs w:val="21"/>
                    </w:rPr>
                    <w:t>单个集装箱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kern w:val="21"/>
                      <w:szCs w:val="21"/>
                    </w:rPr>
                    <w:t>7</w:t>
                  </w:r>
                </w:p>
              </w:tc>
              <w:tc>
                <w:tcPr>
                  <w:tcW w:w="1952" w:type="pct"/>
                  <w:tcBorders>
                    <w:tl2br w:val="nil"/>
                    <w:tr2bl w:val="nil"/>
                  </w:tcBorders>
                  <w:vAlign w:val="center"/>
                </w:tcPr>
                <w:p>
                  <w:pPr>
                    <w:adjustRightInd w:val="0"/>
                    <w:snapToGrid w:val="0"/>
                    <w:jc w:val="center"/>
                    <w:rPr>
                      <w:kern w:val="21"/>
                      <w:szCs w:val="21"/>
                    </w:rPr>
                  </w:pPr>
                  <w:r>
                    <w:rPr>
                      <w:kern w:val="21"/>
                      <w:szCs w:val="21"/>
                    </w:rPr>
                    <w:t>电池组数量（面）</w:t>
                  </w:r>
                </w:p>
              </w:tc>
              <w:tc>
                <w:tcPr>
                  <w:tcW w:w="1250" w:type="pct"/>
                  <w:tcBorders>
                    <w:tl2br w:val="nil"/>
                    <w:tr2bl w:val="nil"/>
                  </w:tcBorders>
                  <w:vAlign w:val="center"/>
                </w:tcPr>
                <w:p>
                  <w:pPr>
                    <w:adjustRightInd w:val="0"/>
                    <w:snapToGrid w:val="0"/>
                    <w:jc w:val="center"/>
                    <w:rPr>
                      <w:kern w:val="21"/>
                      <w:szCs w:val="21"/>
                    </w:rPr>
                  </w:pPr>
                  <w:r>
                    <w:rPr>
                      <w:kern w:val="21"/>
                      <w:szCs w:val="21"/>
                    </w:rPr>
                    <w:t>18</w:t>
                  </w:r>
                </w:p>
              </w:tc>
              <w:tc>
                <w:tcPr>
                  <w:tcW w:w="1250" w:type="pct"/>
                  <w:tcBorders>
                    <w:tl2br w:val="nil"/>
                    <w:tr2bl w:val="nil"/>
                  </w:tcBorders>
                  <w:vAlign w:val="center"/>
                </w:tcPr>
                <w:p>
                  <w:pPr>
                    <w:adjustRightInd w:val="0"/>
                    <w:snapToGrid w:val="0"/>
                    <w:jc w:val="center"/>
                    <w:rPr>
                      <w:kern w:val="21"/>
                      <w:szCs w:val="21"/>
                    </w:rPr>
                  </w:pPr>
                  <w:r>
                    <w:rPr>
                      <w:kern w:val="21"/>
                      <w:szCs w:val="21"/>
                    </w:rPr>
                    <w:t>单个集装箱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rFonts w:hint="eastAsia"/>
                      <w:kern w:val="21"/>
                      <w:szCs w:val="21"/>
                    </w:rPr>
                    <w:t>8</w:t>
                  </w:r>
                </w:p>
              </w:tc>
              <w:tc>
                <w:tcPr>
                  <w:tcW w:w="1952" w:type="pct"/>
                  <w:tcBorders>
                    <w:tl2br w:val="nil"/>
                    <w:tr2bl w:val="nil"/>
                  </w:tcBorders>
                  <w:vAlign w:val="center"/>
                </w:tcPr>
                <w:p>
                  <w:pPr>
                    <w:adjustRightInd w:val="0"/>
                    <w:snapToGrid w:val="0"/>
                    <w:jc w:val="center"/>
                    <w:rPr>
                      <w:kern w:val="21"/>
                      <w:szCs w:val="21"/>
                    </w:rPr>
                  </w:pPr>
                  <w:r>
                    <w:rPr>
                      <w:kern w:val="21"/>
                      <w:szCs w:val="21"/>
                    </w:rPr>
                    <w:t>电池组串并联方式</w:t>
                  </w:r>
                </w:p>
              </w:tc>
              <w:tc>
                <w:tcPr>
                  <w:tcW w:w="1250" w:type="pct"/>
                  <w:tcBorders>
                    <w:tl2br w:val="nil"/>
                    <w:tr2bl w:val="nil"/>
                  </w:tcBorders>
                  <w:vAlign w:val="center"/>
                </w:tcPr>
                <w:p>
                  <w:pPr>
                    <w:adjustRightInd w:val="0"/>
                    <w:snapToGrid w:val="0"/>
                    <w:jc w:val="center"/>
                    <w:rPr>
                      <w:kern w:val="21"/>
                      <w:szCs w:val="21"/>
                    </w:rPr>
                  </w:pPr>
                  <w:r>
                    <w:rPr>
                      <w:kern w:val="21"/>
                      <w:szCs w:val="21"/>
                    </w:rPr>
                    <w:t>1P52S*8S*9P*2</w:t>
                  </w:r>
                </w:p>
              </w:tc>
              <w:tc>
                <w:tcPr>
                  <w:tcW w:w="1250" w:type="pct"/>
                  <w:tcBorders>
                    <w:tl2br w:val="nil"/>
                    <w:tr2bl w:val="nil"/>
                  </w:tcBorders>
                  <w:vAlign w:val="center"/>
                </w:tcPr>
                <w:p>
                  <w:pPr>
                    <w:adjustRightInd w:val="0"/>
                    <w:snapToGrid w:val="0"/>
                    <w:jc w:val="center"/>
                    <w:rPr>
                      <w:kern w:val="21"/>
                      <w:szCs w:val="21"/>
                    </w:rPr>
                  </w:pPr>
                  <w:r>
                    <w:rPr>
                      <w:kern w:val="21"/>
                      <w:szCs w:val="21"/>
                    </w:rPr>
                    <w:t>单个集装箱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rFonts w:hint="eastAsia"/>
                      <w:kern w:val="21"/>
                      <w:szCs w:val="21"/>
                    </w:rPr>
                    <w:t>9</w:t>
                  </w:r>
                </w:p>
              </w:tc>
              <w:tc>
                <w:tcPr>
                  <w:tcW w:w="1952" w:type="pct"/>
                  <w:tcBorders>
                    <w:tl2br w:val="nil"/>
                    <w:tr2bl w:val="nil"/>
                  </w:tcBorders>
                  <w:vAlign w:val="center"/>
                </w:tcPr>
                <w:p>
                  <w:pPr>
                    <w:adjustRightInd w:val="0"/>
                    <w:snapToGrid w:val="0"/>
                    <w:jc w:val="center"/>
                    <w:rPr>
                      <w:kern w:val="21"/>
                      <w:szCs w:val="21"/>
                    </w:rPr>
                  </w:pPr>
                  <w:r>
                    <w:rPr>
                      <w:rFonts w:hint="eastAsia"/>
                      <w:kern w:val="21"/>
                      <w:szCs w:val="21"/>
                    </w:rPr>
                    <w:t>集装箱尺寸（mm）</w:t>
                  </w:r>
                </w:p>
              </w:tc>
              <w:tc>
                <w:tcPr>
                  <w:tcW w:w="1250" w:type="pct"/>
                  <w:tcBorders>
                    <w:tl2br w:val="nil"/>
                    <w:tr2bl w:val="nil"/>
                  </w:tcBorders>
                  <w:vAlign w:val="center"/>
                </w:tcPr>
                <w:p>
                  <w:pPr>
                    <w:adjustRightInd w:val="0"/>
                    <w:snapToGrid w:val="0"/>
                    <w:jc w:val="center"/>
                    <w:rPr>
                      <w:kern w:val="21"/>
                      <w:szCs w:val="21"/>
                    </w:rPr>
                  </w:pPr>
                  <w:r>
                    <w:rPr>
                      <w:kern w:val="21"/>
                      <w:szCs w:val="21"/>
                    </w:rPr>
                    <w:t>12192*2600*320</w:t>
                  </w:r>
                </w:p>
              </w:tc>
              <w:tc>
                <w:tcPr>
                  <w:tcW w:w="1250" w:type="pct"/>
                  <w:tcBorders>
                    <w:tl2br w:val="nil"/>
                    <w:tr2bl w:val="nil"/>
                  </w:tcBorders>
                  <w:vAlign w:val="center"/>
                </w:tcPr>
                <w:p>
                  <w:pPr>
                    <w:adjustRightInd w:val="0"/>
                    <w:snapToGrid w:val="0"/>
                    <w:jc w:val="center"/>
                    <w:rPr>
                      <w:kern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rFonts w:hint="eastAsia"/>
                      <w:kern w:val="21"/>
                      <w:szCs w:val="21"/>
                    </w:rPr>
                    <w:t>10</w:t>
                  </w:r>
                </w:p>
              </w:tc>
              <w:tc>
                <w:tcPr>
                  <w:tcW w:w="1952" w:type="pct"/>
                  <w:tcBorders>
                    <w:tl2br w:val="nil"/>
                    <w:tr2bl w:val="nil"/>
                  </w:tcBorders>
                  <w:vAlign w:val="center"/>
                </w:tcPr>
                <w:p>
                  <w:pPr>
                    <w:adjustRightInd w:val="0"/>
                    <w:snapToGrid w:val="0"/>
                    <w:jc w:val="center"/>
                    <w:rPr>
                      <w:kern w:val="21"/>
                      <w:szCs w:val="21"/>
                    </w:rPr>
                  </w:pPr>
                  <w:r>
                    <w:rPr>
                      <w:kern w:val="21"/>
                      <w:szCs w:val="21"/>
                    </w:rPr>
                    <w:t>运行环境温度（集装箱内）</w:t>
                  </w:r>
                </w:p>
              </w:tc>
              <w:tc>
                <w:tcPr>
                  <w:tcW w:w="1250" w:type="pct"/>
                  <w:tcBorders>
                    <w:tl2br w:val="nil"/>
                    <w:tr2bl w:val="nil"/>
                  </w:tcBorders>
                  <w:vAlign w:val="center"/>
                </w:tcPr>
                <w:p>
                  <w:pPr>
                    <w:adjustRightInd w:val="0"/>
                    <w:snapToGrid w:val="0"/>
                    <w:jc w:val="center"/>
                    <w:rPr>
                      <w:kern w:val="21"/>
                      <w:szCs w:val="21"/>
                    </w:rPr>
                  </w:pPr>
                  <w:r>
                    <w:rPr>
                      <w:kern w:val="21"/>
                      <w:szCs w:val="21"/>
                    </w:rPr>
                    <w:t>20±3℃</w:t>
                  </w:r>
                </w:p>
              </w:tc>
              <w:tc>
                <w:tcPr>
                  <w:tcW w:w="1250" w:type="pct"/>
                  <w:tcBorders>
                    <w:tl2br w:val="nil"/>
                    <w:tr2bl w:val="nil"/>
                  </w:tcBorders>
                  <w:vAlign w:val="center"/>
                </w:tcPr>
                <w:p>
                  <w:pPr>
                    <w:adjustRightInd w:val="0"/>
                    <w:snapToGrid w:val="0"/>
                    <w:jc w:val="center"/>
                    <w:rPr>
                      <w:kern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6" w:type="pct"/>
                  <w:tcBorders>
                    <w:tl2br w:val="nil"/>
                    <w:tr2bl w:val="nil"/>
                  </w:tcBorders>
                  <w:vAlign w:val="center"/>
                </w:tcPr>
                <w:p>
                  <w:pPr>
                    <w:adjustRightInd w:val="0"/>
                    <w:snapToGrid w:val="0"/>
                    <w:jc w:val="center"/>
                    <w:rPr>
                      <w:kern w:val="21"/>
                      <w:szCs w:val="21"/>
                    </w:rPr>
                  </w:pPr>
                  <w:r>
                    <w:rPr>
                      <w:rFonts w:hint="eastAsia"/>
                      <w:kern w:val="21"/>
                      <w:szCs w:val="21"/>
                    </w:rPr>
                    <w:t>11</w:t>
                  </w:r>
                </w:p>
              </w:tc>
              <w:tc>
                <w:tcPr>
                  <w:tcW w:w="1952" w:type="pct"/>
                  <w:tcBorders>
                    <w:tl2br w:val="nil"/>
                    <w:tr2bl w:val="nil"/>
                  </w:tcBorders>
                  <w:vAlign w:val="center"/>
                </w:tcPr>
                <w:p>
                  <w:pPr>
                    <w:adjustRightInd w:val="0"/>
                    <w:snapToGrid w:val="0"/>
                    <w:jc w:val="center"/>
                    <w:rPr>
                      <w:kern w:val="21"/>
                      <w:szCs w:val="21"/>
                    </w:rPr>
                  </w:pPr>
                  <w:r>
                    <w:rPr>
                      <w:kern w:val="21"/>
                      <w:szCs w:val="21"/>
                    </w:rPr>
                    <w:t>重量（吨）</w:t>
                  </w:r>
                </w:p>
              </w:tc>
              <w:tc>
                <w:tcPr>
                  <w:tcW w:w="1250" w:type="pct"/>
                  <w:tcBorders>
                    <w:tl2br w:val="nil"/>
                    <w:tr2bl w:val="nil"/>
                  </w:tcBorders>
                  <w:vAlign w:val="center"/>
                </w:tcPr>
                <w:p>
                  <w:pPr>
                    <w:adjustRightInd w:val="0"/>
                    <w:snapToGrid w:val="0"/>
                    <w:jc w:val="center"/>
                    <w:rPr>
                      <w:kern w:val="21"/>
                      <w:szCs w:val="21"/>
                    </w:rPr>
                  </w:pPr>
                  <w:r>
                    <w:rPr>
                      <w:kern w:val="21"/>
                      <w:szCs w:val="21"/>
                    </w:rPr>
                    <w:t>约 70</w:t>
                  </w:r>
                </w:p>
              </w:tc>
              <w:tc>
                <w:tcPr>
                  <w:tcW w:w="1250" w:type="pct"/>
                  <w:tcBorders>
                    <w:tl2br w:val="nil"/>
                    <w:tr2bl w:val="nil"/>
                  </w:tcBorders>
                  <w:vAlign w:val="center"/>
                </w:tcPr>
                <w:p>
                  <w:pPr>
                    <w:adjustRightInd w:val="0"/>
                    <w:snapToGrid w:val="0"/>
                    <w:jc w:val="center"/>
                    <w:rPr>
                      <w:kern w:val="21"/>
                      <w:szCs w:val="21"/>
                    </w:rPr>
                  </w:pPr>
                </w:p>
              </w:tc>
            </w:tr>
          </w:tbl>
          <w:p>
            <w:pPr>
              <w:adjustRightInd w:val="0"/>
              <w:snapToGrid w:val="0"/>
              <w:spacing w:before="120" w:beforeLines="50" w:line="360" w:lineRule="auto"/>
              <w:ind w:firstLine="480" w:firstLineChars="200"/>
              <w:rPr>
                <w:kern w:val="0"/>
                <w:sz w:val="24"/>
              </w:rPr>
            </w:pPr>
            <w:r>
              <w:rPr>
                <w:kern w:val="0"/>
                <w:sz w:val="24"/>
              </w:rPr>
              <w:t>锂电池具有较高的能量密度和功率密度，放电倍率范围宽，大倍率放电性能优异、充电接受能力强，具备高安全、大容量、长寿命、低成本、高能效等特性，且技术成熟，已规模化生产应用。其中磷酸铁锂电池是目前电力储能领域的热门技术和应用最多的锂电技术，</w:t>
            </w:r>
            <w:r>
              <w:rPr>
                <w:spacing w:val="-2"/>
                <w:sz w:val="24"/>
              </w:rPr>
              <w:t>磷</w:t>
            </w:r>
            <w:r>
              <w:rPr>
                <w:spacing w:val="3"/>
                <w:sz w:val="24"/>
              </w:rPr>
              <w:t>酸铁锂电池比能量约</w:t>
            </w:r>
            <w:r>
              <w:rPr>
                <w:sz w:val="24"/>
              </w:rPr>
              <w:t>90Wh/kg～190Wh/kg</w:t>
            </w:r>
            <w:r>
              <w:rPr>
                <w:spacing w:val="5"/>
                <w:sz w:val="24"/>
              </w:rPr>
              <w:t>；循环寿命较长</w:t>
            </w:r>
            <w:r>
              <w:rPr>
                <w:rFonts w:hint="eastAsia"/>
                <w:spacing w:val="5"/>
                <w:sz w:val="24"/>
              </w:rPr>
              <w:t>，</w:t>
            </w:r>
            <w:r>
              <w:rPr>
                <w:spacing w:val="5"/>
                <w:sz w:val="24"/>
              </w:rPr>
              <w:t>磷酸铁锂电池寿命可达3000～4000次，</w:t>
            </w:r>
            <w:r>
              <w:rPr>
                <w:kern w:val="0"/>
                <w:sz w:val="24"/>
              </w:rPr>
              <w:t>磷酸铁锂材料在热失控时，化学反应不会释氧，因此是目前相对最安全的锂离子电池材料之一，因此本系统选择磷酸铁锂电池作为电池系统的基本单元，大大降低了产品燃烧、爆炸的可能性，提高了电池系统的安全可靠性</w:t>
            </w:r>
            <w:r>
              <w:rPr>
                <w:rFonts w:hint="eastAsia"/>
                <w:kern w:val="0"/>
                <w:sz w:val="24"/>
              </w:rPr>
              <w:t>。</w:t>
            </w:r>
          </w:p>
          <w:p>
            <w:pPr>
              <w:pStyle w:val="2"/>
              <w:spacing w:line="360" w:lineRule="auto"/>
              <w:ind w:firstLine="480" w:firstLineChars="200"/>
              <w:jc w:val="both"/>
              <w:rPr>
                <w:rFonts w:ascii="Times New Roman" w:hAnsi="Times New Roman" w:cs="Times New Roman"/>
              </w:rPr>
            </w:pPr>
            <w:r>
              <w:rPr>
                <w:rFonts w:ascii="Times New Roman" w:hAnsi="Times New Roman" w:cs="Times New Roman"/>
                <w:color w:val="FF0000"/>
              </w:rPr>
              <w:t>储能电池集装箱采用空调+液冷</w:t>
            </w:r>
            <w:r>
              <w:rPr>
                <w:rFonts w:hint="eastAsia" w:ascii="Times New Roman" w:hAnsi="Times New Roman" w:cs="Times New Roman"/>
                <w:color w:val="FF0000"/>
              </w:rPr>
              <w:t>机组</w:t>
            </w:r>
            <w:r>
              <w:rPr>
                <w:rFonts w:ascii="Times New Roman" w:hAnsi="Times New Roman" w:cs="Times New Roman"/>
                <w:color w:val="FF0000"/>
              </w:rPr>
              <w:t>散热，液冷</w:t>
            </w:r>
            <w:r>
              <w:rPr>
                <w:rFonts w:hint="eastAsia" w:ascii="Times New Roman" w:hAnsi="Times New Roman" w:cs="Times New Roman"/>
                <w:color w:val="FF0000"/>
              </w:rPr>
              <w:t>机组</w:t>
            </w:r>
            <w:r>
              <w:rPr>
                <w:rFonts w:ascii="Times New Roman" w:hAnsi="Times New Roman" w:cs="Times New Roman"/>
                <w:color w:val="FF0000"/>
              </w:rPr>
              <w:t>采用</w:t>
            </w:r>
            <w:r>
              <w:rPr>
                <w:rFonts w:ascii="Times New Roman" w:hAnsi="Times New Roman" w:cs="Times New Roman"/>
                <w:color w:val="FF0000"/>
                <w:kern w:val="21"/>
                <w:szCs w:val="21"/>
              </w:rPr>
              <w:t>50%乙二醇水溶液作为冷凝剂，液冷</w:t>
            </w:r>
            <w:r>
              <w:rPr>
                <w:rFonts w:hint="eastAsia" w:ascii="Times New Roman" w:hAnsi="Times New Roman" w:cs="Times New Roman"/>
                <w:color w:val="FF0000"/>
              </w:rPr>
              <w:t>机组</w:t>
            </w:r>
            <w:r>
              <w:rPr>
                <w:rFonts w:ascii="Times New Roman" w:hAnsi="Times New Roman" w:cs="Times New Roman"/>
                <w:color w:val="FF0000"/>
                <w:kern w:val="21"/>
                <w:szCs w:val="21"/>
              </w:rPr>
              <w:t>冷凝剂由生产厂家添加，添加后储存的容器密封，使用寿命可达3-5年，到期后通知厂家补加，不在站内储存。乙二醇是一种无色</w:t>
            </w:r>
            <w:r>
              <w:rPr>
                <w:rFonts w:hint="eastAsia" w:ascii="Times New Roman" w:hAnsi="Times New Roman" w:cs="Times New Roman"/>
                <w:color w:val="FF0000"/>
                <w:kern w:val="21"/>
                <w:szCs w:val="21"/>
              </w:rPr>
              <w:t>无臭、有甜味</w:t>
            </w:r>
            <w:r>
              <w:rPr>
                <w:rFonts w:ascii="Times New Roman" w:hAnsi="Times New Roman" w:cs="Times New Roman"/>
                <w:color w:val="FF0000"/>
                <w:kern w:val="21"/>
                <w:szCs w:val="21"/>
              </w:rPr>
              <w:t>微粘的液体，沸点197.4℃，冰点-11.5℃，</w:t>
            </w:r>
            <w:r>
              <w:rPr>
                <w:rFonts w:hint="eastAsia" w:ascii="Times New Roman" w:hAnsi="Times New Roman" w:cs="Times New Roman"/>
                <w:color w:val="FF0000"/>
                <w:kern w:val="21"/>
                <w:szCs w:val="21"/>
              </w:rPr>
              <w:t>自燃点418</w:t>
            </w:r>
            <w:r>
              <w:rPr>
                <w:rFonts w:ascii="Times New Roman" w:hAnsi="Times New Roman" w:cs="Times New Roman"/>
                <w:color w:val="FF0000"/>
                <w:kern w:val="21"/>
                <w:szCs w:val="21"/>
              </w:rPr>
              <w:t>℃</w:t>
            </w:r>
            <w:r>
              <w:rPr>
                <w:rFonts w:hint="eastAsia" w:ascii="Times New Roman" w:hAnsi="Times New Roman" w:cs="Times New Roman"/>
                <w:color w:val="FF0000"/>
                <w:kern w:val="21"/>
                <w:szCs w:val="21"/>
              </w:rPr>
              <w:t>，</w:t>
            </w:r>
            <w:r>
              <w:rPr>
                <w:rFonts w:ascii="Times New Roman" w:hAnsi="Times New Roman" w:cs="Times New Roman"/>
                <w:color w:val="FF0000"/>
                <w:kern w:val="21"/>
                <w:szCs w:val="21"/>
              </w:rPr>
              <w:t>能与水任意比例混合</w:t>
            </w:r>
            <w:r>
              <w:rPr>
                <w:rFonts w:hint="eastAsia" w:ascii="Times New Roman" w:hAnsi="Times New Roman" w:cs="Times New Roman"/>
                <w:color w:val="FF0000"/>
                <w:kern w:val="21"/>
                <w:szCs w:val="21"/>
              </w:rPr>
              <w:t>，</w:t>
            </w:r>
            <w:r>
              <w:rPr>
                <w:rFonts w:ascii="Times New Roman" w:hAnsi="Times New Roman" w:cs="Times New Roman"/>
                <w:color w:val="FF0000"/>
                <w:kern w:val="21"/>
                <w:szCs w:val="21"/>
              </w:rPr>
              <w:t>混合后由于改变了水的蒸气压，冰点显著降低。</w:t>
            </w:r>
            <w:r>
              <w:rPr>
                <w:rFonts w:hint="eastAsia" w:ascii="Times New Roman" w:hAnsi="Times New Roman" w:cs="Times New Roman"/>
                <w:color w:val="FF0000"/>
                <w:kern w:val="21"/>
                <w:szCs w:val="21"/>
              </w:rPr>
              <w:t>乙二醇对动物有低毒性，但由于其沸点高，不会产生蒸气被人吸入体内而引起中毒。经查阅《建设项目环境风险评价技术导则》（HJ169-2018）附录B重点关注的危险物质及临界量，乙二醇未列入突发环境事件风险物质。</w:t>
            </w:r>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15" w:name="_Toc9035"/>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2</w:t>
            </w:r>
            <w:r>
              <w:rPr>
                <w:rFonts w:ascii="Times New Roman" w:hAnsi="Times New Roman" w:cs="Times New Roman"/>
                <w:sz w:val="24"/>
                <w:szCs w:val="24"/>
                <w:lang w:eastAsia="zh-CN"/>
              </w:rPr>
              <w:t>劳动定员及工作制度</w:t>
            </w:r>
            <w:bookmarkEnd w:id="15"/>
          </w:p>
          <w:p>
            <w:pPr>
              <w:adjustRightInd w:val="0"/>
              <w:snapToGrid w:val="0"/>
              <w:spacing w:line="360" w:lineRule="auto"/>
              <w:ind w:firstLine="480" w:firstLineChars="200"/>
              <w:rPr>
                <w:sz w:val="24"/>
              </w:rPr>
            </w:pPr>
            <w:r>
              <w:rPr>
                <w:rFonts w:hint="eastAsia"/>
                <w:sz w:val="24"/>
              </w:rPr>
              <w:t>储能电站</w:t>
            </w:r>
            <w:r>
              <w:rPr>
                <w:sz w:val="24"/>
              </w:rPr>
              <w:t>建成后，</w:t>
            </w:r>
            <w:r>
              <w:rPr>
                <w:rFonts w:hint="eastAsia"/>
                <w:sz w:val="24"/>
              </w:rPr>
              <w:t>按无人值守设计，设巡检人员5人，每周巡检2次。</w:t>
            </w:r>
          </w:p>
          <w:p>
            <w:pPr>
              <w:adjustRightInd w:val="0"/>
              <w:snapToGrid w:val="0"/>
              <w:spacing w:before="120" w:beforeLines="50" w:after="120" w:afterLines="50" w:line="360" w:lineRule="auto"/>
              <w:rPr>
                <w:b/>
                <w:bCs/>
                <w:sz w:val="24"/>
              </w:rPr>
            </w:pPr>
            <w:r>
              <w:rPr>
                <w:b/>
                <w:bCs/>
                <w:sz w:val="24"/>
              </w:rPr>
              <w:t>2.</w:t>
            </w:r>
            <w:r>
              <w:rPr>
                <w:rFonts w:hint="eastAsia"/>
                <w:b/>
                <w:bCs/>
                <w:sz w:val="24"/>
              </w:rPr>
              <w:t>3</w:t>
            </w:r>
            <w:r>
              <w:rPr>
                <w:b/>
                <w:bCs/>
                <w:sz w:val="24"/>
              </w:rPr>
              <w:t>公用工程</w:t>
            </w:r>
          </w:p>
          <w:p>
            <w:pPr>
              <w:pStyle w:val="21"/>
              <w:numPr>
                <w:ilvl w:val="0"/>
                <w:numId w:val="2"/>
              </w:numPr>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bookmarkStart w:id="16" w:name="_Toc24070"/>
            <w:r>
              <w:rPr>
                <w:rFonts w:ascii="Times New Roman" w:hAnsi="Times New Roman" w:cs="Times New Roman"/>
                <w:sz w:val="24"/>
                <w:szCs w:val="24"/>
                <w:lang w:eastAsia="zh-CN"/>
              </w:rPr>
              <w:t>给水</w:t>
            </w:r>
            <w:bookmarkEnd w:id="16"/>
          </w:p>
          <w:p>
            <w:pPr>
              <w:widowControl/>
              <w:adjustRightInd w:val="0"/>
              <w:snapToGrid w:val="0"/>
              <w:spacing w:line="360" w:lineRule="auto"/>
              <w:ind w:firstLine="480" w:firstLineChars="200"/>
              <w:jc w:val="left"/>
              <w:rPr>
                <w:sz w:val="24"/>
              </w:rPr>
            </w:pPr>
            <w:r>
              <w:rPr>
                <w:sz w:val="24"/>
              </w:rPr>
              <w:t>本项目给水</w:t>
            </w:r>
            <w:r>
              <w:rPr>
                <w:rFonts w:hint="eastAsia"/>
                <w:sz w:val="24"/>
              </w:rPr>
              <w:t>从附近水源拉运</w:t>
            </w:r>
            <w:r>
              <w:rPr>
                <w:sz w:val="24"/>
              </w:rPr>
              <w:t>。在</w:t>
            </w:r>
            <w:r>
              <w:rPr>
                <w:rFonts w:hint="eastAsia"/>
                <w:sz w:val="24"/>
              </w:rPr>
              <w:t>站内设置生活给水系统，</w:t>
            </w:r>
            <w:r>
              <w:rPr>
                <w:rFonts w:ascii="CIDFont" w:hAnsi="CIDFont" w:eastAsia="CIDFont" w:cs="CIDFont"/>
                <w:color w:val="000000"/>
                <w:kern w:val="0"/>
                <w:sz w:val="24"/>
                <w:lang w:bidi="ar"/>
              </w:rPr>
              <w:t>由生活水箱、净水设备、变频调速供水设备及</w:t>
            </w:r>
            <w:r>
              <w:rPr>
                <w:rFonts w:hint="eastAsia" w:ascii="CIDFont" w:hAnsi="CIDFont" w:eastAsia="CIDFont" w:cs="CIDFont"/>
                <w:color w:val="000000"/>
                <w:kern w:val="0"/>
                <w:sz w:val="24"/>
                <w:lang w:bidi="ar"/>
              </w:rPr>
              <w:t>站内供水</w:t>
            </w:r>
            <w:r>
              <w:rPr>
                <w:rFonts w:ascii="CIDFont" w:hAnsi="CIDFont" w:eastAsia="CIDFont" w:cs="CIDFont"/>
                <w:color w:val="000000"/>
                <w:kern w:val="0"/>
                <w:sz w:val="24"/>
                <w:lang w:bidi="ar"/>
              </w:rPr>
              <w:t>管网等组成</w:t>
            </w:r>
            <w:r>
              <w:rPr>
                <w:sz w:val="24"/>
              </w:rPr>
              <w:t>。</w:t>
            </w:r>
            <w:r>
              <w:rPr>
                <w:color w:val="FF0000"/>
                <w:sz w:val="24"/>
              </w:rPr>
              <w:t>运营期</w:t>
            </w:r>
            <w:r>
              <w:rPr>
                <w:rFonts w:hint="eastAsia"/>
                <w:color w:val="FF0000"/>
                <w:sz w:val="24"/>
              </w:rPr>
              <w:t>巡检人员5</w:t>
            </w:r>
            <w:r>
              <w:rPr>
                <w:color w:val="FF0000"/>
                <w:sz w:val="24"/>
              </w:rPr>
              <w:t>人</w:t>
            </w:r>
            <w:r>
              <w:rPr>
                <w:rFonts w:hint="eastAsia"/>
                <w:color w:val="FF0000"/>
                <w:sz w:val="24"/>
              </w:rPr>
              <w:t>，不在站内食宿</w:t>
            </w:r>
            <w:r>
              <w:rPr>
                <w:rFonts w:hint="eastAsia"/>
                <w:sz w:val="24"/>
              </w:rPr>
              <w:t>。</w:t>
            </w:r>
            <w:r>
              <w:rPr>
                <w:sz w:val="24"/>
              </w:rPr>
              <w:t>依据《甘肃省行业用水定额（2017版）》，</w:t>
            </w:r>
            <w:r>
              <w:rPr>
                <w:rFonts w:hint="eastAsia"/>
                <w:sz w:val="24"/>
              </w:rPr>
              <w:t>结合项目实际，生</w:t>
            </w:r>
            <w:r>
              <w:rPr>
                <w:sz w:val="24"/>
              </w:rPr>
              <w:t>活用水定额（水源水量缺乏地区）为</w:t>
            </w:r>
            <w:r>
              <w:rPr>
                <w:rFonts w:hint="eastAsia"/>
                <w:sz w:val="24"/>
              </w:rPr>
              <w:t>2</w:t>
            </w:r>
            <w:r>
              <w:rPr>
                <w:sz w:val="24"/>
              </w:rPr>
              <w:t>0L/人.d，则项目职工生活用水量为</w:t>
            </w:r>
            <w:r>
              <w:rPr>
                <w:rFonts w:hint="eastAsia"/>
                <w:sz w:val="24"/>
              </w:rPr>
              <w:t>0.1</w:t>
            </w:r>
            <w:r>
              <w:rPr>
                <w:sz w:val="24"/>
              </w:rPr>
              <w:t>m</w:t>
            </w:r>
            <w:r>
              <w:rPr>
                <w:sz w:val="24"/>
                <w:vertAlign w:val="superscript"/>
              </w:rPr>
              <w:t>3</w:t>
            </w:r>
            <w:r>
              <w:rPr>
                <w:sz w:val="24"/>
              </w:rPr>
              <w:t>/d（</w:t>
            </w:r>
            <w:r>
              <w:rPr>
                <w:rFonts w:hint="eastAsia"/>
                <w:sz w:val="24"/>
              </w:rPr>
              <w:t>20.8</w:t>
            </w:r>
            <w:r>
              <w:rPr>
                <w:sz w:val="24"/>
              </w:rPr>
              <w:t>m</w:t>
            </w:r>
            <w:r>
              <w:rPr>
                <w:sz w:val="24"/>
                <w:vertAlign w:val="superscript"/>
              </w:rPr>
              <w:t>3</w:t>
            </w:r>
            <w:r>
              <w:rPr>
                <w:sz w:val="24"/>
              </w:rPr>
              <w:t>/a</w:t>
            </w:r>
            <w:r>
              <w:rPr>
                <w:rFonts w:hint="eastAsia"/>
                <w:sz w:val="24"/>
              </w:rPr>
              <w:t>，每年52周，每周巡检2次，每次巡检按2天计</w:t>
            </w:r>
            <w:r>
              <w:rPr>
                <w:sz w:val="24"/>
              </w:rPr>
              <w:t>）</w:t>
            </w:r>
            <w:r>
              <w:rPr>
                <w:rFonts w:hint="eastAsia"/>
                <w:sz w:val="24"/>
              </w:rPr>
              <w:t>。</w:t>
            </w:r>
          </w:p>
          <w:p>
            <w:pPr>
              <w:numPr>
                <w:ilvl w:val="0"/>
                <w:numId w:val="2"/>
              </w:numPr>
              <w:adjustRightInd w:val="0"/>
              <w:snapToGrid w:val="0"/>
              <w:spacing w:line="360" w:lineRule="auto"/>
              <w:ind w:firstLine="482" w:firstLineChars="200"/>
              <w:rPr>
                <w:b/>
                <w:bCs/>
                <w:sz w:val="24"/>
              </w:rPr>
            </w:pPr>
            <w:r>
              <w:rPr>
                <w:b/>
                <w:bCs/>
                <w:sz w:val="24"/>
              </w:rPr>
              <w:t>排水</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7" w:name="_Toc10303"/>
            <w:r>
              <w:rPr>
                <w:rFonts w:ascii="Times New Roman" w:hAnsi="Times New Roman" w:cs="Times New Roman"/>
                <w:b w:val="0"/>
                <w:bCs w:val="0"/>
                <w:sz w:val="24"/>
                <w:szCs w:val="24"/>
                <w:lang w:eastAsia="zh-CN"/>
              </w:rPr>
              <w:t>本项目排水方式采用分流制排水系统：全站雨水经雨水口收集，通过雨水排水管网排至站外；生活污水经</w:t>
            </w:r>
            <w:r>
              <w:rPr>
                <w:rFonts w:hint="eastAsia" w:ascii="Times New Roman" w:hAnsi="Times New Roman" w:cs="Times New Roman"/>
                <w:b w:val="0"/>
                <w:bCs w:val="0"/>
                <w:sz w:val="24"/>
                <w:szCs w:val="24"/>
                <w:lang w:eastAsia="zh-CN"/>
              </w:rPr>
              <w:t>污水管道收集</w:t>
            </w:r>
            <w:r>
              <w:rPr>
                <w:rFonts w:ascii="Times New Roman" w:hAnsi="Times New Roman" w:cs="Times New Roman"/>
                <w:b w:val="0"/>
                <w:bCs w:val="0"/>
                <w:sz w:val="24"/>
                <w:szCs w:val="24"/>
                <w:lang w:eastAsia="zh-CN"/>
              </w:rPr>
              <w:t>后</w:t>
            </w:r>
            <w:r>
              <w:rPr>
                <w:rFonts w:hint="eastAsia" w:ascii="Times New Roman" w:hAnsi="Times New Roman" w:cs="Times New Roman"/>
                <w:b w:val="0"/>
                <w:bCs w:val="0"/>
                <w:sz w:val="24"/>
                <w:szCs w:val="24"/>
                <w:lang w:eastAsia="zh-CN"/>
              </w:rPr>
              <w:t>排至化粪池，</w:t>
            </w:r>
            <w:bookmarkEnd w:id="17"/>
            <w:r>
              <w:rPr>
                <w:rFonts w:hint="eastAsia" w:ascii="Times New Roman" w:hAnsi="Times New Roman" w:cs="Times New Roman"/>
                <w:b w:val="0"/>
                <w:bCs w:val="0"/>
                <w:sz w:val="24"/>
                <w:szCs w:val="24"/>
                <w:lang w:eastAsia="zh-CN"/>
              </w:rPr>
              <w:t>项目距民乐生态工业园区较近，因此采用吸污车定期将化粪池污水清运至民乐生态工业园区第一污水处理厂处理。</w:t>
            </w:r>
          </w:p>
          <w:p>
            <w:pPr>
              <w:pStyle w:val="21"/>
              <w:numPr>
                <w:ilvl w:val="0"/>
                <w:numId w:val="2"/>
              </w:numPr>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bookmarkStart w:id="18" w:name="_Toc22664"/>
            <w:r>
              <w:rPr>
                <w:rFonts w:ascii="Times New Roman" w:hAnsi="Times New Roman" w:cs="Times New Roman"/>
                <w:sz w:val="24"/>
                <w:szCs w:val="24"/>
                <w:lang w:eastAsia="zh-CN"/>
              </w:rPr>
              <w:t>供配电</w:t>
            </w:r>
            <w:bookmarkEnd w:id="18"/>
          </w:p>
          <w:p>
            <w:pPr>
              <w:adjustRightInd w:val="0"/>
              <w:snapToGrid w:val="0"/>
              <w:spacing w:line="360" w:lineRule="auto"/>
              <w:ind w:firstLine="480" w:firstLineChars="200"/>
              <w:rPr>
                <w:sz w:val="24"/>
              </w:rPr>
            </w:pPr>
            <w:r>
              <w:rPr>
                <w:sz w:val="24"/>
              </w:rPr>
              <w:t>本项目设置2套站用变系统，</w:t>
            </w:r>
            <w:r>
              <w:rPr>
                <w:snapToGrid w:val="0"/>
                <w:kern w:val="24"/>
                <w:sz w:val="24"/>
              </w:rPr>
              <w:t>设置4台站用变压器，其中2台35kV站用变（</w:t>
            </w:r>
            <w:r>
              <w:rPr>
                <w:rFonts w:hint="eastAsia"/>
                <w:snapToGrid w:val="0"/>
                <w:kern w:val="24"/>
                <w:sz w:val="24"/>
              </w:rPr>
              <w:t>4000</w:t>
            </w:r>
            <w:r>
              <w:rPr>
                <w:snapToGrid w:val="0"/>
                <w:kern w:val="24"/>
                <w:sz w:val="24"/>
              </w:rPr>
              <w:t>kVA/台）分别接在主变的35kV的母线上</w:t>
            </w:r>
            <w:r>
              <w:rPr>
                <w:rFonts w:hint="eastAsia"/>
                <w:snapToGrid w:val="0"/>
                <w:kern w:val="24"/>
                <w:sz w:val="24"/>
              </w:rPr>
              <w:t>，每段各1台；另外</w:t>
            </w:r>
            <w:r>
              <w:rPr>
                <w:snapToGrid w:val="0"/>
                <w:kern w:val="24"/>
                <w:sz w:val="24"/>
              </w:rPr>
              <w:t>2台</w:t>
            </w:r>
            <w:r>
              <w:rPr>
                <w:rFonts w:hint="eastAsia"/>
                <w:snapToGrid w:val="0"/>
                <w:kern w:val="24"/>
                <w:sz w:val="24"/>
              </w:rPr>
              <w:t>35</w:t>
            </w:r>
            <w:r>
              <w:rPr>
                <w:snapToGrid w:val="0"/>
                <w:kern w:val="24"/>
                <w:sz w:val="24"/>
              </w:rPr>
              <w:t>kV站用变（</w:t>
            </w:r>
            <w:r>
              <w:rPr>
                <w:rFonts w:hint="eastAsia"/>
                <w:snapToGrid w:val="0"/>
                <w:kern w:val="24"/>
                <w:sz w:val="24"/>
              </w:rPr>
              <w:t>4000</w:t>
            </w:r>
            <w:r>
              <w:rPr>
                <w:snapToGrid w:val="0"/>
                <w:kern w:val="24"/>
                <w:sz w:val="24"/>
              </w:rPr>
              <w:t>kVA/台）由可靠的站外电源引接。</w:t>
            </w:r>
          </w:p>
          <w:p>
            <w:pPr>
              <w:numPr>
                <w:ilvl w:val="0"/>
                <w:numId w:val="2"/>
              </w:numPr>
              <w:adjustRightInd w:val="0"/>
              <w:snapToGrid w:val="0"/>
              <w:spacing w:line="360" w:lineRule="auto"/>
              <w:ind w:firstLine="482" w:firstLineChars="200"/>
              <w:rPr>
                <w:b/>
                <w:bCs/>
                <w:sz w:val="24"/>
              </w:rPr>
            </w:pPr>
            <w:r>
              <w:rPr>
                <w:b/>
                <w:bCs/>
                <w:sz w:val="24"/>
              </w:rPr>
              <w:t>采暖</w:t>
            </w:r>
          </w:p>
          <w:p>
            <w:pPr>
              <w:pStyle w:val="21"/>
              <w:adjustRightInd w:val="0"/>
              <w:snapToGrid w:val="0"/>
              <w:spacing w:before="0" w:after="0" w:line="360" w:lineRule="auto"/>
              <w:ind w:firstLine="480" w:firstLineChars="200"/>
              <w:jc w:val="both"/>
              <w:outlineLvl w:val="9"/>
              <w:rPr>
                <w:rFonts w:ascii="Times New Roman" w:hAnsi="Times New Roman" w:cs="Times New Roman"/>
                <w:lang w:eastAsia="zh-CN"/>
              </w:rPr>
            </w:pPr>
            <w:bookmarkStart w:id="19" w:name="_Toc24645"/>
            <w:r>
              <w:rPr>
                <w:rFonts w:ascii="Times New Roman" w:hAnsi="Times New Roman" w:cs="Times New Roman"/>
                <w:b w:val="0"/>
                <w:bCs w:val="0"/>
                <w:sz w:val="24"/>
                <w:szCs w:val="24"/>
                <w:lang w:eastAsia="zh-CN"/>
              </w:rPr>
              <w:t>供暖：电池集装箱供暖采用防腐防爆型电暖器</w:t>
            </w:r>
            <w:r>
              <w:rPr>
                <w:rFonts w:hint="eastAsia" w:ascii="Times New Roman" w:hAnsi="Times New Roman" w:cs="Times New Roman"/>
                <w:b w:val="0"/>
                <w:bCs w:val="0"/>
                <w:sz w:val="24"/>
                <w:szCs w:val="24"/>
                <w:lang w:eastAsia="zh-CN"/>
              </w:rPr>
              <w:t>；卫生间、综合水泵房采用防水型电暖器用于冬季供暖</w:t>
            </w:r>
            <w:r>
              <w:rPr>
                <w:rFonts w:ascii="Times New Roman" w:hAnsi="Times New Roman" w:cs="Times New Roman"/>
                <w:b w:val="0"/>
                <w:bCs w:val="0"/>
                <w:sz w:val="24"/>
                <w:szCs w:val="24"/>
                <w:lang w:eastAsia="zh-CN"/>
              </w:rPr>
              <w:t>。</w:t>
            </w:r>
            <w:bookmarkEnd w:id="1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10" w:type="dxa"/>
            <w:vAlign w:val="center"/>
          </w:tcPr>
          <w:p>
            <w:pPr>
              <w:adjustRightInd w:val="0"/>
              <w:snapToGrid w:val="0"/>
              <w:jc w:val="center"/>
              <w:rPr>
                <w:kern w:val="0"/>
                <w:szCs w:val="21"/>
              </w:rPr>
            </w:pPr>
            <w:r>
              <w:rPr>
                <w:kern w:val="0"/>
                <w:szCs w:val="21"/>
              </w:rPr>
              <w:t>总平面及现场布置</w:t>
            </w:r>
          </w:p>
        </w:tc>
        <w:tc>
          <w:tcPr>
            <w:tcW w:w="8380" w:type="dxa"/>
            <w:vAlign w:val="center"/>
          </w:tcPr>
          <w:p>
            <w:pPr>
              <w:adjustRightInd w:val="0"/>
              <w:snapToGrid w:val="0"/>
              <w:spacing w:before="120" w:beforeLines="50" w:after="120" w:afterLines="50" w:line="360" w:lineRule="auto"/>
              <w:rPr>
                <w:b/>
                <w:bCs/>
                <w:sz w:val="24"/>
              </w:rPr>
            </w:pPr>
            <w:r>
              <w:rPr>
                <w:b/>
                <w:bCs/>
                <w:sz w:val="24"/>
              </w:rPr>
              <w:t>2.</w:t>
            </w:r>
            <w:r>
              <w:rPr>
                <w:rFonts w:hint="eastAsia"/>
                <w:b/>
                <w:bCs/>
                <w:sz w:val="24"/>
              </w:rPr>
              <w:t>4</w:t>
            </w:r>
            <w:r>
              <w:rPr>
                <w:b/>
                <w:bCs/>
                <w:sz w:val="24"/>
              </w:rPr>
              <w:t>施工期布置</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20" w:name="_Toc28405"/>
            <w:r>
              <w:rPr>
                <w:rFonts w:ascii="Times New Roman" w:hAnsi="Times New Roman" w:cs="Times New Roman"/>
                <w:b w:val="0"/>
                <w:bCs w:val="0"/>
                <w:sz w:val="24"/>
                <w:szCs w:val="24"/>
                <w:lang w:eastAsia="zh-CN"/>
              </w:rPr>
              <w:t>站址地貌单元属祁连山山前冲洪积缓倾平原。站址区域内为草地，地形平坦，地势开阔。本项目拟建场地所处地形为</w:t>
            </w:r>
            <w:r>
              <w:rPr>
                <w:rFonts w:hint="eastAsia" w:ascii="Times New Roman" w:hAnsi="Times New Roman" w:cs="Times New Roman"/>
                <w:b w:val="0"/>
                <w:bCs w:val="0"/>
                <w:sz w:val="24"/>
                <w:szCs w:val="24"/>
                <w:lang w:eastAsia="zh-CN"/>
              </w:rPr>
              <w:t>平地</w:t>
            </w:r>
            <w:r>
              <w:rPr>
                <w:rFonts w:ascii="Times New Roman" w:hAnsi="Times New Roman" w:cs="Times New Roman"/>
                <w:b w:val="0"/>
                <w:bCs w:val="0"/>
                <w:sz w:val="24"/>
                <w:szCs w:val="24"/>
                <w:lang w:eastAsia="zh-CN"/>
              </w:rPr>
              <w:t>，站址范围及周边无村民房屋。为满足项目施工期要求，</w:t>
            </w:r>
            <w:r>
              <w:rPr>
                <w:rFonts w:hint="eastAsia" w:ascii="Times New Roman" w:hAnsi="Times New Roman" w:cs="Times New Roman"/>
                <w:b w:val="0"/>
                <w:bCs w:val="0"/>
                <w:sz w:val="24"/>
                <w:szCs w:val="24"/>
                <w:lang w:eastAsia="zh-CN"/>
              </w:rPr>
              <w:t>根据“永临结合”的原则，在站址内设置一处施工生产生活区，占地面积500m</w:t>
            </w:r>
            <w:r>
              <w:rPr>
                <w:rFonts w:hint="eastAsia" w:ascii="Times New Roman" w:hAnsi="Times New Roman" w:cs="Times New Roman"/>
                <w:b w:val="0"/>
                <w:bCs w:val="0"/>
                <w:sz w:val="24"/>
                <w:szCs w:val="24"/>
                <w:vertAlign w:val="superscript"/>
                <w:lang w:eastAsia="zh-CN"/>
              </w:rPr>
              <w:t>2</w:t>
            </w:r>
            <w:r>
              <w:rPr>
                <w:rFonts w:hint="eastAsia" w:ascii="Times New Roman" w:hAnsi="Times New Roman" w:cs="Times New Roman"/>
                <w:b w:val="0"/>
                <w:bCs w:val="0"/>
                <w:sz w:val="24"/>
                <w:szCs w:val="24"/>
                <w:lang w:eastAsia="zh-CN"/>
              </w:rPr>
              <w:t>，站址内进站道路南侧设置1处材料临时堆场，占地面积1000m</w:t>
            </w:r>
            <w:r>
              <w:rPr>
                <w:rFonts w:hint="eastAsia" w:ascii="Times New Roman" w:hAnsi="Times New Roman" w:cs="Times New Roman"/>
                <w:b w:val="0"/>
                <w:bCs w:val="0"/>
                <w:sz w:val="24"/>
                <w:szCs w:val="24"/>
                <w:vertAlign w:val="superscript"/>
                <w:lang w:eastAsia="zh-CN"/>
              </w:rPr>
              <w:t>2</w:t>
            </w:r>
            <w:r>
              <w:rPr>
                <w:rFonts w:hint="eastAsia" w:ascii="Times New Roman" w:hAnsi="Times New Roman" w:cs="Times New Roman"/>
                <w:b w:val="0"/>
                <w:bCs w:val="0"/>
                <w:sz w:val="24"/>
                <w:szCs w:val="24"/>
                <w:lang w:eastAsia="zh-CN"/>
              </w:rPr>
              <w:t>；站址外进站道路北侧设置1处临时堆土区，占地面积800m</w:t>
            </w:r>
            <w:r>
              <w:rPr>
                <w:rFonts w:hint="eastAsia" w:ascii="Times New Roman" w:hAnsi="Times New Roman" w:cs="Times New Roman"/>
                <w:b w:val="0"/>
                <w:bCs w:val="0"/>
                <w:sz w:val="24"/>
                <w:szCs w:val="24"/>
                <w:vertAlign w:val="superscript"/>
                <w:lang w:eastAsia="zh-CN"/>
              </w:rPr>
              <w:t>2</w:t>
            </w:r>
            <w:r>
              <w:rPr>
                <w:rFonts w:hint="eastAsia" w:ascii="Times New Roman" w:hAnsi="Times New Roman" w:cs="Times New Roman"/>
                <w:b w:val="0"/>
                <w:bCs w:val="0"/>
                <w:sz w:val="24"/>
                <w:szCs w:val="24"/>
                <w:lang w:eastAsia="zh-CN"/>
              </w:rPr>
              <w:t>，设置1处线路</w:t>
            </w:r>
            <w:r>
              <w:rPr>
                <w:rFonts w:hint="eastAsia" w:ascii="Times New Roman" w:hAnsi="Times New Roman" w:cs="Times New Roman"/>
                <w:b w:val="0"/>
                <w:bCs w:val="0"/>
                <w:color w:val="FF0000"/>
                <w:sz w:val="24"/>
                <w:szCs w:val="24"/>
                <w:lang w:eastAsia="zh-CN"/>
              </w:rPr>
              <w:t>牵张场，占地面积100m</w:t>
            </w:r>
            <w:r>
              <w:rPr>
                <w:rFonts w:hint="eastAsia" w:ascii="Times New Roman" w:hAnsi="Times New Roman" w:cs="Times New Roman"/>
                <w:b w:val="0"/>
                <w:bCs w:val="0"/>
                <w:color w:val="FF0000"/>
                <w:sz w:val="24"/>
                <w:szCs w:val="24"/>
                <w:vertAlign w:val="superscript"/>
                <w:lang w:eastAsia="zh-CN"/>
              </w:rPr>
              <w:t>2</w:t>
            </w:r>
            <w:r>
              <w:rPr>
                <w:rFonts w:hint="eastAsia" w:ascii="Times New Roman" w:hAnsi="Times New Roman" w:cs="Times New Roman"/>
                <w:b w:val="0"/>
                <w:bCs w:val="0"/>
                <w:sz w:val="24"/>
                <w:szCs w:val="24"/>
                <w:lang w:eastAsia="zh-CN"/>
              </w:rPr>
              <w:t>，占地类型均为未利用地</w:t>
            </w:r>
            <w:r>
              <w:rPr>
                <w:rFonts w:ascii="Times New Roman" w:hAnsi="Times New Roman" w:cs="Times New Roman"/>
                <w:b w:val="0"/>
                <w:bCs w:val="0"/>
                <w:sz w:val="24"/>
                <w:szCs w:val="24"/>
                <w:lang w:eastAsia="zh-CN"/>
              </w:rPr>
              <w:t>。临时场地包括生产、生活两部分，其中生产场地包括：</w:t>
            </w:r>
            <w:r>
              <w:rPr>
                <w:rFonts w:hint="eastAsia" w:ascii="Times New Roman" w:hAnsi="Times New Roman" w:cs="Times New Roman"/>
                <w:b w:val="0"/>
                <w:bCs w:val="0"/>
                <w:sz w:val="24"/>
                <w:szCs w:val="24"/>
                <w:lang w:eastAsia="zh-CN"/>
              </w:rPr>
              <w:t>施工材料</w:t>
            </w:r>
            <w:r>
              <w:rPr>
                <w:rFonts w:ascii="Times New Roman" w:hAnsi="Times New Roman" w:cs="Times New Roman"/>
                <w:b w:val="0"/>
                <w:bCs w:val="0"/>
                <w:sz w:val="24"/>
                <w:szCs w:val="24"/>
                <w:lang w:eastAsia="zh-CN"/>
              </w:rPr>
              <w:t>堆放区</w:t>
            </w:r>
            <w:r>
              <w:rPr>
                <w:rFonts w:hint="eastAsia" w:ascii="Times New Roman" w:hAnsi="Times New Roman" w:cs="Times New Roman"/>
                <w:b w:val="0"/>
                <w:bCs w:val="0"/>
                <w:sz w:val="24"/>
                <w:szCs w:val="24"/>
                <w:lang w:eastAsia="zh-CN"/>
              </w:rPr>
              <w:t>、临时堆土区</w:t>
            </w:r>
            <w:r>
              <w:rPr>
                <w:rFonts w:ascii="Times New Roman" w:hAnsi="Times New Roman" w:cs="Times New Roman"/>
                <w:b w:val="0"/>
                <w:bCs w:val="0"/>
                <w:sz w:val="24"/>
                <w:szCs w:val="24"/>
                <w:lang w:eastAsia="zh-CN"/>
              </w:rPr>
              <w:t>等；生活场地包括：生产用办公室，生活用临时住房等。</w:t>
            </w:r>
            <w:bookmarkEnd w:id="20"/>
            <w:r>
              <w:rPr>
                <w:rFonts w:hint="eastAsia" w:ascii="Times New Roman" w:hAnsi="Times New Roman" w:cs="Times New Roman"/>
                <w:b w:val="0"/>
                <w:bCs w:val="0"/>
                <w:sz w:val="24"/>
                <w:szCs w:val="24"/>
                <w:lang w:eastAsia="zh-CN"/>
              </w:rPr>
              <w:t>项目施工期布置见附图4。</w:t>
            </w:r>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21" w:name="_Toc32748"/>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5</w:t>
            </w:r>
            <w:r>
              <w:rPr>
                <w:rFonts w:ascii="Times New Roman" w:hAnsi="Times New Roman" w:cs="Times New Roman"/>
                <w:sz w:val="24"/>
                <w:szCs w:val="24"/>
                <w:lang w:eastAsia="zh-CN"/>
              </w:rPr>
              <w:t>营运期布置</w:t>
            </w:r>
            <w:bookmarkEnd w:id="21"/>
          </w:p>
          <w:p>
            <w:pPr>
              <w:adjustRightInd w:val="0"/>
              <w:snapToGrid w:val="0"/>
              <w:spacing w:before="120" w:beforeLines="50" w:after="120" w:afterLines="50" w:line="360" w:lineRule="auto"/>
              <w:rPr>
                <w:b/>
                <w:bCs/>
                <w:sz w:val="24"/>
              </w:rPr>
            </w:pPr>
            <w:r>
              <w:rPr>
                <w:rFonts w:hint="eastAsia"/>
                <w:b/>
                <w:bCs/>
                <w:sz w:val="24"/>
              </w:rPr>
              <w:t>2.5.1储能电站</w:t>
            </w:r>
          </w:p>
          <w:p>
            <w:pPr>
              <w:adjustRightInd w:val="0"/>
              <w:snapToGrid w:val="0"/>
              <w:spacing w:line="360" w:lineRule="auto"/>
              <w:ind w:firstLine="482" w:firstLineChars="200"/>
              <w:rPr>
                <w:b/>
                <w:bCs/>
                <w:sz w:val="24"/>
              </w:rPr>
            </w:pPr>
            <w:r>
              <w:rPr>
                <w:b/>
                <w:bCs/>
                <w:sz w:val="24"/>
              </w:rPr>
              <w:t>（1）总平面布置</w:t>
            </w:r>
          </w:p>
          <w:p>
            <w:pPr>
              <w:adjustRightInd w:val="0"/>
              <w:snapToGrid w:val="0"/>
              <w:spacing w:line="360" w:lineRule="auto"/>
              <w:ind w:firstLine="480" w:firstLineChars="200"/>
              <w:rPr>
                <w:sz w:val="24"/>
              </w:rPr>
            </w:pPr>
            <w:r>
              <w:rPr>
                <w:sz w:val="24"/>
              </w:rPr>
              <w:t>储能电站</w:t>
            </w:r>
            <w:r>
              <w:rPr>
                <w:rFonts w:hint="eastAsia"/>
                <w:sz w:val="24"/>
              </w:rPr>
              <w:t>总体呈矩形布置，其</w:t>
            </w:r>
            <w:r>
              <w:rPr>
                <w:sz w:val="24"/>
              </w:rPr>
              <w:t>内布置有330kV主变压器、35kV开关柜预制舱、二次设备预制舱和辅助预制舱</w:t>
            </w:r>
            <w:r>
              <w:rPr>
                <w:rFonts w:hint="eastAsia"/>
                <w:sz w:val="24"/>
              </w:rPr>
              <w:t>等；</w:t>
            </w:r>
            <w:r>
              <w:rPr>
                <w:sz w:val="24"/>
              </w:rPr>
              <w:t>仅新建一座综合水泵房建筑物。</w:t>
            </w:r>
          </w:p>
          <w:p>
            <w:pPr>
              <w:adjustRightInd w:val="0"/>
              <w:snapToGrid w:val="0"/>
              <w:spacing w:line="360" w:lineRule="auto"/>
              <w:ind w:firstLine="480" w:firstLineChars="200"/>
              <w:rPr>
                <w:sz w:val="24"/>
              </w:rPr>
            </w:pPr>
            <w:r>
              <w:rPr>
                <w:sz w:val="24"/>
              </w:rPr>
              <w:t>站内主变压器运输道路宽5.5m，储能电池舱运输道路及消防通道宽4.0</w:t>
            </w:r>
            <w:r>
              <w:rPr>
                <w:rFonts w:hint="eastAsia"/>
                <w:sz w:val="24"/>
              </w:rPr>
              <w:t>m</w:t>
            </w:r>
            <w:r>
              <w:rPr>
                <w:sz w:val="24"/>
              </w:rPr>
              <w:t>，转弯半径大于9.0m。站内道路采用郊区型混凝土路面。</w:t>
            </w:r>
          </w:p>
          <w:p>
            <w:pPr>
              <w:adjustRightInd w:val="0"/>
              <w:snapToGrid w:val="0"/>
              <w:spacing w:line="360" w:lineRule="auto"/>
              <w:ind w:firstLine="480" w:firstLineChars="200"/>
              <w:rPr>
                <w:sz w:val="24"/>
              </w:rPr>
            </w:pPr>
            <w:r>
              <w:rPr>
                <w:sz w:val="24"/>
              </w:rPr>
              <w:t>储能电站道路与西侧X201县道相连接，可以满足工程设备运输及消防通道要求。</w:t>
            </w:r>
          </w:p>
          <w:p>
            <w:pPr>
              <w:adjustRightInd w:val="0"/>
              <w:snapToGrid w:val="0"/>
              <w:spacing w:line="360" w:lineRule="auto"/>
              <w:ind w:firstLine="480" w:firstLineChars="200"/>
              <w:rPr>
                <w:sz w:val="24"/>
              </w:rPr>
            </w:pPr>
            <w:r>
              <w:rPr>
                <w:rFonts w:hint="eastAsia"/>
                <w:sz w:val="24"/>
              </w:rPr>
              <w:t>储能电站电气</w:t>
            </w:r>
            <w:r>
              <w:rPr>
                <w:sz w:val="24"/>
              </w:rPr>
              <w:t>总平面</w:t>
            </w:r>
            <w:r>
              <w:rPr>
                <w:rFonts w:hint="eastAsia"/>
                <w:sz w:val="24"/>
              </w:rPr>
              <w:t>布置</w:t>
            </w:r>
            <w:r>
              <w:rPr>
                <w:sz w:val="24"/>
              </w:rPr>
              <w:t>图见附图</w:t>
            </w:r>
            <w:r>
              <w:rPr>
                <w:rFonts w:hint="eastAsia"/>
                <w:sz w:val="24"/>
              </w:rPr>
              <w:t>5.1，电气主接线图见附图5.2，330kV升压站平面布置图见附图5.3</w:t>
            </w:r>
            <w:r>
              <w:rPr>
                <w:sz w:val="24"/>
              </w:rPr>
              <w:t>。</w:t>
            </w:r>
          </w:p>
          <w:p>
            <w:pPr>
              <w:pStyle w:val="21"/>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bookmarkStart w:id="22" w:name="_Toc416"/>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电气</w:t>
            </w:r>
            <w:r>
              <w:rPr>
                <w:rFonts w:ascii="Times New Roman" w:hAnsi="Times New Roman" w:cs="Times New Roman"/>
                <w:sz w:val="24"/>
                <w:szCs w:val="24"/>
                <w:lang w:eastAsia="zh-CN"/>
              </w:rPr>
              <w:t>布置</w:t>
            </w:r>
            <w:bookmarkEnd w:id="22"/>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23" w:name="_Toc11641"/>
            <w:r>
              <w:rPr>
                <w:rFonts w:ascii="Times New Roman" w:hAnsi="Times New Roman" w:cs="Times New Roman"/>
                <w:b w:val="0"/>
                <w:bCs w:val="0"/>
                <w:sz w:val="24"/>
                <w:szCs w:val="24"/>
                <w:lang w:eastAsia="zh-CN"/>
              </w:rPr>
              <w:t>全站生产及辅助生产建筑均采用预制舱，预制舱应满足抗震、防火、防水、防风、防沙及节能要求等，同时应满足</w:t>
            </w:r>
            <w:r>
              <w:rPr>
                <w:rFonts w:hint="eastAsia" w:ascii="Times New Roman" w:hAnsi="Times New Roman" w:cs="Times New Roman"/>
                <w:b w:val="0"/>
                <w:bCs w:val="0"/>
                <w:sz w:val="24"/>
                <w:szCs w:val="24"/>
                <w:lang w:eastAsia="zh-CN"/>
              </w:rPr>
              <w:t>储能电站</w:t>
            </w:r>
            <w:r>
              <w:rPr>
                <w:rFonts w:ascii="Times New Roman" w:hAnsi="Times New Roman" w:cs="Times New Roman"/>
                <w:b w:val="0"/>
                <w:bCs w:val="0"/>
                <w:sz w:val="24"/>
                <w:szCs w:val="24"/>
                <w:lang w:eastAsia="zh-CN"/>
              </w:rPr>
              <w:t>设备运行的各种标准要求。</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站内生产预制舱包括有35kV开关柜预制舱、380V交流配电屏舱、PCS预制舱、储能电池预制舱、二次预制舱等，主要生产预制仓分别布置在站区各设备区；辅助预制舱布置在进站口处，设有警卫预制舱、辅助生产预制舱，警卫预制舱内暂考虑设有警卫值班室、休息室、卫生间；辅助生产预制舱内暂考虑设有办公室、会议室、资料室、工具间、休息室（两间）、卫生间。结合本</w:t>
            </w:r>
            <w:r>
              <w:rPr>
                <w:rFonts w:hint="eastAsia" w:ascii="Times New Roman" w:hAnsi="Times New Roman" w:cs="Times New Roman"/>
                <w:b w:val="0"/>
                <w:bCs w:val="0"/>
                <w:sz w:val="24"/>
                <w:szCs w:val="24"/>
                <w:lang w:eastAsia="zh-CN"/>
              </w:rPr>
              <w:t>项目</w:t>
            </w:r>
            <w:r>
              <w:rPr>
                <w:rFonts w:ascii="Times New Roman" w:hAnsi="Times New Roman" w:cs="Times New Roman"/>
                <w:b w:val="0"/>
                <w:bCs w:val="0"/>
                <w:sz w:val="24"/>
                <w:szCs w:val="24"/>
                <w:lang w:eastAsia="zh-CN"/>
              </w:rPr>
              <w:t>所处严寒地区且风沙较多</w:t>
            </w:r>
            <w:r>
              <w:rPr>
                <w:rFonts w:hint="eastAsia" w:ascii="Times New Roman" w:hAnsi="Times New Roman" w:cs="Times New Roman"/>
                <w:b w:val="0"/>
                <w:bCs w:val="0"/>
                <w:sz w:val="24"/>
                <w:szCs w:val="24"/>
                <w:lang w:eastAsia="zh-CN"/>
              </w:rPr>
              <w:t>的实际</w:t>
            </w:r>
            <w:r>
              <w:rPr>
                <w:rFonts w:ascii="Times New Roman" w:hAnsi="Times New Roman" w:cs="Times New Roman"/>
                <w:b w:val="0"/>
                <w:bCs w:val="0"/>
                <w:sz w:val="24"/>
                <w:szCs w:val="24"/>
                <w:lang w:eastAsia="zh-CN"/>
              </w:rPr>
              <w:t>，考虑在预制舱对外出入口增加过渡的“缓冲走道”作防寒、防风、防沙措施。</w:t>
            </w:r>
          </w:p>
          <w:bookmarkEnd w:id="23"/>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24" w:name="_Toc26137"/>
            <w:r>
              <w:rPr>
                <w:rFonts w:ascii="Times New Roman" w:hAnsi="Times New Roman" w:cs="Times New Roman"/>
                <w:b w:val="0"/>
                <w:bCs w:val="0"/>
                <w:sz w:val="24"/>
                <w:szCs w:val="24"/>
                <w:lang w:eastAsia="zh-CN"/>
              </w:rPr>
              <w:t>储能电站构筑物包括：综合水泵房、消防蓄水池、330kV构架及基础、330kV GIS基础、330kV设备支架及基础、主变基础、主变构架及基础、主变低压侧35kV设备支架基础、35kV开关柜预制舱基础、35kV接地变兼站用变基础、10kV箱变基础、380V交流配电屏舱基础、升压变换舱基础、储能电池预制舱基础、警传室预制舱基础、</w:t>
            </w:r>
            <w:r>
              <w:rPr>
                <w:rFonts w:hint="eastAsia" w:ascii="Times New Roman" w:hAnsi="Times New Roman" w:cs="Times New Roman"/>
                <w:b w:val="0"/>
                <w:bCs w:val="0"/>
                <w:sz w:val="24"/>
                <w:szCs w:val="24"/>
                <w:lang w:eastAsia="zh-CN"/>
              </w:rPr>
              <w:t>辅助生产</w:t>
            </w:r>
            <w:r>
              <w:rPr>
                <w:rFonts w:ascii="Times New Roman" w:hAnsi="Times New Roman" w:cs="Times New Roman"/>
                <w:b w:val="0"/>
                <w:bCs w:val="0"/>
                <w:sz w:val="24"/>
                <w:szCs w:val="24"/>
                <w:lang w:eastAsia="zh-CN"/>
              </w:rPr>
              <w:t>预制舱基础、独立避雷针等。</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水工构筑物有：</w:t>
            </w:r>
            <w:r>
              <w:rPr>
                <w:rFonts w:hint="eastAsia" w:ascii="Times New Roman" w:hAnsi="Times New Roman" w:cs="Times New Roman"/>
                <w:b w:val="0"/>
                <w:bCs w:val="0"/>
                <w:sz w:val="24"/>
                <w:szCs w:val="24"/>
                <w:lang w:eastAsia="zh-CN"/>
              </w:rPr>
              <w:t>消防蓄水池、</w:t>
            </w:r>
            <w:r>
              <w:rPr>
                <w:rFonts w:ascii="Times New Roman" w:hAnsi="Times New Roman" w:cs="Times New Roman"/>
                <w:b w:val="0"/>
                <w:bCs w:val="0"/>
                <w:sz w:val="24"/>
                <w:szCs w:val="24"/>
                <w:lang w:eastAsia="zh-CN"/>
              </w:rPr>
              <w:t>主变事故油池、</w:t>
            </w:r>
            <w:r>
              <w:rPr>
                <w:rFonts w:hint="eastAsia" w:ascii="Times New Roman" w:hAnsi="Times New Roman" w:cs="Times New Roman"/>
                <w:b w:val="0"/>
                <w:bCs w:val="0"/>
                <w:sz w:val="24"/>
                <w:szCs w:val="24"/>
                <w:lang w:eastAsia="zh-CN"/>
              </w:rPr>
              <w:t>化粪</w:t>
            </w:r>
            <w:r>
              <w:rPr>
                <w:rFonts w:ascii="Times New Roman" w:hAnsi="Times New Roman" w:cs="Times New Roman"/>
                <w:b w:val="0"/>
                <w:bCs w:val="0"/>
                <w:sz w:val="24"/>
                <w:szCs w:val="24"/>
                <w:lang w:eastAsia="zh-CN"/>
              </w:rPr>
              <w:t>池等。</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采用预制舱体布置形式</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可实现设计方案的模块化、设备基础的通用化、施工建设的标准化</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舱内接线及单体设备调试最大程度的实现出厂前完成</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可减少现场安装、接线、调试工作</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有效缩短建设周期。另外舱体采用拼接防水工艺，通过</w:t>
            </w:r>
            <w:r>
              <w:rPr>
                <w:rFonts w:hint="eastAsia" w:ascii="宋体" w:hAnsi="宋体" w:cs="宋体"/>
                <w:b w:val="0"/>
                <w:bCs w:val="0"/>
                <w:sz w:val="24"/>
                <w:szCs w:val="24"/>
                <w:lang w:eastAsia="zh-CN"/>
              </w:rPr>
              <w:t>“设置防水翻边＋加装硅橡胶密封胶条＋防水扣板”</w:t>
            </w:r>
            <w:r>
              <w:rPr>
                <w:rFonts w:ascii="Times New Roman" w:hAnsi="Times New Roman" w:cs="Times New Roman"/>
                <w:b w:val="0"/>
                <w:bCs w:val="0"/>
                <w:sz w:val="24"/>
                <w:szCs w:val="24"/>
                <w:lang w:eastAsia="zh-CN"/>
              </w:rPr>
              <w:t>的模式</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确保拼接处防护等级不低于IP54。</w:t>
            </w:r>
            <w:bookmarkEnd w:id="24"/>
          </w:p>
          <w:p>
            <w:pPr>
              <w:pStyle w:val="21"/>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bookmarkStart w:id="25" w:name="_Toc24941"/>
            <w:r>
              <w:rPr>
                <w:rFonts w:hint="eastAsia" w:ascii="Times New Roman" w:hAnsi="Times New Roman" w:cs="Times New Roman"/>
                <w:sz w:val="24"/>
                <w:szCs w:val="24"/>
                <w:lang w:eastAsia="zh-CN"/>
              </w:rPr>
              <w:t>（3）竖向布置</w:t>
            </w:r>
            <w:bookmarkEnd w:id="25"/>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26" w:name="_Toc16010"/>
            <w:r>
              <w:rPr>
                <w:rFonts w:ascii="Times New Roman" w:hAnsi="Times New Roman" w:cs="Times New Roman"/>
                <w:b w:val="0"/>
                <w:bCs w:val="0"/>
                <w:sz w:val="24"/>
                <w:szCs w:val="24"/>
                <w:lang w:eastAsia="zh-CN"/>
              </w:rPr>
              <w:t>站区场地竖向设计采用平坡式布置，站区土</w:t>
            </w:r>
            <w:r>
              <w:rPr>
                <w:rFonts w:hint="eastAsia" w:ascii="Times New Roman" w:hAnsi="Times New Roman" w:cs="Times New Roman"/>
                <w:b w:val="0"/>
                <w:bCs w:val="0"/>
                <w:sz w:val="24"/>
                <w:szCs w:val="24"/>
                <w:lang w:eastAsia="zh-CN"/>
              </w:rPr>
              <w:t>石</w:t>
            </w:r>
            <w:r>
              <w:rPr>
                <w:rFonts w:ascii="Times New Roman" w:hAnsi="Times New Roman" w:cs="Times New Roman"/>
                <w:b w:val="0"/>
                <w:bCs w:val="0"/>
                <w:sz w:val="24"/>
                <w:szCs w:val="24"/>
                <w:lang w:eastAsia="zh-CN"/>
              </w:rPr>
              <w:t>方自平衡；站区边坡采用混凝土预制块砌筑护坡；站区场地排水采用散排方式。</w:t>
            </w:r>
            <w:bookmarkEnd w:id="26"/>
          </w:p>
          <w:p>
            <w:pPr>
              <w:pStyle w:val="21"/>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bookmarkStart w:id="27" w:name="_Toc26712"/>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4</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管沟布置</w:t>
            </w:r>
            <w:bookmarkEnd w:id="27"/>
          </w:p>
          <w:p>
            <w:pPr>
              <w:pStyle w:val="21"/>
              <w:adjustRightInd w:val="0"/>
              <w:snapToGrid w:val="0"/>
              <w:spacing w:before="0" w:after="0" w:line="360" w:lineRule="auto"/>
              <w:ind w:firstLine="480" w:firstLineChars="200"/>
              <w:jc w:val="both"/>
              <w:outlineLvl w:val="9"/>
              <w:rPr>
                <w:rFonts w:ascii="Times New Roman" w:hAnsi="Times New Roman" w:cs="Times New Roman"/>
                <w:sz w:val="24"/>
                <w:szCs w:val="24"/>
                <w:lang w:eastAsia="zh-CN"/>
              </w:rPr>
            </w:pPr>
            <w:bookmarkStart w:id="28" w:name="_Toc23599"/>
            <w:r>
              <w:rPr>
                <w:rFonts w:ascii="Times New Roman" w:hAnsi="Times New Roman" w:cs="Times New Roman"/>
                <w:b w:val="0"/>
                <w:bCs w:val="0"/>
                <w:sz w:val="24"/>
                <w:szCs w:val="24"/>
                <w:lang w:eastAsia="zh-CN"/>
              </w:rPr>
              <w:t>站区内主要沟管均按沿道路、建构筑物平行布置的原则，从整体出发，统筹规划，在平面与竖向上互协调</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远近结合</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合理布置。储能电站电缆沟采用钢筋混凝土结构</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电缆沟截面</w:t>
            </w:r>
            <w:r>
              <w:rPr>
                <w:rFonts w:hint="eastAsia" w:ascii="Times New Roman" w:hAnsi="Times New Roman" w:cs="Times New Roman"/>
                <w:b w:val="0"/>
                <w:bCs w:val="0"/>
                <w:sz w:val="24"/>
                <w:szCs w:val="24"/>
                <w:lang w:eastAsia="zh-CN"/>
              </w:rPr>
              <w:t>为</w:t>
            </w:r>
            <w:r>
              <w:rPr>
                <w:rFonts w:ascii="Times New Roman" w:hAnsi="Times New Roman" w:cs="Times New Roman"/>
                <w:b w:val="0"/>
                <w:bCs w:val="0"/>
                <w:sz w:val="24"/>
                <w:szCs w:val="24"/>
                <w:lang w:eastAsia="zh-CN"/>
              </w:rPr>
              <w:t>1.2m×1.2m、1.1m×1.0m和0.8m×0.8m</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电缆</w:t>
            </w:r>
            <w:r>
              <w:rPr>
                <w:rFonts w:hint="eastAsia" w:ascii="Times New Roman" w:hAnsi="Times New Roman" w:cs="Times New Roman"/>
                <w:b w:val="0"/>
                <w:bCs w:val="0"/>
                <w:sz w:val="24"/>
                <w:szCs w:val="24"/>
                <w:lang w:eastAsia="zh-CN"/>
              </w:rPr>
              <w:t>雨水</w:t>
            </w:r>
            <w:r>
              <w:rPr>
                <w:rFonts w:ascii="Times New Roman" w:hAnsi="Times New Roman" w:cs="Times New Roman"/>
                <w:b w:val="0"/>
                <w:bCs w:val="0"/>
                <w:sz w:val="24"/>
                <w:szCs w:val="24"/>
                <w:lang w:eastAsia="zh-CN"/>
              </w:rPr>
              <w:t>就近排至雨水</w:t>
            </w:r>
            <w:r>
              <w:rPr>
                <w:rFonts w:hint="eastAsia" w:ascii="Times New Roman" w:hAnsi="Times New Roman" w:cs="Times New Roman"/>
                <w:b w:val="0"/>
                <w:bCs w:val="0"/>
                <w:sz w:val="24"/>
                <w:szCs w:val="24"/>
                <w:lang w:eastAsia="zh-CN"/>
              </w:rPr>
              <w:t>检查井，</w:t>
            </w:r>
            <w:r>
              <w:rPr>
                <w:rFonts w:ascii="Times New Roman" w:hAnsi="Times New Roman" w:cs="Times New Roman"/>
                <w:b w:val="0"/>
                <w:bCs w:val="0"/>
                <w:sz w:val="24"/>
                <w:szCs w:val="24"/>
                <w:lang w:eastAsia="zh-CN"/>
              </w:rPr>
              <w:t>电缆沟沟壁高出地面0.1m</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以免场地泥水流入沟内。</w:t>
            </w:r>
            <w:bookmarkEnd w:id="28"/>
            <w:r>
              <w:rPr>
                <w:rFonts w:ascii="Times New Roman" w:hAnsi="Times New Roman" w:cs="Times New Roman"/>
                <w:b w:val="0"/>
                <w:bCs w:val="0"/>
                <w:sz w:val="24"/>
                <w:szCs w:val="24"/>
                <w:lang w:eastAsia="zh-CN"/>
              </w:rPr>
              <w:t>站内</w:t>
            </w:r>
            <w:r>
              <w:rPr>
                <w:rFonts w:hint="eastAsia" w:ascii="Times New Roman" w:hAnsi="Times New Roman" w:cs="Times New Roman"/>
                <w:b w:val="0"/>
                <w:bCs w:val="0"/>
                <w:sz w:val="24"/>
                <w:szCs w:val="24"/>
                <w:lang w:eastAsia="zh-CN"/>
              </w:rPr>
              <w:t>雨水</w:t>
            </w:r>
            <w:r>
              <w:rPr>
                <w:rFonts w:ascii="Times New Roman" w:hAnsi="Times New Roman" w:cs="Times New Roman"/>
                <w:b w:val="0"/>
                <w:bCs w:val="0"/>
                <w:sz w:val="24"/>
                <w:szCs w:val="24"/>
                <w:lang w:eastAsia="zh-CN"/>
              </w:rPr>
              <w:t>采用有组织排水方式，即：地面—雨水口—检查井—</w:t>
            </w:r>
            <w:r>
              <w:rPr>
                <w:rFonts w:hint="eastAsia" w:ascii="Times New Roman" w:hAnsi="Times New Roman" w:cs="Times New Roman"/>
                <w:b w:val="0"/>
                <w:bCs w:val="0"/>
                <w:sz w:val="24"/>
                <w:szCs w:val="24"/>
                <w:lang w:eastAsia="zh-CN"/>
              </w:rPr>
              <w:t>站外</w:t>
            </w:r>
            <w:r>
              <w:rPr>
                <w:rFonts w:ascii="Times New Roman" w:hAnsi="Times New Roman" w:cs="Times New Roman"/>
                <w:b w:val="0"/>
                <w:bCs w:val="0"/>
                <w:sz w:val="24"/>
                <w:szCs w:val="24"/>
                <w:lang w:eastAsia="zh-CN"/>
              </w:rPr>
              <w:t>排水沟。雨水口沿路侧布置，采用平蓖式雨水口。</w:t>
            </w:r>
          </w:p>
          <w:p>
            <w:pPr>
              <w:pStyle w:val="21"/>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bookmarkStart w:id="29" w:name="_Toc21001"/>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5</w:t>
            </w:r>
            <w:r>
              <w:rPr>
                <w:rFonts w:ascii="Times New Roman" w:hAnsi="Times New Roman" w:cs="Times New Roman"/>
                <w:sz w:val="24"/>
                <w:szCs w:val="24"/>
                <w:lang w:eastAsia="zh-CN"/>
              </w:rPr>
              <w:t>）总平面布置的合理性分析</w:t>
            </w:r>
            <w:bookmarkEnd w:id="29"/>
          </w:p>
          <w:p>
            <w:pPr>
              <w:adjustRightInd w:val="0"/>
              <w:snapToGrid w:val="0"/>
              <w:spacing w:line="360" w:lineRule="auto"/>
              <w:ind w:firstLine="480" w:firstLineChars="200"/>
              <w:rPr>
                <w:sz w:val="24"/>
              </w:rPr>
            </w:pPr>
            <w:r>
              <w:rPr>
                <w:rFonts w:hint="eastAsia"/>
                <w:sz w:val="24"/>
              </w:rPr>
              <w:t>储能电站总体呈矩形，储能单元沿地形均匀布置，330kV升压站位于储能电站内西北角，升压站</w:t>
            </w:r>
            <w:r>
              <w:rPr>
                <w:sz w:val="24"/>
              </w:rPr>
              <w:t>采用户外三列式布置，将主要噪声源主变压器布置在站区中部，330kV选用户外GIS配电装置，该配电装置采用封闭式，节约了占地，减小了电磁和噪声影响。330kV配电装置布置在站区</w:t>
            </w:r>
            <w:r>
              <w:rPr>
                <w:rFonts w:hint="eastAsia"/>
                <w:sz w:val="24"/>
              </w:rPr>
              <w:t>北</w:t>
            </w:r>
            <w:r>
              <w:rPr>
                <w:sz w:val="24"/>
              </w:rPr>
              <w:t>侧，向</w:t>
            </w:r>
            <w:r>
              <w:rPr>
                <w:rFonts w:hint="eastAsia"/>
                <w:sz w:val="24"/>
              </w:rPr>
              <w:t>北</w:t>
            </w:r>
            <w:r>
              <w:rPr>
                <w:sz w:val="24"/>
              </w:rPr>
              <w:t>出线。项目化粪池布置在</w:t>
            </w:r>
            <w:r>
              <w:rPr>
                <w:rFonts w:hint="eastAsia"/>
                <w:sz w:val="24"/>
              </w:rPr>
              <w:t>辅助生产预制舱北</w:t>
            </w:r>
            <w:r>
              <w:rPr>
                <w:sz w:val="24"/>
              </w:rPr>
              <w:t>侧，</w:t>
            </w:r>
            <w:r>
              <w:rPr>
                <w:rFonts w:hint="eastAsia"/>
                <w:sz w:val="24"/>
              </w:rPr>
              <w:t>距辅助生产预制舱较近</w:t>
            </w:r>
            <w:r>
              <w:rPr>
                <w:sz w:val="24"/>
              </w:rPr>
              <w:t>，不会对污水收集造成影响，因此，化粪池设置位置合理。项目危废暂存间布置在</w:t>
            </w:r>
            <w:r>
              <w:rPr>
                <w:rFonts w:hint="eastAsia"/>
                <w:sz w:val="24"/>
              </w:rPr>
              <w:t>化粪池北侧</w:t>
            </w:r>
            <w:r>
              <w:rPr>
                <w:sz w:val="24"/>
              </w:rPr>
              <w:t>，远离生活区布置，当地主导风向</w:t>
            </w:r>
            <w:r>
              <w:rPr>
                <w:rFonts w:hint="eastAsia"/>
                <w:sz w:val="24"/>
              </w:rPr>
              <w:t>以</w:t>
            </w:r>
            <w:r>
              <w:rPr>
                <w:sz w:val="24"/>
              </w:rPr>
              <w:t>东南风</w:t>
            </w:r>
            <w:r>
              <w:rPr>
                <w:rFonts w:hint="eastAsia"/>
                <w:sz w:val="24"/>
              </w:rPr>
              <w:t>为主</w:t>
            </w:r>
            <w:r>
              <w:rPr>
                <w:sz w:val="24"/>
              </w:rPr>
              <w:t>，危废暂存间位于生活区侧风向，不在</w:t>
            </w:r>
            <w:r>
              <w:rPr>
                <w:rFonts w:hint="eastAsia"/>
                <w:sz w:val="24"/>
              </w:rPr>
              <w:t>辅助生产预制舱</w:t>
            </w:r>
            <w:r>
              <w:rPr>
                <w:sz w:val="24"/>
              </w:rPr>
              <w:t>上风向，不会对</w:t>
            </w:r>
            <w:r>
              <w:rPr>
                <w:rFonts w:hint="eastAsia"/>
                <w:sz w:val="24"/>
              </w:rPr>
              <w:t>辅助生产预制舱</w:t>
            </w:r>
            <w:r>
              <w:rPr>
                <w:sz w:val="24"/>
              </w:rPr>
              <w:t>产生明显不利影响，因此，危废暂存间所选位置合理。</w:t>
            </w:r>
          </w:p>
          <w:p>
            <w:pPr>
              <w:adjustRightInd w:val="0"/>
              <w:snapToGrid w:val="0"/>
              <w:spacing w:line="360" w:lineRule="auto"/>
              <w:ind w:firstLine="480" w:firstLineChars="200"/>
              <w:rPr>
                <w:sz w:val="24"/>
              </w:rPr>
            </w:pPr>
            <w:r>
              <w:rPr>
                <w:sz w:val="24"/>
              </w:rPr>
              <w:t>从环保角度分析，变电站平面布置是合理的。</w:t>
            </w:r>
          </w:p>
          <w:p>
            <w:pPr>
              <w:pStyle w:val="21"/>
              <w:adjustRightInd w:val="0"/>
              <w:snapToGrid w:val="0"/>
              <w:spacing w:before="120" w:beforeLines="50" w:after="120" w:afterLines="50" w:line="360" w:lineRule="auto"/>
              <w:jc w:val="both"/>
              <w:rPr>
                <w:rFonts w:ascii="Times New Roman" w:hAnsi="Times New Roman" w:cs="Times New Roman"/>
                <w:sz w:val="24"/>
                <w:szCs w:val="24"/>
                <w:lang w:eastAsia="zh-CN"/>
              </w:rPr>
            </w:pPr>
            <w:bookmarkStart w:id="30" w:name="_Toc27193"/>
            <w:r>
              <w:rPr>
                <w:rFonts w:hint="eastAsia" w:ascii="Times New Roman" w:hAnsi="Times New Roman" w:cs="Times New Roman"/>
                <w:sz w:val="24"/>
                <w:szCs w:val="24"/>
                <w:lang w:eastAsia="zh-CN"/>
              </w:rPr>
              <w:t>2.5.2输电线路工程</w:t>
            </w:r>
            <w:bookmarkEnd w:id="30"/>
          </w:p>
          <w:p>
            <w:pPr>
              <w:pStyle w:val="21"/>
              <w:numPr>
                <w:ilvl w:val="0"/>
                <w:numId w:val="3"/>
              </w:numPr>
              <w:spacing w:before="0" w:after="0" w:line="360" w:lineRule="auto"/>
              <w:ind w:firstLine="482" w:firstLineChars="200"/>
              <w:jc w:val="both"/>
              <w:rPr>
                <w:rFonts w:ascii="Times New Roman" w:hAnsi="Times New Roman" w:cs="Times New Roman"/>
                <w:sz w:val="24"/>
                <w:szCs w:val="24"/>
                <w:lang w:eastAsia="zh-CN"/>
              </w:rPr>
            </w:pPr>
            <w:bookmarkStart w:id="31" w:name="_Toc25918"/>
            <w:r>
              <w:rPr>
                <w:rFonts w:hint="eastAsia" w:ascii="Times New Roman" w:hAnsi="Times New Roman" w:cs="Times New Roman"/>
                <w:sz w:val="24"/>
                <w:szCs w:val="24"/>
                <w:lang w:eastAsia="zh-CN"/>
              </w:rPr>
              <w:t>线路路径</w:t>
            </w:r>
            <w:bookmarkEnd w:id="31"/>
          </w:p>
          <w:p>
            <w:pPr>
              <w:pStyle w:val="21"/>
              <w:spacing w:before="0" w:after="0" w:line="360" w:lineRule="auto"/>
              <w:ind w:firstLine="480" w:firstLineChars="200"/>
              <w:jc w:val="both"/>
              <w:rPr>
                <w:rFonts w:ascii="Times New Roman" w:hAnsi="Times New Roman" w:cs="Times New Roman"/>
                <w:b w:val="0"/>
                <w:bCs w:val="0"/>
                <w:sz w:val="24"/>
                <w:szCs w:val="24"/>
                <w:lang w:eastAsia="zh-CN"/>
              </w:rPr>
            </w:pPr>
            <w:bookmarkStart w:id="32" w:name="_Toc31778"/>
            <w:r>
              <w:rPr>
                <w:rFonts w:hint="eastAsia" w:ascii="Times New Roman" w:hAnsi="Times New Roman" w:cs="Times New Roman"/>
                <w:b w:val="0"/>
                <w:bCs w:val="0"/>
                <w:sz w:val="24"/>
                <w:szCs w:val="24"/>
                <w:lang w:eastAsia="zh-CN"/>
              </w:rPr>
              <w:t>民乐县</w:t>
            </w:r>
            <w:r>
              <w:rPr>
                <w:rFonts w:ascii="Times New Roman" w:hAnsi="Times New Roman" w:cs="Times New Roman"/>
                <w:b w:val="0"/>
                <w:bCs w:val="0"/>
                <w:sz w:val="24"/>
                <w:szCs w:val="24"/>
                <w:lang w:eastAsia="zh-CN"/>
              </w:rPr>
              <w:t>500MW/1000MW</w:t>
            </w:r>
            <w:r>
              <w:rPr>
                <w:rFonts w:hint="eastAsia" w:ascii="Times New Roman" w:hAnsi="Times New Roman" w:cs="Times New Roman"/>
                <w:b w:val="0"/>
                <w:bCs w:val="0"/>
                <w:sz w:val="24"/>
                <w:szCs w:val="24"/>
                <w:lang w:eastAsia="zh-CN"/>
              </w:rPr>
              <w:t>h储能电站项目配套建设的</w:t>
            </w:r>
            <w:r>
              <w:rPr>
                <w:rFonts w:ascii="Times New Roman" w:hAnsi="Times New Roman" w:cs="Times New Roman"/>
                <w:b w:val="0"/>
                <w:bCs w:val="0"/>
                <w:sz w:val="24"/>
                <w:szCs w:val="24"/>
                <w:lang w:eastAsia="zh-CN"/>
              </w:rPr>
              <w:t>330kV升压站位于甘肃</w:t>
            </w:r>
            <w:r>
              <w:rPr>
                <w:rFonts w:hint="eastAsia" w:ascii="Times New Roman" w:hAnsi="Times New Roman" w:cs="Times New Roman"/>
                <w:b w:val="0"/>
                <w:bCs w:val="0"/>
                <w:sz w:val="24"/>
                <w:szCs w:val="24"/>
                <w:lang w:eastAsia="zh-CN"/>
              </w:rPr>
              <w:t>省</w:t>
            </w:r>
            <w:r>
              <w:rPr>
                <w:rFonts w:ascii="Times New Roman" w:hAnsi="Times New Roman" w:cs="Times New Roman"/>
                <w:b w:val="0"/>
                <w:bCs w:val="0"/>
                <w:sz w:val="24"/>
                <w:szCs w:val="24"/>
                <w:lang w:eastAsia="zh-CN"/>
              </w:rPr>
              <w:t>张掖</w:t>
            </w:r>
            <w:r>
              <w:rPr>
                <w:rFonts w:hint="eastAsia" w:ascii="Times New Roman" w:hAnsi="Times New Roman" w:cs="Times New Roman"/>
                <w:b w:val="0"/>
                <w:bCs w:val="0"/>
                <w:sz w:val="24"/>
                <w:szCs w:val="24"/>
                <w:lang w:eastAsia="zh-CN"/>
              </w:rPr>
              <w:t>市</w:t>
            </w:r>
            <w:r>
              <w:rPr>
                <w:rFonts w:ascii="Times New Roman" w:hAnsi="Times New Roman" w:cs="Times New Roman"/>
                <w:b w:val="0"/>
                <w:bCs w:val="0"/>
                <w:sz w:val="24"/>
                <w:szCs w:val="24"/>
                <w:lang w:eastAsia="zh-CN"/>
              </w:rPr>
              <w:t>民乐县境内，站址靠近顺化330kV变电站</w:t>
            </w:r>
            <w:r>
              <w:rPr>
                <w:rFonts w:hint="eastAsia" w:ascii="Times New Roman" w:hAnsi="Times New Roman" w:cs="Times New Roman"/>
                <w:b w:val="0"/>
                <w:bCs w:val="0"/>
                <w:sz w:val="24"/>
                <w:szCs w:val="24"/>
                <w:lang w:eastAsia="zh-CN"/>
              </w:rPr>
              <w:t>。本线路工程按330kV储能电站向北出线、</w:t>
            </w:r>
            <w:r>
              <w:rPr>
                <w:rFonts w:ascii="Times New Roman" w:hAnsi="Times New Roman" w:cs="Times New Roman"/>
                <w:b w:val="0"/>
                <w:bCs w:val="0"/>
                <w:sz w:val="24"/>
                <w:szCs w:val="24"/>
                <w:lang w:eastAsia="zh-CN"/>
              </w:rPr>
              <w:t>顺化330kV变电站330kV向</w:t>
            </w:r>
            <w:r>
              <w:rPr>
                <w:rFonts w:hint="eastAsia" w:ascii="Times New Roman" w:hAnsi="Times New Roman" w:cs="Times New Roman"/>
                <w:b w:val="0"/>
                <w:bCs w:val="0"/>
                <w:sz w:val="24"/>
                <w:szCs w:val="24"/>
                <w:lang w:eastAsia="zh-CN"/>
              </w:rPr>
              <w:t>南</w:t>
            </w:r>
            <w:r>
              <w:rPr>
                <w:rFonts w:ascii="Times New Roman" w:hAnsi="Times New Roman" w:cs="Times New Roman"/>
                <w:b w:val="0"/>
                <w:bCs w:val="0"/>
                <w:sz w:val="24"/>
                <w:szCs w:val="24"/>
                <w:lang w:eastAsia="zh-CN"/>
              </w:rPr>
              <w:t>出线最西侧间隔</w:t>
            </w:r>
            <w:r>
              <w:rPr>
                <w:rFonts w:hint="eastAsia" w:ascii="Times New Roman" w:hAnsi="Times New Roman" w:cs="Times New Roman"/>
                <w:b w:val="0"/>
                <w:bCs w:val="0"/>
                <w:sz w:val="24"/>
                <w:szCs w:val="24"/>
                <w:lang w:eastAsia="zh-CN"/>
              </w:rPr>
              <w:t>展开工作。线路长度约0.35km。</w:t>
            </w:r>
            <w:bookmarkEnd w:id="32"/>
          </w:p>
          <w:p>
            <w:pPr>
              <w:pStyle w:val="21"/>
              <w:numPr>
                <w:ilvl w:val="0"/>
                <w:numId w:val="3"/>
              </w:numPr>
              <w:spacing w:before="0" w:after="0" w:line="360" w:lineRule="auto"/>
              <w:ind w:firstLine="482" w:firstLineChars="200"/>
              <w:jc w:val="both"/>
              <w:rPr>
                <w:rFonts w:ascii="Times New Roman" w:hAnsi="Times New Roman" w:cs="Times New Roman"/>
                <w:sz w:val="24"/>
                <w:szCs w:val="24"/>
                <w:lang w:eastAsia="zh-CN"/>
              </w:rPr>
            </w:pPr>
            <w:bookmarkStart w:id="33" w:name="_Toc26514"/>
            <w:r>
              <w:rPr>
                <w:rFonts w:hint="eastAsia" w:ascii="Times New Roman" w:hAnsi="Times New Roman" w:cs="Times New Roman"/>
                <w:sz w:val="24"/>
                <w:szCs w:val="24"/>
                <w:lang w:eastAsia="zh-CN"/>
              </w:rPr>
              <w:t>环境条件及交叉跨越</w:t>
            </w:r>
            <w:bookmarkEnd w:id="33"/>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34" w:name="_Toc32027"/>
            <w:r>
              <w:rPr>
                <w:rFonts w:hint="eastAsia" w:ascii="Times New Roman" w:hAnsi="Times New Roman" w:cs="Times New Roman"/>
                <w:b w:val="0"/>
                <w:bCs w:val="0"/>
                <w:sz w:val="24"/>
                <w:szCs w:val="24"/>
                <w:lang w:eastAsia="zh-CN"/>
              </w:rPr>
              <w:t>本</w:t>
            </w:r>
            <w:r>
              <w:rPr>
                <w:rFonts w:ascii="Times New Roman" w:hAnsi="Times New Roman" w:cs="Times New Roman"/>
                <w:b w:val="0"/>
                <w:bCs w:val="0"/>
                <w:sz w:val="24"/>
                <w:szCs w:val="24"/>
                <w:lang w:eastAsia="zh-CN"/>
              </w:rPr>
              <w:t>项目</w:t>
            </w:r>
            <w:r>
              <w:rPr>
                <w:rFonts w:hint="eastAsia" w:ascii="Times New Roman" w:hAnsi="Times New Roman" w:cs="Times New Roman"/>
                <w:b w:val="0"/>
                <w:bCs w:val="0"/>
                <w:sz w:val="24"/>
                <w:szCs w:val="24"/>
                <w:lang w:eastAsia="zh-CN"/>
              </w:rPr>
              <w:t>新建线路海拔高度1700m左右，新建线路地形均为平地，线路位于顺化330kV变电站附近，交通条件良好。线路较短，经过地区无主要交叉跨域。</w:t>
            </w:r>
            <w:bookmarkEnd w:id="34"/>
          </w:p>
          <w:p>
            <w:pPr>
              <w:pStyle w:val="21"/>
              <w:adjustRightInd w:val="0"/>
              <w:snapToGrid w:val="0"/>
              <w:spacing w:before="0" w:after="0" w:line="360" w:lineRule="auto"/>
              <w:ind w:firstLine="482" w:firstLineChars="200"/>
              <w:jc w:val="both"/>
              <w:rPr>
                <w:rFonts w:ascii="Times New Roman" w:hAnsi="Times New Roman" w:cs="Times New Roman"/>
                <w:sz w:val="24"/>
                <w:szCs w:val="24"/>
                <w:lang w:eastAsia="zh-CN"/>
              </w:rPr>
            </w:pPr>
            <w:bookmarkStart w:id="35" w:name="_Toc15455"/>
            <w:r>
              <w:rPr>
                <w:rFonts w:hint="eastAsia" w:ascii="Times New Roman" w:hAnsi="Times New Roman" w:cs="Times New Roman"/>
                <w:sz w:val="24"/>
                <w:szCs w:val="24"/>
                <w:lang w:eastAsia="zh-CN"/>
              </w:rPr>
              <w:t>（3）导线和地线</w:t>
            </w:r>
            <w:bookmarkEnd w:id="35"/>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36" w:name="_Toc10409"/>
            <w:r>
              <w:rPr>
                <w:rFonts w:hint="eastAsia" w:ascii="Times New Roman" w:hAnsi="Times New Roman" w:cs="Times New Roman"/>
                <w:b w:val="0"/>
                <w:bCs w:val="0"/>
                <w:sz w:val="24"/>
                <w:szCs w:val="24"/>
                <w:lang w:eastAsia="zh-CN"/>
              </w:rPr>
              <w:t>本</w:t>
            </w:r>
            <w:r>
              <w:rPr>
                <w:rFonts w:ascii="Times New Roman" w:hAnsi="Times New Roman" w:cs="Times New Roman"/>
                <w:b w:val="0"/>
                <w:bCs w:val="0"/>
                <w:sz w:val="24"/>
                <w:szCs w:val="24"/>
                <w:lang w:eastAsia="zh-CN"/>
              </w:rPr>
              <w:t>项目</w:t>
            </w:r>
            <w:r>
              <w:rPr>
                <w:rFonts w:hint="eastAsia" w:ascii="Times New Roman" w:hAnsi="Times New Roman" w:cs="Times New Roman"/>
                <w:b w:val="0"/>
                <w:bCs w:val="0"/>
                <w:sz w:val="24"/>
                <w:szCs w:val="24"/>
                <w:lang w:eastAsia="zh-CN"/>
              </w:rPr>
              <w:t>导线采用2×JL/G1A-400/35钢芯铝绞线，导线分裂间距为400mm。两根地线均采用24芯OPGW光缆，OPGW推荐使用OPGW-150。</w:t>
            </w:r>
            <w:bookmarkEnd w:id="36"/>
          </w:p>
          <w:p>
            <w:pPr>
              <w:pStyle w:val="21"/>
              <w:adjustRightInd w:val="0"/>
              <w:snapToGrid w:val="0"/>
              <w:spacing w:before="0" w:after="0" w:line="360" w:lineRule="auto"/>
              <w:ind w:firstLine="482" w:firstLineChars="200"/>
              <w:jc w:val="both"/>
              <w:rPr>
                <w:rFonts w:ascii="Times New Roman" w:hAnsi="Times New Roman" w:cs="Times New Roman"/>
                <w:sz w:val="24"/>
                <w:szCs w:val="24"/>
                <w:lang w:eastAsia="zh-CN"/>
              </w:rPr>
            </w:pPr>
            <w:bookmarkStart w:id="37" w:name="_Toc10365"/>
            <w:r>
              <w:rPr>
                <w:rFonts w:hint="eastAsia" w:ascii="Times New Roman" w:hAnsi="Times New Roman" w:cs="Times New Roman"/>
                <w:sz w:val="24"/>
                <w:szCs w:val="24"/>
                <w:lang w:eastAsia="zh-CN"/>
              </w:rPr>
              <w:t>（4）杆塔和基础</w:t>
            </w:r>
            <w:bookmarkEnd w:id="37"/>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38" w:name="_Toc21013"/>
            <w:r>
              <w:rPr>
                <w:rFonts w:hint="eastAsia" w:ascii="Times New Roman" w:hAnsi="Times New Roman" w:cs="Times New Roman"/>
                <w:b w:val="0"/>
                <w:bCs w:val="0"/>
                <w:sz w:val="24"/>
                <w:szCs w:val="24"/>
                <w:lang w:eastAsia="zh-CN"/>
              </w:rPr>
              <w:t>①杆塔</w:t>
            </w:r>
            <w:bookmarkEnd w:id="38"/>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39" w:name="_Toc13443"/>
            <w:r>
              <w:rPr>
                <w:rFonts w:hint="eastAsia" w:ascii="Times New Roman" w:hAnsi="Times New Roman" w:cs="Times New Roman"/>
                <w:b w:val="0"/>
                <w:bCs w:val="0"/>
                <w:sz w:val="24"/>
                <w:szCs w:val="24"/>
                <w:lang w:eastAsia="zh-CN"/>
              </w:rPr>
              <w:t>项目杆塔型式根据推荐路径方案沿线地形、海拔、气象情况和电气要求进行设计规划，见下表。</w:t>
            </w:r>
            <w:bookmarkEnd w:id="39"/>
          </w:p>
          <w:p>
            <w:pPr>
              <w:adjustRightInd w:val="0"/>
              <w:snapToGrid w:val="0"/>
              <w:spacing w:before="120" w:beforeLines="50" w:line="360" w:lineRule="auto"/>
              <w:jc w:val="center"/>
              <w:rPr>
                <w:b/>
                <w:bCs/>
              </w:rPr>
            </w:pPr>
            <w:r>
              <w:rPr>
                <w:rFonts w:hint="eastAsia"/>
                <w:b/>
                <w:bCs/>
                <w:sz w:val="24"/>
              </w:rPr>
              <w:t>表2-12   线路杆塔参数表</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55"/>
              <w:gridCol w:w="1268"/>
              <w:gridCol w:w="1773"/>
              <w:gridCol w:w="1674"/>
              <w:gridCol w:w="13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0" w:name="_Toc8268"/>
                  <w:r>
                    <w:rPr>
                      <w:rFonts w:hint="eastAsia" w:ascii="Times New Roman" w:hAnsi="Times New Roman" w:cs="Times New Roman"/>
                      <w:b w:val="0"/>
                      <w:bCs w:val="0"/>
                      <w:sz w:val="21"/>
                      <w:szCs w:val="21"/>
                      <w:lang w:eastAsia="zh-CN"/>
                    </w:rPr>
                    <w:t>序号</w:t>
                  </w:r>
                  <w:bookmarkEnd w:id="40"/>
                </w:p>
              </w:tc>
              <w:tc>
                <w:tcPr>
                  <w:tcW w:w="1255"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1" w:name="_Toc20904"/>
                  <w:r>
                    <w:rPr>
                      <w:rFonts w:hint="eastAsia" w:ascii="Times New Roman" w:hAnsi="Times New Roman" w:cs="Times New Roman"/>
                      <w:b w:val="0"/>
                      <w:bCs w:val="0"/>
                      <w:sz w:val="21"/>
                      <w:szCs w:val="21"/>
                      <w:lang w:eastAsia="zh-CN"/>
                    </w:rPr>
                    <w:t>塔型</w:t>
                  </w:r>
                  <w:bookmarkEnd w:id="41"/>
                </w:p>
              </w:tc>
              <w:tc>
                <w:tcPr>
                  <w:tcW w:w="126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2" w:name="_Toc5533"/>
                  <w:r>
                    <w:rPr>
                      <w:rFonts w:hint="eastAsia" w:ascii="Times New Roman" w:hAnsi="Times New Roman" w:cs="Times New Roman"/>
                      <w:b w:val="0"/>
                      <w:bCs w:val="0"/>
                      <w:sz w:val="21"/>
                      <w:szCs w:val="21"/>
                      <w:lang w:eastAsia="zh-CN"/>
                    </w:rPr>
                    <w:t>呼高（m）</w:t>
                  </w:r>
                  <w:bookmarkEnd w:id="42"/>
                </w:p>
              </w:tc>
              <w:tc>
                <w:tcPr>
                  <w:tcW w:w="1773"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3" w:name="_Toc24340"/>
                  <w:r>
                    <w:rPr>
                      <w:rFonts w:hint="eastAsia" w:ascii="Times New Roman" w:hAnsi="Times New Roman" w:cs="Times New Roman"/>
                      <w:b w:val="0"/>
                      <w:bCs w:val="0"/>
                      <w:sz w:val="21"/>
                      <w:szCs w:val="21"/>
                      <w:lang w:eastAsia="zh-CN"/>
                    </w:rPr>
                    <w:t>水平档距（m）</w:t>
                  </w:r>
                  <w:bookmarkEnd w:id="43"/>
                </w:p>
              </w:tc>
              <w:tc>
                <w:tcPr>
                  <w:tcW w:w="1674"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4" w:name="_Toc10845"/>
                  <w:r>
                    <w:rPr>
                      <w:rFonts w:hint="eastAsia" w:ascii="Times New Roman" w:hAnsi="Times New Roman" w:cs="Times New Roman"/>
                      <w:b w:val="0"/>
                      <w:bCs w:val="0"/>
                      <w:sz w:val="21"/>
                      <w:szCs w:val="21"/>
                      <w:lang w:eastAsia="zh-CN"/>
                    </w:rPr>
                    <w:t>垂直档距（m）</w:t>
                  </w:r>
                  <w:bookmarkEnd w:id="44"/>
                </w:p>
              </w:tc>
              <w:tc>
                <w:tcPr>
                  <w:tcW w:w="135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5" w:name="_Toc23144"/>
                  <w:r>
                    <w:rPr>
                      <w:rFonts w:hint="eastAsia" w:ascii="Times New Roman" w:hAnsi="Times New Roman" w:cs="Times New Roman"/>
                      <w:b w:val="0"/>
                      <w:bCs w:val="0"/>
                      <w:sz w:val="21"/>
                      <w:szCs w:val="21"/>
                      <w:lang w:eastAsia="zh-CN"/>
                    </w:rPr>
                    <w:t>角度（°）</w:t>
                  </w:r>
                  <w:bookmarkEnd w:id="4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6" w:name="_Toc14783"/>
                  <w:r>
                    <w:rPr>
                      <w:rFonts w:hint="eastAsia" w:ascii="Times New Roman" w:hAnsi="Times New Roman" w:cs="Times New Roman"/>
                      <w:b w:val="0"/>
                      <w:bCs w:val="0"/>
                      <w:sz w:val="21"/>
                      <w:szCs w:val="21"/>
                      <w:lang w:eastAsia="zh-CN"/>
                    </w:rPr>
                    <w:t>1</w:t>
                  </w:r>
                  <w:bookmarkEnd w:id="46"/>
                </w:p>
              </w:tc>
              <w:tc>
                <w:tcPr>
                  <w:tcW w:w="1255"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7" w:name="_Toc7614"/>
                  <w:r>
                    <w:rPr>
                      <w:rFonts w:hint="eastAsia" w:ascii="Times New Roman" w:hAnsi="Times New Roman" w:cs="Times New Roman"/>
                      <w:b w:val="0"/>
                      <w:bCs w:val="0"/>
                      <w:sz w:val="21"/>
                      <w:szCs w:val="21"/>
                      <w:lang w:eastAsia="zh-CN"/>
                    </w:rPr>
                    <w:t>DJ</w:t>
                  </w:r>
                  <w:bookmarkEnd w:id="47"/>
                </w:p>
              </w:tc>
              <w:tc>
                <w:tcPr>
                  <w:tcW w:w="126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8" w:name="_Toc14950"/>
                  <w:r>
                    <w:rPr>
                      <w:rFonts w:hint="eastAsia" w:ascii="Times New Roman" w:hAnsi="Times New Roman" w:cs="Times New Roman"/>
                      <w:b w:val="0"/>
                      <w:bCs w:val="0"/>
                      <w:sz w:val="21"/>
                      <w:szCs w:val="21"/>
                      <w:lang w:eastAsia="zh-CN"/>
                    </w:rPr>
                    <w:t>30</w:t>
                  </w:r>
                  <w:bookmarkEnd w:id="48"/>
                </w:p>
              </w:tc>
              <w:tc>
                <w:tcPr>
                  <w:tcW w:w="1773"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49" w:name="_Toc24179"/>
                  <w:r>
                    <w:rPr>
                      <w:rFonts w:hint="eastAsia" w:ascii="Times New Roman" w:hAnsi="Times New Roman" w:cs="Times New Roman"/>
                      <w:b w:val="0"/>
                      <w:bCs w:val="0"/>
                      <w:sz w:val="21"/>
                      <w:szCs w:val="21"/>
                      <w:lang w:eastAsia="zh-CN"/>
                    </w:rPr>
                    <w:t>350</w:t>
                  </w:r>
                  <w:bookmarkEnd w:id="49"/>
                </w:p>
              </w:tc>
              <w:tc>
                <w:tcPr>
                  <w:tcW w:w="1674"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0" w:name="_Toc18544"/>
                  <w:r>
                    <w:rPr>
                      <w:rFonts w:hint="eastAsia" w:ascii="Times New Roman" w:hAnsi="Times New Roman" w:cs="Times New Roman"/>
                      <w:b w:val="0"/>
                      <w:bCs w:val="0"/>
                      <w:sz w:val="21"/>
                      <w:szCs w:val="21"/>
                      <w:lang w:eastAsia="zh-CN"/>
                    </w:rPr>
                    <w:t>500</w:t>
                  </w:r>
                  <w:bookmarkEnd w:id="50"/>
                </w:p>
              </w:tc>
              <w:tc>
                <w:tcPr>
                  <w:tcW w:w="135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1" w:name="_Toc31607"/>
                  <w:r>
                    <w:rPr>
                      <w:rFonts w:hint="eastAsia" w:ascii="Times New Roman" w:hAnsi="Times New Roman" w:cs="Times New Roman"/>
                      <w:b w:val="0"/>
                      <w:bCs w:val="0"/>
                      <w:sz w:val="21"/>
                      <w:szCs w:val="21"/>
                      <w:lang w:eastAsia="zh-CN"/>
                    </w:rPr>
                    <w:t>0~90</w:t>
                  </w:r>
                  <w:bookmarkEnd w:id="5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2" w:name="_Toc29977"/>
                  <w:r>
                    <w:rPr>
                      <w:rFonts w:hint="eastAsia" w:ascii="Times New Roman" w:hAnsi="Times New Roman" w:cs="Times New Roman"/>
                      <w:b w:val="0"/>
                      <w:bCs w:val="0"/>
                      <w:sz w:val="21"/>
                      <w:szCs w:val="21"/>
                      <w:lang w:eastAsia="zh-CN"/>
                    </w:rPr>
                    <w:t>2</w:t>
                  </w:r>
                  <w:bookmarkEnd w:id="52"/>
                </w:p>
              </w:tc>
              <w:tc>
                <w:tcPr>
                  <w:tcW w:w="1255"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3" w:name="_Toc24318"/>
                  <w:r>
                    <w:rPr>
                      <w:rFonts w:hint="eastAsia" w:ascii="Times New Roman" w:hAnsi="Times New Roman" w:cs="Times New Roman"/>
                      <w:b w:val="0"/>
                      <w:bCs w:val="0"/>
                      <w:sz w:val="21"/>
                      <w:szCs w:val="21"/>
                      <w:lang w:eastAsia="zh-CN"/>
                    </w:rPr>
                    <w:t>SDJ</w:t>
                  </w:r>
                  <w:bookmarkEnd w:id="53"/>
                </w:p>
              </w:tc>
              <w:tc>
                <w:tcPr>
                  <w:tcW w:w="126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4" w:name="_Toc12320"/>
                  <w:r>
                    <w:rPr>
                      <w:rFonts w:hint="eastAsia" w:ascii="Times New Roman" w:hAnsi="Times New Roman" w:cs="Times New Roman"/>
                      <w:b w:val="0"/>
                      <w:bCs w:val="0"/>
                      <w:sz w:val="21"/>
                      <w:szCs w:val="21"/>
                      <w:lang w:eastAsia="zh-CN"/>
                    </w:rPr>
                    <w:t>30</w:t>
                  </w:r>
                  <w:bookmarkEnd w:id="54"/>
                </w:p>
              </w:tc>
              <w:tc>
                <w:tcPr>
                  <w:tcW w:w="1773"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5" w:name="_Toc5821"/>
                  <w:r>
                    <w:rPr>
                      <w:rFonts w:hint="eastAsia" w:ascii="Times New Roman" w:hAnsi="Times New Roman" w:cs="Times New Roman"/>
                      <w:b w:val="0"/>
                      <w:bCs w:val="0"/>
                      <w:sz w:val="21"/>
                      <w:szCs w:val="21"/>
                      <w:lang w:eastAsia="zh-CN"/>
                    </w:rPr>
                    <w:t>350</w:t>
                  </w:r>
                  <w:bookmarkEnd w:id="55"/>
                </w:p>
              </w:tc>
              <w:tc>
                <w:tcPr>
                  <w:tcW w:w="1674"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6" w:name="_Toc394"/>
                  <w:r>
                    <w:rPr>
                      <w:rFonts w:hint="eastAsia" w:ascii="Times New Roman" w:hAnsi="Times New Roman" w:cs="Times New Roman"/>
                      <w:b w:val="0"/>
                      <w:bCs w:val="0"/>
                      <w:sz w:val="21"/>
                      <w:szCs w:val="21"/>
                      <w:lang w:eastAsia="zh-CN"/>
                    </w:rPr>
                    <w:t>500</w:t>
                  </w:r>
                  <w:bookmarkEnd w:id="56"/>
                </w:p>
              </w:tc>
              <w:tc>
                <w:tcPr>
                  <w:tcW w:w="1358" w:type="dxa"/>
                  <w:tcBorders>
                    <w:tl2br w:val="nil"/>
                    <w:tr2bl w:val="nil"/>
                  </w:tcBorders>
                  <w:vAlign w:val="center"/>
                </w:tcPr>
                <w:p>
                  <w:pPr>
                    <w:pStyle w:val="21"/>
                    <w:adjustRightInd w:val="0"/>
                    <w:snapToGrid w:val="0"/>
                    <w:spacing w:before="0" w:after="0"/>
                    <w:rPr>
                      <w:rFonts w:ascii="Times New Roman" w:hAnsi="Times New Roman" w:cs="Times New Roman"/>
                      <w:b w:val="0"/>
                      <w:bCs w:val="0"/>
                      <w:sz w:val="21"/>
                      <w:szCs w:val="21"/>
                      <w:lang w:eastAsia="zh-CN"/>
                    </w:rPr>
                  </w:pPr>
                  <w:bookmarkStart w:id="57" w:name="_Toc7970"/>
                  <w:r>
                    <w:rPr>
                      <w:rFonts w:hint="eastAsia" w:ascii="Times New Roman" w:hAnsi="Times New Roman" w:cs="Times New Roman"/>
                      <w:b w:val="0"/>
                      <w:bCs w:val="0"/>
                      <w:sz w:val="21"/>
                      <w:szCs w:val="21"/>
                      <w:lang w:eastAsia="zh-CN"/>
                    </w:rPr>
                    <w:t>0~90</w:t>
                  </w:r>
                  <w:bookmarkEnd w:id="57"/>
                </w:p>
              </w:tc>
            </w:tr>
          </w:tbl>
          <w:p>
            <w:pPr>
              <w:pStyle w:val="21"/>
              <w:adjustRightInd w:val="0"/>
              <w:snapToGrid w:val="0"/>
              <w:spacing w:before="120" w:beforeLines="50" w:after="0" w:line="360" w:lineRule="auto"/>
              <w:outlineLvl w:val="9"/>
              <w:rPr>
                <w:rFonts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 xml:space="preserve"> </w:t>
            </w:r>
            <w:r>
              <w:rPr>
                <w:rFonts w:hint="eastAsia" w:ascii="Times New Roman" w:hAnsi="Times New Roman" w:cs="Times New Roman"/>
                <w:b w:val="0"/>
                <w:bCs w:val="0"/>
                <w:sz w:val="24"/>
                <w:szCs w:val="24"/>
                <w:lang w:eastAsia="zh-CN"/>
              </w:rPr>
              <w:drawing>
                <wp:inline distT="0" distB="0" distL="114300" distR="114300">
                  <wp:extent cx="4132580" cy="3535045"/>
                  <wp:effectExtent l="0" t="0" r="1270" b="8255"/>
                  <wp:docPr id="4" name="图片 4" descr="铁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铁塔"/>
                          <pic:cNvPicPr>
                            <a:picLocks noChangeAspect="1"/>
                          </pic:cNvPicPr>
                        </pic:nvPicPr>
                        <pic:blipFill>
                          <a:blip r:embed="rId8"/>
                          <a:stretch>
                            <a:fillRect/>
                          </a:stretch>
                        </pic:blipFill>
                        <pic:spPr>
                          <a:xfrm>
                            <a:off x="0" y="0"/>
                            <a:ext cx="4132580" cy="3535045"/>
                          </a:xfrm>
                          <a:prstGeom prst="rect">
                            <a:avLst/>
                          </a:prstGeom>
                        </pic:spPr>
                      </pic:pic>
                    </a:graphicData>
                  </a:graphic>
                </wp:inline>
              </w:drawing>
            </w:r>
          </w:p>
          <w:p>
            <w:pPr>
              <w:pStyle w:val="21"/>
              <w:adjustRightInd w:val="0"/>
              <w:snapToGrid w:val="0"/>
              <w:spacing w:before="0" w:after="0" w:line="360" w:lineRule="auto"/>
              <w:ind w:firstLine="482" w:firstLineChars="200"/>
              <w:rPr>
                <w:rFonts w:ascii="Times New Roman" w:hAnsi="Times New Roman" w:cs="Times New Roman"/>
                <w:sz w:val="24"/>
                <w:szCs w:val="24"/>
                <w:lang w:eastAsia="zh-CN"/>
              </w:rPr>
            </w:pPr>
            <w:bookmarkStart w:id="58" w:name="_Toc287"/>
            <w:r>
              <w:rPr>
                <w:rFonts w:hint="eastAsia" w:ascii="Times New Roman" w:hAnsi="Times New Roman" w:cs="Times New Roman"/>
                <w:sz w:val="24"/>
                <w:szCs w:val="24"/>
                <w:lang w:eastAsia="zh-CN"/>
              </w:rPr>
              <w:t>图2-1     铁塔一览图</w:t>
            </w:r>
            <w:bookmarkEnd w:id="58"/>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59" w:name="_Toc31388"/>
            <w:r>
              <w:rPr>
                <w:rFonts w:hint="eastAsia" w:ascii="Times New Roman" w:hAnsi="Times New Roman" w:cs="Times New Roman"/>
                <w:b w:val="0"/>
                <w:bCs w:val="0"/>
                <w:sz w:val="24"/>
                <w:szCs w:val="24"/>
                <w:lang w:eastAsia="zh-CN"/>
              </w:rPr>
              <w:t>②基础</w:t>
            </w:r>
            <w:bookmarkEnd w:id="59"/>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0" w:name="_Toc8068"/>
            <w:r>
              <w:rPr>
                <w:rFonts w:hint="eastAsia" w:ascii="Times New Roman" w:hAnsi="Times New Roman" w:cs="Times New Roman"/>
                <w:b w:val="0"/>
                <w:bCs w:val="0"/>
                <w:sz w:val="24"/>
                <w:szCs w:val="24"/>
                <w:lang w:eastAsia="zh-CN"/>
              </w:rPr>
              <w:t>架空输电线路杆塔基础型式应根据杆塔型式、沿线地形、工程地质、水文以及施工、运输条件等进行综合考虑确定。目前，架空输电线路杆塔常用的基础型式主要有大开挖回填类基础和原状土基础两大类。</w:t>
            </w:r>
            <w:bookmarkEnd w:id="60"/>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1" w:name="_Toc15840"/>
            <w:r>
              <w:rPr>
                <w:rFonts w:hint="eastAsia" w:ascii="Times New Roman" w:hAnsi="Times New Roman" w:cs="Times New Roman"/>
                <w:b w:val="0"/>
                <w:bCs w:val="0"/>
                <w:sz w:val="24"/>
                <w:szCs w:val="24"/>
                <w:lang w:eastAsia="zh-CN"/>
              </w:rPr>
              <w:t>Ⅰ.基础选型</w:t>
            </w:r>
            <w:bookmarkEnd w:id="61"/>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2" w:name="_Toc14335"/>
            <w:r>
              <w:rPr>
                <w:rFonts w:hint="eastAsia" w:ascii="Times New Roman" w:hAnsi="Times New Roman" w:cs="Times New Roman"/>
                <w:b w:val="0"/>
                <w:bCs w:val="0"/>
                <w:sz w:val="24"/>
                <w:szCs w:val="24"/>
                <w:lang w:eastAsia="zh-CN"/>
              </w:rPr>
              <w:t>本项目沿线地形均为平地，沿线地层岩性主要为粉细砂混角砾、组成。主要矿物成分为石英和长石，级配一般，磨圆度较差，其中混20%～30%的角砾，呈棱角状。</w:t>
            </w:r>
            <w:bookmarkEnd w:id="62"/>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3" w:name="_Toc5305"/>
            <w:r>
              <w:rPr>
                <w:rFonts w:hint="eastAsia" w:ascii="Times New Roman" w:hAnsi="Times New Roman" w:cs="Times New Roman"/>
                <w:b w:val="0"/>
                <w:bCs w:val="0"/>
                <w:sz w:val="24"/>
                <w:szCs w:val="24"/>
                <w:lang w:eastAsia="zh-CN"/>
              </w:rPr>
              <w:t>本项目地基根据不同的地基土特性，选用柔性板式扩展基础，如下图所示：</w:t>
            </w:r>
            <w:bookmarkEnd w:id="63"/>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bookmarkStart w:id="64" w:name="_Toc32053"/>
            <w:r>
              <w:drawing>
                <wp:inline distT="0" distB="0" distL="114300" distR="114300">
                  <wp:extent cx="3009900" cy="2436495"/>
                  <wp:effectExtent l="0" t="0" r="0" b="1905"/>
                  <wp:docPr id="59" name="IM 978"/>
                  <wp:cNvGraphicFramePr/>
                  <a:graphic xmlns:a="http://schemas.openxmlformats.org/drawingml/2006/main">
                    <a:graphicData uri="http://schemas.openxmlformats.org/drawingml/2006/picture">
                      <pic:pic xmlns:pic="http://schemas.openxmlformats.org/drawingml/2006/picture">
                        <pic:nvPicPr>
                          <pic:cNvPr id="59" name="IM 978"/>
                          <pic:cNvPicPr/>
                        </pic:nvPicPr>
                        <pic:blipFill>
                          <a:blip r:embed="rId9"/>
                          <a:stretch>
                            <a:fillRect/>
                          </a:stretch>
                        </pic:blipFill>
                        <pic:spPr>
                          <a:xfrm>
                            <a:off x="0" y="0"/>
                            <a:ext cx="3009900" cy="2436495"/>
                          </a:xfrm>
                          <a:prstGeom prst="rect">
                            <a:avLst/>
                          </a:prstGeom>
                          <a:noFill/>
                          <a:ln>
                            <a:noFill/>
                          </a:ln>
                        </pic:spPr>
                      </pic:pic>
                    </a:graphicData>
                  </a:graphic>
                </wp:inline>
              </w:drawing>
            </w:r>
            <w:bookmarkEnd w:id="64"/>
          </w:p>
          <w:p>
            <w:pPr>
              <w:pStyle w:val="21"/>
              <w:adjustRightInd w:val="0"/>
              <w:snapToGrid w:val="0"/>
              <w:spacing w:before="0" w:after="0" w:line="360" w:lineRule="auto"/>
              <w:ind w:firstLine="482" w:firstLineChars="200"/>
              <w:rPr>
                <w:rFonts w:ascii="Times New Roman" w:hAnsi="Times New Roman" w:cs="Times New Roman"/>
                <w:b w:val="0"/>
                <w:bCs w:val="0"/>
                <w:sz w:val="24"/>
                <w:szCs w:val="24"/>
                <w:lang w:eastAsia="zh-CN"/>
              </w:rPr>
            </w:pPr>
            <w:bookmarkStart w:id="65" w:name="_Toc26611"/>
            <w:r>
              <w:rPr>
                <w:rFonts w:hint="eastAsia" w:ascii="Times New Roman" w:hAnsi="Times New Roman" w:cs="Times New Roman"/>
                <w:sz w:val="24"/>
                <w:szCs w:val="24"/>
                <w:lang w:eastAsia="zh-CN"/>
              </w:rPr>
              <w:t>图2-2      基础一览图</w:t>
            </w:r>
            <w:bookmarkEnd w:id="65"/>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6" w:name="_Toc6806"/>
            <w:r>
              <w:rPr>
                <w:rFonts w:hint="eastAsia" w:ascii="Times New Roman" w:hAnsi="Times New Roman" w:cs="Times New Roman"/>
                <w:b w:val="0"/>
                <w:bCs w:val="0"/>
                <w:sz w:val="24"/>
                <w:szCs w:val="24"/>
                <w:lang w:eastAsia="zh-CN"/>
              </w:rPr>
              <w:t>Ⅱ.基础设计</w:t>
            </w:r>
            <w:bookmarkEnd w:id="66"/>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7" w:name="_Toc19399"/>
            <w:r>
              <w:rPr>
                <w:rFonts w:hint="eastAsia" w:ascii="Times New Roman" w:hAnsi="Times New Roman" w:cs="Times New Roman"/>
                <w:b w:val="0"/>
                <w:bCs w:val="0"/>
                <w:sz w:val="24"/>
                <w:szCs w:val="24"/>
                <w:lang w:eastAsia="zh-CN"/>
              </w:rPr>
              <w:t>柔性板式扩展基础能较好地解决大荷载下基础底板宽厚比B/H&lt;2.5的问题，由于底板是连续变截面，能够很灵活的调节H1以满足B/H&lt;2.5，同时H大的地方底板受力也大，能充分发挥底板的强度。实际工程中底板边厚一般取300mm，而以往的平板柔性基础底板最小为400mm，这就使底板混凝土量能进一步降低。根据最近几年的工程使用经验，扩展柔板基础在各种开挖式基础类型中造价是最低的。</w:t>
            </w:r>
            <w:bookmarkEnd w:id="67"/>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8" w:name="_Toc14295"/>
            <w:r>
              <w:rPr>
                <w:rFonts w:hint="eastAsia" w:ascii="Times New Roman" w:hAnsi="Times New Roman" w:cs="Times New Roman"/>
                <w:b w:val="0"/>
                <w:bCs w:val="0"/>
                <w:sz w:val="24"/>
                <w:szCs w:val="24"/>
                <w:lang w:eastAsia="zh-CN"/>
              </w:rPr>
              <w:t>基础用混凝土强度等级：普通基础混凝土采用C25混凝土，保护帽、混凝土垫层采用C15混凝土。后期需根据地基土的腐蚀性调整混凝土强度等级。</w:t>
            </w:r>
            <w:bookmarkEnd w:id="68"/>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69" w:name="_Toc9200"/>
            <w:r>
              <w:rPr>
                <w:rFonts w:hint="eastAsia" w:ascii="Times New Roman" w:hAnsi="Times New Roman" w:cs="Times New Roman"/>
                <w:b w:val="0"/>
                <w:bCs w:val="0"/>
                <w:sz w:val="24"/>
                <w:szCs w:val="24"/>
                <w:lang w:eastAsia="zh-CN"/>
              </w:rPr>
              <w:t>基础用钢材：主柱主筋、底板主筋采用HRB400级钢筋，箍筋及架立筋采用HPB300级钢筋。</w:t>
            </w:r>
            <w:bookmarkEnd w:id="69"/>
          </w:p>
          <w:p>
            <w:pPr>
              <w:adjustRightInd w:val="0"/>
              <w:snapToGrid w:val="0"/>
              <w:spacing w:line="360" w:lineRule="auto"/>
              <w:ind w:firstLine="480" w:firstLineChars="200"/>
              <w:rPr>
                <w:sz w:val="24"/>
              </w:rPr>
            </w:pPr>
            <w:r>
              <w:rPr>
                <w:rFonts w:hint="eastAsia"/>
                <w:sz w:val="24"/>
              </w:rPr>
              <w:t>基础连接：采用地脚螺栓连接方式。</w:t>
            </w:r>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70" w:name="_Toc313"/>
            <w:r>
              <w:rPr>
                <w:rFonts w:hint="eastAsia" w:ascii="Times New Roman" w:hAnsi="Times New Roman" w:cs="Times New Roman"/>
                <w:b w:val="0"/>
                <w:bCs w:val="0"/>
                <w:sz w:val="24"/>
                <w:szCs w:val="24"/>
                <w:lang w:eastAsia="zh-CN"/>
              </w:rPr>
              <w:t>（5）导线对地和交叉跨越距离</w:t>
            </w:r>
            <w:bookmarkEnd w:id="70"/>
          </w:p>
          <w:p>
            <w:pPr>
              <w:pStyle w:val="21"/>
              <w:adjustRightInd w:val="0"/>
              <w:snapToGrid w:val="0"/>
              <w:spacing w:before="0" w:after="0" w:line="360" w:lineRule="auto"/>
              <w:ind w:firstLine="480" w:firstLineChars="200"/>
              <w:jc w:val="both"/>
              <w:rPr>
                <w:rFonts w:ascii="Times New Roman" w:hAnsi="Times New Roman" w:cs="Times New Roman"/>
                <w:b w:val="0"/>
                <w:bCs w:val="0"/>
                <w:sz w:val="24"/>
                <w:szCs w:val="24"/>
                <w:lang w:eastAsia="zh-CN"/>
              </w:rPr>
            </w:pPr>
            <w:bookmarkStart w:id="71" w:name="_Toc11607"/>
            <w:r>
              <w:rPr>
                <w:rFonts w:hint="eastAsia" w:ascii="Times New Roman" w:hAnsi="Times New Roman" w:cs="Times New Roman"/>
                <w:b w:val="0"/>
                <w:bCs w:val="0"/>
                <w:sz w:val="24"/>
                <w:szCs w:val="24"/>
                <w:lang w:eastAsia="zh-CN"/>
              </w:rPr>
              <w:t>导线对地和交叉跨越物的最小距离均按《110kV～750kV架空输电线路设计规范》（GB50545-2010）的规定执行。</w:t>
            </w:r>
            <w:bookmarkEnd w:id="71"/>
          </w:p>
          <w:p>
            <w:pPr>
              <w:pStyle w:val="21"/>
              <w:adjustRightInd w:val="0"/>
              <w:snapToGrid w:val="0"/>
              <w:spacing w:before="120" w:beforeLines="50" w:after="120" w:afterLines="50" w:line="360" w:lineRule="auto"/>
              <w:jc w:val="both"/>
              <w:rPr>
                <w:rFonts w:ascii="Times New Roman" w:hAnsi="Times New Roman" w:cs="Times New Roman"/>
                <w:sz w:val="24"/>
                <w:szCs w:val="24"/>
                <w:lang w:eastAsia="zh-CN"/>
              </w:rPr>
            </w:pPr>
            <w:bookmarkStart w:id="72" w:name="_Toc23002"/>
            <w:r>
              <w:rPr>
                <w:rFonts w:hint="eastAsia" w:ascii="Times New Roman" w:hAnsi="Times New Roman" w:cs="Times New Roman"/>
                <w:sz w:val="24"/>
                <w:szCs w:val="24"/>
                <w:lang w:eastAsia="zh-CN"/>
              </w:rPr>
              <w:t>2.5.3顺化330kV变电站330kV间隔扩建工程</w:t>
            </w:r>
            <w:bookmarkEnd w:id="72"/>
          </w:p>
          <w:p>
            <w:pPr>
              <w:pStyle w:val="21"/>
              <w:adjustRightInd w:val="0"/>
              <w:snapToGrid w:val="0"/>
              <w:spacing w:before="0" w:after="0" w:line="360" w:lineRule="auto"/>
              <w:ind w:firstLine="482" w:firstLineChars="200"/>
              <w:jc w:val="both"/>
              <w:rPr>
                <w:rFonts w:ascii="Times New Roman" w:hAnsi="Times New Roman" w:cs="Times New Roman"/>
                <w:color w:val="FF0000"/>
                <w:sz w:val="24"/>
                <w:szCs w:val="24"/>
                <w:lang w:eastAsia="zh-CN"/>
              </w:rPr>
            </w:pPr>
            <w:bookmarkStart w:id="73" w:name="_Toc4895"/>
            <w:r>
              <w:rPr>
                <w:rFonts w:hint="eastAsia" w:ascii="Times New Roman" w:hAnsi="Times New Roman" w:cs="Times New Roman"/>
                <w:color w:val="FF0000"/>
                <w:sz w:val="24"/>
                <w:szCs w:val="24"/>
                <w:lang w:eastAsia="zh-CN"/>
              </w:rPr>
              <w:t>2.5.3.1 顺化330kV变电站现有规模</w:t>
            </w:r>
          </w:p>
          <w:p>
            <w:pPr>
              <w:pStyle w:val="21"/>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b w:val="0"/>
                <w:bCs w:val="0"/>
                <w:color w:val="FF0000"/>
                <w:sz w:val="24"/>
                <w:szCs w:val="24"/>
                <w:lang w:eastAsia="zh-CN"/>
              </w:rPr>
              <w:t>顺化变电站330kV出线规模：规划出线8回；现已建成出线6回，分别至山丹2回、观花台牵2回、黑河变1回、马军场牵1回；另外2回预留，其中1回至甘州750kV变，1回至南滩330kV汇集站，均规划2022年底建成。经建设单位与张掖市电力公司沟通落实，顺化变330kV侧间隔具备扩建条件，本期扩建1回顺化变330kV间隔。</w:t>
            </w:r>
          </w:p>
          <w:p>
            <w:pPr>
              <w:pStyle w:val="21"/>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b w:val="0"/>
                <w:bCs w:val="0"/>
                <w:color w:val="FF0000"/>
                <w:sz w:val="24"/>
                <w:szCs w:val="24"/>
                <w:lang w:eastAsia="zh-CN"/>
              </w:rPr>
              <w:t>无功补偿：每台主变低压侧远期配置低压电抗器1×30MVar、低压电容器1×20MVar；已投运低压电抗器1×30MVar、低压电容器1×20MVar。</w:t>
            </w:r>
          </w:p>
          <w:p>
            <w:pPr>
              <w:pStyle w:val="21"/>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b w:val="0"/>
                <w:bCs w:val="0"/>
                <w:color w:val="FF0000"/>
                <w:sz w:val="24"/>
                <w:szCs w:val="24"/>
                <w:lang w:eastAsia="zh-CN"/>
              </w:rPr>
              <w:t>接线型式：330kV采用一倍半接线，110kV采用双母线接线。</w:t>
            </w:r>
          </w:p>
          <w:p>
            <w:pPr>
              <w:pStyle w:val="21"/>
              <w:adjustRightInd w:val="0"/>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b w:val="0"/>
                <w:bCs w:val="0"/>
                <w:color w:val="FF0000"/>
                <w:sz w:val="24"/>
                <w:szCs w:val="24"/>
                <w:lang w:eastAsia="zh-CN"/>
              </w:rPr>
              <w:t>新能源接入情况：已接入光伏装机159MW、水电装机10MW，还有91MW规划光伏待接入。</w:t>
            </w:r>
            <w:bookmarkStart w:id="74" w:name="_Toc28113"/>
          </w:p>
          <w:p>
            <w:pPr>
              <w:pStyle w:val="21"/>
              <w:adjustRightInd w:val="0"/>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r>
              <w:rPr>
                <w:rFonts w:ascii="Times New Roman" w:hAnsi="Times New Roman" w:cs="Times New Roman"/>
                <w:b w:val="0"/>
                <w:bCs w:val="0"/>
                <w:color w:val="FF0000"/>
                <w:sz w:val="24"/>
                <w:szCs w:val="24"/>
                <w:lang w:eastAsia="zh-CN"/>
              </w:rPr>
              <w:t>顺化330kV变电站330kV配电装置，远期330kV共20回进出线，共计10个完整串，根据</w:t>
            </w:r>
            <w:r>
              <w:rPr>
                <w:rFonts w:hint="eastAsia" w:ascii="Times New Roman" w:hAnsi="Times New Roman" w:cs="Times New Roman"/>
                <w:b w:val="0"/>
                <w:bCs w:val="0"/>
                <w:color w:val="FF0000"/>
                <w:sz w:val="24"/>
                <w:szCs w:val="24"/>
                <w:lang w:eastAsia="zh-CN"/>
              </w:rPr>
              <w:t>调查</w:t>
            </w:r>
            <w:r>
              <w:rPr>
                <w:rFonts w:ascii="Times New Roman" w:hAnsi="Times New Roman" w:cs="Times New Roman"/>
                <w:b w:val="0"/>
                <w:bCs w:val="0"/>
                <w:color w:val="FF0000"/>
                <w:sz w:val="24"/>
                <w:szCs w:val="24"/>
                <w:lang w:eastAsia="zh-CN"/>
              </w:rPr>
              <w:t>，前期已安装16台断路器，组成4个完整串，3个不完整串。</w:t>
            </w:r>
            <w:bookmarkEnd w:id="74"/>
          </w:p>
          <w:p>
            <w:pPr>
              <w:pStyle w:val="2"/>
              <w:spacing w:line="360" w:lineRule="auto"/>
              <w:ind w:firstLine="482" w:firstLineChars="200"/>
              <w:rPr>
                <w:b/>
                <w:bCs/>
              </w:rPr>
            </w:pPr>
            <w:r>
              <w:rPr>
                <w:rFonts w:hint="eastAsia" w:ascii="Times New Roman" w:hAnsi="Times New Roman" w:cs="Times New Roman"/>
                <w:b/>
                <w:bCs/>
                <w:color w:val="FF0000"/>
              </w:rPr>
              <w:t>2.5.3.2 顺化330kV变电站环保手续履行情况</w:t>
            </w:r>
          </w:p>
          <w:p>
            <w:pPr>
              <w:pStyle w:val="21"/>
              <w:adjustRightInd w:val="0"/>
              <w:snapToGrid w:val="0"/>
              <w:spacing w:before="0" w:after="0" w:line="360" w:lineRule="auto"/>
              <w:ind w:firstLine="480" w:firstLineChars="200"/>
              <w:jc w:val="both"/>
              <w:rPr>
                <w:rFonts w:ascii="Times New Roman" w:hAnsi="Times New Roman" w:cs="Times New Roman"/>
                <w:color w:val="FF0000"/>
                <w:sz w:val="24"/>
                <w:szCs w:val="24"/>
                <w:lang w:eastAsia="zh-CN"/>
              </w:rPr>
            </w:pPr>
            <w:r>
              <w:rPr>
                <w:rFonts w:hint="eastAsia" w:ascii="Times New Roman" w:hAnsi="Times New Roman" w:cs="Times New Roman"/>
                <w:b w:val="0"/>
                <w:bCs w:val="0"/>
                <w:color w:val="FF0000"/>
                <w:sz w:val="24"/>
                <w:szCs w:val="24"/>
                <w:lang w:eastAsia="zh-CN"/>
              </w:rPr>
              <w:t>顺化330kV变电站位于张掖市民乐县六坝镇，西邻县道X201。顺化330kV变电站环保手续履行情况如下：</w:t>
            </w:r>
          </w:p>
          <w:p>
            <w:pPr>
              <w:pStyle w:val="21"/>
              <w:adjustRightInd w:val="0"/>
              <w:snapToGrid w:val="0"/>
              <w:spacing w:before="0" w:after="0" w:line="360" w:lineRule="auto"/>
              <w:ind w:firstLine="482"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color w:val="FF0000"/>
                <w:sz w:val="24"/>
                <w:szCs w:val="24"/>
                <w:lang w:eastAsia="zh-CN"/>
              </w:rPr>
              <w:t>一期环评：</w:t>
            </w:r>
            <w:r>
              <w:rPr>
                <w:rFonts w:hint="eastAsia" w:ascii="Times New Roman" w:hAnsi="Times New Roman" w:cs="Times New Roman"/>
                <w:b w:val="0"/>
                <w:bCs w:val="0"/>
                <w:color w:val="FF0000"/>
                <w:sz w:val="24"/>
                <w:szCs w:val="24"/>
                <w:lang w:eastAsia="zh-CN"/>
              </w:rPr>
              <w:t>顺化330kV变电站原为民乐330kV开关站，是兰新二线电气化铁路供电工程的一个子工程，兰新二线电气化铁路供电工程于2013年4月开展环境影响评价工作，2013年9月27日甘肃省环境保护厅以《关于兰新二线电气化铁路供电工程（甘肃段）环境影响报告书的批复》（甘环核发〔2013〕13号）批准民乐330kV开关站的建设。</w:t>
            </w:r>
          </w:p>
          <w:p>
            <w:pPr>
              <w:pStyle w:val="21"/>
              <w:adjustRightInd w:val="0"/>
              <w:snapToGrid w:val="0"/>
              <w:spacing w:before="0" w:after="0" w:line="360" w:lineRule="auto"/>
              <w:ind w:firstLine="482"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color w:val="FF0000"/>
                <w:sz w:val="24"/>
                <w:szCs w:val="24"/>
                <w:lang w:eastAsia="zh-CN"/>
              </w:rPr>
              <w:t>一期验收：</w:t>
            </w:r>
            <w:r>
              <w:rPr>
                <w:rFonts w:hint="eastAsia" w:ascii="Times New Roman" w:hAnsi="Times New Roman" w:cs="Times New Roman"/>
                <w:b w:val="0"/>
                <w:bCs w:val="0"/>
                <w:color w:val="FF0000"/>
                <w:sz w:val="24"/>
                <w:szCs w:val="24"/>
                <w:lang w:eastAsia="zh-CN"/>
              </w:rPr>
              <w:t>2017年9月，由甘肃省环境保护厅组织验收组对该工程进行了竣工环境保护验收，国网甘肃省电力公司经济技术研究院委托北京百灵天地环保科技股份有限公司编制了《兰新二线电气化铁路供电工程（甘肃段）竣工环境保护验收调查报告》，甘肃省环境保护厅于2018年1月12日出具了《甘肃省环境保护厅关于兰新二线电气化铁路供电工程（甘肃段）竣工环境保护验收意见的函》（甘环函〔2018〕75号），该项目竣工环境保护验收合格。</w:t>
            </w:r>
          </w:p>
          <w:p>
            <w:pPr>
              <w:pStyle w:val="21"/>
              <w:adjustRightInd w:val="0"/>
              <w:snapToGrid w:val="0"/>
              <w:spacing w:before="0" w:after="0" w:line="360" w:lineRule="auto"/>
              <w:ind w:firstLine="482"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color w:val="FF0000"/>
                <w:sz w:val="24"/>
                <w:szCs w:val="24"/>
                <w:lang w:eastAsia="zh-CN"/>
              </w:rPr>
              <w:t>扩建工程环评：</w:t>
            </w:r>
            <w:r>
              <w:rPr>
                <w:rFonts w:hint="eastAsia" w:ascii="Times New Roman" w:hAnsi="Times New Roman" w:cs="Times New Roman"/>
                <w:b w:val="0"/>
                <w:bCs w:val="0"/>
                <w:color w:val="FF0000"/>
                <w:sz w:val="24"/>
                <w:szCs w:val="24"/>
                <w:lang w:eastAsia="zh-CN"/>
              </w:rPr>
              <w:t>2014年12月，国网甘肃省电力公司经济技术研究院委托国电环境保护研究院（国环评证甲字第1905号）进行民乐330kV开关站主变扩建工程的环境影响评价。2015年11月2日，张掖市环境保护局以《关于民乐330kV开关站主变扩建工程环境影响报告书的批复》（张环评发〔2015〕94号）批准民乐330kV开关站主变扩建工程的建设。</w:t>
            </w:r>
          </w:p>
          <w:p>
            <w:pPr>
              <w:pStyle w:val="21"/>
              <w:spacing w:before="0" w:after="0" w:line="360" w:lineRule="auto"/>
              <w:ind w:firstLine="482" w:firstLineChars="200"/>
              <w:jc w:val="both"/>
              <w:rPr>
                <w:rFonts w:ascii="Times New Roman" w:hAnsi="Times New Roman" w:cs="Times New Roman"/>
                <w:b w:val="0"/>
                <w:bCs w:val="0"/>
                <w:color w:val="FF0000"/>
                <w:sz w:val="24"/>
                <w:szCs w:val="24"/>
                <w:lang w:eastAsia="zh-CN"/>
              </w:rPr>
            </w:pPr>
            <w:r>
              <w:rPr>
                <w:rFonts w:hint="eastAsia" w:ascii="Times New Roman" w:hAnsi="Times New Roman" w:cs="Times New Roman"/>
                <w:color w:val="FF0000"/>
                <w:sz w:val="24"/>
                <w:szCs w:val="24"/>
                <w:lang w:eastAsia="zh-CN"/>
              </w:rPr>
              <w:t>扩建工程验收：</w:t>
            </w:r>
            <w:r>
              <w:rPr>
                <w:rFonts w:hint="eastAsia" w:ascii="Times New Roman" w:hAnsi="Times New Roman" w:cs="Times New Roman"/>
                <w:b w:val="0"/>
                <w:bCs w:val="0"/>
                <w:color w:val="FF0000"/>
                <w:sz w:val="24"/>
                <w:szCs w:val="24"/>
                <w:lang w:eastAsia="zh-CN"/>
              </w:rPr>
              <w:t>2017年10月，张掖市环境保护局组织验收组对民乐330kV开关站主变扩建工程进行竣工环境保护验收，国网甘肃省电力公司经济技术研究院委托北京中环格亿技术咨询有限公司编制了《民乐330kV开关站主变扩建工程竣工环境保护验收调查报告》，张掖市环境保护局于2017年10月24日出具了《张掖市环境保护局关于民乐330kV开关站主变扩建工程竣工环境保护验收意见的函》（张环函〔2017〕225号），该项目竣工环境保护验收合格。</w:t>
            </w:r>
          </w:p>
          <w:p>
            <w:pPr>
              <w:adjustRightInd w:val="0"/>
              <w:snapToGrid w:val="0"/>
              <w:spacing w:line="360" w:lineRule="auto"/>
            </w:pPr>
            <w:r>
              <w:rPr>
                <w:rFonts w:hint="eastAsia"/>
                <w:color w:val="FF0000"/>
                <w:sz w:val="24"/>
              </w:rPr>
              <w:t>顺化330kV变电站环评及验收手续详见附件4。本期间隔扩建工程不增加人员编制，不增加污水、固废排放，顺化330kV变电站化粪池、事故油池等不新增排污负荷，根据前期竣工环境保护验收调查，顺化330kV变电站的化粪池、事故油池等环保设施可以满足该项目使用需求。</w:t>
            </w:r>
          </w:p>
          <w:p>
            <w:pPr>
              <w:pStyle w:val="21"/>
              <w:spacing w:before="0" w:after="0" w:line="360" w:lineRule="auto"/>
              <w:ind w:left="420" w:leftChars="200"/>
              <w:jc w:val="both"/>
              <w:rPr>
                <w:rFonts w:ascii="Times New Roman" w:hAnsi="Times New Roman" w:cs="Times New Roman"/>
                <w:color w:val="FF0000"/>
                <w:sz w:val="24"/>
                <w:szCs w:val="24"/>
                <w:lang w:eastAsia="zh-CN"/>
              </w:rPr>
            </w:pPr>
            <w:r>
              <w:rPr>
                <w:rFonts w:hint="eastAsia" w:ascii="Times New Roman" w:hAnsi="Times New Roman" w:cs="Times New Roman"/>
                <w:color w:val="FF0000"/>
                <w:sz w:val="24"/>
                <w:szCs w:val="24"/>
                <w:lang w:eastAsia="zh-CN"/>
              </w:rPr>
              <w:t>2.5.3.3本次扩建内容</w:t>
            </w:r>
          </w:p>
          <w:p>
            <w:pPr>
              <w:pStyle w:val="21"/>
              <w:spacing w:before="0" w:after="0" w:line="360" w:lineRule="auto"/>
              <w:ind w:left="420" w:leftChars="200"/>
              <w:jc w:val="both"/>
              <w:rPr>
                <w:rFonts w:ascii="Times New Roman" w:hAnsi="Times New Roman" w:cs="Times New Roman"/>
                <w:color w:val="FF0000"/>
                <w:sz w:val="24"/>
                <w:szCs w:val="24"/>
                <w:lang w:eastAsia="zh-CN"/>
              </w:rPr>
            </w:pPr>
            <w:r>
              <w:rPr>
                <w:rFonts w:hint="eastAsia" w:ascii="Times New Roman" w:hAnsi="Times New Roman" w:cs="Times New Roman"/>
                <w:color w:val="FF0000"/>
                <w:sz w:val="24"/>
                <w:szCs w:val="24"/>
                <w:lang w:eastAsia="zh-CN"/>
              </w:rPr>
              <w:t>（1）建设规模</w:t>
            </w:r>
            <w:bookmarkEnd w:id="73"/>
          </w:p>
          <w:p>
            <w:pPr>
              <w:pStyle w:val="21"/>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bookmarkStart w:id="75" w:name="_Toc1766"/>
            <w:r>
              <w:rPr>
                <w:rFonts w:hint="eastAsia" w:ascii="Times New Roman" w:hAnsi="Times New Roman" w:cs="Times New Roman"/>
                <w:b w:val="0"/>
                <w:bCs w:val="0"/>
                <w:color w:val="FF0000"/>
                <w:sz w:val="24"/>
                <w:szCs w:val="24"/>
                <w:lang w:eastAsia="zh-CN"/>
              </w:rPr>
              <w:t>本次扩建：在</w:t>
            </w:r>
            <w:r>
              <w:rPr>
                <w:rFonts w:ascii="Times New Roman" w:hAnsi="Times New Roman" w:cs="Times New Roman"/>
                <w:b w:val="0"/>
                <w:bCs w:val="0"/>
                <w:color w:val="FF0000"/>
                <w:sz w:val="24"/>
                <w:szCs w:val="24"/>
                <w:lang w:eastAsia="zh-CN"/>
              </w:rPr>
              <w:t>顺化330kV变电站</w:t>
            </w:r>
            <w:r>
              <w:rPr>
                <w:rFonts w:hint="eastAsia" w:ascii="Times New Roman" w:hAnsi="Times New Roman" w:cs="Times New Roman"/>
                <w:b w:val="0"/>
                <w:bCs w:val="0"/>
                <w:color w:val="FF0000"/>
                <w:sz w:val="24"/>
                <w:szCs w:val="24"/>
                <w:lang w:eastAsia="zh-CN"/>
              </w:rPr>
              <w:t>围墙内最西侧间隔扩建一回330kV出线，在预留位置扩建，不新增用地。</w:t>
            </w:r>
            <w:bookmarkEnd w:id="75"/>
            <w:r>
              <w:rPr>
                <w:rFonts w:hint="eastAsia" w:ascii="Times New Roman" w:hAnsi="Times New Roman" w:cs="Times New Roman"/>
                <w:b w:val="0"/>
                <w:bCs w:val="0"/>
                <w:color w:val="FF0000"/>
                <w:sz w:val="24"/>
                <w:szCs w:val="24"/>
                <w:lang w:eastAsia="zh-CN"/>
              </w:rPr>
              <w:t>顺化330kV变电站电气平面布置图见附图6.1，330kV线路进出线示意图见附图6.2。</w:t>
            </w:r>
          </w:p>
          <w:p>
            <w:pPr>
              <w:pStyle w:val="21"/>
              <w:spacing w:before="0" w:after="0" w:line="360" w:lineRule="auto"/>
              <w:ind w:left="420" w:leftChars="200"/>
              <w:jc w:val="both"/>
              <w:rPr>
                <w:rFonts w:ascii="Times New Roman" w:hAnsi="Times New Roman" w:cs="Times New Roman"/>
                <w:color w:val="FF0000"/>
                <w:sz w:val="24"/>
                <w:szCs w:val="24"/>
                <w:lang w:eastAsia="zh-CN"/>
              </w:rPr>
            </w:pPr>
            <w:bookmarkStart w:id="76" w:name="_Toc10753"/>
            <w:r>
              <w:rPr>
                <w:rFonts w:hint="eastAsia" w:ascii="Times New Roman" w:hAnsi="Times New Roman" w:cs="Times New Roman"/>
                <w:color w:val="FF0000"/>
                <w:sz w:val="24"/>
                <w:szCs w:val="24"/>
                <w:lang w:eastAsia="zh-CN"/>
              </w:rPr>
              <w:t>（</w:t>
            </w:r>
            <w:r>
              <w:rPr>
                <w:rFonts w:ascii="Times New Roman" w:hAnsi="Times New Roman" w:cs="Times New Roman"/>
                <w:color w:val="FF0000"/>
                <w:sz w:val="24"/>
                <w:szCs w:val="24"/>
                <w:lang w:eastAsia="zh-CN"/>
              </w:rPr>
              <w:t>2</w:t>
            </w:r>
            <w:r>
              <w:rPr>
                <w:rFonts w:hint="eastAsia" w:ascii="Times New Roman" w:hAnsi="Times New Roman" w:cs="Times New Roman"/>
                <w:color w:val="FF0000"/>
                <w:sz w:val="24"/>
                <w:szCs w:val="24"/>
                <w:lang w:eastAsia="zh-CN"/>
              </w:rPr>
              <w:t>）建设内容</w:t>
            </w:r>
            <w:bookmarkEnd w:id="76"/>
          </w:p>
          <w:p>
            <w:pPr>
              <w:pStyle w:val="21"/>
              <w:adjustRightInd w:val="0"/>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bookmarkStart w:id="77" w:name="_Toc25002"/>
            <w:r>
              <w:rPr>
                <w:rFonts w:hint="eastAsia" w:ascii="Times New Roman" w:hAnsi="Times New Roman" w:cs="Times New Roman"/>
                <w:b w:val="0"/>
                <w:bCs w:val="0"/>
                <w:color w:val="FF0000"/>
                <w:sz w:val="24"/>
                <w:szCs w:val="24"/>
                <w:lang w:eastAsia="zh-CN"/>
              </w:rPr>
              <w:t>本次</w:t>
            </w:r>
            <w:r>
              <w:rPr>
                <w:rFonts w:ascii="Times New Roman" w:hAnsi="Times New Roman" w:cs="Times New Roman"/>
                <w:b w:val="0"/>
                <w:bCs w:val="0"/>
                <w:color w:val="FF0000"/>
                <w:sz w:val="24"/>
                <w:szCs w:val="24"/>
                <w:lang w:eastAsia="zh-CN"/>
              </w:rPr>
              <w:t>扩建一回出线，储能</w:t>
            </w:r>
            <w:r>
              <w:rPr>
                <w:rFonts w:hint="eastAsia" w:ascii="Times New Roman" w:hAnsi="Times New Roman" w:cs="Times New Roman"/>
                <w:b w:val="0"/>
                <w:bCs w:val="0"/>
                <w:color w:val="FF0000"/>
                <w:sz w:val="24"/>
                <w:szCs w:val="24"/>
                <w:lang w:eastAsia="zh-CN"/>
              </w:rPr>
              <w:t>电站</w:t>
            </w:r>
            <w:r>
              <w:rPr>
                <w:rFonts w:ascii="Times New Roman" w:hAnsi="Times New Roman" w:cs="Times New Roman"/>
                <w:b w:val="0"/>
                <w:bCs w:val="0"/>
                <w:color w:val="FF0000"/>
                <w:sz w:val="24"/>
                <w:szCs w:val="24"/>
                <w:lang w:eastAsia="zh-CN"/>
              </w:rPr>
              <w:t>出线间隔与远期预留二出线间隔组成1个完整串，共安装2台断路器。</w:t>
            </w:r>
            <w:bookmarkEnd w:id="77"/>
          </w:p>
          <w:p>
            <w:pPr>
              <w:pStyle w:val="21"/>
              <w:adjustRightInd w:val="0"/>
              <w:snapToGrid w:val="0"/>
              <w:spacing w:before="0" w:after="0" w:line="360" w:lineRule="auto"/>
              <w:ind w:firstLine="480" w:firstLineChars="200"/>
              <w:jc w:val="both"/>
              <w:rPr>
                <w:rFonts w:ascii="Times New Roman" w:hAnsi="Times New Roman" w:cs="Times New Roman"/>
                <w:b w:val="0"/>
                <w:bCs w:val="0"/>
                <w:color w:val="FF0000"/>
                <w:sz w:val="24"/>
                <w:szCs w:val="24"/>
                <w:lang w:eastAsia="zh-CN"/>
              </w:rPr>
            </w:pPr>
            <w:bookmarkStart w:id="78" w:name="_Toc13361"/>
            <w:r>
              <w:rPr>
                <w:rFonts w:hint="eastAsia" w:ascii="Times New Roman" w:hAnsi="Times New Roman" w:cs="Times New Roman"/>
                <w:b w:val="0"/>
                <w:bCs w:val="0"/>
                <w:color w:val="FF0000"/>
                <w:sz w:val="24"/>
                <w:szCs w:val="24"/>
                <w:lang w:eastAsia="zh-CN"/>
              </w:rPr>
              <w:t>扩建的构筑物包括：330kV构架及基础、330kVGIS基础、330kV设备支架及基础等。</w:t>
            </w:r>
            <w:bookmarkEnd w:id="78"/>
            <w:r>
              <w:rPr>
                <w:rFonts w:hint="eastAsia" w:ascii="Times New Roman" w:hAnsi="Times New Roman" w:cs="Times New Roman"/>
                <w:b w:val="0"/>
                <w:bCs w:val="0"/>
                <w:color w:val="FF0000"/>
                <w:sz w:val="24"/>
                <w:szCs w:val="24"/>
                <w:lang w:eastAsia="zh-CN"/>
              </w:rPr>
              <w:t>基础建成后安装断路器等电气设备。</w:t>
            </w:r>
          </w:p>
          <w:p>
            <w:pPr>
              <w:pStyle w:val="21"/>
              <w:adjustRightInd w:val="0"/>
              <w:snapToGrid w:val="0"/>
              <w:spacing w:before="0" w:after="0" w:line="360" w:lineRule="auto"/>
              <w:ind w:firstLine="482" w:firstLineChars="200"/>
              <w:jc w:val="both"/>
              <w:rPr>
                <w:rFonts w:ascii="Times New Roman" w:hAnsi="Times New Roman" w:cs="Times New Roman"/>
                <w:color w:val="FF0000"/>
                <w:sz w:val="24"/>
                <w:szCs w:val="24"/>
                <w:lang w:eastAsia="zh-CN"/>
              </w:rPr>
            </w:pPr>
            <w:bookmarkStart w:id="79" w:name="_Toc11929"/>
            <w:r>
              <w:rPr>
                <w:rFonts w:hint="eastAsia" w:ascii="Times New Roman" w:hAnsi="Times New Roman" w:cs="Times New Roman"/>
                <w:color w:val="FF0000"/>
                <w:sz w:val="24"/>
                <w:szCs w:val="24"/>
                <w:lang w:eastAsia="zh-CN"/>
              </w:rPr>
              <w:t>（</w:t>
            </w:r>
            <w:r>
              <w:rPr>
                <w:rFonts w:ascii="Times New Roman" w:hAnsi="Times New Roman" w:cs="Times New Roman"/>
                <w:color w:val="FF0000"/>
                <w:sz w:val="24"/>
                <w:szCs w:val="24"/>
                <w:lang w:eastAsia="zh-CN"/>
              </w:rPr>
              <w:t>3</w:t>
            </w:r>
            <w:r>
              <w:rPr>
                <w:rFonts w:hint="eastAsia" w:ascii="Times New Roman" w:hAnsi="Times New Roman" w:cs="Times New Roman"/>
                <w:color w:val="FF0000"/>
                <w:sz w:val="24"/>
                <w:szCs w:val="24"/>
                <w:lang w:eastAsia="zh-CN"/>
              </w:rPr>
              <w:t>）电气布置</w:t>
            </w:r>
            <w:bookmarkEnd w:id="79"/>
          </w:p>
          <w:p>
            <w:pPr>
              <w:adjustRightInd w:val="0"/>
              <w:snapToGrid w:val="0"/>
              <w:spacing w:line="360" w:lineRule="auto"/>
              <w:ind w:firstLine="480" w:firstLineChars="200"/>
              <w:rPr>
                <w:color w:val="FF0000"/>
                <w:sz w:val="24"/>
              </w:rPr>
            </w:pPr>
            <w:r>
              <w:rPr>
                <w:color w:val="FF0000"/>
                <w:sz w:val="24"/>
              </w:rPr>
              <w:t>330kV配电装置布置在站区</w:t>
            </w:r>
            <w:r>
              <w:rPr>
                <w:rFonts w:hint="eastAsia"/>
                <w:color w:val="FF0000"/>
                <w:sz w:val="24"/>
              </w:rPr>
              <w:t>东</w:t>
            </w:r>
            <w:r>
              <w:rPr>
                <w:color w:val="FF0000"/>
                <w:sz w:val="24"/>
              </w:rPr>
              <w:t>部，330kV向</w:t>
            </w:r>
            <w:r>
              <w:rPr>
                <w:rFonts w:hint="eastAsia"/>
                <w:color w:val="FF0000"/>
                <w:sz w:val="24"/>
              </w:rPr>
              <w:t>南</w:t>
            </w:r>
            <w:r>
              <w:rPr>
                <w:color w:val="FF0000"/>
                <w:sz w:val="24"/>
              </w:rPr>
              <w:t>出线，330kV配电装置采用户外敞开式设备</w:t>
            </w:r>
            <w:r>
              <w:rPr>
                <w:rFonts w:hint="eastAsia"/>
                <w:color w:val="FF0000"/>
                <w:sz w:val="24"/>
              </w:rPr>
              <w:t>。</w:t>
            </w:r>
          </w:p>
          <w:p>
            <w:pPr>
              <w:adjustRightInd w:val="0"/>
              <w:snapToGrid w:val="0"/>
              <w:spacing w:line="360" w:lineRule="auto"/>
              <w:ind w:firstLine="480" w:firstLineChars="200"/>
              <w:rPr>
                <w:color w:val="FF0000"/>
                <w:sz w:val="24"/>
              </w:rPr>
            </w:pPr>
            <w:r>
              <w:rPr>
                <w:rFonts w:hint="eastAsia"/>
                <w:color w:val="FF0000"/>
                <w:sz w:val="24"/>
              </w:rPr>
              <w:t>在预留位置扩建，无需征地。扩建设备的站用电由330kV继电器室专用屏备用回路引接。扩建的区域照明同前期采用高效钠灯投光灯照明。</w:t>
            </w:r>
          </w:p>
          <w:p>
            <w:pPr>
              <w:adjustRightInd w:val="0"/>
              <w:snapToGrid w:val="0"/>
              <w:spacing w:line="360" w:lineRule="auto"/>
              <w:ind w:firstLine="482" w:firstLineChars="200"/>
              <w:rPr>
                <w:b/>
                <w:bCs/>
                <w:color w:val="FF0000"/>
                <w:sz w:val="24"/>
              </w:rPr>
            </w:pPr>
            <w:r>
              <w:rPr>
                <w:rFonts w:hint="eastAsia"/>
                <w:b/>
                <w:bCs/>
                <w:color w:val="FF0000"/>
                <w:sz w:val="24"/>
              </w:rPr>
              <w:t>（</w:t>
            </w:r>
            <w:r>
              <w:rPr>
                <w:b/>
                <w:bCs/>
                <w:color w:val="FF0000"/>
                <w:sz w:val="24"/>
              </w:rPr>
              <w:t>4</w:t>
            </w:r>
            <w:r>
              <w:rPr>
                <w:rFonts w:hint="eastAsia"/>
                <w:b/>
                <w:bCs/>
                <w:color w:val="FF0000"/>
                <w:sz w:val="24"/>
              </w:rPr>
              <w:t>）电缆</w:t>
            </w:r>
          </w:p>
          <w:p>
            <w:pPr>
              <w:adjustRightInd w:val="0"/>
              <w:snapToGrid w:val="0"/>
              <w:spacing w:line="360" w:lineRule="auto"/>
              <w:ind w:firstLine="480" w:firstLineChars="200"/>
              <w:rPr>
                <w:color w:val="FF0000"/>
                <w:sz w:val="24"/>
              </w:rPr>
            </w:pPr>
            <w:r>
              <w:rPr>
                <w:rFonts w:hint="eastAsia"/>
                <w:color w:val="FF0000"/>
                <w:sz w:val="24"/>
              </w:rPr>
              <w:t>Ⅰ.电力电缆：电缆采用聚氯乙烯护套内钢带铠装单屏蔽的铜芯电缆，电缆截面不小于2.5mm</w:t>
            </w:r>
            <w:r>
              <w:rPr>
                <w:rFonts w:hint="eastAsia"/>
                <w:color w:val="FF0000"/>
                <w:sz w:val="24"/>
                <w:vertAlign w:val="superscript"/>
              </w:rPr>
              <w:t>2</w:t>
            </w:r>
            <w:r>
              <w:rPr>
                <w:rFonts w:hint="eastAsia"/>
                <w:color w:val="FF0000"/>
                <w:sz w:val="24"/>
              </w:rPr>
              <w:t>。</w:t>
            </w:r>
          </w:p>
          <w:p>
            <w:pPr>
              <w:adjustRightInd w:val="0"/>
              <w:snapToGrid w:val="0"/>
              <w:spacing w:line="360" w:lineRule="auto"/>
              <w:ind w:firstLine="480" w:firstLineChars="200"/>
            </w:pPr>
            <w:r>
              <w:rPr>
                <w:rFonts w:hint="eastAsia"/>
                <w:color w:val="FF0000"/>
                <w:sz w:val="24"/>
              </w:rPr>
              <w:t>Ⅱ.控制电缆：采用聚氯乙烯绝缘聚乙烯护套铜带屏蔽的阻燃铜芯电缆，屏蔽层两端接地，电缆截面不小于1.5mm</w:t>
            </w:r>
            <w:r>
              <w:rPr>
                <w:rFonts w:hint="eastAsia"/>
                <w:color w:val="FF0000"/>
                <w:sz w:val="24"/>
                <w:vertAlign w:val="superscript"/>
              </w:rPr>
              <w:t>2</w:t>
            </w:r>
            <w:r>
              <w:rPr>
                <w:rFonts w:hint="eastAsia"/>
                <w:color w:val="FF0000"/>
                <w:sz w:val="24"/>
              </w:rPr>
              <w:t>。其中电流回路电缆截面不小于4mm</w:t>
            </w:r>
            <w:r>
              <w:rPr>
                <w:rFonts w:hint="eastAsia"/>
                <w:color w:val="FF0000"/>
                <w:sz w:val="24"/>
                <w:vertAlign w:val="superscript"/>
              </w:rPr>
              <w:t>2</w:t>
            </w:r>
            <w:r>
              <w:rPr>
                <w:rFonts w:hint="eastAsia"/>
                <w:color w:val="FF0000"/>
                <w:sz w:val="24"/>
              </w:rPr>
              <w:t>，  电压回路电缆截面不小于2.5mm</w:t>
            </w:r>
            <w:r>
              <w:rPr>
                <w:rFonts w:hint="eastAsia"/>
                <w:color w:val="FF0000"/>
                <w:sz w:val="24"/>
                <w:vertAlign w:val="superscript"/>
              </w:rPr>
              <w:t>2</w:t>
            </w:r>
            <w:r>
              <w:rPr>
                <w:rFonts w:hint="eastAsia"/>
                <w:color w:val="FF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adjustRightInd w:val="0"/>
              <w:snapToGrid w:val="0"/>
              <w:jc w:val="center"/>
              <w:rPr>
                <w:kern w:val="0"/>
                <w:szCs w:val="21"/>
              </w:rPr>
            </w:pPr>
            <w:r>
              <w:rPr>
                <w:kern w:val="0"/>
                <w:szCs w:val="21"/>
              </w:rPr>
              <w:t>施工方案</w:t>
            </w:r>
          </w:p>
        </w:tc>
        <w:tc>
          <w:tcPr>
            <w:tcW w:w="8380" w:type="dxa"/>
            <w:vAlign w:val="center"/>
          </w:tcPr>
          <w:p>
            <w:pPr>
              <w:adjustRightInd w:val="0"/>
              <w:snapToGrid w:val="0"/>
              <w:spacing w:before="120" w:beforeLines="50" w:after="120" w:afterLines="50" w:line="360" w:lineRule="auto"/>
              <w:rPr>
                <w:b/>
                <w:bCs/>
                <w:sz w:val="24"/>
              </w:rPr>
            </w:pPr>
            <w:r>
              <w:rPr>
                <w:b/>
                <w:bCs/>
                <w:sz w:val="24"/>
              </w:rPr>
              <w:t>2.</w:t>
            </w:r>
            <w:r>
              <w:rPr>
                <w:rFonts w:hint="eastAsia"/>
                <w:b/>
                <w:bCs/>
                <w:sz w:val="24"/>
              </w:rPr>
              <w:t>6</w:t>
            </w:r>
            <w:r>
              <w:rPr>
                <w:b/>
                <w:bCs/>
                <w:sz w:val="24"/>
              </w:rPr>
              <w:t>施工</w:t>
            </w:r>
            <w:r>
              <w:rPr>
                <w:rFonts w:hint="eastAsia"/>
                <w:b/>
                <w:bCs/>
                <w:sz w:val="24"/>
              </w:rPr>
              <w:t>组织设计及方案</w:t>
            </w:r>
          </w:p>
          <w:p>
            <w:pPr>
              <w:adjustRightInd w:val="0"/>
              <w:snapToGrid w:val="0"/>
              <w:spacing w:line="360" w:lineRule="auto"/>
              <w:ind w:firstLine="482" w:firstLineChars="200"/>
              <w:rPr>
                <w:b/>
                <w:bCs/>
                <w:sz w:val="24"/>
              </w:rPr>
            </w:pPr>
            <w:r>
              <w:rPr>
                <w:rFonts w:hint="eastAsia"/>
                <w:b/>
                <w:bCs/>
                <w:sz w:val="24"/>
              </w:rPr>
              <w:t>（1）施工条件</w:t>
            </w:r>
          </w:p>
          <w:p>
            <w:pPr>
              <w:adjustRightInd w:val="0"/>
              <w:snapToGrid w:val="0"/>
              <w:spacing w:line="360" w:lineRule="auto"/>
              <w:ind w:firstLine="480" w:firstLineChars="200"/>
              <w:rPr>
                <w:sz w:val="24"/>
              </w:rPr>
            </w:pPr>
            <w:r>
              <w:rPr>
                <w:rFonts w:hint="eastAsia"/>
                <w:sz w:val="24"/>
              </w:rPr>
              <w:t>①施工道路</w:t>
            </w:r>
          </w:p>
          <w:p>
            <w:pPr>
              <w:adjustRightInd w:val="0"/>
              <w:snapToGrid w:val="0"/>
              <w:spacing w:line="360" w:lineRule="auto"/>
              <w:ind w:firstLine="480" w:firstLineChars="200"/>
              <w:rPr>
                <w:sz w:val="24"/>
              </w:rPr>
            </w:pPr>
            <w:r>
              <w:rPr>
                <w:rFonts w:hint="eastAsia"/>
                <w:sz w:val="24"/>
              </w:rPr>
              <w:t>项目西北侧为县道X201，县道X201与六东一级公路及国道G227相连通，场外交通条件便利，项目进站道路尽可能沿已有道路布置。</w:t>
            </w:r>
          </w:p>
          <w:p>
            <w:pPr>
              <w:adjustRightInd w:val="0"/>
              <w:snapToGrid w:val="0"/>
              <w:spacing w:line="360" w:lineRule="auto"/>
              <w:ind w:firstLine="480" w:firstLineChars="200"/>
              <w:rPr>
                <w:sz w:val="24"/>
              </w:rPr>
            </w:pPr>
            <w:r>
              <w:rPr>
                <w:sz w:val="24"/>
              </w:rPr>
              <w:t>②</w:t>
            </w:r>
            <w:r>
              <w:rPr>
                <w:rFonts w:hint="eastAsia"/>
                <w:sz w:val="24"/>
              </w:rPr>
              <w:t>施工用水</w:t>
            </w:r>
          </w:p>
          <w:p>
            <w:pPr>
              <w:adjustRightInd w:val="0"/>
              <w:snapToGrid w:val="0"/>
              <w:spacing w:line="360" w:lineRule="auto"/>
              <w:ind w:firstLine="480" w:firstLineChars="200"/>
              <w:rPr>
                <w:sz w:val="24"/>
              </w:rPr>
            </w:pPr>
            <w:r>
              <w:rPr>
                <w:sz w:val="24"/>
              </w:rPr>
              <w:t>施工用水来源：施工用水采用拉水方式</w:t>
            </w:r>
            <w:r>
              <w:rPr>
                <w:rFonts w:hint="eastAsia"/>
                <w:sz w:val="24"/>
              </w:rPr>
              <w:t>，项目距离民乐县民乐生态工业园区较近，可考虑从民乐生态工业园区拉水。</w:t>
            </w:r>
          </w:p>
          <w:p>
            <w:pPr>
              <w:adjustRightInd w:val="0"/>
              <w:snapToGrid w:val="0"/>
              <w:spacing w:line="360" w:lineRule="auto"/>
              <w:ind w:firstLine="480" w:firstLineChars="200"/>
              <w:rPr>
                <w:sz w:val="24"/>
              </w:rPr>
            </w:pPr>
            <w:r>
              <w:rPr>
                <w:sz w:val="24"/>
              </w:rPr>
              <w:t>③</w:t>
            </w:r>
            <w:r>
              <w:rPr>
                <w:rFonts w:hint="eastAsia"/>
                <w:sz w:val="24"/>
              </w:rPr>
              <w:t>施工用电</w:t>
            </w:r>
          </w:p>
          <w:p>
            <w:pPr>
              <w:adjustRightInd w:val="0"/>
              <w:snapToGrid w:val="0"/>
              <w:spacing w:line="360" w:lineRule="auto"/>
              <w:ind w:firstLine="480" w:firstLineChars="200"/>
              <w:rPr>
                <w:sz w:val="24"/>
              </w:rPr>
            </w:pPr>
            <w:r>
              <w:rPr>
                <w:sz w:val="24"/>
              </w:rPr>
              <w:t>施工用电由</w:t>
            </w:r>
            <w:r>
              <w:rPr>
                <w:rFonts w:hint="eastAsia"/>
                <w:sz w:val="24"/>
              </w:rPr>
              <w:t>附近</w:t>
            </w:r>
            <w:r>
              <w:rPr>
                <w:sz w:val="24"/>
              </w:rPr>
              <w:t>10kV线路接入</w:t>
            </w:r>
            <w:r>
              <w:rPr>
                <w:rFonts w:hint="eastAsia"/>
                <w:sz w:val="24"/>
              </w:rPr>
              <w:t>，</w:t>
            </w:r>
            <w:r>
              <w:rPr>
                <w:sz w:val="24"/>
              </w:rPr>
              <w:t>通过动力控制箱、照明箱和施工电缆送到施工现场的用电设备上</w:t>
            </w:r>
            <w:r>
              <w:rPr>
                <w:rFonts w:hint="eastAsia"/>
                <w:sz w:val="24"/>
              </w:rPr>
              <w:t>，</w:t>
            </w:r>
            <w:r>
              <w:rPr>
                <w:sz w:val="24"/>
              </w:rPr>
              <w:t>同时租赁1台柴油发电机备用</w:t>
            </w:r>
            <w:r>
              <w:rPr>
                <w:rFonts w:hint="eastAsia"/>
                <w:sz w:val="24"/>
              </w:rPr>
              <w:t>。</w:t>
            </w:r>
          </w:p>
          <w:p>
            <w:pPr>
              <w:adjustRightInd w:val="0"/>
              <w:snapToGrid w:val="0"/>
              <w:spacing w:line="360" w:lineRule="auto"/>
              <w:ind w:firstLine="482" w:firstLineChars="200"/>
              <w:rPr>
                <w:b/>
                <w:bCs/>
                <w:sz w:val="24"/>
              </w:rPr>
            </w:pPr>
            <w:r>
              <w:rPr>
                <w:rFonts w:hint="eastAsia"/>
                <w:b/>
                <w:bCs/>
                <w:sz w:val="24"/>
              </w:rPr>
              <w:t>（2）施工</w:t>
            </w:r>
            <w:r>
              <w:rPr>
                <w:b/>
                <w:bCs/>
                <w:sz w:val="24"/>
              </w:rPr>
              <w:t>生产、生活区</w:t>
            </w:r>
          </w:p>
          <w:p>
            <w:pPr>
              <w:adjustRightInd w:val="0"/>
              <w:snapToGrid w:val="0"/>
              <w:spacing w:line="360" w:lineRule="auto"/>
              <w:ind w:firstLine="480" w:firstLineChars="200"/>
              <w:rPr>
                <w:sz w:val="24"/>
              </w:rPr>
            </w:pPr>
            <w:r>
              <w:rPr>
                <w:sz w:val="24"/>
              </w:rPr>
              <w:t>本项目施工生产生活区位于</w:t>
            </w:r>
            <w:r>
              <w:rPr>
                <w:rFonts w:hint="eastAsia"/>
                <w:sz w:val="24"/>
              </w:rPr>
              <w:t>储能电站选址范围内</w:t>
            </w:r>
            <w:r>
              <w:rPr>
                <w:sz w:val="24"/>
              </w:rPr>
              <w:t>，现状植被稀疏，平整后可满足项目施工需要，主要进行表土层的清挖，剥离的表土堆放在临时堆土</w:t>
            </w:r>
            <w:r>
              <w:rPr>
                <w:rFonts w:hint="eastAsia"/>
                <w:sz w:val="24"/>
              </w:rPr>
              <w:t>区</w:t>
            </w:r>
            <w:r>
              <w:rPr>
                <w:sz w:val="24"/>
              </w:rPr>
              <w:t>内。</w:t>
            </w:r>
            <w:r>
              <w:rPr>
                <w:rFonts w:hint="eastAsia"/>
                <w:sz w:val="24"/>
              </w:rPr>
              <w:t>场地平整完成后建设施工临时生产生活区，包括施工人员宿舍、办公管理室等，全部采用轻型彩钢结构，便于施工及后期拆除。施工生产场地主要包括砂石料、水泥堆放区，以及其他建筑材料堆场，上述堆场均设置在储能电站占地范围以内；项目施工期还设置有临时堆土区，用于堆存剥离表土，临时堆土区位于站址西北侧，易起尘物料应采取防尘（遮盖防尘网）、防雨等措施。</w:t>
            </w:r>
          </w:p>
          <w:p>
            <w:pPr>
              <w:adjustRightInd w:val="0"/>
              <w:snapToGrid w:val="0"/>
              <w:spacing w:line="360" w:lineRule="auto"/>
              <w:ind w:firstLine="482" w:firstLineChars="200"/>
              <w:rPr>
                <w:b/>
                <w:bCs/>
                <w:sz w:val="24"/>
              </w:rPr>
            </w:pPr>
            <w:r>
              <w:rPr>
                <w:b/>
                <w:bCs/>
                <w:sz w:val="24"/>
              </w:rPr>
              <w:t>（</w:t>
            </w:r>
            <w:r>
              <w:rPr>
                <w:rFonts w:hint="eastAsia"/>
                <w:b/>
                <w:bCs/>
                <w:sz w:val="24"/>
              </w:rPr>
              <w:t>3</w:t>
            </w:r>
            <w:r>
              <w:rPr>
                <w:b/>
                <w:bCs/>
                <w:sz w:val="24"/>
              </w:rPr>
              <w:t>）</w:t>
            </w:r>
            <w:r>
              <w:rPr>
                <w:rFonts w:hint="eastAsia"/>
                <w:b/>
                <w:bCs/>
                <w:sz w:val="24"/>
              </w:rPr>
              <w:t>主体工程施工</w:t>
            </w:r>
          </w:p>
          <w:p>
            <w:pPr>
              <w:adjustRightInd w:val="0"/>
              <w:snapToGrid w:val="0"/>
              <w:spacing w:line="360" w:lineRule="auto"/>
              <w:ind w:firstLine="480" w:firstLineChars="200"/>
              <w:rPr>
                <w:sz w:val="24"/>
              </w:rPr>
            </w:pPr>
            <w:r>
              <w:rPr>
                <w:sz w:val="24"/>
              </w:rPr>
              <w:t>储能电站构筑物的施工的工序为：基础工程→结构工程。在施工过程中，严格按照技术要求进行。</w:t>
            </w:r>
          </w:p>
          <w:p>
            <w:pPr>
              <w:adjustRightInd w:val="0"/>
              <w:snapToGrid w:val="0"/>
              <w:spacing w:line="360" w:lineRule="auto"/>
              <w:ind w:firstLine="480" w:firstLineChars="200"/>
              <w:rPr>
                <w:sz w:val="24"/>
              </w:rPr>
            </w:pPr>
            <w:r>
              <w:rPr>
                <w:sz w:val="24"/>
              </w:rPr>
              <w:t>①基础工程：</w:t>
            </w:r>
          </w:p>
          <w:p>
            <w:pPr>
              <w:adjustRightInd w:val="0"/>
              <w:snapToGrid w:val="0"/>
              <w:spacing w:line="360" w:lineRule="auto"/>
              <w:ind w:firstLine="480" w:firstLineChars="200"/>
              <w:rPr>
                <w:sz w:val="24"/>
              </w:rPr>
            </w:pPr>
            <w:r>
              <w:rPr>
                <w:sz w:val="24"/>
              </w:rPr>
              <w:t>Ⅰ</w:t>
            </w:r>
            <w:r>
              <w:rPr>
                <w:rFonts w:hint="eastAsia"/>
                <w:sz w:val="24"/>
              </w:rPr>
              <w:t>.</w:t>
            </w:r>
            <w:r>
              <w:rPr>
                <w:sz w:val="24"/>
              </w:rPr>
              <w:t>天然地基能满足承载力要求</w:t>
            </w:r>
            <w:r>
              <w:rPr>
                <w:rFonts w:hint="eastAsia"/>
                <w:sz w:val="24"/>
              </w:rPr>
              <w:t>，</w:t>
            </w:r>
            <w:r>
              <w:rPr>
                <w:sz w:val="24"/>
              </w:rPr>
              <w:t>不采用特殊的地基处理措施。</w:t>
            </w:r>
          </w:p>
          <w:p>
            <w:pPr>
              <w:adjustRightInd w:val="0"/>
              <w:snapToGrid w:val="0"/>
              <w:spacing w:line="360" w:lineRule="auto"/>
              <w:ind w:firstLine="480" w:firstLineChars="200"/>
              <w:rPr>
                <w:sz w:val="24"/>
              </w:rPr>
            </w:pPr>
            <w:r>
              <w:rPr>
                <w:sz w:val="24"/>
              </w:rPr>
              <w:t>Ⅱ</w:t>
            </w:r>
            <w:r>
              <w:rPr>
                <w:rFonts w:hint="eastAsia"/>
                <w:sz w:val="24"/>
              </w:rPr>
              <w:t>.</w:t>
            </w:r>
            <w:r>
              <w:rPr>
                <w:sz w:val="24"/>
              </w:rPr>
              <w:t>基坑开挖完成后</w:t>
            </w:r>
            <w:r>
              <w:rPr>
                <w:rFonts w:hint="eastAsia"/>
                <w:sz w:val="24"/>
              </w:rPr>
              <w:t>，</w:t>
            </w:r>
            <w:r>
              <w:rPr>
                <w:sz w:val="24"/>
              </w:rPr>
              <w:t>应及时通知地勘单位和设计单位现场验槽。</w:t>
            </w:r>
          </w:p>
          <w:p>
            <w:pPr>
              <w:adjustRightInd w:val="0"/>
              <w:snapToGrid w:val="0"/>
              <w:spacing w:line="360" w:lineRule="auto"/>
              <w:ind w:firstLine="480" w:firstLineChars="200"/>
              <w:rPr>
                <w:sz w:val="24"/>
              </w:rPr>
            </w:pPr>
            <w:r>
              <w:rPr>
                <w:sz w:val="24"/>
              </w:rPr>
              <w:t>②砼工程施工：</w:t>
            </w:r>
          </w:p>
          <w:p>
            <w:pPr>
              <w:adjustRightInd w:val="0"/>
              <w:snapToGrid w:val="0"/>
              <w:spacing w:line="360" w:lineRule="auto"/>
              <w:ind w:firstLine="480" w:firstLineChars="200"/>
              <w:rPr>
                <w:sz w:val="24"/>
              </w:rPr>
            </w:pPr>
            <w:r>
              <w:rPr>
                <w:sz w:val="24"/>
              </w:rPr>
              <w:t>Ⅰ</w:t>
            </w:r>
            <w:r>
              <w:rPr>
                <w:rFonts w:hint="eastAsia"/>
                <w:sz w:val="24"/>
              </w:rPr>
              <w:t>.</w:t>
            </w:r>
            <w:r>
              <w:rPr>
                <w:sz w:val="24"/>
              </w:rPr>
              <w:t>根据施工图纸确定框架、柱、梁、板的砼强度等级及其配合比。浇筑前必须查实一次</w:t>
            </w:r>
            <w:r>
              <w:rPr>
                <w:rFonts w:hint="eastAsia"/>
                <w:sz w:val="24"/>
              </w:rPr>
              <w:t>，</w:t>
            </w:r>
            <w:r>
              <w:rPr>
                <w:sz w:val="24"/>
              </w:rPr>
              <w:t>以免浇筑完毕或浇筑到某施工缝前</w:t>
            </w:r>
            <w:r>
              <w:rPr>
                <w:rFonts w:hint="eastAsia"/>
                <w:sz w:val="24"/>
              </w:rPr>
              <w:t>，</w:t>
            </w:r>
            <w:r>
              <w:rPr>
                <w:sz w:val="24"/>
              </w:rPr>
              <w:t>停工待料。砼浇筑时随时取样；</w:t>
            </w:r>
          </w:p>
          <w:p>
            <w:pPr>
              <w:adjustRightInd w:val="0"/>
              <w:snapToGrid w:val="0"/>
              <w:spacing w:line="360" w:lineRule="auto"/>
              <w:ind w:firstLine="480" w:firstLineChars="200"/>
              <w:rPr>
                <w:sz w:val="24"/>
              </w:rPr>
            </w:pPr>
            <w:r>
              <w:rPr>
                <w:sz w:val="24"/>
              </w:rPr>
              <w:t>Ⅱ</w:t>
            </w:r>
            <w:r>
              <w:rPr>
                <w:rFonts w:hint="eastAsia"/>
                <w:sz w:val="24"/>
              </w:rPr>
              <w:t>.</w:t>
            </w:r>
            <w:r>
              <w:rPr>
                <w:sz w:val="24"/>
              </w:rPr>
              <w:t>对于大体积的砼应分层浇筑</w:t>
            </w:r>
            <w:r>
              <w:rPr>
                <w:rFonts w:hint="eastAsia"/>
                <w:sz w:val="24"/>
              </w:rPr>
              <w:t>，</w:t>
            </w:r>
            <w:r>
              <w:rPr>
                <w:sz w:val="24"/>
              </w:rPr>
              <w:t>一般不超过300mm。用插入式振捣器时，注意插送均匀到位</w:t>
            </w:r>
            <w:r>
              <w:rPr>
                <w:rFonts w:hint="eastAsia"/>
                <w:sz w:val="24"/>
              </w:rPr>
              <w:t>，</w:t>
            </w:r>
            <w:r>
              <w:rPr>
                <w:sz w:val="24"/>
              </w:rPr>
              <w:t>且应快插慢拔；</w:t>
            </w:r>
          </w:p>
          <w:p>
            <w:pPr>
              <w:adjustRightInd w:val="0"/>
              <w:snapToGrid w:val="0"/>
              <w:spacing w:line="360" w:lineRule="auto"/>
              <w:ind w:firstLine="480" w:firstLineChars="200"/>
              <w:rPr>
                <w:sz w:val="24"/>
              </w:rPr>
            </w:pPr>
            <w:r>
              <w:rPr>
                <w:sz w:val="24"/>
              </w:rPr>
              <w:t>Ⅲ</w:t>
            </w:r>
            <w:r>
              <w:rPr>
                <w:rFonts w:hint="eastAsia"/>
                <w:sz w:val="24"/>
              </w:rPr>
              <w:t>.</w:t>
            </w:r>
            <w:r>
              <w:rPr>
                <w:sz w:val="24"/>
              </w:rPr>
              <w:t>砼施工缝应留在结构受剪力较小且便于施工的部位；</w:t>
            </w:r>
          </w:p>
          <w:p>
            <w:pPr>
              <w:adjustRightInd w:val="0"/>
              <w:snapToGrid w:val="0"/>
              <w:spacing w:line="360" w:lineRule="auto"/>
              <w:ind w:firstLine="480" w:firstLineChars="200"/>
              <w:rPr>
                <w:sz w:val="24"/>
              </w:rPr>
            </w:pPr>
            <w:r>
              <w:rPr>
                <w:sz w:val="24"/>
              </w:rPr>
              <w:t>Ⅳ</w:t>
            </w:r>
            <w:r>
              <w:rPr>
                <w:rFonts w:hint="eastAsia"/>
                <w:sz w:val="24"/>
              </w:rPr>
              <w:t>.</w:t>
            </w:r>
            <w:r>
              <w:rPr>
                <w:sz w:val="24"/>
              </w:rPr>
              <w:t>对于砼要特别注意养护</w:t>
            </w:r>
            <w:r>
              <w:rPr>
                <w:rFonts w:hint="eastAsia"/>
                <w:sz w:val="24"/>
              </w:rPr>
              <w:t>，</w:t>
            </w:r>
            <w:r>
              <w:rPr>
                <w:sz w:val="24"/>
              </w:rPr>
              <w:t>养护时间一般不能</w:t>
            </w:r>
            <w:r>
              <w:rPr>
                <w:rFonts w:hint="eastAsia"/>
                <w:sz w:val="24"/>
              </w:rPr>
              <w:t>少</w:t>
            </w:r>
            <w:r>
              <w:rPr>
                <w:sz w:val="24"/>
              </w:rPr>
              <w:t>于七</w:t>
            </w:r>
            <w:r>
              <w:rPr>
                <w:rFonts w:hint="eastAsia"/>
                <w:sz w:val="24"/>
              </w:rPr>
              <w:t>个</w:t>
            </w:r>
            <w:r>
              <w:rPr>
                <w:sz w:val="24"/>
              </w:rPr>
              <w:t>昼夜；</w:t>
            </w:r>
          </w:p>
          <w:p>
            <w:pPr>
              <w:adjustRightInd w:val="0"/>
              <w:snapToGrid w:val="0"/>
              <w:spacing w:line="360" w:lineRule="auto"/>
              <w:ind w:firstLine="480" w:firstLineChars="200"/>
              <w:rPr>
                <w:sz w:val="24"/>
              </w:rPr>
            </w:pPr>
            <w:r>
              <w:rPr>
                <w:sz w:val="24"/>
              </w:rPr>
              <w:t>Ⅴ</w:t>
            </w:r>
            <w:r>
              <w:rPr>
                <w:rFonts w:hint="eastAsia"/>
                <w:sz w:val="24"/>
              </w:rPr>
              <w:t>.</w:t>
            </w:r>
            <w:r>
              <w:rPr>
                <w:sz w:val="24"/>
              </w:rPr>
              <w:t>根据水文气象报告</w:t>
            </w:r>
            <w:r>
              <w:rPr>
                <w:rFonts w:hint="eastAsia"/>
                <w:sz w:val="24"/>
              </w:rPr>
              <w:t>，</w:t>
            </w:r>
            <w:r>
              <w:rPr>
                <w:sz w:val="24"/>
              </w:rPr>
              <w:t>在冬季施工时优选外加剂提高早期抗冻效果</w:t>
            </w:r>
            <w:r>
              <w:rPr>
                <w:rFonts w:hint="eastAsia"/>
                <w:sz w:val="24"/>
              </w:rPr>
              <w:t>，</w:t>
            </w:r>
            <w:r>
              <w:rPr>
                <w:sz w:val="24"/>
              </w:rPr>
              <w:t>为提高砼质量防止砼早期受冻</w:t>
            </w:r>
            <w:r>
              <w:rPr>
                <w:rFonts w:hint="eastAsia"/>
                <w:sz w:val="24"/>
              </w:rPr>
              <w:t>，</w:t>
            </w:r>
            <w:r>
              <w:rPr>
                <w:sz w:val="24"/>
              </w:rPr>
              <w:t>加强对砼受冻临界强度监控。</w:t>
            </w:r>
          </w:p>
          <w:p>
            <w:pPr>
              <w:adjustRightInd w:val="0"/>
              <w:snapToGrid w:val="0"/>
              <w:spacing w:line="360" w:lineRule="auto"/>
              <w:ind w:firstLine="480" w:firstLineChars="200"/>
              <w:rPr>
                <w:sz w:val="24"/>
              </w:rPr>
            </w:pPr>
            <w:r>
              <w:rPr>
                <w:sz w:val="24"/>
              </w:rPr>
              <w:t>Ⅵ</w:t>
            </w:r>
            <w:r>
              <w:rPr>
                <w:rFonts w:hint="eastAsia"/>
                <w:sz w:val="24"/>
              </w:rPr>
              <w:t>.</w:t>
            </w:r>
            <w:r>
              <w:rPr>
                <w:sz w:val="24"/>
              </w:rPr>
              <w:t>对于浇筑过程中要防止分层离析</w:t>
            </w:r>
            <w:r>
              <w:rPr>
                <w:rFonts w:hint="eastAsia"/>
                <w:sz w:val="24"/>
              </w:rPr>
              <w:t>，</w:t>
            </w:r>
            <w:r>
              <w:rPr>
                <w:sz w:val="24"/>
              </w:rPr>
              <w:t>蜂窝麻面过深、面积过大不规范应严格返工；</w:t>
            </w:r>
          </w:p>
          <w:p>
            <w:pPr>
              <w:adjustRightInd w:val="0"/>
              <w:snapToGrid w:val="0"/>
              <w:spacing w:line="360" w:lineRule="auto"/>
              <w:ind w:firstLine="480" w:firstLineChars="200"/>
              <w:rPr>
                <w:sz w:val="24"/>
              </w:rPr>
            </w:pPr>
            <w:r>
              <w:rPr>
                <w:sz w:val="24"/>
              </w:rPr>
              <w:t>③模板工程：</w:t>
            </w:r>
          </w:p>
          <w:p>
            <w:pPr>
              <w:adjustRightInd w:val="0"/>
              <w:snapToGrid w:val="0"/>
              <w:spacing w:line="360" w:lineRule="auto"/>
              <w:ind w:firstLine="480" w:firstLineChars="200"/>
              <w:rPr>
                <w:sz w:val="24"/>
              </w:rPr>
            </w:pPr>
            <w:r>
              <w:rPr>
                <w:sz w:val="24"/>
              </w:rPr>
              <w:t>Ⅰ</w:t>
            </w:r>
            <w:r>
              <w:rPr>
                <w:rFonts w:hint="eastAsia"/>
                <w:sz w:val="24"/>
              </w:rPr>
              <w:t>.</w:t>
            </w:r>
            <w:r>
              <w:rPr>
                <w:sz w:val="24"/>
              </w:rPr>
              <w:t>本项目的主体结构跨度较大</w:t>
            </w:r>
            <w:r>
              <w:rPr>
                <w:rFonts w:hint="eastAsia"/>
                <w:sz w:val="24"/>
              </w:rPr>
              <w:t>，</w:t>
            </w:r>
            <w:r>
              <w:rPr>
                <w:sz w:val="24"/>
              </w:rPr>
              <w:t>所以对于梁应设中间支撑</w:t>
            </w:r>
            <w:r>
              <w:rPr>
                <w:rFonts w:hint="eastAsia"/>
                <w:sz w:val="24"/>
              </w:rPr>
              <w:t>，</w:t>
            </w:r>
            <w:r>
              <w:rPr>
                <w:sz w:val="24"/>
              </w:rPr>
              <w:t>而且使梁略向上拱</w:t>
            </w:r>
            <w:r>
              <w:rPr>
                <w:rFonts w:hint="eastAsia"/>
                <w:sz w:val="24"/>
              </w:rPr>
              <w:t>，</w:t>
            </w:r>
            <w:r>
              <w:rPr>
                <w:sz w:val="24"/>
              </w:rPr>
              <w:t>应满足有关规范要求；</w:t>
            </w:r>
          </w:p>
          <w:p>
            <w:pPr>
              <w:adjustRightInd w:val="0"/>
              <w:snapToGrid w:val="0"/>
              <w:spacing w:line="360" w:lineRule="auto"/>
              <w:ind w:firstLine="480" w:firstLineChars="200"/>
              <w:rPr>
                <w:sz w:val="24"/>
              </w:rPr>
            </w:pPr>
            <w:r>
              <w:rPr>
                <w:sz w:val="24"/>
              </w:rPr>
              <w:t>Ⅱ</w:t>
            </w:r>
            <w:r>
              <w:rPr>
                <w:rFonts w:hint="eastAsia"/>
                <w:sz w:val="24"/>
              </w:rPr>
              <w:t>.</w:t>
            </w:r>
            <w:r>
              <w:rPr>
                <w:sz w:val="24"/>
              </w:rPr>
              <w:t>模板安装过程中</w:t>
            </w:r>
            <w:r>
              <w:rPr>
                <w:rFonts w:hint="eastAsia"/>
                <w:sz w:val="24"/>
              </w:rPr>
              <w:t>，</w:t>
            </w:r>
            <w:r>
              <w:rPr>
                <w:sz w:val="24"/>
              </w:rPr>
              <w:t>应仔细检查各种部件的牢固性、稳定性。模板上标准轴中心线</w:t>
            </w:r>
            <w:r>
              <w:rPr>
                <w:rFonts w:hint="eastAsia"/>
                <w:sz w:val="24"/>
              </w:rPr>
              <w:t>，</w:t>
            </w:r>
            <w:r>
              <w:rPr>
                <w:sz w:val="24"/>
              </w:rPr>
              <w:t>要用经纬仪经常复核；</w:t>
            </w:r>
          </w:p>
          <w:p>
            <w:pPr>
              <w:adjustRightInd w:val="0"/>
              <w:snapToGrid w:val="0"/>
              <w:spacing w:line="360" w:lineRule="auto"/>
              <w:ind w:firstLine="480" w:firstLineChars="200"/>
              <w:rPr>
                <w:sz w:val="24"/>
              </w:rPr>
            </w:pPr>
            <w:r>
              <w:rPr>
                <w:sz w:val="24"/>
              </w:rPr>
              <w:t>Ⅲ</w:t>
            </w:r>
            <w:r>
              <w:rPr>
                <w:rFonts w:hint="eastAsia"/>
                <w:sz w:val="24"/>
              </w:rPr>
              <w:t>.</w:t>
            </w:r>
            <w:r>
              <w:rPr>
                <w:sz w:val="24"/>
              </w:rPr>
              <w:t>模板在安装过程中应该牢固</w:t>
            </w:r>
            <w:r>
              <w:rPr>
                <w:rFonts w:hint="eastAsia"/>
                <w:sz w:val="24"/>
              </w:rPr>
              <w:t>，</w:t>
            </w:r>
            <w:r>
              <w:rPr>
                <w:sz w:val="24"/>
              </w:rPr>
              <w:t>接缝严密</w:t>
            </w:r>
            <w:r>
              <w:rPr>
                <w:rFonts w:hint="eastAsia"/>
                <w:sz w:val="24"/>
              </w:rPr>
              <w:t>，</w:t>
            </w:r>
            <w:r>
              <w:rPr>
                <w:sz w:val="24"/>
              </w:rPr>
              <w:t>防止渗漏现象；</w:t>
            </w:r>
          </w:p>
          <w:p>
            <w:pPr>
              <w:adjustRightInd w:val="0"/>
              <w:snapToGrid w:val="0"/>
              <w:spacing w:line="360" w:lineRule="auto"/>
              <w:ind w:firstLine="480" w:firstLineChars="200"/>
              <w:rPr>
                <w:sz w:val="24"/>
              </w:rPr>
            </w:pPr>
            <w:r>
              <w:rPr>
                <w:sz w:val="24"/>
              </w:rPr>
              <w:t>Ⅳ</w:t>
            </w:r>
            <w:r>
              <w:rPr>
                <w:rFonts w:hint="eastAsia"/>
                <w:sz w:val="24"/>
              </w:rPr>
              <w:t>.</w:t>
            </w:r>
            <w:r>
              <w:rPr>
                <w:sz w:val="24"/>
              </w:rPr>
              <w:t>在砼达到70%强度后方可拆模</w:t>
            </w:r>
            <w:r>
              <w:rPr>
                <w:rFonts w:hint="eastAsia"/>
                <w:sz w:val="24"/>
              </w:rPr>
              <w:t>，</w:t>
            </w:r>
            <w:r>
              <w:rPr>
                <w:sz w:val="24"/>
              </w:rPr>
              <w:t>保证在拆模时，不能缺角或成片脱落的情况下</w:t>
            </w:r>
            <w:r>
              <w:rPr>
                <w:rFonts w:hint="eastAsia"/>
                <w:sz w:val="24"/>
              </w:rPr>
              <w:t>，</w:t>
            </w:r>
            <w:r>
              <w:rPr>
                <w:sz w:val="24"/>
              </w:rPr>
              <w:t>才能拆模。</w:t>
            </w:r>
          </w:p>
          <w:p>
            <w:pPr>
              <w:adjustRightInd w:val="0"/>
              <w:snapToGrid w:val="0"/>
              <w:spacing w:line="360" w:lineRule="auto"/>
              <w:ind w:firstLine="480" w:firstLineChars="200"/>
              <w:rPr>
                <w:sz w:val="24"/>
              </w:rPr>
            </w:pPr>
            <w:r>
              <w:rPr>
                <w:sz w:val="24"/>
              </w:rPr>
              <w:t>Ⅴ</w:t>
            </w:r>
            <w:r>
              <w:rPr>
                <w:rFonts w:hint="eastAsia"/>
                <w:sz w:val="24"/>
              </w:rPr>
              <w:t>.</w:t>
            </w:r>
            <w:r>
              <w:rPr>
                <w:sz w:val="24"/>
              </w:rPr>
              <w:t>模板重复使用必须清理面上的杂物</w:t>
            </w:r>
            <w:r>
              <w:rPr>
                <w:rFonts w:hint="eastAsia"/>
                <w:sz w:val="24"/>
              </w:rPr>
              <w:t>，</w:t>
            </w:r>
            <w:r>
              <w:rPr>
                <w:sz w:val="24"/>
              </w:rPr>
              <w:t>涂上隔离剂</w:t>
            </w:r>
            <w:r>
              <w:rPr>
                <w:rFonts w:hint="eastAsia"/>
                <w:sz w:val="24"/>
              </w:rPr>
              <w:t>，</w:t>
            </w:r>
            <w:r>
              <w:rPr>
                <w:sz w:val="24"/>
              </w:rPr>
              <w:t>以保证二次使用模板浇筑砼的表面光滑</w:t>
            </w:r>
            <w:r>
              <w:rPr>
                <w:rFonts w:hint="eastAsia"/>
                <w:sz w:val="24"/>
              </w:rPr>
              <w:t>。</w:t>
            </w:r>
          </w:p>
          <w:p>
            <w:pPr>
              <w:adjustRightInd w:val="0"/>
              <w:snapToGrid w:val="0"/>
              <w:spacing w:line="360" w:lineRule="auto"/>
              <w:ind w:firstLine="480" w:firstLineChars="200"/>
              <w:rPr>
                <w:sz w:val="24"/>
              </w:rPr>
            </w:pPr>
            <w:r>
              <w:rPr>
                <w:sz w:val="24"/>
              </w:rPr>
              <w:t>④钢筋工程：</w:t>
            </w:r>
          </w:p>
          <w:p>
            <w:pPr>
              <w:adjustRightInd w:val="0"/>
              <w:snapToGrid w:val="0"/>
              <w:spacing w:line="360" w:lineRule="auto"/>
              <w:ind w:firstLine="480" w:firstLineChars="200"/>
              <w:rPr>
                <w:sz w:val="24"/>
              </w:rPr>
            </w:pPr>
            <w:r>
              <w:rPr>
                <w:sz w:val="24"/>
              </w:rPr>
              <w:t>Ⅰ</w:t>
            </w:r>
            <w:r>
              <w:rPr>
                <w:rFonts w:hint="eastAsia"/>
                <w:sz w:val="24"/>
              </w:rPr>
              <w:t>.</w:t>
            </w:r>
            <w:r>
              <w:rPr>
                <w:sz w:val="24"/>
              </w:rPr>
              <w:t>钢筋使用前应检查其出厂合格证明</w:t>
            </w:r>
            <w:r>
              <w:rPr>
                <w:rFonts w:hint="eastAsia"/>
                <w:sz w:val="24"/>
              </w:rPr>
              <w:t>，</w:t>
            </w:r>
            <w:r>
              <w:rPr>
                <w:sz w:val="24"/>
              </w:rPr>
              <w:t>以及抽样选出一组做抗拉、抗压试验；</w:t>
            </w:r>
          </w:p>
          <w:p>
            <w:pPr>
              <w:adjustRightInd w:val="0"/>
              <w:snapToGrid w:val="0"/>
              <w:spacing w:line="360" w:lineRule="auto"/>
              <w:ind w:firstLine="480" w:firstLineChars="200"/>
              <w:rPr>
                <w:sz w:val="24"/>
              </w:rPr>
            </w:pPr>
            <w:r>
              <w:rPr>
                <w:sz w:val="24"/>
              </w:rPr>
              <w:t>Ⅱ</w:t>
            </w:r>
            <w:r>
              <w:rPr>
                <w:rFonts w:hint="eastAsia"/>
                <w:sz w:val="24"/>
              </w:rPr>
              <w:t>.</w:t>
            </w:r>
            <w:r>
              <w:rPr>
                <w:sz w:val="24"/>
              </w:rPr>
              <w:t>梁柱接点处或梁的跨中</w:t>
            </w:r>
            <w:r>
              <w:rPr>
                <w:rFonts w:hint="eastAsia"/>
                <w:sz w:val="24"/>
              </w:rPr>
              <w:t>，</w:t>
            </w:r>
            <w:r>
              <w:rPr>
                <w:sz w:val="24"/>
              </w:rPr>
              <w:t>可能有一段箍筋加密区</w:t>
            </w:r>
            <w:r>
              <w:rPr>
                <w:rFonts w:hint="eastAsia"/>
                <w:sz w:val="24"/>
              </w:rPr>
              <w:t>，</w:t>
            </w:r>
            <w:r>
              <w:rPr>
                <w:sz w:val="24"/>
              </w:rPr>
              <w:t>节点核心区的箍筋严格按照施工规范和设计要求加密</w:t>
            </w:r>
            <w:r>
              <w:rPr>
                <w:rFonts w:hint="eastAsia"/>
                <w:sz w:val="24"/>
              </w:rPr>
              <w:t>，</w:t>
            </w:r>
            <w:r>
              <w:rPr>
                <w:sz w:val="24"/>
              </w:rPr>
              <w:t>不得遗漏；</w:t>
            </w:r>
          </w:p>
          <w:p>
            <w:pPr>
              <w:adjustRightInd w:val="0"/>
              <w:snapToGrid w:val="0"/>
              <w:spacing w:line="360" w:lineRule="auto"/>
              <w:ind w:firstLine="480" w:firstLineChars="200"/>
              <w:rPr>
                <w:sz w:val="24"/>
              </w:rPr>
            </w:pPr>
            <w:r>
              <w:rPr>
                <w:sz w:val="24"/>
              </w:rPr>
              <w:t>Ⅲ</w:t>
            </w:r>
            <w:r>
              <w:rPr>
                <w:rFonts w:hint="eastAsia"/>
                <w:sz w:val="24"/>
              </w:rPr>
              <w:t>.</w:t>
            </w:r>
            <w:r>
              <w:rPr>
                <w:sz w:val="24"/>
              </w:rPr>
              <w:t>钢筋搭接在框架柱梁中不能在同一断面</w:t>
            </w:r>
            <w:r>
              <w:rPr>
                <w:rFonts w:hint="eastAsia"/>
                <w:sz w:val="24"/>
              </w:rPr>
              <w:t>，</w:t>
            </w:r>
            <w:r>
              <w:rPr>
                <w:sz w:val="24"/>
              </w:rPr>
              <w:t>二根钢筋连接采用对焊方式；</w:t>
            </w:r>
          </w:p>
          <w:p>
            <w:pPr>
              <w:adjustRightInd w:val="0"/>
              <w:snapToGrid w:val="0"/>
              <w:spacing w:line="360" w:lineRule="auto"/>
              <w:ind w:firstLine="480" w:firstLineChars="200"/>
              <w:rPr>
                <w:sz w:val="24"/>
              </w:rPr>
            </w:pPr>
            <w:r>
              <w:rPr>
                <w:sz w:val="24"/>
              </w:rPr>
              <w:t>Ⅳ</w:t>
            </w:r>
            <w:r>
              <w:rPr>
                <w:rFonts w:hint="eastAsia"/>
                <w:sz w:val="24"/>
              </w:rPr>
              <w:t>.</w:t>
            </w:r>
            <w:r>
              <w:rPr>
                <w:sz w:val="24"/>
              </w:rPr>
              <w:t>对于截面较大的柱应设双肢或四肢箍。</w:t>
            </w:r>
          </w:p>
          <w:p>
            <w:pPr>
              <w:adjustRightInd w:val="0"/>
              <w:snapToGrid w:val="0"/>
              <w:spacing w:line="360" w:lineRule="auto"/>
              <w:ind w:firstLine="482" w:firstLineChars="200"/>
              <w:rPr>
                <w:b/>
                <w:bCs/>
                <w:sz w:val="24"/>
              </w:rPr>
            </w:pPr>
            <w:r>
              <w:rPr>
                <w:rFonts w:hint="eastAsia"/>
                <w:b/>
                <w:bCs/>
                <w:sz w:val="24"/>
              </w:rPr>
              <w:t>（4）</w:t>
            </w:r>
            <w:r>
              <w:rPr>
                <w:b/>
                <w:bCs/>
                <w:sz w:val="24"/>
              </w:rPr>
              <w:t>电气设备的安装</w:t>
            </w:r>
          </w:p>
          <w:p>
            <w:pPr>
              <w:adjustRightInd w:val="0"/>
              <w:snapToGrid w:val="0"/>
              <w:spacing w:line="360" w:lineRule="auto"/>
              <w:ind w:firstLine="480" w:firstLineChars="200"/>
              <w:rPr>
                <w:sz w:val="24"/>
              </w:rPr>
            </w:pPr>
            <w:r>
              <w:rPr>
                <w:sz w:val="24"/>
              </w:rPr>
              <w:t>电缆线路安装技术要求</w:t>
            </w:r>
            <w:r>
              <w:rPr>
                <w:rFonts w:hint="eastAsia"/>
                <w:sz w:val="24"/>
              </w:rPr>
              <w:t>：</w:t>
            </w:r>
            <w:r>
              <w:rPr>
                <w:sz w:val="24"/>
              </w:rPr>
              <w:t>电缆管的加工敷设</w:t>
            </w:r>
            <w:r>
              <w:rPr>
                <w:rFonts w:hint="eastAsia"/>
                <w:sz w:val="24"/>
              </w:rPr>
              <w:t>，</w:t>
            </w:r>
            <w:r>
              <w:rPr>
                <w:sz w:val="24"/>
              </w:rPr>
              <w:t>电缆桥架及电缆架的安装，电缆敷设及电缆终端头的制作等均应符合《电气装置安装工程电缆线路施工及验收标准</w:t>
            </w:r>
            <w:r>
              <w:rPr>
                <w:rFonts w:hint="eastAsia"/>
                <w:sz w:val="24"/>
              </w:rPr>
              <w:t>》</w:t>
            </w:r>
            <w:r>
              <w:rPr>
                <w:sz w:val="24"/>
              </w:rPr>
              <w:t>（GB50168-2018）的有关规定和施工图纸要求</w:t>
            </w:r>
            <w:r>
              <w:rPr>
                <w:rFonts w:hint="eastAsia"/>
                <w:sz w:val="24"/>
              </w:rPr>
              <w:t>。</w:t>
            </w:r>
          </w:p>
          <w:p>
            <w:pPr>
              <w:adjustRightInd w:val="0"/>
              <w:snapToGrid w:val="0"/>
              <w:spacing w:line="360" w:lineRule="auto"/>
              <w:rPr>
                <w:b/>
                <w:bCs/>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3829050</wp:posOffset>
                      </wp:positionH>
                      <wp:positionV relativeFrom="paragraph">
                        <wp:posOffset>1780540</wp:posOffset>
                      </wp:positionV>
                      <wp:extent cx="1008380" cy="436245"/>
                      <wp:effectExtent l="4445" t="5080" r="15875" b="15875"/>
                      <wp:wrapNone/>
                      <wp:docPr id="9" name="文本框 48"/>
                      <wp:cNvGraphicFramePr/>
                      <a:graphic xmlns:a="http://schemas.openxmlformats.org/drawingml/2006/main">
                        <a:graphicData uri="http://schemas.microsoft.com/office/word/2010/wordprocessingShape">
                          <wps:wsp>
                            <wps:cNvSpPr txBox="1"/>
                            <wps:spPr>
                              <a:xfrm>
                                <a:off x="0" y="0"/>
                                <a:ext cx="1008380" cy="436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bCs/>
                                      <w:color w:val="7F7F7F" w:themeColor="background1" w:themeShade="80"/>
                                    </w:rPr>
                                  </w:pPr>
                                  <w:r>
                                    <w:rPr>
                                      <w:rFonts w:hint="eastAsia"/>
                                      <w:b/>
                                      <w:bCs/>
                                      <w:color w:val="7F7F7F" w:themeColor="background1" w:themeShade="80"/>
                                    </w:rPr>
                                    <w:t>电气设备安装调试</w:t>
                                  </w:r>
                                </w:p>
                              </w:txbxContent>
                            </wps:txbx>
                            <wps:bodyPr vert="horz" wrap="square" anchor="t" anchorCtr="0" upright="1"/>
                          </wps:wsp>
                        </a:graphicData>
                      </a:graphic>
                    </wp:anchor>
                  </w:drawing>
                </mc:Choice>
                <mc:Fallback>
                  <w:pict>
                    <v:shape id="文本框 48" o:spid="_x0000_s1026" o:spt="202" type="#_x0000_t202" style="position:absolute;left:0pt;margin-left:301.5pt;margin-top:140.2pt;height:34.35pt;width:79.4pt;z-index:251662336;mso-width-relative:page;mso-height-relative:page;" fillcolor="#FFFFFF" filled="t" stroked="t" coordsize="21600,21600" o:gfxdata="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JXbhbaAAAACwEAAA8AAAAAAAAAAQAgAAAAIgAAAGRycy9kb3ducmV2LnhtbFBLAQIU&#10;ABQAAAAIAIdO4kD6TrlyKgIAAGoEAAAOAAAAAAAAAAEAIAAAACkBAABkcnMvZTJvRG9jLnhtbFBL&#10;BQYAAAAABgAGAFkBAADFBQAAAAA=&#10;">
                      <v:fill on="t" focussize="0,0"/>
                      <v:stroke color="#000000" joinstyle="miter"/>
                      <v:imagedata o:title=""/>
                      <o:lock v:ext="edit" aspectratio="f"/>
                      <v:textbox>
                        <w:txbxContent>
                          <w:p>
                            <w:pPr>
                              <w:jc w:val="center"/>
                              <w:rPr>
                                <w:b/>
                                <w:bCs/>
                                <w:color w:val="7F7F7F" w:themeColor="background1" w:themeShade="80"/>
                              </w:rPr>
                            </w:pPr>
                            <w:r>
                              <w:rPr>
                                <w:rFonts w:hint="eastAsia"/>
                                <w:b/>
                                <w:bCs/>
                                <w:color w:val="7F7F7F" w:themeColor="background1" w:themeShade="80"/>
                              </w:rPr>
                              <w:t>电气设备安装调试</w:t>
                            </w:r>
                          </w:p>
                        </w:txbxContent>
                      </v:textbox>
                    </v:shape>
                  </w:pict>
                </mc:Fallback>
              </mc:AlternateContent>
            </w:r>
            <w:r>
              <w:rPr>
                <w:b/>
                <w:bCs/>
                <w:sz w:val="24"/>
              </w:rPr>
              <w:drawing>
                <wp:inline distT="0" distB="0" distL="114300" distR="114300">
                  <wp:extent cx="5184140" cy="2382520"/>
                  <wp:effectExtent l="0" t="0" r="16510" b="17780"/>
                  <wp:docPr id="60" name="图片 5" descr="汇集站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汇集站建设"/>
                          <pic:cNvPicPr>
                            <a:picLocks noChangeAspect="1"/>
                          </pic:cNvPicPr>
                        </pic:nvPicPr>
                        <pic:blipFill>
                          <a:blip r:embed="rId10"/>
                          <a:stretch>
                            <a:fillRect/>
                          </a:stretch>
                        </pic:blipFill>
                        <pic:spPr>
                          <a:xfrm>
                            <a:off x="0" y="0"/>
                            <a:ext cx="5184140" cy="2382520"/>
                          </a:xfrm>
                          <a:prstGeom prst="rect">
                            <a:avLst/>
                          </a:prstGeom>
                          <a:noFill/>
                          <a:ln>
                            <a:noFill/>
                          </a:ln>
                        </pic:spPr>
                      </pic:pic>
                    </a:graphicData>
                  </a:graphic>
                </wp:inline>
              </w:drawing>
            </w:r>
          </w:p>
          <w:p>
            <w:pPr>
              <w:adjustRightInd w:val="0"/>
              <w:snapToGrid w:val="0"/>
              <w:spacing w:before="120" w:beforeLines="50" w:line="360" w:lineRule="auto"/>
              <w:jc w:val="center"/>
              <w:rPr>
                <w:b/>
                <w:bCs/>
                <w:sz w:val="24"/>
              </w:rPr>
            </w:pPr>
            <w:r>
              <w:rPr>
                <w:b/>
                <w:bCs/>
                <w:sz w:val="24"/>
              </w:rPr>
              <w:t>图2-</w:t>
            </w:r>
            <w:r>
              <w:rPr>
                <w:rFonts w:hint="eastAsia"/>
                <w:b/>
                <w:bCs/>
                <w:sz w:val="24"/>
              </w:rPr>
              <w:t>3</w:t>
            </w:r>
            <w:r>
              <w:rPr>
                <w:b/>
                <w:bCs/>
                <w:sz w:val="24"/>
              </w:rPr>
              <w:t xml:space="preserve">  </w:t>
            </w:r>
            <w:r>
              <w:rPr>
                <w:rFonts w:hint="eastAsia"/>
                <w:b/>
                <w:bCs/>
                <w:sz w:val="24"/>
              </w:rPr>
              <w:t xml:space="preserve">   储能电</w:t>
            </w:r>
            <w:r>
              <w:rPr>
                <w:b/>
                <w:bCs/>
                <w:sz w:val="24"/>
              </w:rPr>
              <w:t>站建设流程图</w:t>
            </w:r>
          </w:p>
          <w:p>
            <w:pPr>
              <w:adjustRightInd w:val="0"/>
              <w:snapToGrid w:val="0"/>
              <w:spacing w:line="360" w:lineRule="auto"/>
              <w:ind w:firstLine="482" w:firstLineChars="200"/>
              <w:rPr>
                <w:b/>
                <w:bCs/>
                <w:sz w:val="24"/>
              </w:rPr>
            </w:pPr>
            <w:r>
              <w:rPr>
                <w:rFonts w:hint="eastAsia"/>
                <w:b/>
                <w:bCs/>
                <w:sz w:val="24"/>
              </w:rPr>
              <w:t>（5）输电线路施工工艺和方法</w:t>
            </w:r>
          </w:p>
          <w:p>
            <w:pPr>
              <w:adjustRightInd w:val="0"/>
              <w:snapToGrid w:val="0"/>
              <w:spacing w:line="360" w:lineRule="auto"/>
              <w:ind w:firstLine="480" w:firstLineChars="200"/>
              <w:rPr>
                <w:sz w:val="24"/>
              </w:rPr>
            </w:pPr>
            <w:r>
              <w:rPr>
                <w:rFonts w:hint="eastAsia"/>
                <w:sz w:val="24"/>
              </w:rPr>
              <w:t>交流输电线路施工主要包括施工准备、基础施工、铁塔组立及架线等环节。输电线路施工工艺及产污环节见下图。</w:t>
            </w:r>
          </w:p>
          <w:p>
            <w:pPr>
              <w:adjustRightInd w:val="0"/>
              <w:snapToGrid w:val="0"/>
              <w:spacing w:line="360" w:lineRule="auto"/>
              <w:jc w:val="center"/>
              <w:rPr>
                <w:b/>
                <w:bCs/>
                <w:sz w:val="24"/>
              </w:rPr>
            </w:pPr>
            <w:r>
              <w:rPr>
                <w:rFonts w:hint="eastAsia"/>
                <w:b/>
                <w:bCs/>
                <w:sz w:val="24"/>
              </w:rPr>
              <w:drawing>
                <wp:inline distT="0" distB="0" distL="114300" distR="114300">
                  <wp:extent cx="3586480" cy="3618865"/>
                  <wp:effectExtent l="0" t="0" r="0" b="0"/>
                  <wp:docPr id="65" name="ECB019B1-382A-4266-B25C-5B523AA43C14-1" descr="C:/Users/Administrator/AppData/Local/Temp/wps.SQuPt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B019B1-382A-4266-B25C-5B523AA43C14-1" descr="C:/Users/Administrator/AppData/Local/Temp/wps.SQuPtpwps"/>
                          <pic:cNvPicPr>
                            <a:picLocks noChangeAspect="1"/>
                          </pic:cNvPicPr>
                        </pic:nvPicPr>
                        <pic:blipFill>
                          <a:blip r:embed="rId11"/>
                          <a:srcRect t="8085"/>
                          <a:stretch>
                            <a:fillRect/>
                          </a:stretch>
                        </pic:blipFill>
                        <pic:spPr>
                          <a:xfrm>
                            <a:off x="0" y="0"/>
                            <a:ext cx="3586480" cy="3618865"/>
                          </a:xfrm>
                          <a:prstGeom prst="rect">
                            <a:avLst/>
                          </a:prstGeom>
                          <a:noFill/>
                          <a:ln>
                            <a:noFill/>
                          </a:ln>
                        </pic:spPr>
                      </pic:pic>
                    </a:graphicData>
                  </a:graphic>
                </wp:inline>
              </w:drawing>
            </w:r>
          </w:p>
          <w:p>
            <w:pPr>
              <w:adjustRightInd w:val="0"/>
              <w:snapToGrid w:val="0"/>
              <w:spacing w:line="360" w:lineRule="auto"/>
              <w:jc w:val="center"/>
              <w:rPr>
                <w:b/>
                <w:bCs/>
                <w:sz w:val="24"/>
              </w:rPr>
            </w:pPr>
            <w:r>
              <w:rPr>
                <w:rFonts w:hint="eastAsia"/>
                <w:b/>
                <w:bCs/>
                <w:sz w:val="24"/>
              </w:rPr>
              <w:t>图2-4    输电线路施工工艺及产污环节</w:t>
            </w:r>
          </w:p>
          <w:p>
            <w:pPr>
              <w:adjustRightInd w:val="0"/>
              <w:snapToGrid w:val="0"/>
              <w:spacing w:line="360" w:lineRule="auto"/>
              <w:ind w:firstLine="482" w:firstLineChars="200"/>
              <w:rPr>
                <w:b/>
                <w:bCs/>
                <w:sz w:val="24"/>
              </w:rPr>
            </w:pPr>
            <w:r>
              <w:rPr>
                <w:b/>
                <w:bCs/>
                <w:sz w:val="24"/>
              </w:rPr>
              <w:t>（</w:t>
            </w:r>
            <w:r>
              <w:rPr>
                <w:rFonts w:hint="eastAsia"/>
                <w:b/>
                <w:bCs/>
                <w:sz w:val="24"/>
              </w:rPr>
              <w:t>6</w:t>
            </w:r>
            <w:r>
              <w:rPr>
                <w:b/>
                <w:bCs/>
                <w:sz w:val="24"/>
              </w:rPr>
              <w:t>）施工机械</w:t>
            </w:r>
          </w:p>
          <w:p>
            <w:pPr>
              <w:adjustRightInd w:val="0"/>
              <w:snapToGrid w:val="0"/>
              <w:spacing w:line="360" w:lineRule="auto"/>
              <w:ind w:firstLine="480" w:firstLineChars="200"/>
              <w:rPr>
                <w:sz w:val="24"/>
              </w:rPr>
            </w:pPr>
            <w:r>
              <w:rPr>
                <w:sz w:val="24"/>
              </w:rPr>
              <w:t>项目施工机械详见下表。</w:t>
            </w:r>
          </w:p>
          <w:p>
            <w:pPr>
              <w:pStyle w:val="31"/>
              <w:adjustRightInd w:val="0"/>
              <w:snapToGrid w:val="0"/>
              <w:ind w:firstLine="420"/>
              <w:jc w:val="center"/>
              <w:rPr>
                <w:rFonts w:ascii="Times New Roman" w:cs="Times New Roman"/>
                <w:b/>
                <w:bCs/>
              </w:rPr>
            </w:pPr>
            <w:r>
              <w:rPr>
                <w:rFonts w:ascii="Times New Roman" w:cs="Times New Roman"/>
                <w:b/>
                <w:bCs/>
              </w:rPr>
              <w:t>表2-1</w:t>
            </w:r>
            <w:r>
              <w:rPr>
                <w:rFonts w:hint="eastAsia" w:ascii="Times New Roman" w:cs="Times New Roman"/>
                <w:b/>
                <w:bCs/>
              </w:rPr>
              <w:t>3</w:t>
            </w:r>
            <w:r>
              <w:rPr>
                <w:rFonts w:ascii="Times New Roman" w:cs="Times New Roman"/>
                <w:b/>
                <w:bCs/>
              </w:rPr>
              <w:t xml:space="preserve">    项目施工机械一览表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6"/>
              <w:gridCol w:w="1156"/>
              <w:gridCol w:w="3019"/>
              <w:gridCol w:w="1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dxa"/>
                  <w:vAlign w:val="center"/>
                </w:tcPr>
                <w:p>
                  <w:pPr>
                    <w:adjustRightInd w:val="0"/>
                    <w:snapToGrid w:val="0"/>
                    <w:jc w:val="center"/>
                  </w:pPr>
                  <w:r>
                    <w:rPr>
                      <w:b/>
                      <w:bCs/>
                      <w:szCs w:val="21"/>
                    </w:rPr>
                    <w:t>名称</w:t>
                  </w:r>
                </w:p>
              </w:tc>
              <w:tc>
                <w:tcPr>
                  <w:tcW w:w="1156" w:type="dxa"/>
                  <w:vAlign w:val="center"/>
                </w:tcPr>
                <w:p>
                  <w:pPr>
                    <w:adjustRightInd w:val="0"/>
                    <w:snapToGrid w:val="0"/>
                    <w:jc w:val="center"/>
                  </w:pPr>
                  <w:r>
                    <w:rPr>
                      <w:b/>
                      <w:bCs/>
                      <w:szCs w:val="21"/>
                    </w:rPr>
                    <w:t>数量</w:t>
                  </w:r>
                </w:p>
              </w:tc>
              <w:tc>
                <w:tcPr>
                  <w:tcW w:w="3019" w:type="dxa"/>
                  <w:vAlign w:val="center"/>
                </w:tcPr>
                <w:p>
                  <w:pPr>
                    <w:adjustRightInd w:val="0"/>
                    <w:snapToGrid w:val="0"/>
                    <w:jc w:val="center"/>
                  </w:pPr>
                  <w:r>
                    <w:rPr>
                      <w:b/>
                      <w:bCs/>
                      <w:szCs w:val="21"/>
                    </w:rPr>
                    <w:t>名称</w:t>
                  </w:r>
                </w:p>
              </w:tc>
              <w:tc>
                <w:tcPr>
                  <w:tcW w:w="1063" w:type="dxa"/>
                  <w:vAlign w:val="center"/>
                </w:tcPr>
                <w:p>
                  <w:pPr>
                    <w:adjustRightInd w:val="0"/>
                    <w:snapToGrid w:val="0"/>
                    <w:jc w:val="center"/>
                  </w:pPr>
                  <w:r>
                    <w:rPr>
                      <w:b/>
                      <w:bCs/>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dxa"/>
                  <w:vAlign w:val="center"/>
                </w:tcPr>
                <w:p>
                  <w:pPr>
                    <w:adjustRightInd w:val="0"/>
                    <w:snapToGrid w:val="0"/>
                    <w:jc w:val="center"/>
                  </w:pPr>
                  <w:r>
                    <w:rPr>
                      <w:rFonts w:hint="eastAsia"/>
                    </w:rPr>
                    <w:t>轮胎式起重机（QUY80）</w:t>
                  </w:r>
                </w:p>
              </w:tc>
              <w:tc>
                <w:tcPr>
                  <w:tcW w:w="1156" w:type="dxa"/>
                  <w:vAlign w:val="center"/>
                </w:tcPr>
                <w:p>
                  <w:pPr>
                    <w:adjustRightInd w:val="0"/>
                    <w:snapToGrid w:val="0"/>
                    <w:jc w:val="center"/>
                  </w:pPr>
                  <w:r>
                    <w:rPr>
                      <w:rFonts w:hint="eastAsia"/>
                    </w:rPr>
                    <w:t>1</w:t>
                  </w:r>
                </w:p>
              </w:tc>
              <w:tc>
                <w:tcPr>
                  <w:tcW w:w="3019" w:type="dxa"/>
                  <w:vAlign w:val="center"/>
                </w:tcPr>
                <w:p>
                  <w:pPr>
                    <w:adjustRightInd w:val="0"/>
                    <w:snapToGrid w:val="0"/>
                    <w:jc w:val="center"/>
                  </w:pPr>
                  <w:r>
                    <w:rPr>
                      <w:rFonts w:hint="eastAsia"/>
                      <w:szCs w:val="21"/>
                    </w:rPr>
                    <w:t>自卸汽车</w:t>
                  </w:r>
                </w:p>
              </w:tc>
              <w:tc>
                <w:tcPr>
                  <w:tcW w:w="1063" w:type="dxa"/>
                  <w:vAlign w:val="center"/>
                </w:tcPr>
                <w:p>
                  <w:pPr>
                    <w:adjustRightInd w:val="0"/>
                    <w:snapToGrid w:val="0"/>
                    <w:jc w:val="center"/>
                  </w:pPr>
                  <w:r>
                    <w:rPr>
                      <w:rFonts w:hint="eastAsi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dxa"/>
                  <w:vAlign w:val="center"/>
                </w:tcPr>
                <w:p>
                  <w:pPr>
                    <w:adjustRightInd w:val="0"/>
                    <w:snapToGrid w:val="0"/>
                    <w:jc w:val="center"/>
                  </w:pPr>
                  <w:r>
                    <w:rPr>
                      <w:rFonts w:hint="eastAsia"/>
                    </w:rPr>
                    <w:t>混凝土车</w:t>
                  </w:r>
                </w:p>
              </w:tc>
              <w:tc>
                <w:tcPr>
                  <w:tcW w:w="1156" w:type="dxa"/>
                  <w:vAlign w:val="center"/>
                </w:tcPr>
                <w:p>
                  <w:pPr>
                    <w:adjustRightInd w:val="0"/>
                    <w:snapToGrid w:val="0"/>
                    <w:jc w:val="center"/>
                  </w:pPr>
                  <w:r>
                    <w:rPr>
                      <w:rFonts w:hint="eastAsia"/>
                    </w:rPr>
                    <w:t>1</w:t>
                  </w:r>
                </w:p>
              </w:tc>
              <w:tc>
                <w:tcPr>
                  <w:tcW w:w="3019" w:type="dxa"/>
                  <w:vAlign w:val="center"/>
                </w:tcPr>
                <w:p>
                  <w:pPr>
                    <w:adjustRightInd w:val="0"/>
                    <w:snapToGrid w:val="0"/>
                    <w:jc w:val="center"/>
                  </w:pPr>
                  <w:r>
                    <w:rPr>
                      <w:rFonts w:hint="eastAsia"/>
                    </w:rPr>
                    <w:t>混凝土泵车</w:t>
                  </w:r>
                </w:p>
              </w:tc>
              <w:tc>
                <w:tcPr>
                  <w:tcW w:w="1063" w:type="dxa"/>
                  <w:vAlign w:val="center"/>
                </w:tcPr>
                <w:p>
                  <w:pPr>
                    <w:adjustRightInd w:val="0"/>
                    <w:snapToGrid w:val="0"/>
                    <w:jc w:val="cente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dxa"/>
                  <w:vAlign w:val="center"/>
                </w:tcPr>
                <w:p>
                  <w:pPr>
                    <w:adjustRightInd w:val="0"/>
                    <w:snapToGrid w:val="0"/>
                    <w:jc w:val="center"/>
                  </w:pPr>
                  <w:r>
                    <w:rPr>
                      <w:rFonts w:hint="eastAsia"/>
                      <w:szCs w:val="21"/>
                    </w:rPr>
                    <w:t>反铲式</w:t>
                  </w:r>
                  <w:r>
                    <w:rPr>
                      <w:szCs w:val="21"/>
                    </w:rPr>
                    <w:t>挖掘机</w:t>
                  </w:r>
                  <w:r>
                    <w:rPr>
                      <w:rFonts w:hint="eastAsia"/>
                      <w:szCs w:val="21"/>
                    </w:rPr>
                    <w:t>（WY80）</w:t>
                  </w:r>
                </w:p>
              </w:tc>
              <w:tc>
                <w:tcPr>
                  <w:tcW w:w="1156" w:type="dxa"/>
                  <w:vAlign w:val="center"/>
                </w:tcPr>
                <w:p>
                  <w:pPr>
                    <w:adjustRightInd w:val="0"/>
                    <w:snapToGrid w:val="0"/>
                    <w:jc w:val="center"/>
                  </w:pPr>
                  <w:r>
                    <w:rPr>
                      <w:szCs w:val="21"/>
                    </w:rPr>
                    <w:t>2</w:t>
                  </w:r>
                </w:p>
              </w:tc>
              <w:tc>
                <w:tcPr>
                  <w:tcW w:w="3019" w:type="dxa"/>
                  <w:vAlign w:val="center"/>
                </w:tcPr>
                <w:p>
                  <w:pPr>
                    <w:adjustRightInd w:val="0"/>
                    <w:snapToGrid w:val="0"/>
                    <w:jc w:val="center"/>
                  </w:pPr>
                  <w:r>
                    <w:rPr>
                      <w:rFonts w:hint="eastAsia"/>
                    </w:rPr>
                    <w:t>履带式推土机（132KW）</w:t>
                  </w:r>
                </w:p>
              </w:tc>
              <w:tc>
                <w:tcPr>
                  <w:tcW w:w="1063" w:type="dxa"/>
                  <w:vAlign w:val="center"/>
                </w:tcPr>
                <w:p>
                  <w:pPr>
                    <w:adjustRightInd w:val="0"/>
                    <w:snapToGrid w:val="0"/>
                    <w:jc w:val="center"/>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26" w:type="dxa"/>
                  <w:vAlign w:val="center"/>
                </w:tcPr>
                <w:p>
                  <w:pPr>
                    <w:adjustRightInd w:val="0"/>
                    <w:snapToGrid w:val="0"/>
                    <w:jc w:val="center"/>
                  </w:pPr>
                  <w:r>
                    <w:rPr>
                      <w:rFonts w:hint="eastAsia"/>
                    </w:rPr>
                    <w:t>电焊机</w:t>
                  </w:r>
                </w:p>
              </w:tc>
              <w:tc>
                <w:tcPr>
                  <w:tcW w:w="1156" w:type="dxa"/>
                  <w:vAlign w:val="center"/>
                </w:tcPr>
                <w:p>
                  <w:pPr>
                    <w:adjustRightInd w:val="0"/>
                    <w:snapToGrid w:val="0"/>
                    <w:jc w:val="center"/>
                  </w:pPr>
                  <w:r>
                    <w:rPr>
                      <w:rFonts w:hint="eastAsia"/>
                    </w:rPr>
                    <w:t>2</w:t>
                  </w:r>
                </w:p>
              </w:tc>
              <w:tc>
                <w:tcPr>
                  <w:tcW w:w="3019" w:type="dxa"/>
                  <w:vAlign w:val="center"/>
                </w:tcPr>
                <w:p>
                  <w:pPr>
                    <w:adjustRightInd w:val="0"/>
                    <w:snapToGrid w:val="0"/>
                    <w:jc w:val="center"/>
                  </w:pPr>
                </w:p>
              </w:tc>
              <w:tc>
                <w:tcPr>
                  <w:tcW w:w="1063" w:type="dxa"/>
                  <w:vAlign w:val="center"/>
                </w:tcPr>
                <w:p>
                  <w:pPr>
                    <w:adjustRightInd w:val="0"/>
                    <w:snapToGrid w:val="0"/>
                    <w:jc w:val="center"/>
                  </w:pPr>
                </w:p>
              </w:tc>
            </w:tr>
          </w:tbl>
          <w:p>
            <w:pPr>
              <w:adjustRightInd w:val="0"/>
              <w:snapToGrid w:val="0"/>
              <w:spacing w:before="120" w:beforeLines="50" w:after="120" w:afterLines="50" w:line="360" w:lineRule="auto"/>
              <w:rPr>
                <w:b/>
                <w:bCs/>
                <w:sz w:val="24"/>
              </w:rPr>
            </w:pPr>
            <w:r>
              <w:rPr>
                <w:b/>
                <w:bCs/>
                <w:sz w:val="24"/>
              </w:rPr>
              <w:t>2.</w:t>
            </w:r>
            <w:r>
              <w:rPr>
                <w:rFonts w:hint="eastAsia"/>
                <w:b/>
                <w:bCs/>
                <w:sz w:val="24"/>
              </w:rPr>
              <w:t>7</w:t>
            </w:r>
            <w:r>
              <w:rPr>
                <w:b/>
                <w:bCs/>
                <w:sz w:val="24"/>
              </w:rPr>
              <w:t>施工</w:t>
            </w:r>
            <w:r>
              <w:rPr>
                <w:rFonts w:hint="eastAsia"/>
                <w:b/>
                <w:bCs/>
                <w:sz w:val="24"/>
              </w:rPr>
              <w:t>进度及</w:t>
            </w:r>
            <w:r>
              <w:rPr>
                <w:b/>
                <w:bCs/>
                <w:sz w:val="24"/>
              </w:rPr>
              <w:t>时序</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80" w:name="_Toc13533"/>
            <w:r>
              <w:rPr>
                <w:rFonts w:ascii="Times New Roman" w:hAnsi="Times New Roman" w:cs="Times New Roman"/>
                <w:b w:val="0"/>
                <w:bCs w:val="0"/>
                <w:sz w:val="24"/>
                <w:szCs w:val="24"/>
                <w:lang w:eastAsia="zh-CN"/>
              </w:rPr>
              <w:t>根据项目建设单位的建设安排，本项目施工总工期为</w:t>
            </w:r>
            <w:r>
              <w:rPr>
                <w:rFonts w:hint="eastAsia" w:ascii="Times New Roman" w:hAnsi="Times New Roman" w:cs="Times New Roman"/>
                <w:b w:val="0"/>
                <w:bCs w:val="0"/>
                <w:sz w:val="24"/>
                <w:szCs w:val="24"/>
                <w:lang w:eastAsia="zh-CN"/>
              </w:rPr>
              <w:t>6</w:t>
            </w:r>
            <w:r>
              <w:rPr>
                <w:rFonts w:ascii="Times New Roman" w:hAnsi="Times New Roman" w:cs="Times New Roman"/>
                <w:b w:val="0"/>
                <w:bCs w:val="0"/>
                <w:sz w:val="24"/>
                <w:szCs w:val="24"/>
                <w:lang w:eastAsia="zh-CN"/>
              </w:rPr>
              <w:t>个月，2022年12月</w:t>
            </w:r>
            <w:r>
              <w:rPr>
                <w:rFonts w:hint="eastAsia" w:ascii="Times New Roman" w:hAnsi="Times New Roman" w:cs="Times New Roman"/>
                <w:b w:val="0"/>
                <w:bCs w:val="0"/>
                <w:sz w:val="24"/>
                <w:szCs w:val="24"/>
                <w:lang w:eastAsia="zh-CN"/>
              </w:rPr>
              <w:t>竣工</w:t>
            </w:r>
            <w:r>
              <w:rPr>
                <w:rFonts w:ascii="Times New Roman" w:hAnsi="Times New Roman" w:cs="Times New Roman"/>
                <w:b w:val="0"/>
                <w:bCs w:val="0"/>
                <w:sz w:val="24"/>
                <w:szCs w:val="24"/>
                <w:lang w:eastAsia="zh-CN"/>
              </w:rPr>
              <w:t>。</w:t>
            </w:r>
            <w:bookmarkEnd w:id="80"/>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81" w:name="_Toc8014"/>
            <w:r>
              <w:rPr>
                <w:rFonts w:ascii="Times New Roman" w:hAnsi="Times New Roman" w:cs="Times New Roman"/>
                <w:b w:val="0"/>
                <w:bCs w:val="0"/>
                <w:sz w:val="24"/>
                <w:szCs w:val="24"/>
                <w:lang w:eastAsia="zh-CN"/>
              </w:rPr>
              <w:t>①第一阶段（准备阶段）：完成立项、设计、招标及开工前的各种法定手续；</w:t>
            </w:r>
            <w:bookmarkEnd w:id="81"/>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82" w:name="_Toc3891"/>
            <w:r>
              <w:rPr>
                <w:rFonts w:ascii="Times New Roman" w:hAnsi="Times New Roman" w:cs="Times New Roman"/>
                <w:b w:val="0"/>
                <w:bCs w:val="0"/>
                <w:sz w:val="24"/>
                <w:szCs w:val="24"/>
                <w:lang w:eastAsia="zh-CN"/>
              </w:rPr>
              <w:t>②第二阶段（建设阶段）：完成全部土建工程、辅助工程、公用工程和配套工程；</w:t>
            </w:r>
            <w:bookmarkEnd w:id="82"/>
          </w:p>
          <w:p>
            <w:pPr>
              <w:pStyle w:val="21"/>
              <w:adjustRightInd w:val="0"/>
              <w:snapToGrid w:val="0"/>
              <w:spacing w:before="0" w:after="0" w:line="360" w:lineRule="auto"/>
              <w:ind w:firstLine="480" w:firstLineChars="200"/>
              <w:jc w:val="both"/>
              <w:outlineLvl w:val="9"/>
              <w:rPr>
                <w:rFonts w:ascii="Times New Roman" w:hAnsi="Times New Roman" w:cs="Times New Roman"/>
                <w:lang w:eastAsia="zh-CN"/>
              </w:rPr>
            </w:pPr>
            <w:bookmarkStart w:id="83" w:name="_Toc32010"/>
            <w:r>
              <w:rPr>
                <w:rFonts w:ascii="Times New Roman" w:hAnsi="Times New Roman" w:cs="Times New Roman"/>
                <w:b w:val="0"/>
                <w:bCs w:val="0"/>
                <w:sz w:val="24"/>
                <w:szCs w:val="24"/>
                <w:lang w:eastAsia="zh-CN"/>
              </w:rPr>
              <w:t>③第三阶段（竣工阶段）：完成全部工程的竣工验收工作，并投入使用</w:t>
            </w:r>
            <w:r>
              <w:rPr>
                <w:rFonts w:ascii="Times New Roman" w:hAnsi="Times New Roman" w:cs="Times New Roman"/>
                <w:sz w:val="24"/>
                <w:szCs w:val="24"/>
                <w:lang w:eastAsia="zh-CN"/>
              </w:rPr>
              <w:t>。</w:t>
            </w:r>
            <w:bookmarkEnd w:id="8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10" w:type="dxa"/>
            <w:vAlign w:val="center"/>
          </w:tcPr>
          <w:p>
            <w:pPr>
              <w:adjustRightInd w:val="0"/>
              <w:snapToGrid w:val="0"/>
              <w:jc w:val="center"/>
              <w:rPr>
                <w:kern w:val="0"/>
                <w:sz w:val="24"/>
              </w:rPr>
            </w:pPr>
            <w:r>
              <w:rPr>
                <w:kern w:val="0"/>
                <w:sz w:val="24"/>
              </w:rPr>
              <w:t>其他</w:t>
            </w:r>
          </w:p>
        </w:tc>
        <w:tc>
          <w:tcPr>
            <w:tcW w:w="8380" w:type="dxa"/>
            <w:vAlign w:val="center"/>
          </w:tcPr>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bookmarkStart w:id="84" w:name="_Toc22885"/>
            <w:r>
              <w:rPr>
                <w:rFonts w:ascii="Times New Roman" w:hAnsi="Times New Roman" w:cs="Times New Roman"/>
                <w:b w:val="0"/>
                <w:bCs w:val="0"/>
                <w:sz w:val="24"/>
                <w:szCs w:val="24"/>
                <w:lang w:eastAsia="zh-CN"/>
              </w:rPr>
              <w:t>无</w:t>
            </w:r>
            <w:bookmarkEnd w:id="84"/>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b w:val="0"/>
                <w:bCs w:val="0"/>
                <w:sz w:val="24"/>
                <w:szCs w:val="24"/>
                <w:lang w:eastAsia="zh-CN"/>
              </w:rPr>
            </w:pPr>
          </w:p>
          <w:p>
            <w:pPr>
              <w:pStyle w:val="21"/>
              <w:adjustRightInd w:val="0"/>
              <w:snapToGrid w:val="0"/>
              <w:spacing w:before="0" w:after="0" w:line="360" w:lineRule="auto"/>
              <w:outlineLvl w:val="9"/>
              <w:rPr>
                <w:rFonts w:ascii="Times New Roman" w:hAnsi="Times New Roman" w:cs="Times New Roman"/>
                <w:sz w:val="24"/>
                <w:szCs w:val="24"/>
                <w:lang w:eastAsia="zh-CN"/>
              </w:rPr>
            </w:pPr>
          </w:p>
          <w:p>
            <w:pPr>
              <w:pStyle w:val="21"/>
              <w:adjustRightInd w:val="0"/>
              <w:snapToGrid w:val="0"/>
              <w:spacing w:before="0" w:after="0" w:line="360" w:lineRule="auto"/>
              <w:outlineLvl w:val="9"/>
              <w:rPr>
                <w:rFonts w:ascii="Times New Roman" w:hAnsi="Times New Roman" w:cs="Times New Roman"/>
                <w:sz w:val="24"/>
                <w:szCs w:val="24"/>
                <w:lang w:eastAsia="zh-CN"/>
              </w:rPr>
            </w:pPr>
          </w:p>
          <w:p>
            <w:pPr>
              <w:pStyle w:val="21"/>
              <w:adjustRightInd w:val="0"/>
              <w:snapToGrid w:val="0"/>
              <w:spacing w:before="0" w:after="0" w:line="360" w:lineRule="auto"/>
              <w:outlineLvl w:val="9"/>
              <w:rPr>
                <w:rFonts w:ascii="Times New Roman" w:hAnsi="Times New Roman" w:cs="Times New Roman"/>
                <w:sz w:val="24"/>
                <w:szCs w:val="24"/>
                <w:lang w:eastAsia="zh-CN"/>
              </w:rPr>
            </w:pPr>
          </w:p>
          <w:p>
            <w:pPr>
              <w:pStyle w:val="21"/>
              <w:adjustRightInd w:val="0"/>
              <w:snapToGrid w:val="0"/>
              <w:spacing w:before="0" w:after="0" w:line="360" w:lineRule="auto"/>
              <w:outlineLvl w:val="9"/>
              <w:rPr>
                <w:rFonts w:ascii="Times New Roman" w:hAnsi="Times New Roman" w:cs="Times New Roman"/>
                <w:sz w:val="24"/>
                <w:szCs w:val="24"/>
                <w:lang w:eastAsia="zh-CN"/>
              </w:rPr>
            </w:pPr>
          </w:p>
        </w:tc>
      </w:tr>
    </w:tbl>
    <w:p>
      <w:pPr>
        <w:pStyle w:val="20"/>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eastAsia="仿宋_GB2312"/>
          <w:b/>
          <w:bCs/>
        </w:rPr>
        <w:br w:type="page"/>
      </w:r>
      <w:bookmarkStart w:id="85" w:name="_Toc30559"/>
      <w:r>
        <w:rPr>
          <w:rFonts w:hint="eastAsia" w:ascii="黑体" w:hAnsi="黑体" w:eastAsia="黑体"/>
          <w:snapToGrid w:val="0"/>
          <w:sz w:val="30"/>
          <w:szCs w:val="30"/>
        </w:rPr>
        <w:t>三、生态环境现状、保护目标及评价标准</w:t>
      </w:r>
      <w:bookmarkEnd w:id="85"/>
    </w:p>
    <w:tbl>
      <w:tblPr>
        <w:tblStyle w:val="24"/>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3" w:hRule="atLeast"/>
          <w:jc w:val="center"/>
        </w:trPr>
        <w:tc>
          <w:tcPr>
            <w:tcW w:w="426" w:type="dxa"/>
            <w:vAlign w:val="center"/>
          </w:tcPr>
          <w:p>
            <w:pPr>
              <w:adjustRightInd w:val="0"/>
              <w:snapToGrid w:val="0"/>
              <w:jc w:val="center"/>
              <w:rPr>
                <w:kern w:val="0"/>
                <w:szCs w:val="21"/>
              </w:rPr>
            </w:pPr>
            <w:r>
              <w:rPr>
                <w:kern w:val="0"/>
                <w:szCs w:val="21"/>
              </w:rPr>
              <w:t>生态环境现状</w:t>
            </w:r>
          </w:p>
        </w:tc>
        <w:tc>
          <w:tcPr>
            <w:tcW w:w="8635" w:type="dxa"/>
            <w:vAlign w:val="center"/>
          </w:tcPr>
          <w:p>
            <w:pPr>
              <w:adjustRightInd w:val="0"/>
              <w:snapToGrid w:val="0"/>
              <w:spacing w:before="120" w:beforeLines="50" w:after="120" w:afterLines="50" w:line="360" w:lineRule="auto"/>
              <w:rPr>
                <w:b/>
                <w:bCs/>
                <w:sz w:val="24"/>
              </w:rPr>
            </w:pPr>
            <w:r>
              <w:rPr>
                <w:rFonts w:hint="eastAsia"/>
                <w:b/>
                <w:bCs/>
                <w:sz w:val="24"/>
              </w:rPr>
              <w:t>3.1</w:t>
            </w:r>
            <w:r>
              <w:rPr>
                <w:b/>
                <w:bCs/>
                <w:sz w:val="24"/>
              </w:rPr>
              <w:t>站址概况</w:t>
            </w:r>
          </w:p>
          <w:p>
            <w:pPr>
              <w:pStyle w:val="21"/>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86" w:name="_Toc22079"/>
            <w:r>
              <w:rPr>
                <w:rFonts w:hint="eastAsia" w:ascii="Times New Roman" w:hAnsi="Times New Roman" w:cs="Times New Roman"/>
                <w:b w:val="0"/>
                <w:bCs w:val="0"/>
                <w:sz w:val="24"/>
                <w:szCs w:val="24"/>
                <w:lang w:eastAsia="zh-CN"/>
              </w:rPr>
              <w:t>本项目</w:t>
            </w:r>
            <w:r>
              <w:rPr>
                <w:rFonts w:ascii="Times New Roman" w:hAnsi="Times New Roman" w:cs="Times New Roman"/>
                <w:b w:val="0"/>
                <w:bCs w:val="0"/>
                <w:sz w:val="24"/>
                <w:szCs w:val="24"/>
                <w:lang w:eastAsia="zh-CN"/>
              </w:rPr>
              <w:t>位于张掖市民乐县</w:t>
            </w:r>
            <w:r>
              <w:rPr>
                <w:rFonts w:hint="eastAsia" w:ascii="Times New Roman" w:hAnsi="Times New Roman" w:cs="Times New Roman"/>
                <w:b w:val="0"/>
                <w:bCs w:val="0"/>
                <w:sz w:val="24"/>
                <w:szCs w:val="24"/>
                <w:lang w:eastAsia="zh-CN"/>
              </w:rPr>
              <w:t>六坝镇</w:t>
            </w:r>
            <w:r>
              <w:rPr>
                <w:rFonts w:ascii="Times New Roman" w:hAnsi="Times New Roman" w:cs="Times New Roman"/>
                <w:b w:val="0"/>
                <w:bCs w:val="0"/>
                <w:sz w:val="24"/>
                <w:szCs w:val="24"/>
                <w:lang w:eastAsia="zh-CN"/>
              </w:rPr>
              <w:t>顺化330kV变电站西南侧约</w:t>
            </w:r>
            <w:r>
              <w:rPr>
                <w:rFonts w:hint="eastAsia" w:ascii="Times New Roman" w:hAnsi="Times New Roman" w:cs="Times New Roman"/>
                <w:b w:val="0"/>
                <w:bCs w:val="0"/>
                <w:sz w:val="24"/>
                <w:szCs w:val="24"/>
                <w:lang w:eastAsia="zh-CN"/>
              </w:rPr>
              <w:t>3</w:t>
            </w:r>
            <w:r>
              <w:rPr>
                <w:rFonts w:ascii="Times New Roman" w:hAnsi="Times New Roman" w:cs="Times New Roman"/>
                <w:b w:val="0"/>
                <w:bCs w:val="0"/>
                <w:sz w:val="24"/>
                <w:szCs w:val="24"/>
                <w:lang w:eastAsia="zh-CN"/>
              </w:rPr>
              <w:t>00m处，站址南距民乐县城约28km，西北距张掖市约38km。站址地貌单元属祁连山山前冲洪积缓倾平原。站址区域内为</w:t>
            </w:r>
            <w:r>
              <w:rPr>
                <w:rFonts w:hint="eastAsia" w:ascii="Times New Roman" w:hAnsi="Times New Roman" w:cs="Times New Roman"/>
                <w:b w:val="0"/>
                <w:bCs w:val="0"/>
                <w:sz w:val="24"/>
                <w:szCs w:val="24"/>
                <w:lang w:eastAsia="zh-CN"/>
              </w:rPr>
              <w:t>未利用地及农用地等</w:t>
            </w:r>
            <w:r>
              <w:rPr>
                <w:rFonts w:ascii="Times New Roman" w:hAnsi="Times New Roman" w:cs="Times New Roman"/>
                <w:b w:val="0"/>
                <w:bCs w:val="0"/>
                <w:sz w:val="24"/>
                <w:szCs w:val="24"/>
                <w:lang w:eastAsia="zh-CN"/>
              </w:rPr>
              <w:t>，地形平坦，地势开阔。站址内未见其它不良地质作用，站址范围及周边无村民房屋。拟建站址</w:t>
            </w:r>
            <w:r>
              <w:rPr>
                <w:rFonts w:hint="eastAsia" w:ascii="Times New Roman" w:hAnsi="Times New Roman" w:cs="Times New Roman"/>
                <w:b w:val="0"/>
                <w:bCs w:val="0"/>
                <w:sz w:val="24"/>
                <w:szCs w:val="24"/>
                <w:lang w:eastAsia="zh-CN"/>
              </w:rPr>
              <w:t>西邻</w:t>
            </w:r>
            <w:r>
              <w:rPr>
                <w:rFonts w:ascii="Times New Roman" w:hAnsi="Times New Roman" w:cs="Times New Roman"/>
                <w:b w:val="0"/>
                <w:bCs w:val="0"/>
                <w:sz w:val="24"/>
                <w:szCs w:val="24"/>
                <w:lang w:eastAsia="zh-CN"/>
              </w:rPr>
              <w:t>县道X201</w:t>
            </w:r>
            <w:r>
              <w:rPr>
                <w:rFonts w:hint="eastAsia" w:ascii="Times New Roman" w:hAnsi="Times New Roman" w:cs="Times New Roman"/>
                <w:b w:val="0"/>
                <w:bCs w:val="0"/>
                <w:sz w:val="24"/>
                <w:szCs w:val="24"/>
                <w:lang w:eastAsia="zh-CN"/>
              </w:rPr>
              <w:t>，道路另一侧为荒滩及农田，北侧为顺化</w:t>
            </w:r>
            <w:r>
              <w:rPr>
                <w:rFonts w:ascii="Times New Roman" w:hAnsi="Times New Roman" w:cs="Times New Roman"/>
                <w:b w:val="0"/>
                <w:bCs w:val="0"/>
                <w:sz w:val="24"/>
                <w:szCs w:val="24"/>
                <w:lang w:eastAsia="zh-CN"/>
              </w:rPr>
              <w:t>330kV变电站</w:t>
            </w:r>
            <w:r>
              <w:rPr>
                <w:rFonts w:hint="eastAsia" w:ascii="Times New Roman" w:hAnsi="Times New Roman" w:cs="Times New Roman"/>
                <w:b w:val="0"/>
                <w:bCs w:val="0"/>
                <w:sz w:val="24"/>
                <w:szCs w:val="24"/>
                <w:lang w:eastAsia="zh-CN"/>
              </w:rPr>
              <w:t>，东、南侧为民乐县园林场</w:t>
            </w:r>
            <w:r>
              <w:rPr>
                <w:rFonts w:ascii="Times New Roman" w:hAnsi="Times New Roman" w:cs="Times New Roman"/>
                <w:b w:val="0"/>
                <w:bCs w:val="0"/>
                <w:sz w:val="24"/>
                <w:szCs w:val="24"/>
                <w:lang w:eastAsia="zh-CN"/>
              </w:rPr>
              <w:t>。</w:t>
            </w:r>
            <w:bookmarkEnd w:id="86"/>
          </w:p>
          <w:p>
            <w:pPr>
              <w:adjustRightInd w:val="0"/>
              <w:snapToGrid w:val="0"/>
              <w:spacing w:before="120" w:beforeLines="50" w:after="120" w:afterLines="50" w:line="360" w:lineRule="auto"/>
              <w:rPr>
                <w:sz w:val="24"/>
              </w:rPr>
            </w:pPr>
            <w:r>
              <w:rPr>
                <w:rFonts w:hint="eastAsia"/>
                <w:b/>
                <w:bCs/>
                <w:sz w:val="24"/>
              </w:rPr>
              <w:t>3.2</w:t>
            </w:r>
            <w:r>
              <w:rPr>
                <w:b/>
                <w:bCs/>
                <w:sz w:val="24"/>
              </w:rPr>
              <w:t>环境质量现状</w:t>
            </w:r>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87" w:name="_Toc22887"/>
            <w:r>
              <w:rPr>
                <w:rFonts w:hint="eastAsia" w:ascii="Times New Roman" w:hAnsi="Times New Roman" w:cs="Times New Roman"/>
                <w:sz w:val="24"/>
                <w:szCs w:val="24"/>
                <w:lang w:eastAsia="zh-CN"/>
              </w:rPr>
              <w:t>3.2</w:t>
            </w:r>
            <w:r>
              <w:rPr>
                <w:rFonts w:ascii="Times New Roman" w:hAnsi="Times New Roman" w:cs="Times New Roman"/>
                <w:sz w:val="24"/>
                <w:szCs w:val="24"/>
                <w:lang w:eastAsia="zh-CN"/>
              </w:rPr>
              <w:t>.1环境空气质量现状</w:t>
            </w:r>
            <w:bookmarkEnd w:id="87"/>
          </w:p>
          <w:p>
            <w:pPr>
              <w:adjustRightInd w:val="0"/>
              <w:snapToGrid w:val="0"/>
              <w:spacing w:line="360" w:lineRule="auto"/>
              <w:ind w:firstLine="480" w:firstLineChars="200"/>
              <w:rPr>
                <w:snapToGrid w:val="0"/>
                <w:kern w:val="0"/>
                <w:sz w:val="24"/>
              </w:rPr>
            </w:pPr>
            <w:r>
              <w:rPr>
                <w:snapToGrid w:val="0"/>
                <w:kern w:val="0"/>
                <w:sz w:val="24"/>
              </w:rPr>
              <w:t>本次评价引用生态环境部</w:t>
            </w:r>
            <w:r>
              <w:rPr>
                <w:rFonts w:hint="eastAsia"/>
                <w:snapToGrid w:val="0"/>
                <w:kern w:val="0"/>
                <w:sz w:val="24"/>
              </w:rPr>
              <w:t>—</w:t>
            </w:r>
            <w:r>
              <w:rPr>
                <w:snapToGrid w:val="0"/>
                <w:kern w:val="0"/>
                <w:sz w:val="24"/>
              </w:rPr>
              <w:t>环境空气质量模型技术支持服务系统（http://data.lem.org.cn/eamds/apply/tostepone.html），张掖市</w:t>
            </w:r>
            <w:r>
              <w:rPr>
                <w:rFonts w:hint="eastAsia"/>
                <w:snapToGrid w:val="0"/>
                <w:kern w:val="0"/>
                <w:sz w:val="24"/>
              </w:rPr>
              <w:t>2020</w:t>
            </w:r>
            <w:r>
              <w:rPr>
                <w:snapToGrid w:val="0"/>
                <w:kern w:val="0"/>
                <w:sz w:val="24"/>
              </w:rPr>
              <w:t>年环境空气质量数据进行达标区判定。监测点位为张掖市环境监测站、科委空气自动站。</w:t>
            </w:r>
          </w:p>
          <w:tbl>
            <w:tblPr>
              <w:tblStyle w:val="25"/>
              <w:tblW w:w="0" w:type="auto"/>
              <w:tblInd w:w="5"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8430"/>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8430" w:type="dxa"/>
                  <w:tcBorders>
                    <w:tl2br w:val="nil"/>
                    <w:tr2bl w:val="nil"/>
                  </w:tcBorders>
                </w:tcPr>
                <w:p>
                  <w:pPr>
                    <w:adjustRightInd w:val="0"/>
                    <w:snapToGrid w:val="0"/>
                    <w:spacing w:line="360" w:lineRule="auto"/>
                    <w:jc w:val="left"/>
                    <w:rPr>
                      <w:snapToGrid w:val="0"/>
                      <w:kern w:val="0"/>
                      <w:sz w:val="24"/>
                    </w:rPr>
                  </w:pPr>
                  <w:r>
                    <w:rPr>
                      <w:rFonts w:hint="eastAsia"/>
                      <w:snapToGrid w:val="0"/>
                      <w:kern w:val="0"/>
                      <w:sz w:val="24"/>
                    </w:rPr>
                    <w:drawing>
                      <wp:inline distT="0" distB="0" distL="114300" distR="114300">
                        <wp:extent cx="5331460" cy="2085975"/>
                        <wp:effectExtent l="0" t="0" r="2540" b="9525"/>
                        <wp:docPr id="17" name="图片 17" descr="22222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22233333"/>
                                <pic:cNvPicPr>
                                  <a:picLocks noChangeAspect="1"/>
                                </pic:cNvPicPr>
                              </pic:nvPicPr>
                              <pic:blipFill>
                                <a:blip r:embed="rId12"/>
                                <a:stretch>
                                  <a:fillRect/>
                                </a:stretch>
                              </pic:blipFill>
                              <pic:spPr>
                                <a:xfrm>
                                  <a:off x="0" y="0"/>
                                  <a:ext cx="5331460" cy="20859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8430" w:type="dxa"/>
                  <w:tcBorders>
                    <w:tl2br w:val="nil"/>
                    <w:tr2bl w:val="nil"/>
                  </w:tcBorders>
                </w:tcPr>
                <w:p>
                  <w:pPr>
                    <w:adjustRightInd w:val="0"/>
                    <w:snapToGrid w:val="0"/>
                    <w:spacing w:line="360" w:lineRule="auto"/>
                    <w:jc w:val="left"/>
                    <w:rPr>
                      <w:snapToGrid w:val="0"/>
                      <w:kern w:val="0"/>
                      <w:sz w:val="24"/>
                    </w:rPr>
                  </w:pPr>
                  <w:r>
                    <w:rPr>
                      <w:b/>
                      <w:bCs/>
                      <w:spacing w:val="-4"/>
                      <w:sz w:val="24"/>
                    </w:rPr>
                    <w:drawing>
                      <wp:inline distT="0" distB="0" distL="114300" distR="114300">
                        <wp:extent cx="5324475" cy="2930525"/>
                        <wp:effectExtent l="0" t="0" r="9525" b="3175"/>
                        <wp:docPr id="62" name="图片 30" descr="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descr="2222222222"/>
                                <pic:cNvPicPr>
                                  <a:picLocks noChangeAspect="1"/>
                                </pic:cNvPicPr>
                              </pic:nvPicPr>
                              <pic:blipFill>
                                <a:blip r:embed="rId13"/>
                                <a:stretch>
                                  <a:fillRect/>
                                </a:stretch>
                              </pic:blipFill>
                              <pic:spPr>
                                <a:xfrm>
                                  <a:off x="0" y="0"/>
                                  <a:ext cx="5324475" cy="29305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8430" w:type="dxa"/>
                  <w:tcBorders>
                    <w:tl2br w:val="nil"/>
                    <w:tr2bl w:val="nil"/>
                  </w:tcBorders>
                </w:tcPr>
                <w:p>
                  <w:pPr>
                    <w:adjustRightInd w:val="0"/>
                    <w:snapToGrid w:val="0"/>
                    <w:spacing w:line="360" w:lineRule="auto"/>
                    <w:jc w:val="center"/>
                    <w:rPr>
                      <w:snapToGrid w:val="0"/>
                      <w:kern w:val="0"/>
                      <w:sz w:val="24"/>
                    </w:rPr>
                  </w:pPr>
                  <w:r>
                    <w:rPr>
                      <w:b/>
                      <w:bCs/>
                      <w:spacing w:val="-4"/>
                      <w:sz w:val="24"/>
                    </w:rPr>
                    <w:t>项目区环境空气质量达标区判定截图</w:t>
                  </w:r>
                </w:p>
              </w:tc>
            </w:tr>
          </w:tbl>
          <w:p>
            <w:pPr>
              <w:pStyle w:val="21"/>
              <w:adjustRightInd w:val="0"/>
              <w:snapToGrid w:val="0"/>
              <w:spacing w:before="0" w:after="0" w:line="360" w:lineRule="auto"/>
              <w:ind w:firstLine="480" w:firstLineChars="200"/>
              <w:jc w:val="both"/>
              <w:outlineLvl w:val="9"/>
              <w:rPr>
                <w:rFonts w:ascii="Times New Roman" w:hAnsi="Times New Roman" w:cs="Times New Roman"/>
                <w:snapToGrid w:val="0"/>
                <w:kern w:val="24"/>
                <w:sz w:val="24"/>
                <w:szCs w:val="24"/>
                <w:lang w:eastAsia="zh-CN"/>
              </w:rPr>
            </w:pPr>
            <w:bookmarkStart w:id="88" w:name="_Toc20996"/>
            <w:r>
              <w:rPr>
                <w:rFonts w:ascii="Times New Roman" w:hAnsi="Times New Roman" w:cs="Times New Roman"/>
                <w:b w:val="0"/>
                <w:bCs w:val="0"/>
                <w:snapToGrid w:val="0"/>
                <w:kern w:val="24"/>
                <w:sz w:val="24"/>
                <w:shd w:val="clear" w:color="auto" w:fill="FFFFFF"/>
                <w:lang w:eastAsia="zh-CN"/>
              </w:rPr>
              <w:t>张掖市2020年SO</w:t>
            </w:r>
            <w:r>
              <w:rPr>
                <w:rFonts w:ascii="Times New Roman" w:hAnsi="Times New Roman" w:cs="Times New Roman"/>
                <w:b w:val="0"/>
                <w:bCs w:val="0"/>
                <w:snapToGrid w:val="0"/>
                <w:kern w:val="24"/>
                <w:sz w:val="24"/>
                <w:shd w:val="clear" w:color="auto" w:fill="FFFFFF"/>
                <w:vertAlign w:val="subscript"/>
                <w:lang w:eastAsia="zh-CN"/>
              </w:rPr>
              <w:t>2</w:t>
            </w:r>
            <w:r>
              <w:rPr>
                <w:rFonts w:ascii="Times New Roman" w:hAnsi="Times New Roman" w:cs="Times New Roman"/>
                <w:b w:val="0"/>
                <w:bCs w:val="0"/>
                <w:snapToGrid w:val="0"/>
                <w:kern w:val="24"/>
                <w:sz w:val="24"/>
                <w:shd w:val="clear" w:color="auto" w:fill="FFFFFF"/>
                <w:lang w:eastAsia="zh-CN"/>
              </w:rPr>
              <w:t>、NO</w:t>
            </w:r>
            <w:r>
              <w:rPr>
                <w:rFonts w:ascii="Times New Roman" w:hAnsi="Times New Roman" w:cs="Times New Roman"/>
                <w:b w:val="0"/>
                <w:bCs w:val="0"/>
                <w:snapToGrid w:val="0"/>
                <w:kern w:val="24"/>
                <w:sz w:val="24"/>
                <w:shd w:val="clear" w:color="auto" w:fill="FFFFFF"/>
                <w:vertAlign w:val="subscript"/>
                <w:lang w:eastAsia="zh-CN"/>
              </w:rPr>
              <w:t>2</w:t>
            </w:r>
            <w:r>
              <w:rPr>
                <w:rFonts w:ascii="Times New Roman" w:hAnsi="Times New Roman" w:cs="Times New Roman"/>
                <w:b w:val="0"/>
                <w:bCs w:val="0"/>
                <w:snapToGrid w:val="0"/>
                <w:kern w:val="24"/>
                <w:sz w:val="24"/>
                <w:shd w:val="clear" w:color="auto" w:fill="FFFFFF"/>
                <w:lang w:eastAsia="zh-CN"/>
              </w:rPr>
              <w:t>、PM</w:t>
            </w:r>
            <w:r>
              <w:rPr>
                <w:rFonts w:ascii="Times New Roman" w:hAnsi="Times New Roman" w:cs="Times New Roman"/>
                <w:b w:val="0"/>
                <w:bCs w:val="0"/>
                <w:snapToGrid w:val="0"/>
                <w:kern w:val="24"/>
                <w:sz w:val="24"/>
                <w:shd w:val="clear" w:color="auto" w:fill="FFFFFF"/>
                <w:vertAlign w:val="subscript"/>
                <w:lang w:eastAsia="zh-CN"/>
              </w:rPr>
              <w:t>10</w:t>
            </w:r>
            <w:r>
              <w:rPr>
                <w:rFonts w:ascii="Times New Roman" w:hAnsi="Times New Roman" w:cs="Times New Roman"/>
                <w:b w:val="0"/>
                <w:bCs w:val="0"/>
                <w:snapToGrid w:val="0"/>
                <w:kern w:val="24"/>
                <w:sz w:val="24"/>
                <w:shd w:val="clear" w:color="auto" w:fill="FFFFFF"/>
                <w:lang w:eastAsia="zh-CN"/>
              </w:rPr>
              <w:t>、PM</w:t>
            </w:r>
            <w:r>
              <w:rPr>
                <w:rFonts w:ascii="Times New Roman" w:hAnsi="Times New Roman" w:cs="Times New Roman"/>
                <w:b w:val="0"/>
                <w:bCs w:val="0"/>
                <w:snapToGrid w:val="0"/>
                <w:kern w:val="24"/>
                <w:sz w:val="24"/>
                <w:shd w:val="clear" w:color="auto" w:fill="FFFFFF"/>
                <w:vertAlign w:val="subscript"/>
                <w:lang w:eastAsia="zh-CN"/>
              </w:rPr>
              <w:t>2.5</w:t>
            </w:r>
            <w:r>
              <w:rPr>
                <w:rFonts w:ascii="Times New Roman" w:hAnsi="Times New Roman" w:cs="Times New Roman"/>
                <w:b w:val="0"/>
                <w:bCs w:val="0"/>
                <w:snapToGrid w:val="0"/>
                <w:kern w:val="24"/>
                <w:sz w:val="24"/>
                <w:shd w:val="clear" w:color="auto" w:fill="FFFFFF"/>
                <w:lang w:eastAsia="zh-CN"/>
              </w:rPr>
              <w:t>年均浓度分别为1</w:t>
            </w:r>
            <w:r>
              <w:rPr>
                <w:rFonts w:hint="eastAsia" w:ascii="Times New Roman" w:hAnsi="Times New Roman" w:cs="Times New Roman"/>
                <w:b w:val="0"/>
                <w:bCs w:val="0"/>
                <w:snapToGrid w:val="0"/>
                <w:kern w:val="24"/>
                <w:sz w:val="24"/>
                <w:shd w:val="clear" w:color="auto" w:fill="FFFFFF"/>
                <w:lang w:eastAsia="zh-CN"/>
              </w:rPr>
              <w:t>2</w:t>
            </w:r>
            <w:r>
              <w:rPr>
                <w:rFonts w:ascii="Times New Roman" w:hAnsi="Times New Roman" w:cs="Times New Roman"/>
                <w:b w:val="0"/>
                <w:bCs w:val="0"/>
                <w:snapToGrid w:val="0"/>
                <w:kern w:val="24"/>
                <w:sz w:val="24"/>
                <w:shd w:val="clear" w:color="auto" w:fill="FFFFFF"/>
                <w:lang w:eastAsia="zh-CN"/>
              </w:rPr>
              <w:t>ug/m</w:t>
            </w:r>
            <w:r>
              <w:rPr>
                <w:rFonts w:ascii="Times New Roman" w:hAnsi="Times New Roman" w:cs="Times New Roman"/>
                <w:b w:val="0"/>
                <w:bCs w:val="0"/>
                <w:snapToGrid w:val="0"/>
                <w:kern w:val="24"/>
                <w:sz w:val="24"/>
                <w:shd w:val="clear" w:color="auto" w:fill="FFFFFF"/>
                <w:vertAlign w:val="superscript"/>
                <w:lang w:eastAsia="zh-CN"/>
              </w:rPr>
              <w:t>3</w:t>
            </w:r>
            <w:r>
              <w:rPr>
                <w:rFonts w:ascii="Times New Roman" w:hAnsi="Times New Roman" w:cs="Times New Roman"/>
                <w:b w:val="0"/>
                <w:bCs w:val="0"/>
                <w:snapToGrid w:val="0"/>
                <w:kern w:val="24"/>
                <w:sz w:val="24"/>
                <w:shd w:val="clear" w:color="auto" w:fill="FFFFFF"/>
                <w:lang w:eastAsia="zh-CN"/>
              </w:rPr>
              <w:t>、24ug/m</w:t>
            </w:r>
            <w:r>
              <w:rPr>
                <w:rFonts w:ascii="Times New Roman" w:hAnsi="Times New Roman" w:cs="Times New Roman"/>
                <w:b w:val="0"/>
                <w:bCs w:val="0"/>
                <w:snapToGrid w:val="0"/>
                <w:kern w:val="24"/>
                <w:sz w:val="24"/>
                <w:shd w:val="clear" w:color="auto" w:fill="FFFFFF"/>
                <w:vertAlign w:val="superscript"/>
                <w:lang w:eastAsia="zh-CN"/>
              </w:rPr>
              <w:t>3</w:t>
            </w:r>
            <w:r>
              <w:rPr>
                <w:rFonts w:ascii="Times New Roman" w:hAnsi="Times New Roman" w:cs="Times New Roman"/>
                <w:b w:val="0"/>
                <w:bCs w:val="0"/>
                <w:snapToGrid w:val="0"/>
                <w:kern w:val="24"/>
                <w:sz w:val="24"/>
                <w:shd w:val="clear" w:color="auto" w:fill="FFFFFF"/>
                <w:lang w:eastAsia="zh-CN"/>
              </w:rPr>
              <w:t>、56ug/m</w:t>
            </w:r>
            <w:r>
              <w:rPr>
                <w:rFonts w:ascii="Times New Roman" w:hAnsi="Times New Roman" w:cs="Times New Roman"/>
                <w:b w:val="0"/>
                <w:bCs w:val="0"/>
                <w:snapToGrid w:val="0"/>
                <w:kern w:val="24"/>
                <w:sz w:val="24"/>
                <w:shd w:val="clear" w:color="auto" w:fill="FFFFFF"/>
                <w:vertAlign w:val="superscript"/>
                <w:lang w:eastAsia="zh-CN"/>
              </w:rPr>
              <w:t>3</w:t>
            </w:r>
            <w:r>
              <w:rPr>
                <w:rFonts w:ascii="Times New Roman" w:hAnsi="Times New Roman" w:cs="Times New Roman"/>
                <w:b w:val="0"/>
                <w:bCs w:val="0"/>
                <w:snapToGrid w:val="0"/>
                <w:kern w:val="24"/>
                <w:sz w:val="24"/>
                <w:shd w:val="clear" w:color="auto" w:fill="FFFFFF"/>
                <w:lang w:eastAsia="zh-CN"/>
              </w:rPr>
              <w:t>、31ug/m</w:t>
            </w:r>
            <w:r>
              <w:rPr>
                <w:rFonts w:ascii="Times New Roman" w:hAnsi="Times New Roman" w:cs="Times New Roman"/>
                <w:b w:val="0"/>
                <w:bCs w:val="0"/>
                <w:snapToGrid w:val="0"/>
                <w:kern w:val="24"/>
                <w:sz w:val="24"/>
                <w:shd w:val="clear" w:color="auto" w:fill="FFFFFF"/>
                <w:vertAlign w:val="superscript"/>
                <w:lang w:eastAsia="zh-CN"/>
              </w:rPr>
              <w:t>3</w:t>
            </w:r>
            <w:r>
              <w:rPr>
                <w:rFonts w:ascii="Times New Roman" w:hAnsi="Times New Roman" w:cs="Times New Roman"/>
                <w:b w:val="0"/>
                <w:bCs w:val="0"/>
                <w:snapToGrid w:val="0"/>
                <w:kern w:val="24"/>
                <w:sz w:val="24"/>
                <w:shd w:val="clear" w:color="auto" w:fill="FFFFFF"/>
                <w:lang w:eastAsia="zh-CN"/>
              </w:rPr>
              <w:t>；</w:t>
            </w:r>
            <w:r>
              <w:rPr>
                <w:rFonts w:ascii="Times New Roman" w:hAnsi="Times New Roman" w:cs="Times New Roman"/>
                <w:b w:val="0"/>
                <w:bCs w:val="0"/>
                <w:snapToGrid w:val="0"/>
                <w:kern w:val="24"/>
                <w:sz w:val="24"/>
                <w:szCs w:val="24"/>
                <w:lang w:eastAsia="zh-CN"/>
              </w:rPr>
              <w:t>CO24小时平均第95百分位数为0.8mg/m</w:t>
            </w:r>
            <w:r>
              <w:rPr>
                <w:rFonts w:ascii="Times New Roman" w:hAnsi="Times New Roman" w:cs="Times New Roman"/>
                <w:b w:val="0"/>
                <w:bCs w:val="0"/>
                <w:snapToGrid w:val="0"/>
                <w:kern w:val="24"/>
                <w:sz w:val="24"/>
                <w:szCs w:val="24"/>
                <w:vertAlign w:val="superscript"/>
                <w:lang w:eastAsia="zh-CN"/>
              </w:rPr>
              <w:t>3</w:t>
            </w:r>
            <w:r>
              <w:rPr>
                <w:rFonts w:hint="eastAsia" w:ascii="Times New Roman" w:hAnsi="Times New Roman" w:cs="Times New Roman"/>
                <w:b w:val="0"/>
                <w:bCs w:val="0"/>
                <w:snapToGrid w:val="0"/>
                <w:kern w:val="24"/>
                <w:sz w:val="24"/>
                <w:szCs w:val="24"/>
                <w:lang w:eastAsia="zh-CN"/>
              </w:rPr>
              <w:t>，</w:t>
            </w:r>
            <w:r>
              <w:rPr>
                <w:rFonts w:ascii="Times New Roman" w:hAnsi="Times New Roman" w:cs="Times New Roman"/>
                <w:b w:val="0"/>
                <w:bCs w:val="0"/>
                <w:snapToGrid w:val="0"/>
                <w:kern w:val="24"/>
                <w:sz w:val="24"/>
                <w:szCs w:val="24"/>
                <w:lang w:eastAsia="zh-CN"/>
              </w:rPr>
              <w:t>O</w:t>
            </w:r>
            <w:r>
              <w:rPr>
                <w:rFonts w:ascii="Times New Roman" w:hAnsi="Times New Roman" w:cs="Times New Roman"/>
                <w:b w:val="0"/>
                <w:bCs w:val="0"/>
                <w:snapToGrid w:val="0"/>
                <w:kern w:val="24"/>
                <w:sz w:val="24"/>
                <w:szCs w:val="24"/>
                <w:vertAlign w:val="subscript"/>
                <w:lang w:eastAsia="zh-CN"/>
              </w:rPr>
              <w:t>3</w:t>
            </w:r>
            <w:r>
              <w:rPr>
                <w:rFonts w:ascii="Times New Roman" w:hAnsi="Times New Roman" w:cs="Times New Roman"/>
                <w:b w:val="0"/>
                <w:bCs w:val="0"/>
                <w:snapToGrid w:val="0"/>
                <w:kern w:val="24"/>
                <w:sz w:val="24"/>
                <w:szCs w:val="24"/>
                <w:lang w:eastAsia="zh-CN"/>
              </w:rPr>
              <w:t>日最大8小时平均第90百分位数为132ug/m</w:t>
            </w:r>
            <w:r>
              <w:rPr>
                <w:rFonts w:ascii="Times New Roman" w:hAnsi="Times New Roman" w:cs="Times New Roman"/>
                <w:b w:val="0"/>
                <w:bCs w:val="0"/>
                <w:snapToGrid w:val="0"/>
                <w:kern w:val="24"/>
                <w:sz w:val="24"/>
                <w:szCs w:val="24"/>
                <w:vertAlign w:val="superscript"/>
                <w:lang w:eastAsia="zh-CN"/>
              </w:rPr>
              <w:t>3</w:t>
            </w:r>
            <w:r>
              <w:rPr>
                <w:rFonts w:ascii="Times New Roman" w:hAnsi="Times New Roman" w:cs="Times New Roman"/>
                <w:b w:val="0"/>
                <w:bCs w:val="0"/>
                <w:snapToGrid w:val="0"/>
                <w:kern w:val="24"/>
                <w:sz w:val="24"/>
                <w:szCs w:val="24"/>
                <w:lang w:eastAsia="zh-CN"/>
              </w:rPr>
              <w:t>，</w:t>
            </w:r>
            <w:r>
              <w:rPr>
                <w:rFonts w:ascii="Times New Roman" w:hAnsi="Times New Roman" w:cs="Times New Roman"/>
                <w:b w:val="0"/>
                <w:bCs w:val="0"/>
                <w:snapToGrid w:val="0"/>
                <w:kern w:val="24"/>
                <w:sz w:val="24"/>
                <w:szCs w:val="24"/>
                <w:shd w:val="clear" w:color="auto" w:fill="FFFFFF"/>
                <w:lang w:eastAsia="zh-CN"/>
              </w:rPr>
              <w:t>各污染物平均浓度均优于《环境空气质量标准》（GB3095-2012）中二级标准限值</w:t>
            </w:r>
            <w:r>
              <w:rPr>
                <w:rFonts w:ascii="Times New Roman" w:hAnsi="Times New Roman" w:cs="Times New Roman"/>
                <w:b w:val="0"/>
                <w:bCs w:val="0"/>
                <w:snapToGrid w:val="0"/>
                <w:kern w:val="24"/>
                <w:sz w:val="24"/>
                <w:szCs w:val="24"/>
                <w:lang w:eastAsia="zh-CN"/>
              </w:rPr>
              <w:t>。项目所在区为环境空气质量达标区。</w:t>
            </w:r>
            <w:bookmarkEnd w:id="88"/>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89" w:name="_Toc32162"/>
            <w:r>
              <w:rPr>
                <w:rFonts w:hint="eastAsia" w:ascii="Times New Roman" w:hAnsi="Times New Roman" w:cs="Times New Roman"/>
                <w:sz w:val="24"/>
                <w:szCs w:val="24"/>
                <w:lang w:eastAsia="zh-CN"/>
              </w:rPr>
              <w:t>3.2</w:t>
            </w:r>
            <w:r>
              <w:rPr>
                <w:rFonts w:ascii="Times New Roman" w:hAnsi="Times New Roman" w:cs="Times New Roman"/>
                <w:sz w:val="24"/>
                <w:szCs w:val="24"/>
                <w:lang w:eastAsia="zh-CN"/>
              </w:rPr>
              <w:t>.2电磁环境质量现状</w:t>
            </w:r>
            <w:bookmarkEnd w:id="89"/>
          </w:p>
          <w:p>
            <w:pPr>
              <w:spacing w:line="360" w:lineRule="auto"/>
              <w:ind w:firstLine="480" w:firstLineChars="200"/>
              <w:rPr>
                <w:sz w:val="24"/>
              </w:rPr>
            </w:pPr>
            <w:r>
              <w:rPr>
                <w:sz w:val="24"/>
              </w:rPr>
              <w:t>详见电磁环境影响专题。</w:t>
            </w:r>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90" w:name="_Toc10069"/>
            <w:r>
              <w:rPr>
                <w:rFonts w:hint="eastAsia" w:ascii="Times New Roman" w:hAnsi="Times New Roman" w:cs="Times New Roman"/>
                <w:sz w:val="24"/>
                <w:szCs w:val="24"/>
                <w:lang w:eastAsia="zh-CN"/>
              </w:rPr>
              <w:t>3.2</w:t>
            </w:r>
            <w:r>
              <w:rPr>
                <w:rFonts w:ascii="Times New Roman" w:hAnsi="Times New Roman" w:cs="Times New Roman"/>
                <w:sz w:val="24"/>
                <w:szCs w:val="24"/>
                <w:lang w:eastAsia="zh-CN"/>
              </w:rPr>
              <w:t>.3声环境质量现状</w:t>
            </w:r>
            <w:bookmarkEnd w:id="90"/>
          </w:p>
          <w:p>
            <w:pPr>
              <w:pStyle w:val="21"/>
              <w:spacing w:before="0" w:after="0" w:line="360" w:lineRule="auto"/>
              <w:ind w:firstLine="480" w:firstLineChars="200"/>
              <w:jc w:val="both"/>
              <w:outlineLvl w:val="9"/>
              <w:rPr>
                <w:rFonts w:ascii="Times New Roman" w:hAnsi="Times New Roman" w:cs="Times New Roman"/>
                <w:b w:val="0"/>
                <w:bCs w:val="0"/>
                <w:color w:val="FF0000"/>
                <w:sz w:val="24"/>
                <w:lang w:eastAsia="zh-CN"/>
              </w:rPr>
            </w:pPr>
            <w:bookmarkStart w:id="91" w:name="_Toc7622"/>
            <w:r>
              <w:rPr>
                <w:rFonts w:hint="eastAsia" w:ascii="Times New Roman" w:hAnsi="Times New Roman" w:cs="Times New Roman"/>
                <w:b w:val="0"/>
                <w:bCs w:val="0"/>
                <w:color w:val="FF0000"/>
                <w:sz w:val="24"/>
                <w:lang w:eastAsia="zh-CN"/>
              </w:rPr>
              <w:t>为了解区域声环境质量现状，评价单位委托</w:t>
            </w:r>
            <w:bookmarkEnd w:id="91"/>
            <w:r>
              <w:rPr>
                <w:rFonts w:ascii="Times New Roman" w:hAnsi="Times New Roman" w:cs="Times New Roman"/>
                <w:b w:val="0"/>
                <w:bCs w:val="0"/>
                <w:color w:val="FF0000"/>
                <w:sz w:val="24"/>
                <w:lang w:eastAsia="zh-CN"/>
              </w:rPr>
              <w:t>甘肃领越检测技术有限公司于2</w:t>
            </w:r>
            <w:r>
              <w:rPr>
                <w:rFonts w:hint="eastAsia" w:ascii="Times New Roman" w:hAnsi="Times New Roman" w:cs="Times New Roman"/>
                <w:b w:val="0"/>
                <w:bCs w:val="0"/>
                <w:color w:val="FF0000"/>
                <w:sz w:val="24"/>
                <w:lang w:eastAsia="zh-CN"/>
              </w:rPr>
              <w:t>022</w:t>
            </w:r>
            <w:r>
              <w:rPr>
                <w:rFonts w:ascii="Times New Roman" w:hAnsi="Times New Roman" w:cs="Times New Roman"/>
                <w:b w:val="0"/>
                <w:bCs w:val="0"/>
                <w:color w:val="FF0000"/>
                <w:sz w:val="24"/>
                <w:lang w:eastAsia="zh-CN"/>
              </w:rPr>
              <w:t>年</w:t>
            </w:r>
            <w:r>
              <w:rPr>
                <w:rFonts w:hint="eastAsia" w:ascii="Times New Roman" w:hAnsi="Times New Roman" w:cs="Times New Roman"/>
                <w:b w:val="0"/>
                <w:bCs w:val="0"/>
                <w:color w:val="FF0000"/>
                <w:sz w:val="24"/>
                <w:lang w:eastAsia="zh-CN"/>
              </w:rPr>
              <w:t>4</w:t>
            </w:r>
            <w:r>
              <w:rPr>
                <w:rFonts w:ascii="Times New Roman" w:hAnsi="Times New Roman" w:cs="Times New Roman"/>
                <w:b w:val="0"/>
                <w:bCs w:val="0"/>
                <w:color w:val="FF0000"/>
                <w:sz w:val="24"/>
                <w:lang w:eastAsia="zh-CN"/>
              </w:rPr>
              <w:t>月</w:t>
            </w:r>
            <w:r>
              <w:rPr>
                <w:rFonts w:hint="eastAsia" w:ascii="Times New Roman" w:hAnsi="Times New Roman" w:cs="Times New Roman"/>
                <w:b w:val="0"/>
                <w:bCs w:val="0"/>
                <w:color w:val="FF0000"/>
                <w:sz w:val="24"/>
                <w:lang w:eastAsia="zh-CN"/>
              </w:rPr>
              <w:t>15</w:t>
            </w:r>
            <w:r>
              <w:rPr>
                <w:rFonts w:ascii="Times New Roman" w:hAnsi="Times New Roman" w:cs="Times New Roman"/>
                <w:b w:val="0"/>
                <w:bCs w:val="0"/>
                <w:color w:val="FF0000"/>
                <w:sz w:val="24"/>
                <w:lang w:eastAsia="zh-CN"/>
              </w:rPr>
              <w:t>日</w:t>
            </w:r>
            <w:r>
              <w:rPr>
                <w:rFonts w:hint="eastAsia" w:ascii="Times New Roman" w:hAnsi="Times New Roman" w:cs="Times New Roman"/>
                <w:b w:val="0"/>
                <w:bCs w:val="0"/>
                <w:color w:val="FF0000"/>
                <w:sz w:val="24"/>
                <w:lang w:eastAsia="zh-CN"/>
              </w:rPr>
              <w:t>～16日</w:t>
            </w:r>
            <w:r>
              <w:rPr>
                <w:rFonts w:ascii="Times New Roman" w:hAnsi="Times New Roman" w:cs="Times New Roman"/>
                <w:b w:val="0"/>
                <w:bCs w:val="0"/>
                <w:color w:val="FF0000"/>
                <w:sz w:val="24"/>
                <w:lang w:eastAsia="zh-CN"/>
              </w:rPr>
              <w:t>对</w:t>
            </w:r>
            <w:r>
              <w:rPr>
                <w:rFonts w:hint="eastAsia" w:ascii="Times New Roman" w:hAnsi="Times New Roman" w:cs="Times New Roman"/>
                <w:b w:val="0"/>
                <w:bCs w:val="0"/>
                <w:color w:val="FF0000"/>
                <w:sz w:val="24"/>
                <w:lang w:eastAsia="zh-CN"/>
              </w:rPr>
              <w:t>民乐县500MW/1000MWh共享储能电站工程进行声环境质量现状监测。</w:t>
            </w:r>
          </w:p>
          <w:p>
            <w:pPr>
              <w:spacing w:line="360" w:lineRule="auto"/>
              <w:ind w:firstLine="480" w:firstLineChars="200"/>
              <w:rPr>
                <w:color w:val="FF0000"/>
                <w:sz w:val="24"/>
              </w:rPr>
            </w:pPr>
            <w:bookmarkStart w:id="92" w:name="_Toc13381"/>
            <w:r>
              <w:rPr>
                <w:color w:val="FF0000"/>
                <w:sz w:val="24"/>
              </w:rPr>
              <w:t>（1）</w:t>
            </w:r>
            <w:r>
              <w:rPr>
                <w:rFonts w:hint="eastAsia"/>
                <w:color w:val="FF0000"/>
                <w:sz w:val="24"/>
              </w:rPr>
              <w:t>监测</w:t>
            </w:r>
            <w:r>
              <w:rPr>
                <w:color w:val="FF0000"/>
                <w:sz w:val="24"/>
              </w:rPr>
              <w:t>项目</w:t>
            </w:r>
          </w:p>
          <w:p>
            <w:pPr>
              <w:spacing w:line="360" w:lineRule="auto"/>
              <w:ind w:firstLine="480" w:firstLineChars="200"/>
              <w:rPr>
                <w:color w:val="FF0000"/>
                <w:sz w:val="24"/>
              </w:rPr>
            </w:pPr>
            <w:r>
              <w:rPr>
                <w:color w:val="FF0000"/>
                <w:sz w:val="24"/>
              </w:rPr>
              <w:t>昼</w:t>
            </w:r>
            <w:r>
              <w:rPr>
                <w:rFonts w:hint="eastAsia"/>
                <w:color w:val="FF0000"/>
                <w:sz w:val="24"/>
              </w:rPr>
              <w:t>、</w:t>
            </w:r>
            <w:r>
              <w:rPr>
                <w:color w:val="FF0000"/>
                <w:sz w:val="24"/>
              </w:rPr>
              <w:t>夜等效连续A声级。</w:t>
            </w:r>
          </w:p>
          <w:p>
            <w:pPr>
              <w:spacing w:line="360" w:lineRule="auto"/>
              <w:ind w:firstLine="480" w:firstLineChars="200"/>
              <w:rPr>
                <w:color w:val="FF0000"/>
                <w:sz w:val="24"/>
              </w:rPr>
            </w:pPr>
            <w:r>
              <w:rPr>
                <w:color w:val="FF0000"/>
                <w:sz w:val="24"/>
              </w:rPr>
              <w:t>（2）监测点布设</w:t>
            </w:r>
          </w:p>
          <w:p>
            <w:pPr>
              <w:spacing w:line="360" w:lineRule="auto"/>
              <w:ind w:firstLine="480" w:firstLineChars="200"/>
              <w:rPr>
                <w:color w:val="FF0000"/>
                <w:sz w:val="24"/>
              </w:rPr>
            </w:pPr>
            <w:r>
              <w:rPr>
                <w:rFonts w:hint="eastAsia"/>
                <w:color w:val="FF0000"/>
                <w:sz w:val="24"/>
              </w:rPr>
              <w:t>本项目噪声监测点位与电磁环境现状监测点位相同，监测点位分布图见附图13，环境质量现状监测报告详见附件5。</w:t>
            </w:r>
          </w:p>
          <w:p>
            <w:pPr>
              <w:spacing w:line="360" w:lineRule="auto"/>
              <w:ind w:firstLine="480" w:firstLineChars="200"/>
              <w:rPr>
                <w:color w:val="FF0000"/>
                <w:sz w:val="24"/>
              </w:rPr>
            </w:pPr>
            <w:r>
              <w:rPr>
                <w:rFonts w:hint="eastAsia"/>
                <w:color w:val="FF0000"/>
                <w:sz w:val="24"/>
              </w:rPr>
              <w:t>①储能电站</w:t>
            </w:r>
          </w:p>
          <w:p>
            <w:pPr>
              <w:spacing w:line="360" w:lineRule="auto"/>
              <w:ind w:firstLine="480" w:firstLineChars="200"/>
              <w:rPr>
                <w:color w:val="FF0000"/>
                <w:sz w:val="24"/>
              </w:rPr>
            </w:pPr>
            <w:r>
              <w:rPr>
                <w:color w:val="FF0000"/>
                <w:sz w:val="24"/>
              </w:rPr>
              <w:t>在甘肃张掖民乐500MW/1000MWh共享储能电站工程</w:t>
            </w:r>
            <w:r>
              <w:rPr>
                <w:rFonts w:hint="eastAsia"/>
                <w:color w:val="FF0000"/>
                <w:sz w:val="24"/>
              </w:rPr>
              <w:t>储能电站厂界四周各布设1个监测点，共</w:t>
            </w:r>
            <w:r>
              <w:rPr>
                <w:color w:val="FF0000"/>
                <w:sz w:val="24"/>
              </w:rPr>
              <w:t>布设</w:t>
            </w:r>
            <w:r>
              <w:rPr>
                <w:rFonts w:hint="eastAsia"/>
                <w:color w:val="FF0000"/>
                <w:sz w:val="24"/>
              </w:rPr>
              <w:t>4</w:t>
            </w:r>
            <w:r>
              <w:rPr>
                <w:color w:val="FF0000"/>
                <w:sz w:val="24"/>
              </w:rPr>
              <w:t>个监测点</w:t>
            </w:r>
            <w:r>
              <w:rPr>
                <w:rFonts w:hint="eastAsia"/>
                <w:color w:val="FF0000"/>
                <w:sz w:val="24"/>
              </w:rPr>
              <w:t>；</w:t>
            </w:r>
          </w:p>
          <w:p>
            <w:pPr>
              <w:spacing w:line="360" w:lineRule="auto"/>
              <w:ind w:firstLine="480" w:firstLineChars="200"/>
              <w:rPr>
                <w:color w:val="FF0000"/>
                <w:sz w:val="24"/>
              </w:rPr>
            </w:pPr>
            <w:r>
              <w:rPr>
                <w:rFonts w:hint="eastAsia"/>
                <w:color w:val="FF0000"/>
                <w:sz w:val="24"/>
              </w:rPr>
              <w:t>②输电线路</w:t>
            </w:r>
          </w:p>
          <w:p>
            <w:pPr>
              <w:spacing w:line="360" w:lineRule="auto"/>
              <w:ind w:firstLine="480" w:firstLineChars="200"/>
              <w:rPr>
                <w:color w:val="FF0000"/>
                <w:sz w:val="24"/>
              </w:rPr>
            </w:pPr>
            <w:r>
              <w:rPr>
                <w:rFonts w:hint="eastAsia"/>
                <w:color w:val="FF0000"/>
                <w:sz w:val="24"/>
              </w:rPr>
              <w:t>项目输电线路从民乐500MW/1000MWh共享储能电站工程330kV升压站向北出线，接入顺化330kV变电站。输电线路共布设1个监测点；</w:t>
            </w:r>
          </w:p>
          <w:p>
            <w:pPr>
              <w:spacing w:line="360" w:lineRule="auto"/>
              <w:ind w:firstLine="480" w:firstLineChars="200"/>
              <w:rPr>
                <w:color w:val="FF0000"/>
                <w:sz w:val="24"/>
              </w:rPr>
            </w:pPr>
            <w:r>
              <w:rPr>
                <w:rFonts w:hint="eastAsia"/>
                <w:color w:val="FF0000"/>
                <w:sz w:val="24"/>
              </w:rPr>
              <w:t>③顺化330kV变电站扩建间隔</w:t>
            </w:r>
          </w:p>
          <w:p>
            <w:pPr>
              <w:adjustRightInd w:val="0"/>
              <w:snapToGrid w:val="0"/>
              <w:spacing w:line="360" w:lineRule="auto"/>
              <w:ind w:firstLine="480" w:firstLineChars="200"/>
              <w:rPr>
                <w:color w:val="FF0000"/>
                <w:sz w:val="24"/>
              </w:rPr>
            </w:pPr>
            <w:r>
              <w:rPr>
                <w:color w:val="FF0000"/>
                <w:sz w:val="24"/>
              </w:rPr>
              <w:t>在顺化330kV变电站围墙四周各布设1个监测点，在扩建间隔侧（南侧）增设1个</w:t>
            </w:r>
            <w:r>
              <w:rPr>
                <w:rFonts w:hint="eastAsia"/>
                <w:color w:val="FF0000"/>
                <w:sz w:val="24"/>
              </w:rPr>
              <w:t>监测点</w:t>
            </w:r>
            <w:r>
              <w:rPr>
                <w:color w:val="FF0000"/>
                <w:sz w:val="24"/>
              </w:rPr>
              <w:t>，共布设5个监测点。</w:t>
            </w:r>
          </w:p>
          <w:p>
            <w:pPr>
              <w:adjustRightInd w:val="0"/>
              <w:snapToGrid w:val="0"/>
              <w:spacing w:line="360" w:lineRule="auto"/>
              <w:ind w:firstLine="480" w:firstLineChars="200"/>
              <w:rPr>
                <w:color w:val="FF0000"/>
                <w:sz w:val="24"/>
              </w:rPr>
            </w:pPr>
            <w:r>
              <w:rPr>
                <w:color w:val="FF0000"/>
                <w:sz w:val="24"/>
              </w:rPr>
              <w:t>（3）监测频次：连续监测2天，每日昼间、夜间各监测一次。</w:t>
            </w:r>
          </w:p>
          <w:p>
            <w:pPr>
              <w:adjustRightInd w:val="0"/>
              <w:snapToGrid w:val="0"/>
              <w:spacing w:line="360" w:lineRule="auto"/>
              <w:ind w:firstLine="480" w:firstLineChars="200"/>
              <w:rPr>
                <w:color w:val="FF0000"/>
                <w:sz w:val="24"/>
              </w:rPr>
            </w:pPr>
            <w:r>
              <w:rPr>
                <w:color w:val="FF0000"/>
                <w:sz w:val="24"/>
              </w:rPr>
              <w:t>（4）监测方法</w:t>
            </w:r>
          </w:p>
          <w:p>
            <w:pPr>
              <w:adjustRightInd w:val="0"/>
              <w:snapToGrid w:val="0"/>
              <w:spacing w:line="360" w:lineRule="auto"/>
              <w:ind w:firstLine="480" w:firstLineChars="200"/>
              <w:rPr>
                <w:color w:val="FF0000"/>
                <w:sz w:val="24"/>
              </w:rPr>
            </w:pPr>
            <w:r>
              <w:rPr>
                <w:color w:val="FF0000"/>
                <w:sz w:val="24"/>
              </w:rPr>
              <w:t>执行《工业企业厂界环境噪声排放标准》（GB12348-2008）及其他相关的监测技术规范、方法。</w:t>
            </w:r>
          </w:p>
          <w:p>
            <w:pPr>
              <w:numPr>
                <w:ilvl w:val="0"/>
                <w:numId w:val="2"/>
              </w:numPr>
              <w:adjustRightInd w:val="0"/>
              <w:snapToGrid w:val="0"/>
              <w:spacing w:line="360" w:lineRule="auto"/>
              <w:ind w:firstLine="480" w:firstLineChars="200"/>
              <w:rPr>
                <w:color w:val="FF0000"/>
                <w:sz w:val="24"/>
              </w:rPr>
            </w:pPr>
            <w:r>
              <w:rPr>
                <w:rFonts w:hint="eastAsia"/>
                <w:color w:val="FF0000"/>
                <w:sz w:val="24"/>
              </w:rPr>
              <w:t>监测结果</w:t>
            </w:r>
          </w:p>
          <w:p>
            <w:pPr>
              <w:adjustRightInd w:val="0"/>
              <w:snapToGrid w:val="0"/>
              <w:spacing w:line="360" w:lineRule="auto"/>
              <w:jc w:val="center"/>
              <w:rPr>
                <w:b/>
                <w:bCs/>
                <w:color w:val="FF0000"/>
                <w:sz w:val="24"/>
              </w:rPr>
            </w:pPr>
            <w:r>
              <w:rPr>
                <w:rFonts w:hint="eastAsia"/>
                <w:b/>
                <w:bCs/>
                <w:color w:val="FF0000"/>
                <w:sz w:val="24"/>
              </w:rPr>
              <w:t>表3-1    声环境质量现状监测结果一览</w:t>
            </w:r>
          </w:p>
          <w:tbl>
            <w:tblPr>
              <w:tblStyle w:val="24"/>
              <w:tblW w:w="83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1259"/>
              <w:gridCol w:w="1128"/>
              <w:gridCol w:w="1497"/>
              <w:gridCol w:w="1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tcBorders>
                    <w:tl2br w:val="nil"/>
                    <w:tr2bl w:val="nil"/>
                  </w:tcBorders>
                  <w:vAlign w:val="center"/>
                </w:tcPr>
                <w:p>
                  <w:pPr>
                    <w:jc w:val="center"/>
                    <w:rPr>
                      <w:color w:val="FF0000"/>
                      <w:szCs w:val="21"/>
                    </w:rPr>
                  </w:pPr>
                  <w:r>
                    <w:rPr>
                      <w:color w:val="FF0000"/>
                      <w:szCs w:val="21"/>
                    </w:rPr>
                    <w:t>测点编号</w:t>
                  </w:r>
                </w:p>
              </w:tc>
              <w:tc>
                <w:tcPr>
                  <w:tcW w:w="750" w:type="pct"/>
                  <w:tcBorders>
                    <w:tl2br w:val="nil"/>
                    <w:tr2bl w:val="nil"/>
                  </w:tcBorders>
                  <w:vAlign w:val="center"/>
                </w:tcPr>
                <w:p>
                  <w:pPr>
                    <w:jc w:val="center"/>
                    <w:rPr>
                      <w:color w:val="FF0000"/>
                      <w:szCs w:val="21"/>
                    </w:rPr>
                  </w:pPr>
                  <w:r>
                    <w:rPr>
                      <w:color w:val="FF0000"/>
                      <w:szCs w:val="21"/>
                    </w:rPr>
                    <w:t>检测日期</w:t>
                  </w:r>
                </w:p>
              </w:tc>
              <w:tc>
                <w:tcPr>
                  <w:tcW w:w="672" w:type="pct"/>
                  <w:tcBorders>
                    <w:tl2br w:val="nil"/>
                    <w:tr2bl w:val="nil"/>
                  </w:tcBorders>
                  <w:vAlign w:val="center"/>
                </w:tcPr>
                <w:p>
                  <w:pPr>
                    <w:jc w:val="center"/>
                    <w:rPr>
                      <w:color w:val="FF0000"/>
                      <w:szCs w:val="21"/>
                    </w:rPr>
                  </w:pPr>
                  <w:r>
                    <w:rPr>
                      <w:color w:val="FF0000"/>
                      <w:szCs w:val="21"/>
                    </w:rPr>
                    <w:t>检测时段</w:t>
                  </w:r>
                </w:p>
              </w:tc>
              <w:tc>
                <w:tcPr>
                  <w:tcW w:w="892" w:type="pct"/>
                  <w:tcBorders>
                    <w:tl2br w:val="nil"/>
                    <w:tr2bl w:val="nil"/>
                  </w:tcBorders>
                  <w:vAlign w:val="center"/>
                </w:tcPr>
                <w:p>
                  <w:pPr>
                    <w:jc w:val="center"/>
                    <w:rPr>
                      <w:color w:val="FF0000"/>
                      <w:szCs w:val="21"/>
                    </w:rPr>
                  </w:pPr>
                  <w:r>
                    <w:rPr>
                      <w:rFonts w:hint="eastAsia"/>
                      <w:color w:val="FF0000"/>
                      <w:szCs w:val="21"/>
                    </w:rPr>
                    <w:t>检测时间</w:t>
                  </w:r>
                </w:p>
              </w:tc>
              <w:tc>
                <w:tcPr>
                  <w:tcW w:w="995" w:type="pct"/>
                  <w:tcBorders>
                    <w:tl2br w:val="nil"/>
                    <w:tr2bl w:val="nil"/>
                  </w:tcBorders>
                  <w:vAlign w:val="center"/>
                </w:tcPr>
                <w:p>
                  <w:pPr>
                    <w:jc w:val="center"/>
                    <w:rPr>
                      <w:color w:val="FF0000"/>
                      <w:szCs w:val="21"/>
                    </w:rPr>
                  </w:pPr>
                  <w:r>
                    <w:rPr>
                      <w:color w:val="FF0000"/>
                      <w:szCs w:val="21"/>
                    </w:rPr>
                    <w:t>检测结果Leq[dB(A)]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color w:val="FF0000"/>
                      <w:szCs w:val="21"/>
                    </w:rPr>
                    <w:t>1#</w:t>
                  </w:r>
                </w:p>
                <w:p>
                  <w:pPr>
                    <w:jc w:val="center"/>
                    <w:rPr>
                      <w:color w:val="FF0000"/>
                      <w:szCs w:val="21"/>
                    </w:rPr>
                  </w:pPr>
                  <w:r>
                    <w:rPr>
                      <w:rFonts w:hint="eastAsia"/>
                      <w:color w:val="FF0000"/>
                      <w:szCs w:val="21"/>
                    </w:rPr>
                    <w:t>储能</w:t>
                  </w:r>
                  <w:r>
                    <w:rPr>
                      <w:color w:val="FF0000"/>
                      <w:szCs w:val="21"/>
                    </w:rPr>
                    <w:t>电站东侧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15:00</w:t>
                  </w:r>
                </w:p>
              </w:tc>
              <w:tc>
                <w:tcPr>
                  <w:tcW w:w="995" w:type="pct"/>
                  <w:tcBorders>
                    <w:tl2br w:val="nil"/>
                    <w:tr2bl w:val="nil"/>
                  </w:tcBorders>
                  <w:vAlign w:val="center"/>
                </w:tcPr>
                <w:p>
                  <w:pPr>
                    <w:jc w:val="center"/>
                    <w:rPr>
                      <w:color w:val="FF0000"/>
                      <w:szCs w:val="21"/>
                    </w:rPr>
                  </w:pPr>
                  <w:r>
                    <w:rPr>
                      <w:rFonts w:hint="eastAsia"/>
                      <w:color w:val="FF0000"/>
                      <w:szCs w:val="21"/>
                    </w:rPr>
                    <w:t>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22:16</w:t>
                  </w:r>
                </w:p>
              </w:tc>
              <w:tc>
                <w:tcPr>
                  <w:tcW w:w="995" w:type="pct"/>
                  <w:tcBorders>
                    <w:tl2br w:val="nil"/>
                    <w:tr2bl w:val="nil"/>
                  </w:tcBorders>
                  <w:vAlign w:val="center"/>
                </w:tcPr>
                <w:p>
                  <w:pPr>
                    <w:jc w:val="center"/>
                    <w:rPr>
                      <w:color w:val="FF0000"/>
                      <w:szCs w:val="21"/>
                    </w:rPr>
                  </w:pPr>
                  <w:r>
                    <w:rPr>
                      <w:rFonts w:hint="eastAsia"/>
                      <w:color w:val="FF0000"/>
                      <w:szCs w:val="21"/>
                    </w:rPr>
                    <w:t>39.6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10:23</w:t>
                  </w:r>
                </w:p>
              </w:tc>
              <w:tc>
                <w:tcPr>
                  <w:tcW w:w="995" w:type="pct"/>
                  <w:tcBorders>
                    <w:tl2br w:val="nil"/>
                    <w:tr2bl w:val="nil"/>
                  </w:tcBorders>
                  <w:vAlign w:val="center"/>
                </w:tcPr>
                <w:p>
                  <w:pPr>
                    <w:jc w:val="center"/>
                    <w:rPr>
                      <w:color w:val="FF0000"/>
                      <w:szCs w:val="21"/>
                    </w:rPr>
                  </w:pPr>
                  <w:r>
                    <w:rPr>
                      <w:rFonts w:hint="eastAsia"/>
                      <w:color w:val="FF0000"/>
                      <w:szCs w:val="21"/>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22:01</w:t>
                  </w:r>
                </w:p>
              </w:tc>
              <w:tc>
                <w:tcPr>
                  <w:tcW w:w="995" w:type="pct"/>
                  <w:tcBorders>
                    <w:tl2br w:val="nil"/>
                    <w:tr2bl w:val="nil"/>
                  </w:tcBorders>
                  <w:vAlign w:val="center"/>
                </w:tcPr>
                <w:p>
                  <w:pPr>
                    <w:jc w:val="center"/>
                    <w:rPr>
                      <w:color w:val="FF0000"/>
                      <w:szCs w:val="21"/>
                    </w:rPr>
                  </w:pPr>
                  <w:r>
                    <w:rPr>
                      <w:rFonts w:hint="eastAsia"/>
                      <w:color w:val="FF0000"/>
                      <w:szCs w:val="21"/>
                    </w:rPr>
                    <w:t>39.3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color w:val="FF0000"/>
                      <w:szCs w:val="21"/>
                    </w:rPr>
                    <w:t>2#</w:t>
                  </w:r>
                </w:p>
                <w:p>
                  <w:pPr>
                    <w:jc w:val="center"/>
                    <w:rPr>
                      <w:color w:val="FF0000"/>
                      <w:szCs w:val="21"/>
                    </w:rPr>
                  </w:pPr>
                  <w:r>
                    <w:rPr>
                      <w:rFonts w:hint="eastAsia"/>
                      <w:color w:val="FF0000"/>
                      <w:szCs w:val="21"/>
                    </w:rPr>
                    <w:t>储能</w:t>
                  </w:r>
                  <w:r>
                    <w:rPr>
                      <w:color w:val="FF0000"/>
                      <w:szCs w:val="21"/>
                    </w:rPr>
                    <w:t>电站</w:t>
                  </w:r>
                  <w:r>
                    <w:rPr>
                      <w:rFonts w:hint="eastAsia"/>
                      <w:color w:val="FF0000"/>
                      <w:szCs w:val="21"/>
                    </w:rPr>
                    <w:t>南侧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15:18</w:t>
                  </w:r>
                </w:p>
              </w:tc>
              <w:tc>
                <w:tcPr>
                  <w:tcW w:w="995" w:type="pct"/>
                  <w:tcBorders>
                    <w:tl2br w:val="nil"/>
                    <w:tr2bl w:val="nil"/>
                  </w:tcBorders>
                  <w:vAlign w:val="center"/>
                </w:tcPr>
                <w:p>
                  <w:pPr>
                    <w:jc w:val="center"/>
                    <w:rPr>
                      <w:color w:val="FF0000"/>
                      <w:szCs w:val="21"/>
                    </w:rPr>
                  </w:pPr>
                  <w:r>
                    <w:rPr>
                      <w:rFonts w:hint="eastAsia"/>
                      <w:color w:val="FF0000"/>
                      <w:szCs w:val="21"/>
                    </w:rPr>
                    <w:t>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22:00</w:t>
                  </w:r>
                </w:p>
              </w:tc>
              <w:tc>
                <w:tcPr>
                  <w:tcW w:w="995" w:type="pct"/>
                  <w:tcBorders>
                    <w:tl2br w:val="nil"/>
                    <w:tr2bl w:val="nil"/>
                  </w:tcBorders>
                  <w:vAlign w:val="center"/>
                </w:tcPr>
                <w:p>
                  <w:pPr>
                    <w:jc w:val="center"/>
                    <w:rPr>
                      <w:color w:val="FF0000"/>
                      <w:szCs w:val="21"/>
                    </w:rPr>
                  </w:pPr>
                  <w:r>
                    <w:rPr>
                      <w:rFonts w:hint="eastAsia"/>
                      <w:color w:val="FF0000"/>
                      <w:szCs w:val="21"/>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10:42</w:t>
                  </w:r>
                </w:p>
              </w:tc>
              <w:tc>
                <w:tcPr>
                  <w:tcW w:w="995" w:type="pct"/>
                  <w:tcBorders>
                    <w:tl2br w:val="nil"/>
                    <w:tr2bl w:val="nil"/>
                  </w:tcBorders>
                  <w:vAlign w:val="center"/>
                </w:tcPr>
                <w:p>
                  <w:pPr>
                    <w:jc w:val="center"/>
                    <w:rPr>
                      <w:color w:val="FF0000"/>
                      <w:szCs w:val="21"/>
                    </w:rPr>
                  </w:pPr>
                  <w:r>
                    <w:rPr>
                      <w:rFonts w:hint="eastAsia"/>
                      <w:color w:val="FF0000"/>
                      <w:szCs w:val="21"/>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22:16</w:t>
                  </w:r>
                </w:p>
              </w:tc>
              <w:tc>
                <w:tcPr>
                  <w:tcW w:w="995" w:type="pct"/>
                  <w:tcBorders>
                    <w:tl2br w:val="nil"/>
                    <w:tr2bl w:val="nil"/>
                  </w:tcBorders>
                  <w:vAlign w:val="center"/>
                </w:tcPr>
                <w:p>
                  <w:pPr>
                    <w:jc w:val="center"/>
                    <w:rPr>
                      <w:color w:val="FF0000"/>
                      <w:szCs w:val="21"/>
                    </w:rPr>
                  </w:pPr>
                  <w:r>
                    <w:rPr>
                      <w:rFonts w:hint="eastAsia"/>
                      <w:color w:val="FF0000"/>
                      <w:szCs w:val="21"/>
                    </w:rPr>
                    <w:t>42.5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color w:val="FF0000"/>
                      <w:szCs w:val="21"/>
                    </w:rPr>
                    <w:t>3#</w:t>
                  </w:r>
                </w:p>
                <w:p>
                  <w:pPr>
                    <w:jc w:val="center"/>
                    <w:rPr>
                      <w:color w:val="FF0000"/>
                      <w:szCs w:val="21"/>
                    </w:rPr>
                  </w:pPr>
                  <w:r>
                    <w:rPr>
                      <w:rFonts w:hint="eastAsia"/>
                      <w:color w:val="FF0000"/>
                      <w:szCs w:val="21"/>
                    </w:rPr>
                    <w:t>储能</w:t>
                  </w:r>
                  <w:r>
                    <w:rPr>
                      <w:color w:val="FF0000"/>
                      <w:szCs w:val="21"/>
                    </w:rPr>
                    <w:t>电站</w:t>
                  </w:r>
                  <w:r>
                    <w:rPr>
                      <w:rFonts w:hint="eastAsia"/>
                      <w:color w:val="FF0000"/>
                      <w:szCs w:val="21"/>
                    </w:rPr>
                    <w:t>西侧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15:36</w:t>
                  </w:r>
                </w:p>
              </w:tc>
              <w:tc>
                <w:tcPr>
                  <w:tcW w:w="995" w:type="pct"/>
                  <w:tcBorders>
                    <w:tl2br w:val="nil"/>
                    <w:tr2bl w:val="nil"/>
                  </w:tcBorders>
                  <w:vAlign w:val="center"/>
                </w:tcPr>
                <w:p>
                  <w:pPr>
                    <w:jc w:val="center"/>
                    <w:rPr>
                      <w:color w:val="FF0000"/>
                      <w:szCs w:val="21"/>
                    </w:rPr>
                  </w:pPr>
                  <w:r>
                    <w:rPr>
                      <w:rFonts w:hint="eastAsia"/>
                      <w:color w:val="FF0000"/>
                      <w:szCs w:val="21"/>
                    </w:rPr>
                    <w:t>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22:32</w:t>
                  </w:r>
                </w:p>
              </w:tc>
              <w:tc>
                <w:tcPr>
                  <w:tcW w:w="995" w:type="pct"/>
                  <w:tcBorders>
                    <w:tl2br w:val="nil"/>
                    <w:tr2bl w:val="nil"/>
                  </w:tcBorders>
                  <w:vAlign w:val="center"/>
                </w:tcPr>
                <w:p>
                  <w:pPr>
                    <w:jc w:val="center"/>
                    <w:rPr>
                      <w:color w:val="FF0000"/>
                      <w:szCs w:val="21"/>
                    </w:rPr>
                  </w:pPr>
                  <w:r>
                    <w:rPr>
                      <w:rFonts w:hint="eastAsia"/>
                      <w:color w:val="FF0000"/>
                      <w:szCs w:val="21"/>
                    </w:rPr>
                    <w:t>42.6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10:58</w:t>
                  </w:r>
                </w:p>
              </w:tc>
              <w:tc>
                <w:tcPr>
                  <w:tcW w:w="995" w:type="pct"/>
                  <w:tcBorders>
                    <w:tl2br w:val="nil"/>
                    <w:tr2bl w:val="nil"/>
                  </w:tcBorders>
                  <w:vAlign w:val="center"/>
                </w:tcPr>
                <w:p>
                  <w:pPr>
                    <w:jc w:val="center"/>
                    <w:rPr>
                      <w:color w:val="FF0000"/>
                      <w:szCs w:val="21"/>
                    </w:rPr>
                  </w:pPr>
                  <w:r>
                    <w:rPr>
                      <w:rFonts w:hint="eastAsia"/>
                      <w:color w:val="FF0000"/>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22:31</w:t>
                  </w:r>
                </w:p>
              </w:tc>
              <w:tc>
                <w:tcPr>
                  <w:tcW w:w="995" w:type="pct"/>
                  <w:tcBorders>
                    <w:tl2br w:val="nil"/>
                    <w:tr2bl w:val="nil"/>
                  </w:tcBorders>
                  <w:vAlign w:val="center"/>
                </w:tcPr>
                <w:p>
                  <w:pPr>
                    <w:jc w:val="center"/>
                    <w:rPr>
                      <w:color w:val="FF0000"/>
                      <w:szCs w:val="21"/>
                    </w:rPr>
                  </w:pPr>
                  <w:r>
                    <w:rPr>
                      <w:rFonts w:hint="eastAsia"/>
                      <w:color w:val="FF0000"/>
                      <w:szCs w:val="21"/>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color w:val="FF0000"/>
                      <w:szCs w:val="21"/>
                    </w:rPr>
                    <w:t>4#</w:t>
                  </w:r>
                </w:p>
                <w:p>
                  <w:pPr>
                    <w:jc w:val="center"/>
                    <w:rPr>
                      <w:color w:val="FF0000"/>
                      <w:szCs w:val="21"/>
                    </w:rPr>
                  </w:pPr>
                  <w:r>
                    <w:rPr>
                      <w:rFonts w:hint="eastAsia"/>
                      <w:color w:val="FF0000"/>
                      <w:szCs w:val="21"/>
                    </w:rPr>
                    <w:t>储能</w:t>
                  </w:r>
                  <w:r>
                    <w:rPr>
                      <w:color w:val="FF0000"/>
                      <w:szCs w:val="21"/>
                    </w:rPr>
                    <w:t>电站</w:t>
                  </w:r>
                  <w:r>
                    <w:rPr>
                      <w:rFonts w:hint="eastAsia"/>
                      <w:color w:val="FF0000"/>
                      <w:szCs w:val="21"/>
                    </w:rPr>
                    <w:t>北侧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15:54</w:t>
                  </w:r>
                </w:p>
              </w:tc>
              <w:tc>
                <w:tcPr>
                  <w:tcW w:w="995" w:type="pct"/>
                  <w:tcBorders>
                    <w:tl2br w:val="nil"/>
                    <w:tr2bl w:val="nil"/>
                  </w:tcBorders>
                  <w:vAlign w:val="center"/>
                </w:tcPr>
                <w:p>
                  <w:pPr>
                    <w:jc w:val="center"/>
                    <w:rPr>
                      <w:color w:val="FF0000"/>
                      <w:szCs w:val="21"/>
                    </w:rPr>
                  </w:pPr>
                  <w:r>
                    <w:rPr>
                      <w:rFonts w:hint="eastAsia"/>
                      <w:color w:val="FF0000"/>
                      <w:szCs w:val="21"/>
                    </w:rPr>
                    <w:t>46.2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22:48</w:t>
                  </w:r>
                </w:p>
              </w:tc>
              <w:tc>
                <w:tcPr>
                  <w:tcW w:w="995" w:type="pct"/>
                  <w:tcBorders>
                    <w:tl2br w:val="nil"/>
                    <w:tr2bl w:val="nil"/>
                  </w:tcBorders>
                  <w:vAlign w:val="center"/>
                </w:tcPr>
                <w:p>
                  <w:pPr>
                    <w:jc w:val="center"/>
                    <w:rPr>
                      <w:color w:val="FF0000"/>
                      <w:szCs w:val="21"/>
                    </w:rPr>
                  </w:pPr>
                  <w:r>
                    <w:rPr>
                      <w:rFonts w:hint="eastAsia"/>
                      <w:color w:val="FF0000"/>
                      <w:szCs w:val="21"/>
                    </w:rPr>
                    <w:t>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11:13</w:t>
                  </w:r>
                </w:p>
              </w:tc>
              <w:tc>
                <w:tcPr>
                  <w:tcW w:w="995" w:type="pct"/>
                  <w:tcBorders>
                    <w:tl2br w:val="nil"/>
                    <w:tr2bl w:val="nil"/>
                  </w:tcBorders>
                  <w:vAlign w:val="center"/>
                </w:tcPr>
                <w:p>
                  <w:pPr>
                    <w:jc w:val="center"/>
                    <w:rPr>
                      <w:color w:val="FF0000"/>
                      <w:szCs w:val="21"/>
                    </w:rPr>
                  </w:pPr>
                  <w:r>
                    <w:rPr>
                      <w:rFonts w:hint="eastAsia"/>
                      <w:color w:val="FF0000"/>
                      <w:szCs w:val="21"/>
                    </w:rPr>
                    <w:t>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22:46</w:t>
                  </w:r>
                </w:p>
              </w:tc>
              <w:tc>
                <w:tcPr>
                  <w:tcW w:w="995" w:type="pct"/>
                  <w:tcBorders>
                    <w:tl2br w:val="nil"/>
                    <w:tr2bl w:val="nil"/>
                  </w:tcBorders>
                  <w:vAlign w:val="center"/>
                </w:tcPr>
                <w:p>
                  <w:pPr>
                    <w:jc w:val="center"/>
                    <w:rPr>
                      <w:color w:val="FF0000"/>
                      <w:szCs w:val="21"/>
                    </w:rPr>
                  </w:pPr>
                  <w:r>
                    <w:rPr>
                      <w:rFonts w:hint="eastAsia"/>
                      <w:color w:val="FF0000"/>
                      <w:szCs w:val="21"/>
                    </w:rPr>
                    <w:t>40.1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rFonts w:hint="eastAsia"/>
                      <w:color w:val="FF0000"/>
                      <w:szCs w:val="21"/>
                    </w:rPr>
                    <w:t>5</w:t>
                  </w:r>
                  <w:r>
                    <w:rPr>
                      <w:color w:val="FF0000"/>
                      <w:szCs w:val="21"/>
                    </w:rPr>
                    <w:t>#</w:t>
                  </w:r>
                </w:p>
                <w:p>
                  <w:pPr>
                    <w:jc w:val="center"/>
                    <w:rPr>
                      <w:color w:val="FF0000"/>
                      <w:szCs w:val="21"/>
                    </w:rPr>
                  </w:pPr>
                  <w:r>
                    <w:rPr>
                      <w:rFonts w:hint="eastAsia"/>
                      <w:color w:val="FF0000"/>
                      <w:szCs w:val="21"/>
                    </w:rPr>
                    <w:t>沿线北侧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16:16</w:t>
                  </w:r>
                </w:p>
              </w:tc>
              <w:tc>
                <w:tcPr>
                  <w:tcW w:w="995" w:type="pct"/>
                  <w:tcBorders>
                    <w:tl2br w:val="nil"/>
                    <w:tr2bl w:val="nil"/>
                  </w:tcBorders>
                  <w:vAlign w:val="center"/>
                </w:tcPr>
                <w:p>
                  <w:pPr>
                    <w:jc w:val="center"/>
                    <w:rPr>
                      <w:color w:val="FF0000"/>
                      <w:szCs w:val="21"/>
                    </w:rPr>
                  </w:pPr>
                  <w:r>
                    <w:rPr>
                      <w:rFonts w:hint="eastAsia"/>
                      <w:color w:val="FF0000"/>
                      <w:szCs w:val="21"/>
                    </w:rPr>
                    <w:t>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23:05</w:t>
                  </w:r>
                </w:p>
              </w:tc>
              <w:tc>
                <w:tcPr>
                  <w:tcW w:w="995" w:type="pct"/>
                  <w:tcBorders>
                    <w:tl2br w:val="nil"/>
                    <w:tr2bl w:val="nil"/>
                  </w:tcBorders>
                  <w:vAlign w:val="center"/>
                </w:tcPr>
                <w:p>
                  <w:pPr>
                    <w:jc w:val="center"/>
                    <w:rPr>
                      <w:color w:val="FF0000"/>
                      <w:szCs w:val="21"/>
                    </w:rPr>
                  </w:pPr>
                  <w:r>
                    <w:rPr>
                      <w:rFonts w:hint="eastAsia"/>
                      <w:color w:val="FF0000"/>
                      <w:szCs w:val="21"/>
                    </w:rPr>
                    <w:t>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11:30</w:t>
                  </w:r>
                </w:p>
              </w:tc>
              <w:tc>
                <w:tcPr>
                  <w:tcW w:w="995" w:type="pct"/>
                  <w:tcBorders>
                    <w:tl2br w:val="nil"/>
                    <w:tr2bl w:val="nil"/>
                  </w:tcBorders>
                  <w:vAlign w:val="center"/>
                </w:tcPr>
                <w:p>
                  <w:pPr>
                    <w:jc w:val="center"/>
                    <w:rPr>
                      <w:color w:val="FF0000"/>
                      <w:szCs w:val="21"/>
                    </w:rPr>
                  </w:pPr>
                  <w:r>
                    <w:rPr>
                      <w:rFonts w:hint="eastAsia"/>
                      <w:color w:val="FF0000"/>
                      <w:szCs w:val="21"/>
                    </w:rPr>
                    <w:t>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23:01</w:t>
                  </w:r>
                </w:p>
              </w:tc>
              <w:tc>
                <w:tcPr>
                  <w:tcW w:w="995" w:type="pct"/>
                  <w:tcBorders>
                    <w:tl2br w:val="nil"/>
                    <w:tr2bl w:val="nil"/>
                  </w:tcBorders>
                  <w:vAlign w:val="center"/>
                </w:tcPr>
                <w:p>
                  <w:pPr>
                    <w:jc w:val="center"/>
                    <w:rPr>
                      <w:color w:val="FF0000"/>
                      <w:szCs w:val="21"/>
                    </w:rPr>
                  </w:pPr>
                  <w:r>
                    <w:rPr>
                      <w:rFonts w:hint="eastAsia"/>
                      <w:color w:val="FF0000"/>
                      <w:szCs w:val="21"/>
                    </w:rPr>
                    <w:t>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rFonts w:hint="eastAsia"/>
                      <w:color w:val="FF0000"/>
                      <w:szCs w:val="21"/>
                    </w:rPr>
                    <w:t>6</w:t>
                  </w:r>
                  <w:r>
                    <w:rPr>
                      <w:color w:val="FF0000"/>
                      <w:szCs w:val="21"/>
                    </w:rPr>
                    <w:t>#</w:t>
                  </w:r>
                </w:p>
                <w:p>
                  <w:pPr>
                    <w:jc w:val="center"/>
                    <w:rPr>
                      <w:color w:val="FF0000"/>
                      <w:szCs w:val="21"/>
                    </w:rPr>
                  </w:pPr>
                  <w:r>
                    <w:rPr>
                      <w:rFonts w:hint="eastAsia"/>
                      <w:color w:val="FF0000"/>
                      <w:szCs w:val="21"/>
                    </w:rPr>
                    <w:t>顺化330kV</w:t>
                  </w:r>
                  <w:r>
                    <w:rPr>
                      <w:color w:val="FF0000"/>
                      <w:szCs w:val="21"/>
                    </w:rPr>
                    <w:t>变电站东侧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16:35</w:t>
                  </w:r>
                </w:p>
              </w:tc>
              <w:tc>
                <w:tcPr>
                  <w:tcW w:w="995" w:type="pct"/>
                  <w:tcBorders>
                    <w:tl2br w:val="nil"/>
                    <w:tr2bl w:val="nil"/>
                  </w:tcBorders>
                  <w:vAlign w:val="center"/>
                </w:tcPr>
                <w:p>
                  <w:pPr>
                    <w:jc w:val="center"/>
                    <w:rPr>
                      <w:color w:val="FF0000"/>
                      <w:szCs w:val="21"/>
                    </w:rPr>
                  </w:pPr>
                  <w:r>
                    <w:rPr>
                      <w:rFonts w:hint="eastAsia"/>
                      <w:color w:val="FF0000"/>
                      <w:szCs w:val="21"/>
                    </w:rPr>
                    <w:t>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23:20</w:t>
                  </w:r>
                </w:p>
              </w:tc>
              <w:tc>
                <w:tcPr>
                  <w:tcW w:w="995" w:type="pct"/>
                  <w:tcBorders>
                    <w:tl2br w:val="nil"/>
                    <w:tr2bl w:val="nil"/>
                  </w:tcBorders>
                  <w:vAlign w:val="center"/>
                </w:tcPr>
                <w:p>
                  <w:pPr>
                    <w:jc w:val="center"/>
                    <w:rPr>
                      <w:color w:val="FF0000"/>
                      <w:szCs w:val="21"/>
                    </w:rPr>
                  </w:pPr>
                  <w:r>
                    <w:rPr>
                      <w:rFonts w:hint="eastAsia"/>
                      <w:color w:val="FF0000"/>
                      <w:szCs w:val="21"/>
                    </w:rPr>
                    <w:t>49.5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11:47</w:t>
                  </w:r>
                </w:p>
              </w:tc>
              <w:tc>
                <w:tcPr>
                  <w:tcW w:w="995" w:type="pct"/>
                  <w:tcBorders>
                    <w:tl2br w:val="nil"/>
                    <w:tr2bl w:val="nil"/>
                  </w:tcBorders>
                  <w:vAlign w:val="center"/>
                </w:tcPr>
                <w:p>
                  <w:pPr>
                    <w:jc w:val="center"/>
                    <w:rPr>
                      <w:color w:val="FF0000"/>
                      <w:szCs w:val="21"/>
                    </w:rPr>
                  </w:pPr>
                  <w:r>
                    <w:rPr>
                      <w:rFonts w:hint="eastAsia"/>
                      <w:color w:val="FF0000"/>
                      <w:szCs w:val="21"/>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23:16</w:t>
                  </w:r>
                </w:p>
              </w:tc>
              <w:tc>
                <w:tcPr>
                  <w:tcW w:w="995" w:type="pct"/>
                  <w:tcBorders>
                    <w:tl2br w:val="nil"/>
                    <w:tr2bl w:val="nil"/>
                  </w:tcBorders>
                  <w:vAlign w:val="center"/>
                </w:tcPr>
                <w:p>
                  <w:pPr>
                    <w:jc w:val="center"/>
                    <w:rPr>
                      <w:color w:val="FF0000"/>
                      <w:szCs w:val="21"/>
                    </w:rPr>
                  </w:pPr>
                  <w:r>
                    <w:rPr>
                      <w:rFonts w:hint="eastAsia"/>
                      <w:color w:val="FF0000"/>
                      <w:szCs w:val="21"/>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rFonts w:hint="eastAsia"/>
                      <w:color w:val="FF0000"/>
                      <w:szCs w:val="21"/>
                    </w:rPr>
                    <w:t>7</w:t>
                  </w:r>
                  <w:r>
                    <w:rPr>
                      <w:color w:val="FF0000"/>
                      <w:szCs w:val="21"/>
                    </w:rPr>
                    <w:t>#</w:t>
                  </w:r>
                </w:p>
                <w:p>
                  <w:pPr>
                    <w:jc w:val="center"/>
                    <w:rPr>
                      <w:color w:val="FF0000"/>
                      <w:szCs w:val="21"/>
                    </w:rPr>
                  </w:pPr>
                  <w:r>
                    <w:rPr>
                      <w:rFonts w:hint="eastAsia"/>
                      <w:color w:val="FF0000"/>
                      <w:szCs w:val="21"/>
                    </w:rPr>
                    <w:t>顺化330kV</w:t>
                  </w:r>
                  <w:r>
                    <w:rPr>
                      <w:color w:val="FF0000"/>
                      <w:szCs w:val="21"/>
                    </w:rPr>
                    <w:t>变电站</w:t>
                  </w:r>
                  <w:r>
                    <w:rPr>
                      <w:rFonts w:hint="eastAsia"/>
                      <w:color w:val="FF0000"/>
                      <w:szCs w:val="21"/>
                    </w:rPr>
                    <w:t>南侧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16:52</w:t>
                  </w:r>
                </w:p>
              </w:tc>
              <w:tc>
                <w:tcPr>
                  <w:tcW w:w="995" w:type="pct"/>
                  <w:tcBorders>
                    <w:tl2br w:val="nil"/>
                    <w:tr2bl w:val="nil"/>
                  </w:tcBorders>
                  <w:vAlign w:val="center"/>
                </w:tcPr>
                <w:p>
                  <w:pPr>
                    <w:jc w:val="center"/>
                    <w:rPr>
                      <w:color w:val="FF0000"/>
                      <w:szCs w:val="21"/>
                    </w:rPr>
                  </w:pPr>
                  <w:r>
                    <w:rPr>
                      <w:rFonts w:hint="eastAsia"/>
                      <w:color w:val="FF0000"/>
                      <w:szCs w:val="21"/>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23:38</w:t>
                  </w:r>
                </w:p>
              </w:tc>
              <w:tc>
                <w:tcPr>
                  <w:tcW w:w="995" w:type="pct"/>
                  <w:tcBorders>
                    <w:tl2br w:val="nil"/>
                    <w:tr2bl w:val="nil"/>
                  </w:tcBorders>
                  <w:vAlign w:val="center"/>
                </w:tcPr>
                <w:p>
                  <w:pPr>
                    <w:jc w:val="center"/>
                    <w:rPr>
                      <w:color w:val="FF0000"/>
                      <w:szCs w:val="21"/>
                    </w:rPr>
                  </w:pPr>
                  <w:r>
                    <w:rPr>
                      <w:rFonts w:hint="eastAsia"/>
                      <w:color w:val="FF0000"/>
                      <w:szCs w:val="21"/>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12:05</w:t>
                  </w:r>
                </w:p>
              </w:tc>
              <w:tc>
                <w:tcPr>
                  <w:tcW w:w="995" w:type="pct"/>
                  <w:tcBorders>
                    <w:tl2br w:val="nil"/>
                    <w:tr2bl w:val="nil"/>
                  </w:tcBorders>
                  <w:vAlign w:val="center"/>
                </w:tcPr>
                <w:p>
                  <w:pPr>
                    <w:jc w:val="center"/>
                    <w:rPr>
                      <w:color w:val="FF0000"/>
                      <w:szCs w:val="21"/>
                    </w:rPr>
                  </w:pPr>
                  <w:r>
                    <w:rPr>
                      <w:rFonts w:hint="eastAsia"/>
                      <w:color w:val="FF0000"/>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23:31</w:t>
                  </w:r>
                </w:p>
              </w:tc>
              <w:tc>
                <w:tcPr>
                  <w:tcW w:w="995" w:type="pct"/>
                  <w:tcBorders>
                    <w:tl2br w:val="nil"/>
                    <w:tr2bl w:val="nil"/>
                  </w:tcBorders>
                  <w:vAlign w:val="center"/>
                </w:tcPr>
                <w:p>
                  <w:pPr>
                    <w:jc w:val="center"/>
                    <w:rPr>
                      <w:color w:val="FF0000"/>
                      <w:szCs w:val="21"/>
                    </w:rPr>
                  </w:pPr>
                  <w:r>
                    <w:rPr>
                      <w:rFonts w:hint="eastAsia"/>
                      <w:color w:val="FF0000"/>
                      <w:szCs w:val="21"/>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rFonts w:hint="eastAsia"/>
                      <w:color w:val="FF0000"/>
                      <w:szCs w:val="21"/>
                    </w:rPr>
                    <w:t>8</w:t>
                  </w:r>
                  <w:r>
                    <w:rPr>
                      <w:color w:val="FF0000"/>
                      <w:szCs w:val="21"/>
                    </w:rPr>
                    <w:t>#</w:t>
                  </w:r>
                </w:p>
                <w:p>
                  <w:pPr>
                    <w:jc w:val="center"/>
                    <w:rPr>
                      <w:color w:val="FF0000"/>
                      <w:szCs w:val="21"/>
                    </w:rPr>
                  </w:pPr>
                  <w:r>
                    <w:rPr>
                      <w:rFonts w:hint="eastAsia"/>
                      <w:color w:val="FF0000"/>
                      <w:szCs w:val="21"/>
                    </w:rPr>
                    <w:t>顺化330kV</w:t>
                  </w:r>
                  <w:r>
                    <w:rPr>
                      <w:color w:val="FF0000"/>
                      <w:szCs w:val="21"/>
                    </w:rPr>
                    <w:t>变电站</w:t>
                  </w:r>
                  <w:r>
                    <w:rPr>
                      <w:rFonts w:hint="eastAsia"/>
                      <w:color w:val="FF0000"/>
                      <w:szCs w:val="21"/>
                    </w:rPr>
                    <w:t>西侧</w:t>
                  </w: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17:10</w:t>
                  </w:r>
                </w:p>
              </w:tc>
              <w:tc>
                <w:tcPr>
                  <w:tcW w:w="995" w:type="pct"/>
                  <w:tcBorders>
                    <w:tl2br w:val="nil"/>
                    <w:tr2bl w:val="nil"/>
                  </w:tcBorders>
                  <w:vAlign w:val="center"/>
                </w:tcPr>
                <w:p>
                  <w:pPr>
                    <w:jc w:val="center"/>
                    <w:rPr>
                      <w:color w:val="FF0000"/>
                      <w:szCs w:val="21"/>
                    </w:rPr>
                  </w:pPr>
                  <w:r>
                    <w:rPr>
                      <w:rFonts w:hint="eastAsia"/>
                      <w:color w:val="FF0000"/>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23:54</w:t>
                  </w:r>
                </w:p>
              </w:tc>
              <w:tc>
                <w:tcPr>
                  <w:tcW w:w="995" w:type="pct"/>
                  <w:tcBorders>
                    <w:tl2br w:val="nil"/>
                    <w:tr2bl w:val="nil"/>
                  </w:tcBorders>
                  <w:vAlign w:val="center"/>
                </w:tcPr>
                <w:p>
                  <w:pPr>
                    <w:jc w:val="center"/>
                    <w:rPr>
                      <w:color w:val="FF0000"/>
                      <w:szCs w:val="21"/>
                    </w:rPr>
                  </w:pPr>
                  <w:r>
                    <w:rPr>
                      <w:rFonts w:hint="eastAsia"/>
                      <w:color w:val="FF0000"/>
                      <w:szCs w:val="21"/>
                    </w:rPr>
                    <w:t>46.9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restar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12:20</w:t>
                  </w:r>
                </w:p>
              </w:tc>
              <w:tc>
                <w:tcPr>
                  <w:tcW w:w="995" w:type="pct"/>
                  <w:tcBorders>
                    <w:tl2br w:val="nil"/>
                    <w:tr2bl w:val="nil"/>
                  </w:tcBorders>
                  <w:vAlign w:val="center"/>
                </w:tcPr>
                <w:p>
                  <w:pPr>
                    <w:jc w:val="center"/>
                    <w:rPr>
                      <w:color w:val="FF0000"/>
                      <w:szCs w:val="21"/>
                    </w:rPr>
                  </w:pPr>
                  <w:r>
                    <w:rPr>
                      <w:rFonts w:hint="eastAsia"/>
                      <w:color w:val="FF0000"/>
                      <w:szCs w:val="21"/>
                    </w:rPr>
                    <w:t>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vMerge w:val="continue"/>
                  <w:tcBorders>
                    <w:tl2br w:val="nil"/>
                    <w:tr2bl w:val="nil"/>
                  </w:tcBorders>
                  <w:vAlign w:val="center"/>
                </w:tcPr>
                <w:p>
                  <w:pPr>
                    <w:jc w:val="center"/>
                    <w:rPr>
                      <w:color w:val="FF0000"/>
                      <w:szCs w:val="21"/>
                    </w:rPr>
                  </w:pP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23:46</w:t>
                  </w:r>
                </w:p>
              </w:tc>
              <w:tc>
                <w:tcPr>
                  <w:tcW w:w="995" w:type="pct"/>
                  <w:tcBorders>
                    <w:tl2br w:val="nil"/>
                    <w:tr2bl w:val="nil"/>
                  </w:tcBorders>
                  <w:vAlign w:val="center"/>
                </w:tcPr>
                <w:p>
                  <w:pPr>
                    <w:jc w:val="center"/>
                    <w:rPr>
                      <w:color w:val="FF0000"/>
                      <w:szCs w:val="21"/>
                    </w:rPr>
                  </w:pPr>
                  <w:r>
                    <w:rPr>
                      <w:rFonts w:hint="eastAsia"/>
                      <w:color w:val="FF0000"/>
                      <w:szCs w:val="21"/>
                    </w:rPr>
                    <w:t>46.6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rFonts w:hint="eastAsia"/>
                      <w:color w:val="FF0000"/>
                      <w:szCs w:val="21"/>
                    </w:rPr>
                    <w:t>9</w:t>
                  </w:r>
                  <w:r>
                    <w:rPr>
                      <w:color w:val="FF0000"/>
                      <w:szCs w:val="21"/>
                    </w:rPr>
                    <w:t>#</w:t>
                  </w:r>
                </w:p>
                <w:p>
                  <w:pPr>
                    <w:jc w:val="center"/>
                    <w:rPr>
                      <w:color w:val="FF0000"/>
                      <w:szCs w:val="21"/>
                    </w:rPr>
                  </w:pPr>
                  <w:r>
                    <w:rPr>
                      <w:rFonts w:hint="eastAsia"/>
                      <w:color w:val="FF0000"/>
                      <w:szCs w:val="21"/>
                    </w:rPr>
                    <w:t>顺化330kV</w:t>
                  </w:r>
                  <w:r>
                    <w:rPr>
                      <w:color w:val="FF0000"/>
                      <w:szCs w:val="21"/>
                    </w:rPr>
                    <w:t>变电站</w:t>
                  </w:r>
                  <w:r>
                    <w:rPr>
                      <w:rFonts w:hint="eastAsia"/>
                      <w:color w:val="FF0000"/>
                      <w:szCs w:val="21"/>
                    </w:rPr>
                    <w:t>北侧</w:t>
                  </w: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17:27</w:t>
                  </w:r>
                </w:p>
              </w:tc>
              <w:tc>
                <w:tcPr>
                  <w:tcW w:w="995" w:type="pct"/>
                  <w:tcBorders>
                    <w:tl2br w:val="nil"/>
                    <w:tr2bl w:val="nil"/>
                  </w:tcBorders>
                  <w:vAlign w:val="center"/>
                </w:tcPr>
                <w:p>
                  <w:pPr>
                    <w:jc w:val="center"/>
                    <w:rPr>
                      <w:color w:val="FF0000"/>
                      <w:szCs w:val="21"/>
                    </w:rPr>
                  </w:pPr>
                  <w:r>
                    <w:rPr>
                      <w:rFonts w:hint="eastAsia"/>
                      <w:color w:val="FF0000"/>
                      <w:szCs w:val="21"/>
                    </w:rPr>
                    <w:t>51.8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00:10</w:t>
                  </w:r>
                </w:p>
              </w:tc>
              <w:tc>
                <w:tcPr>
                  <w:tcW w:w="995" w:type="pct"/>
                  <w:tcBorders>
                    <w:tl2br w:val="nil"/>
                    <w:tr2bl w:val="nil"/>
                  </w:tcBorders>
                  <w:vAlign w:val="center"/>
                </w:tcPr>
                <w:p>
                  <w:pPr>
                    <w:jc w:val="center"/>
                    <w:rPr>
                      <w:color w:val="FF0000"/>
                      <w:szCs w:val="21"/>
                    </w:rPr>
                  </w:pPr>
                  <w:r>
                    <w:rPr>
                      <w:rFonts w:hint="eastAsia"/>
                      <w:color w:val="FF0000"/>
                      <w:szCs w:val="21"/>
                    </w:rPr>
                    <w:t>48.6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12:36</w:t>
                  </w:r>
                </w:p>
              </w:tc>
              <w:tc>
                <w:tcPr>
                  <w:tcW w:w="995" w:type="pct"/>
                  <w:tcBorders>
                    <w:tl2br w:val="nil"/>
                    <w:tr2bl w:val="nil"/>
                  </w:tcBorders>
                  <w:vAlign w:val="center"/>
                </w:tcPr>
                <w:p>
                  <w:pPr>
                    <w:jc w:val="center"/>
                    <w:rPr>
                      <w:color w:val="FF0000"/>
                      <w:szCs w:val="21"/>
                    </w:rPr>
                  </w:pPr>
                  <w:r>
                    <w:rPr>
                      <w:rFonts w:hint="eastAsia"/>
                      <w:color w:val="FF0000"/>
                      <w:szCs w:val="21"/>
                    </w:rPr>
                    <w:t>51.4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2.04.17</w:t>
                  </w: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00:02</w:t>
                  </w:r>
                </w:p>
              </w:tc>
              <w:tc>
                <w:tcPr>
                  <w:tcW w:w="995" w:type="pct"/>
                  <w:tcBorders>
                    <w:tl2br w:val="nil"/>
                    <w:tr2bl w:val="nil"/>
                  </w:tcBorders>
                  <w:vAlign w:val="center"/>
                </w:tcPr>
                <w:p>
                  <w:pPr>
                    <w:jc w:val="center"/>
                    <w:rPr>
                      <w:color w:val="FF0000"/>
                      <w:szCs w:val="21"/>
                    </w:rPr>
                  </w:pPr>
                  <w:r>
                    <w:rPr>
                      <w:rFonts w:hint="eastAsia"/>
                      <w:color w:val="FF0000"/>
                      <w:szCs w:val="21"/>
                    </w:rPr>
                    <w:t>48.3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restart"/>
                  <w:tcBorders>
                    <w:tl2br w:val="nil"/>
                    <w:tr2bl w:val="nil"/>
                  </w:tcBorders>
                  <w:vAlign w:val="center"/>
                </w:tcPr>
                <w:p>
                  <w:pPr>
                    <w:jc w:val="center"/>
                    <w:rPr>
                      <w:color w:val="FF0000"/>
                      <w:szCs w:val="21"/>
                    </w:rPr>
                  </w:pPr>
                  <w:r>
                    <w:rPr>
                      <w:rFonts w:hint="eastAsia"/>
                      <w:color w:val="FF0000"/>
                      <w:szCs w:val="21"/>
                    </w:rPr>
                    <w:t>10</w:t>
                  </w:r>
                  <w:r>
                    <w:rPr>
                      <w:color w:val="FF0000"/>
                      <w:szCs w:val="21"/>
                    </w:rPr>
                    <w:t>#</w:t>
                  </w:r>
                </w:p>
                <w:p>
                  <w:pPr>
                    <w:jc w:val="center"/>
                    <w:rPr>
                      <w:color w:val="FF0000"/>
                      <w:szCs w:val="21"/>
                    </w:rPr>
                  </w:pPr>
                  <w:r>
                    <w:rPr>
                      <w:rFonts w:hint="eastAsia"/>
                      <w:color w:val="FF0000"/>
                      <w:szCs w:val="21"/>
                    </w:rPr>
                    <w:t>顺化330kV变电站南侧扩建间隔处</w:t>
                  </w: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2.04.15</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17:48</w:t>
                  </w:r>
                </w:p>
              </w:tc>
              <w:tc>
                <w:tcPr>
                  <w:tcW w:w="995" w:type="pct"/>
                  <w:tcBorders>
                    <w:tl2br w:val="nil"/>
                    <w:tr2bl w:val="nil"/>
                  </w:tcBorders>
                  <w:vAlign w:val="center"/>
                </w:tcPr>
                <w:p>
                  <w:pPr>
                    <w:jc w:val="center"/>
                    <w:rPr>
                      <w:color w:val="FF0000"/>
                      <w:szCs w:val="21"/>
                    </w:rPr>
                  </w:pPr>
                  <w:r>
                    <w:rPr>
                      <w:rFonts w:hint="eastAsia"/>
                      <w:color w:val="FF0000"/>
                      <w:szCs w:val="21"/>
                    </w:rPr>
                    <w:t>51.3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00:27</w:t>
                  </w:r>
                </w:p>
              </w:tc>
              <w:tc>
                <w:tcPr>
                  <w:tcW w:w="995" w:type="pct"/>
                  <w:tcBorders>
                    <w:tl2br w:val="nil"/>
                    <w:tr2bl w:val="nil"/>
                  </w:tcBorders>
                  <w:vAlign w:val="center"/>
                </w:tcPr>
                <w:p>
                  <w:pPr>
                    <w:jc w:val="center"/>
                    <w:rPr>
                      <w:color w:val="FF0000"/>
                      <w:szCs w:val="21"/>
                    </w:rPr>
                  </w:pPr>
                  <w:r>
                    <w:rPr>
                      <w:rFonts w:hint="eastAsia"/>
                      <w:color w:val="FF0000"/>
                      <w:szCs w:val="21"/>
                    </w:rPr>
                    <w:t>48.2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2.04.16</w:t>
                  </w:r>
                </w:p>
              </w:tc>
              <w:tc>
                <w:tcPr>
                  <w:tcW w:w="672" w:type="pct"/>
                  <w:tcBorders>
                    <w:tl2br w:val="nil"/>
                    <w:tr2bl w:val="nil"/>
                  </w:tcBorders>
                  <w:vAlign w:val="center"/>
                </w:tcPr>
                <w:p>
                  <w:pPr>
                    <w:jc w:val="center"/>
                    <w:rPr>
                      <w:color w:val="FF0000"/>
                      <w:szCs w:val="21"/>
                    </w:rPr>
                  </w:pPr>
                  <w:r>
                    <w:rPr>
                      <w:color w:val="FF0000"/>
                      <w:szCs w:val="21"/>
                    </w:rPr>
                    <w:t>昼间</w:t>
                  </w:r>
                </w:p>
              </w:tc>
              <w:tc>
                <w:tcPr>
                  <w:tcW w:w="892" w:type="pct"/>
                  <w:tcBorders>
                    <w:tl2br w:val="nil"/>
                    <w:tr2bl w:val="nil"/>
                  </w:tcBorders>
                  <w:vAlign w:val="center"/>
                </w:tcPr>
                <w:p>
                  <w:pPr>
                    <w:jc w:val="center"/>
                    <w:rPr>
                      <w:color w:val="FF0000"/>
                      <w:szCs w:val="21"/>
                    </w:rPr>
                  </w:pPr>
                  <w:r>
                    <w:rPr>
                      <w:rFonts w:hint="eastAsia"/>
                      <w:color w:val="FF0000"/>
                      <w:szCs w:val="21"/>
                    </w:rPr>
                    <w:t>12:55</w:t>
                  </w:r>
                </w:p>
              </w:tc>
              <w:tc>
                <w:tcPr>
                  <w:tcW w:w="995" w:type="pct"/>
                  <w:tcBorders>
                    <w:tl2br w:val="nil"/>
                    <w:tr2bl w:val="nil"/>
                  </w:tcBorders>
                  <w:vAlign w:val="center"/>
                </w:tcPr>
                <w:p>
                  <w:pPr>
                    <w:jc w:val="center"/>
                    <w:rPr>
                      <w:color w:val="FF0000"/>
                      <w:szCs w:val="21"/>
                    </w:rPr>
                  </w:pPr>
                  <w:r>
                    <w:rPr>
                      <w:rFonts w:hint="eastAsia"/>
                      <w:color w:val="FF0000"/>
                      <w:szCs w:val="21"/>
                    </w:rPr>
                    <w:t>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8" w:type="pct"/>
                  <w:vMerge w:val="continue"/>
                  <w:tcBorders>
                    <w:tl2br w:val="nil"/>
                    <w:tr2bl w:val="nil"/>
                  </w:tcBorders>
                  <w:vAlign w:val="center"/>
                </w:tcPr>
                <w:p>
                  <w:pPr>
                    <w:jc w:val="center"/>
                    <w:rPr>
                      <w:color w:val="FF0000"/>
                      <w:szCs w:val="21"/>
                    </w:rPr>
                  </w:pPr>
                </w:p>
              </w:tc>
              <w:tc>
                <w:tcPr>
                  <w:tcW w:w="750" w:type="pct"/>
                  <w:tcBorders>
                    <w:tl2br w:val="nil"/>
                    <w:tr2bl w:val="nil"/>
                  </w:tcBorders>
                  <w:vAlign w:val="center"/>
                </w:tcPr>
                <w:p>
                  <w:pPr>
                    <w:jc w:val="center"/>
                    <w:rPr>
                      <w:color w:val="FF0000"/>
                      <w:szCs w:val="21"/>
                    </w:rPr>
                  </w:pPr>
                  <w:r>
                    <w:rPr>
                      <w:color w:val="FF0000"/>
                      <w:szCs w:val="21"/>
                    </w:rPr>
                    <w:t>202</w:t>
                  </w:r>
                  <w:r>
                    <w:rPr>
                      <w:rFonts w:hint="eastAsia"/>
                      <w:color w:val="FF0000"/>
                      <w:szCs w:val="21"/>
                    </w:rPr>
                    <w:t>2.04.17</w:t>
                  </w:r>
                </w:p>
              </w:tc>
              <w:tc>
                <w:tcPr>
                  <w:tcW w:w="672" w:type="pct"/>
                  <w:tcBorders>
                    <w:tl2br w:val="nil"/>
                    <w:tr2bl w:val="nil"/>
                  </w:tcBorders>
                  <w:vAlign w:val="center"/>
                </w:tcPr>
                <w:p>
                  <w:pPr>
                    <w:jc w:val="center"/>
                    <w:rPr>
                      <w:color w:val="FF0000"/>
                      <w:szCs w:val="21"/>
                    </w:rPr>
                  </w:pPr>
                  <w:r>
                    <w:rPr>
                      <w:color w:val="FF0000"/>
                      <w:szCs w:val="21"/>
                    </w:rPr>
                    <w:t>夜间</w:t>
                  </w:r>
                </w:p>
              </w:tc>
              <w:tc>
                <w:tcPr>
                  <w:tcW w:w="892" w:type="pct"/>
                  <w:tcBorders>
                    <w:tl2br w:val="nil"/>
                    <w:tr2bl w:val="nil"/>
                  </w:tcBorders>
                  <w:vAlign w:val="center"/>
                </w:tcPr>
                <w:p>
                  <w:pPr>
                    <w:jc w:val="center"/>
                    <w:rPr>
                      <w:color w:val="FF0000"/>
                      <w:szCs w:val="21"/>
                    </w:rPr>
                  </w:pPr>
                  <w:r>
                    <w:rPr>
                      <w:rFonts w:hint="eastAsia"/>
                      <w:color w:val="FF0000"/>
                      <w:szCs w:val="21"/>
                    </w:rPr>
                    <w:t>00:18</w:t>
                  </w:r>
                </w:p>
              </w:tc>
              <w:tc>
                <w:tcPr>
                  <w:tcW w:w="995" w:type="pct"/>
                  <w:tcBorders>
                    <w:tl2br w:val="nil"/>
                    <w:tr2bl w:val="nil"/>
                  </w:tcBorders>
                  <w:vAlign w:val="center"/>
                </w:tcPr>
                <w:p>
                  <w:pPr>
                    <w:jc w:val="center"/>
                    <w:rPr>
                      <w:color w:val="FF0000"/>
                      <w:szCs w:val="21"/>
                    </w:rPr>
                  </w:pPr>
                  <w:r>
                    <w:rPr>
                      <w:rFonts w:hint="eastAsia"/>
                      <w:color w:val="FF0000"/>
                      <w:szCs w:val="21"/>
                    </w:rPr>
                    <w:t>47.7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tcBorders>
                    <w:tl2br w:val="nil"/>
                    <w:tr2bl w:val="nil"/>
                  </w:tcBorders>
                  <w:vAlign w:val="center"/>
                </w:tcPr>
                <w:p>
                  <w:pPr>
                    <w:rPr>
                      <w:color w:val="FF0000"/>
                      <w:szCs w:val="21"/>
                    </w:rPr>
                  </w:pPr>
                  <w:r>
                    <w:rPr>
                      <w:rFonts w:hint="eastAsia"/>
                      <w:color w:val="FF0000"/>
                      <w:szCs w:val="21"/>
                    </w:rPr>
                    <w:t>注：昼间是指06:00-22:00之间的时段，夜间是指22:00-次日06:00之间的时段。</w:t>
                  </w:r>
                </w:p>
              </w:tc>
            </w:tr>
          </w:tbl>
          <w:p>
            <w:pPr>
              <w:adjustRightInd w:val="0"/>
              <w:snapToGrid w:val="0"/>
              <w:spacing w:before="120" w:beforeLines="50" w:line="360" w:lineRule="auto"/>
              <w:ind w:firstLine="480" w:firstLineChars="200"/>
              <w:rPr>
                <w:color w:val="FF0000"/>
                <w:sz w:val="24"/>
              </w:rPr>
            </w:pPr>
            <w:r>
              <w:rPr>
                <w:rFonts w:hint="eastAsia"/>
                <w:color w:val="FF0000"/>
                <w:sz w:val="24"/>
              </w:rPr>
              <w:t>由上表可知，储能电站四周声环境质量昼间45.3~48.7dB（A），夜间39.3~43.5dB（A），满足</w:t>
            </w:r>
            <w:r>
              <w:rPr>
                <w:color w:val="FF0000"/>
                <w:spacing w:val="-3"/>
                <w:position w:val="1"/>
                <w:sz w:val="24"/>
              </w:rPr>
              <w:t>《声环境质量</w:t>
            </w:r>
            <w:r>
              <w:rPr>
                <w:color w:val="FF0000"/>
                <w:spacing w:val="-8"/>
                <w:sz w:val="24"/>
              </w:rPr>
              <w:t>标准》（GB3096-2008）2类标准</w:t>
            </w:r>
            <w:r>
              <w:rPr>
                <w:rFonts w:hint="eastAsia"/>
                <w:color w:val="FF0000"/>
                <w:spacing w:val="-8"/>
                <w:sz w:val="24"/>
              </w:rPr>
              <w:t>限值要求；</w:t>
            </w:r>
            <w:r>
              <w:rPr>
                <w:rFonts w:hint="eastAsia"/>
                <w:color w:val="FF0000"/>
                <w:sz w:val="24"/>
              </w:rPr>
              <w:t>输电线路路径区域噪声监测值为昼间47.2dB（A），夜间41.4dB（A），满足</w:t>
            </w:r>
            <w:r>
              <w:rPr>
                <w:color w:val="FF0000"/>
                <w:spacing w:val="-3"/>
                <w:position w:val="1"/>
                <w:sz w:val="24"/>
              </w:rPr>
              <w:t>《声环境质量</w:t>
            </w:r>
            <w:r>
              <w:rPr>
                <w:color w:val="FF0000"/>
                <w:spacing w:val="-8"/>
                <w:sz w:val="24"/>
              </w:rPr>
              <w:t>标准》（GB3096-2008）</w:t>
            </w:r>
            <w:r>
              <w:rPr>
                <w:rFonts w:hint="eastAsia"/>
                <w:color w:val="FF0000"/>
                <w:spacing w:val="-8"/>
                <w:sz w:val="24"/>
              </w:rPr>
              <w:t>1</w:t>
            </w:r>
            <w:r>
              <w:rPr>
                <w:color w:val="FF0000"/>
                <w:spacing w:val="-8"/>
                <w:sz w:val="24"/>
              </w:rPr>
              <w:t>类标准</w:t>
            </w:r>
            <w:r>
              <w:rPr>
                <w:rFonts w:hint="eastAsia"/>
                <w:color w:val="FF0000"/>
                <w:spacing w:val="-8"/>
                <w:sz w:val="24"/>
              </w:rPr>
              <w:t>限值要求；</w:t>
            </w:r>
            <w:r>
              <w:rPr>
                <w:rFonts w:hint="eastAsia"/>
                <w:color w:val="FF0000"/>
                <w:sz w:val="24"/>
              </w:rPr>
              <w:t>顺化330kV变电站四周声环境质量昼间48.7~52.9dB（A），夜间46.0~49.5dB（A），扩建间隔处昼间51.3dB（A），夜间48.2dB（A），均满足</w:t>
            </w:r>
            <w:r>
              <w:rPr>
                <w:color w:val="FF0000"/>
                <w:spacing w:val="-3"/>
                <w:position w:val="1"/>
                <w:sz w:val="24"/>
              </w:rPr>
              <w:t>《声环境质量</w:t>
            </w:r>
            <w:r>
              <w:rPr>
                <w:color w:val="FF0000"/>
                <w:spacing w:val="-8"/>
                <w:sz w:val="24"/>
              </w:rPr>
              <w:t>标准》（GB3096-2008）2类标准</w:t>
            </w:r>
            <w:r>
              <w:rPr>
                <w:rFonts w:hint="eastAsia"/>
                <w:color w:val="FF0000"/>
                <w:spacing w:val="-8"/>
                <w:sz w:val="24"/>
              </w:rPr>
              <w:t>限值要求，区域声环境质量良好。</w:t>
            </w:r>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r>
              <w:rPr>
                <w:rFonts w:hint="eastAsia" w:ascii="Times New Roman" w:hAnsi="Times New Roman" w:cs="Times New Roman"/>
                <w:sz w:val="24"/>
                <w:szCs w:val="24"/>
                <w:lang w:eastAsia="zh-CN"/>
              </w:rPr>
              <w:t>3.2</w:t>
            </w:r>
            <w:r>
              <w:rPr>
                <w:rFonts w:ascii="Times New Roman" w:hAnsi="Times New Roman" w:cs="Times New Roman"/>
                <w:sz w:val="24"/>
                <w:szCs w:val="24"/>
                <w:lang w:eastAsia="zh-CN"/>
              </w:rPr>
              <w:t>.4生态环境现状</w:t>
            </w:r>
            <w:bookmarkEnd w:id="92"/>
          </w:p>
          <w:p>
            <w:pPr>
              <w:adjustRightInd w:val="0"/>
              <w:snapToGrid w:val="0"/>
              <w:spacing w:line="360" w:lineRule="auto"/>
              <w:ind w:firstLine="482" w:firstLineChars="200"/>
              <w:rPr>
                <w:kern w:val="0"/>
                <w:sz w:val="24"/>
              </w:rPr>
            </w:pPr>
            <w:r>
              <w:rPr>
                <w:b/>
                <w:bCs/>
                <w:kern w:val="0"/>
                <w:sz w:val="24"/>
              </w:rPr>
              <w:t>3.</w:t>
            </w:r>
            <w:r>
              <w:rPr>
                <w:rFonts w:hint="eastAsia"/>
                <w:b/>
                <w:bCs/>
                <w:kern w:val="0"/>
                <w:sz w:val="24"/>
              </w:rPr>
              <w:t>2.4.1</w:t>
            </w:r>
            <w:r>
              <w:rPr>
                <w:b/>
                <w:bCs/>
                <w:kern w:val="0"/>
                <w:sz w:val="24"/>
              </w:rPr>
              <w:t>生态功能区划</w:t>
            </w:r>
          </w:p>
          <w:p>
            <w:pPr>
              <w:adjustRightInd w:val="0"/>
              <w:snapToGrid w:val="0"/>
              <w:spacing w:line="360" w:lineRule="auto"/>
              <w:ind w:firstLine="480" w:firstLineChars="200"/>
              <w:jc w:val="left"/>
              <w:rPr>
                <w:kern w:val="0"/>
                <w:sz w:val="24"/>
              </w:rPr>
            </w:pPr>
            <w:r>
              <w:rPr>
                <w:kern w:val="0"/>
                <w:sz w:val="24"/>
              </w:rPr>
              <w:t>（1）甘肃省生态功能区划</w:t>
            </w:r>
          </w:p>
          <w:p>
            <w:pPr>
              <w:adjustRightInd w:val="0"/>
              <w:snapToGrid w:val="0"/>
              <w:spacing w:line="360" w:lineRule="auto"/>
              <w:ind w:firstLine="480" w:firstLineChars="200"/>
              <w:jc w:val="left"/>
              <w:rPr>
                <w:kern w:val="0"/>
                <w:sz w:val="24"/>
              </w:rPr>
            </w:pPr>
            <w:r>
              <w:rPr>
                <w:kern w:val="0"/>
                <w:sz w:val="24"/>
              </w:rPr>
              <w:t>根据《甘肃省生态功能区划》，项目所在地属于内蒙古中西部干旱荒漠生态区，河西走廊干旱荒漠、绿洲农业生态亚区，绿洲</w:t>
            </w:r>
            <w:r>
              <w:rPr>
                <w:rFonts w:hint="eastAsia"/>
                <w:kern w:val="0"/>
                <w:sz w:val="24"/>
              </w:rPr>
              <w:t>两侧农牧业及沙漠化控制</w:t>
            </w:r>
            <w:r>
              <w:rPr>
                <w:kern w:val="0"/>
                <w:sz w:val="24"/>
              </w:rPr>
              <w:t>生态功能区。</w:t>
            </w:r>
            <w:r>
              <w:rPr>
                <w:rFonts w:hint="eastAsia"/>
                <w:kern w:val="0"/>
                <w:sz w:val="24"/>
              </w:rPr>
              <w:t>项目在</w:t>
            </w:r>
            <w:r>
              <w:rPr>
                <w:kern w:val="0"/>
                <w:sz w:val="24"/>
              </w:rPr>
              <w:t>甘肃省生态功能区划</w:t>
            </w:r>
            <w:r>
              <w:rPr>
                <w:rFonts w:hint="eastAsia"/>
                <w:kern w:val="0"/>
                <w:sz w:val="24"/>
              </w:rPr>
              <w:t>中的位置</w:t>
            </w:r>
            <w:r>
              <w:rPr>
                <w:kern w:val="0"/>
                <w:sz w:val="24"/>
              </w:rPr>
              <w:t>见附图</w:t>
            </w:r>
            <w:r>
              <w:rPr>
                <w:rFonts w:hint="eastAsia"/>
                <w:kern w:val="0"/>
                <w:sz w:val="24"/>
              </w:rPr>
              <w:t>7</w:t>
            </w:r>
            <w:r>
              <w:rPr>
                <w:kern w:val="0"/>
                <w:sz w:val="24"/>
              </w:rPr>
              <w:t>。</w:t>
            </w:r>
          </w:p>
          <w:p>
            <w:pPr>
              <w:adjustRightInd w:val="0"/>
              <w:snapToGrid w:val="0"/>
              <w:spacing w:line="360" w:lineRule="auto"/>
              <w:ind w:firstLine="480" w:firstLineChars="200"/>
              <w:jc w:val="left"/>
              <w:rPr>
                <w:kern w:val="0"/>
                <w:sz w:val="24"/>
              </w:rPr>
            </w:pPr>
            <w:r>
              <w:rPr>
                <w:kern w:val="0"/>
                <w:sz w:val="24"/>
              </w:rPr>
              <w:t>（2）张掖市生态功能区划</w:t>
            </w:r>
          </w:p>
          <w:p>
            <w:pPr>
              <w:adjustRightInd w:val="0"/>
              <w:snapToGrid w:val="0"/>
              <w:spacing w:line="360" w:lineRule="auto"/>
              <w:ind w:firstLine="480" w:firstLineChars="200"/>
              <w:jc w:val="left"/>
              <w:rPr>
                <w:kern w:val="0"/>
                <w:sz w:val="24"/>
              </w:rPr>
            </w:pPr>
            <w:r>
              <w:rPr>
                <w:kern w:val="0"/>
                <w:sz w:val="24"/>
              </w:rPr>
              <w:t>根据《张掖市生态功能区划图》（2012年），项目所在地生态功能区为Ⅱ类，即：Ⅱ-2中部绿洲灌溉农业发展亚区。</w:t>
            </w:r>
            <w:r>
              <w:rPr>
                <w:rFonts w:hint="eastAsia"/>
                <w:kern w:val="0"/>
                <w:sz w:val="24"/>
              </w:rPr>
              <w:t>项目在</w:t>
            </w:r>
            <w:r>
              <w:rPr>
                <w:kern w:val="0"/>
                <w:sz w:val="24"/>
              </w:rPr>
              <w:t>张掖市生态功能区划</w:t>
            </w:r>
            <w:r>
              <w:rPr>
                <w:rFonts w:hint="eastAsia"/>
                <w:kern w:val="0"/>
                <w:sz w:val="24"/>
              </w:rPr>
              <w:t>中的位置</w:t>
            </w:r>
            <w:r>
              <w:rPr>
                <w:kern w:val="0"/>
                <w:sz w:val="24"/>
              </w:rPr>
              <w:t>见附图</w:t>
            </w:r>
            <w:r>
              <w:rPr>
                <w:rFonts w:hint="eastAsia"/>
                <w:kern w:val="0"/>
                <w:sz w:val="24"/>
              </w:rPr>
              <w:t>8</w:t>
            </w:r>
            <w:r>
              <w:rPr>
                <w:kern w:val="0"/>
                <w:sz w:val="24"/>
              </w:rPr>
              <w:t>。</w:t>
            </w:r>
          </w:p>
          <w:p>
            <w:pPr>
              <w:adjustRightInd w:val="0"/>
              <w:snapToGrid w:val="0"/>
              <w:spacing w:line="360" w:lineRule="auto"/>
              <w:ind w:firstLine="482" w:firstLineChars="200"/>
              <w:jc w:val="left"/>
              <w:rPr>
                <w:b/>
                <w:bCs/>
                <w:kern w:val="0"/>
                <w:sz w:val="24"/>
              </w:rPr>
            </w:pPr>
            <w:r>
              <w:rPr>
                <w:b/>
                <w:bCs/>
                <w:kern w:val="0"/>
                <w:sz w:val="24"/>
              </w:rPr>
              <w:t>3</w:t>
            </w:r>
            <w:r>
              <w:rPr>
                <w:rFonts w:hint="eastAsia"/>
                <w:b/>
                <w:bCs/>
                <w:kern w:val="0"/>
                <w:sz w:val="24"/>
              </w:rPr>
              <w:t>.2.4.2</w:t>
            </w:r>
            <w:r>
              <w:rPr>
                <w:b/>
                <w:bCs/>
                <w:kern w:val="0"/>
                <w:sz w:val="24"/>
              </w:rPr>
              <w:t>项目区域植被现状调查</w:t>
            </w:r>
          </w:p>
          <w:p>
            <w:pPr>
              <w:adjustRightInd w:val="0"/>
              <w:snapToGrid w:val="0"/>
              <w:spacing w:line="360" w:lineRule="auto"/>
              <w:ind w:firstLine="480" w:firstLineChars="200"/>
              <w:jc w:val="left"/>
              <w:rPr>
                <w:sz w:val="24"/>
              </w:rPr>
            </w:pPr>
            <w:r>
              <w:rPr>
                <w:sz w:val="24"/>
              </w:rPr>
              <w:t>（1）调查范围、方法和内容</w:t>
            </w:r>
          </w:p>
          <w:p>
            <w:pPr>
              <w:adjustRightInd w:val="0"/>
              <w:snapToGrid w:val="0"/>
              <w:spacing w:line="360" w:lineRule="auto"/>
              <w:ind w:firstLine="480" w:firstLineChars="200"/>
              <w:jc w:val="left"/>
              <w:rPr>
                <w:sz w:val="24"/>
              </w:rPr>
            </w:pPr>
            <w:r>
              <w:rPr>
                <w:sz w:val="24"/>
              </w:rPr>
              <w:t>①调查范围及时间</w:t>
            </w:r>
          </w:p>
          <w:p>
            <w:pPr>
              <w:adjustRightInd w:val="0"/>
              <w:snapToGrid w:val="0"/>
              <w:spacing w:line="360" w:lineRule="auto"/>
              <w:ind w:firstLine="480" w:firstLineChars="200"/>
              <w:jc w:val="left"/>
              <w:rPr>
                <w:sz w:val="24"/>
              </w:rPr>
            </w:pPr>
            <w:r>
              <w:rPr>
                <w:sz w:val="24"/>
              </w:rPr>
              <w:t>本次生态环境现状调查范围包括</w:t>
            </w:r>
            <w:r>
              <w:rPr>
                <w:rFonts w:hint="eastAsia"/>
                <w:sz w:val="24"/>
              </w:rPr>
              <w:t>项目占地</w:t>
            </w:r>
            <w:r>
              <w:rPr>
                <w:sz w:val="24"/>
              </w:rPr>
              <w:t>范围内及周边影响区（</w:t>
            </w:r>
            <w:r>
              <w:rPr>
                <w:rFonts w:hint="eastAsia"/>
                <w:sz w:val="24"/>
              </w:rPr>
              <w:t>储能电站</w:t>
            </w:r>
            <w:r>
              <w:rPr>
                <w:sz w:val="24"/>
              </w:rPr>
              <w:t>边界外扩500m</w:t>
            </w:r>
            <w:r>
              <w:rPr>
                <w:rFonts w:hint="eastAsia"/>
                <w:sz w:val="24"/>
              </w:rPr>
              <w:t>，输电线路为</w:t>
            </w:r>
            <w:r>
              <w:rPr>
                <w:rFonts w:hint="eastAsia"/>
                <w:sz w:val="24"/>
                <w:lang w:bidi="ar"/>
              </w:rPr>
              <w:t>导线地面投影外两侧各300m内的带状区域</w:t>
            </w:r>
            <w:r>
              <w:rPr>
                <w:sz w:val="24"/>
              </w:rPr>
              <w:t>），调查时间为202</w:t>
            </w:r>
            <w:r>
              <w:rPr>
                <w:rFonts w:hint="eastAsia"/>
                <w:sz w:val="24"/>
              </w:rPr>
              <w:t>2</w:t>
            </w:r>
            <w:r>
              <w:rPr>
                <w:sz w:val="24"/>
              </w:rPr>
              <w:t>年</w:t>
            </w:r>
            <w:r>
              <w:rPr>
                <w:rFonts w:hint="eastAsia"/>
                <w:sz w:val="24"/>
              </w:rPr>
              <w:t>3</w:t>
            </w:r>
            <w:r>
              <w:rPr>
                <w:sz w:val="24"/>
              </w:rPr>
              <w:t>月。</w:t>
            </w:r>
          </w:p>
          <w:p>
            <w:pPr>
              <w:adjustRightInd w:val="0"/>
              <w:snapToGrid w:val="0"/>
              <w:spacing w:line="360" w:lineRule="auto"/>
              <w:ind w:firstLine="480" w:firstLineChars="200"/>
              <w:jc w:val="left"/>
              <w:rPr>
                <w:sz w:val="24"/>
              </w:rPr>
            </w:pPr>
            <w:r>
              <w:rPr>
                <w:sz w:val="24"/>
              </w:rPr>
              <w:t>②调查内容</w:t>
            </w:r>
          </w:p>
          <w:p>
            <w:pPr>
              <w:adjustRightInd w:val="0"/>
              <w:snapToGrid w:val="0"/>
              <w:spacing w:line="360" w:lineRule="auto"/>
              <w:ind w:firstLine="480" w:firstLineChars="200"/>
              <w:jc w:val="left"/>
              <w:rPr>
                <w:sz w:val="24"/>
              </w:rPr>
            </w:pPr>
            <w:r>
              <w:rPr>
                <w:sz w:val="24"/>
              </w:rPr>
              <w:t>包括项目建设区域植被类型、土地利用现状、土壤侵蚀强度等主要生态环境要素信息。</w:t>
            </w:r>
          </w:p>
          <w:p>
            <w:pPr>
              <w:adjustRightInd w:val="0"/>
              <w:snapToGrid w:val="0"/>
              <w:spacing w:line="360" w:lineRule="auto"/>
              <w:ind w:firstLine="480" w:firstLineChars="200"/>
              <w:jc w:val="left"/>
              <w:rPr>
                <w:sz w:val="24"/>
              </w:rPr>
            </w:pPr>
            <w:r>
              <w:rPr>
                <w:sz w:val="24"/>
              </w:rPr>
              <w:t>③调查方法</w:t>
            </w:r>
          </w:p>
          <w:p>
            <w:pPr>
              <w:adjustRightInd w:val="0"/>
              <w:snapToGrid w:val="0"/>
              <w:spacing w:line="360" w:lineRule="auto"/>
              <w:ind w:firstLine="480" w:firstLineChars="200"/>
              <w:jc w:val="left"/>
              <w:rPr>
                <w:sz w:val="24"/>
              </w:rPr>
            </w:pPr>
            <w:r>
              <w:rPr>
                <w:sz w:val="24"/>
              </w:rPr>
              <w:t>为了科学准确地反映项目区植被类型、土地利用现状、土壤侵蚀强度等主要生态环境要素信息，本次工作采用3S技术结合的方法进行环境影响项目区生态环境信息的获取。首先，根据国家或相关行业规范，结合遥感图像的时相与空间分辨率，建立土地利用现状、植被类型、土壤侵蚀强度分类或分级体系；其次，对资源三号（ZY-3）遥感图像数据进行投影转换、几何纠正、直方图匹配等预处理；第三，以项目区资源三号（ZY-3）遥感影像为信息源，结合项目区的相关资料，建立基于土地利用现状、植被类型、土壤侵蚀强度的分类分级系统的遥感解译标志，采用人机交互目视判读对遥感数据进行解译，编制项目区土地利用现状、植被类型、土壤侵蚀强度生态环境专题图件。第四，采用专业制图软件ARCGIS进行专题图件数字化，并进行分类面积统计。</w:t>
            </w:r>
          </w:p>
          <w:p>
            <w:pPr>
              <w:adjustRightInd w:val="0"/>
              <w:snapToGrid w:val="0"/>
              <w:spacing w:line="360" w:lineRule="auto"/>
              <w:ind w:firstLine="480" w:firstLineChars="200"/>
              <w:jc w:val="left"/>
              <w:rPr>
                <w:sz w:val="24"/>
              </w:rPr>
            </w:pPr>
            <w:r>
              <w:rPr>
                <w:sz w:val="24"/>
              </w:rPr>
              <w:t>（2）遥感图像处理及其评价</w:t>
            </w:r>
          </w:p>
          <w:p>
            <w:pPr>
              <w:adjustRightInd w:val="0"/>
              <w:snapToGrid w:val="0"/>
              <w:spacing w:line="360" w:lineRule="auto"/>
              <w:ind w:firstLine="480" w:firstLineChars="200"/>
              <w:jc w:val="left"/>
              <w:rPr>
                <w:sz w:val="24"/>
              </w:rPr>
            </w:pPr>
            <w:r>
              <w:rPr>
                <w:sz w:val="24"/>
              </w:rPr>
              <w:t>①遥感信息源的选取</w:t>
            </w:r>
          </w:p>
          <w:p>
            <w:pPr>
              <w:adjustRightInd w:val="0"/>
              <w:snapToGrid w:val="0"/>
              <w:spacing w:line="360" w:lineRule="auto"/>
              <w:ind w:firstLine="480" w:firstLineChars="200"/>
              <w:jc w:val="left"/>
              <w:rPr>
                <w:sz w:val="24"/>
              </w:rPr>
            </w:pPr>
            <w:r>
              <w:rPr>
                <w:sz w:val="24"/>
              </w:rPr>
              <w:t>以202</w:t>
            </w:r>
            <w:r>
              <w:rPr>
                <w:rFonts w:hint="eastAsia"/>
                <w:sz w:val="24"/>
              </w:rPr>
              <w:t>1</w:t>
            </w:r>
            <w:r>
              <w:rPr>
                <w:sz w:val="24"/>
              </w:rPr>
              <w:t>年</w:t>
            </w:r>
            <w:r>
              <w:rPr>
                <w:rFonts w:hint="eastAsia"/>
                <w:sz w:val="24"/>
              </w:rPr>
              <w:t>5</w:t>
            </w:r>
            <w:r>
              <w:rPr>
                <w:sz w:val="24"/>
              </w:rPr>
              <w:t>月的资源三号（ZY-3）影</w:t>
            </w:r>
            <w:r>
              <w:rPr>
                <w:rFonts w:hint="eastAsia"/>
                <w:sz w:val="24"/>
              </w:rPr>
              <w:t>像</w:t>
            </w:r>
            <w:r>
              <w:rPr>
                <w:sz w:val="24"/>
              </w:rPr>
              <w:t>数据作为基本信息源，全色空间分辨率2.1</w:t>
            </w:r>
            <w:r>
              <w:rPr>
                <w:rFonts w:hint="eastAsia"/>
                <w:sz w:val="24"/>
              </w:rPr>
              <w:t>m</w:t>
            </w:r>
            <w:r>
              <w:rPr>
                <w:sz w:val="24"/>
              </w:rPr>
              <w:t>，经过融合处理后的图像地表信息丰富，有利于生态环境因子遥感解译标志的建立，保证了各生态环境要素解译成果的准确性。</w:t>
            </w:r>
          </w:p>
          <w:p>
            <w:pPr>
              <w:adjustRightInd w:val="0"/>
              <w:snapToGrid w:val="0"/>
              <w:spacing w:line="360" w:lineRule="auto"/>
              <w:ind w:firstLine="480" w:firstLineChars="200"/>
              <w:jc w:val="left"/>
              <w:rPr>
                <w:sz w:val="24"/>
              </w:rPr>
            </w:pPr>
            <w:r>
              <w:rPr>
                <w:sz w:val="24"/>
              </w:rPr>
              <w:t>②资源三号（ZY-3）影像图处理</w:t>
            </w:r>
          </w:p>
          <w:p>
            <w:pPr>
              <w:adjustRightInd w:val="0"/>
              <w:snapToGrid w:val="0"/>
              <w:spacing w:line="360" w:lineRule="auto"/>
              <w:ind w:firstLine="480" w:firstLineChars="200"/>
              <w:jc w:val="left"/>
              <w:rPr>
                <w:sz w:val="24"/>
              </w:rPr>
            </w:pPr>
            <w:r>
              <w:rPr>
                <w:sz w:val="24"/>
              </w:rPr>
              <w:t>在ERDAS等遥感图像处理软件的支持下，对资源三号（ZY-3）影像数据进行了投影转换、几何纠正、直方图匹配等图像预处理。根据土地利用现状、植被类型、土壤侵蚀等生态环境要素的地物光谱特征的差异性，选择全波段合成方案，全波段合成图像色彩丰富、层次分明，地类边界明显，有利于生态要素的判读解译。</w:t>
            </w:r>
          </w:p>
          <w:p>
            <w:pPr>
              <w:adjustRightInd w:val="0"/>
              <w:snapToGrid w:val="0"/>
              <w:spacing w:line="360" w:lineRule="auto"/>
              <w:ind w:firstLine="480" w:firstLineChars="200"/>
              <w:rPr>
                <w:sz w:val="24"/>
              </w:rPr>
            </w:pPr>
            <w:r>
              <w:rPr>
                <w:sz w:val="24"/>
              </w:rPr>
              <w:t>（3）调查结果</w:t>
            </w:r>
          </w:p>
          <w:p>
            <w:pPr>
              <w:adjustRightInd w:val="0"/>
              <w:snapToGrid w:val="0"/>
              <w:spacing w:line="360" w:lineRule="auto"/>
              <w:ind w:firstLine="480" w:firstLineChars="200"/>
              <w:rPr>
                <w:sz w:val="24"/>
                <w:szCs w:val="22"/>
              </w:rPr>
            </w:pPr>
            <w:r>
              <w:rPr>
                <w:sz w:val="24"/>
                <w:szCs w:val="22"/>
              </w:rPr>
              <w:t>根据遥感解译技术要求，解译内容包括土地利用现状、植被类型、土壤侵蚀强度。</w:t>
            </w:r>
          </w:p>
          <w:p>
            <w:pPr>
              <w:adjustRightInd w:val="0"/>
              <w:snapToGrid w:val="0"/>
              <w:spacing w:line="360" w:lineRule="auto"/>
              <w:ind w:firstLine="480" w:firstLineChars="200"/>
              <w:rPr>
                <w:sz w:val="24"/>
                <w:szCs w:val="22"/>
              </w:rPr>
            </w:pPr>
            <w:r>
              <w:rPr>
                <w:sz w:val="24"/>
                <w:szCs w:val="22"/>
              </w:rPr>
              <w:t>①植被类型遥感解译结果</w:t>
            </w:r>
          </w:p>
          <w:p>
            <w:pPr>
              <w:adjustRightInd w:val="0"/>
              <w:snapToGrid w:val="0"/>
              <w:spacing w:line="360" w:lineRule="auto"/>
              <w:ind w:firstLine="480" w:firstLineChars="200"/>
              <w:rPr>
                <w:sz w:val="24"/>
                <w:szCs w:val="22"/>
              </w:rPr>
            </w:pPr>
            <w:r>
              <w:rPr>
                <w:sz w:val="24"/>
                <w:szCs w:val="22"/>
              </w:rPr>
              <w:t>植被类型调查采用科学出版社2000年出版的《中国植被类型图谱》中的分类系统进行。首先根据《中国植被区划》，获得项目区经过地区植被分布的总体情况，再结合各行政区划单元或地理单元的考察资料、调查报告以及野外考察的经验，在遥感影像上确定各种植被类型的图斑界线。根据植被分布的总体规律，参考区域相关植被文字资料，根据影像上的纹理和颜色以及经验进行判读，得到植被类型解译成果图。植被类型</w:t>
            </w:r>
            <w:r>
              <w:rPr>
                <w:rFonts w:hint="eastAsia"/>
                <w:sz w:val="24"/>
                <w:szCs w:val="22"/>
              </w:rPr>
              <w:t>面积统计见下表及附图9。</w:t>
            </w:r>
          </w:p>
          <w:p>
            <w:pPr>
              <w:adjustRightInd w:val="0"/>
              <w:snapToGrid w:val="0"/>
              <w:spacing w:before="120" w:beforeLines="50" w:line="360" w:lineRule="auto"/>
              <w:ind w:firstLine="482" w:firstLineChars="200"/>
              <w:jc w:val="center"/>
              <w:rPr>
                <w:sz w:val="28"/>
                <w:szCs w:val="28"/>
              </w:rPr>
            </w:pPr>
            <w:r>
              <w:rPr>
                <w:b/>
                <w:bCs/>
                <w:sz w:val="24"/>
              </w:rPr>
              <w:t>表3-</w:t>
            </w:r>
            <w:r>
              <w:rPr>
                <w:rFonts w:hint="eastAsia"/>
                <w:b/>
                <w:bCs/>
                <w:sz w:val="24"/>
              </w:rPr>
              <w:t>2</w:t>
            </w:r>
            <w:r>
              <w:rPr>
                <w:b/>
                <w:bCs/>
                <w:sz w:val="24"/>
              </w:rPr>
              <w:t xml:space="preserve">    植被类型面积统计表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57" w:type="dxa"/>
                <w:left w:w="57" w:type="dxa"/>
                <w:bottom w:w="57" w:type="dxa"/>
                <w:right w:w="57" w:type="dxa"/>
              </w:tblCellMar>
            </w:tblPr>
            <w:tblGrid>
              <w:gridCol w:w="1697"/>
              <w:gridCol w:w="2620"/>
              <w:gridCol w:w="1103"/>
              <w:gridCol w:w="948"/>
              <w:gridCol w:w="1100"/>
              <w:gridCol w:w="9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4318" w:type="dxa"/>
                  <w:gridSpan w:val="2"/>
                  <w:vMerge w:val="restart"/>
                  <w:tcBorders>
                    <w:tl2br w:val="nil"/>
                    <w:tr2bl w:val="nil"/>
                  </w:tcBorders>
                  <w:vAlign w:val="center"/>
                </w:tcPr>
                <w:p>
                  <w:pPr>
                    <w:adjustRightInd w:val="0"/>
                    <w:snapToGrid w:val="0"/>
                    <w:jc w:val="center"/>
                    <w:rPr>
                      <w:szCs w:val="21"/>
                    </w:rPr>
                  </w:pPr>
                  <w:r>
                    <w:rPr>
                      <w:szCs w:val="21"/>
                    </w:rPr>
                    <w:t>植被类型</w:t>
                  </w:r>
                </w:p>
              </w:tc>
              <w:tc>
                <w:tcPr>
                  <w:tcW w:w="2051" w:type="dxa"/>
                  <w:gridSpan w:val="2"/>
                  <w:tcBorders>
                    <w:tl2br w:val="nil"/>
                    <w:tr2bl w:val="nil"/>
                  </w:tcBorders>
                  <w:vAlign w:val="center"/>
                </w:tcPr>
                <w:p>
                  <w:pPr>
                    <w:adjustRightInd w:val="0"/>
                    <w:snapToGrid w:val="0"/>
                    <w:jc w:val="center"/>
                    <w:rPr>
                      <w:szCs w:val="21"/>
                    </w:rPr>
                  </w:pPr>
                  <w:r>
                    <w:rPr>
                      <w:szCs w:val="21"/>
                    </w:rPr>
                    <w:t>评价</w:t>
                  </w:r>
                  <w:r>
                    <w:rPr>
                      <w:rFonts w:hint="eastAsia"/>
                      <w:szCs w:val="21"/>
                    </w:rPr>
                    <w:t>范围</w:t>
                  </w:r>
                  <w:r>
                    <w:rPr>
                      <w:szCs w:val="21"/>
                    </w:rPr>
                    <w:t>区</w:t>
                  </w:r>
                </w:p>
              </w:tc>
              <w:tc>
                <w:tcPr>
                  <w:tcW w:w="2048" w:type="dxa"/>
                  <w:gridSpan w:val="2"/>
                  <w:tcBorders>
                    <w:tl2br w:val="nil"/>
                    <w:tr2bl w:val="nil"/>
                  </w:tcBorders>
                  <w:vAlign w:val="center"/>
                </w:tcPr>
                <w:p>
                  <w:pPr>
                    <w:adjustRightInd w:val="0"/>
                    <w:snapToGrid w:val="0"/>
                    <w:jc w:val="center"/>
                    <w:rPr>
                      <w:szCs w:val="21"/>
                    </w:rPr>
                  </w:pPr>
                  <w:r>
                    <w:rPr>
                      <w:szCs w:val="21"/>
                    </w:rPr>
                    <w:t>项目区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4318" w:type="dxa"/>
                  <w:gridSpan w:val="2"/>
                  <w:vMerge w:val="continue"/>
                  <w:tcBorders>
                    <w:tl2br w:val="nil"/>
                    <w:tr2bl w:val="nil"/>
                  </w:tcBorders>
                  <w:vAlign w:val="center"/>
                </w:tcPr>
                <w:p>
                  <w:pPr>
                    <w:adjustRightInd w:val="0"/>
                    <w:snapToGrid w:val="0"/>
                    <w:jc w:val="center"/>
                    <w:rPr>
                      <w:szCs w:val="21"/>
                    </w:rPr>
                  </w:pPr>
                </w:p>
              </w:tc>
              <w:tc>
                <w:tcPr>
                  <w:tcW w:w="1103" w:type="dxa"/>
                  <w:tcBorders>
                    <w:tl2br w:val="nil"/>
                    <w:tr2bl w:val="nil"/>
                  </w:tcBorders>
                  <w:vAlign w:val="center"/>
                </w:tcPr>
                <w:p>
                  <w:pPr>
                    <w:adjustRightInd w:val="0"/>
                    <w:snapToGrid w:val="0"/>
                    <w:jc w:val="center"/>
                    <w:rPr>
                      <w:szCs w:val="21"/>
                    </w:rPr>
                  </w:pPr>
                  <w:r>
                    <w:rPr>
                      <w:szCs w:val="21"/>
                    </w:rPr>
                    <w:t>面积</w:t>
                  </w:r>
                  <w:r>
                    <w:rPr>
                      <w:rFonts w:hint="eastAsia"/>
                      <w:szCs w:val="21"/>
                    </w:rPr>
                    <w:t>（</w:t>
                  </w:r>
                  <w:r>
                    <w:rPr>
                      <w:szCs w:val="21"/>
                    </w:rPr>
                    <w:t>km</w:t>
                  </w:r>
                  <w:r>
                    <w:rPr>
                      <w:szCs w:val="21"/>
                      <w:vertAlign w:val="superscript"/>
                    </w:rPr>
                    <w:t>2</w:t>
                  </w:r>
                  <w:r>
                    <w:rPr>
                      <w:szCs w:val="21"/>
                    </w:rPr>
                    <w:t>)</w:t>
                  </w:r>
                </w:p>
              </w:tc>
              <w:tc>
                <w:tcPr>
                  <w:tcW w:w="948" w:type="dxa"/>
                  <w:tcBorders>
                    <w:tl2br w:val="nil"/>
                    <w:tr2bl w:val="nil"/>
                  </w:tcBorders>
                  <w:vAlign w:val="center"/>
                </w:tcPr>
                <w:p>
                  <w:pPr>
                    <w:adjustRightInd w:val="0"/>
                    <w:snapToGrid w:val="0"/>
                    <w:jc w:val="center"/>
                    <w:rPr>
                      <w:szCs w:val="21"/>
                    </w:rPr>
                  </w:pPr>
                  <w:r>
                    <w:rPr>
                      <w:szCs w:val="21"/>
                    </w:rPr>
                    <w:t>比例</w:t>
                  </w:r>
                  <w:r>
                    <w:rPr>
                      <w:rFonts w:hint="eastAsia"/>
                      <w:szCs w:val="21"/>
                    </w:rPr>
                    <w:t>（</w:t>
                  </w:r>
                  <w:r>
                    <w:rPr>
                      <w:szCs w:val="21"/>
                    </w:rPr>
                    <w:t>%)</w:t>
                  </w:r>
                </w:p>
              </w:tc>
              <w:tc>
                <w:tcPr>
                  <w:tcW w:w="1100" w:type="dxa"/>
                  <w:tcBorders>
                    <w:tl2br w:val="nil"/>
                    <w:tr2bl w:val="nil"/>
                  </w:tcBorders>
                  <w:vAlign w:val="center"/>
                </w:tcPr>
                <w:p>
                  <w:pPr>
                    <w:adjustRightInd w:val="0"/>
                    <w:snapToGrid w:val="0"/>
                    <w:jc w:val="center"/>
                    <w:rPr>
                      <w:szCs w:val="21"/>
                    </w:rPr>
                  </w:pPr>
                  <w:r>
                    <w:rPr>
                      <w:szCs w:val="21"/>
                    </w:rPr>
                    <w:t>面积</w:t>
                  </w:r>
                  <w:r>
                    <w:rPr>
                      <w:rFonts w:hint="eastAsia"/>
                      <w:szCs w:val="21"/>
                    </w:rPr>
                    <w:t>（</w:t>
                  </w:r>
                  <w:r>
                    <w:rPr>
                      <w:szCs w:val="21"/>
                    </w:rPr>
                    <w:t>km</w:t>
                  </w:r>
                  <w:r>
                    <w:rPr>
                      <w:szCs w:val="21"/>
                      <w:vertAlign w:val="superscript"/>
                    </w:rPr>
                    <w:t>2</w:t>
                  </w:r>
                  <w:r>
                    <w:rPr>
                      <w:szCs w:val="21"/>
                    </w:rPr>
                    <w:t>)</w:t>
                  </w:r>
                </w:p>
              </w:tc>
              <w:tc>
                <w:tcPr>
                  <w:tcW w:w="948" w:type="dxa"/>
                  <w:tcBorders>
                    <w:tl2br w:val="nil"/>
                    <w:tr2bl w:val="nil"/>
                  </w:tcBorders>
                  <w:vAlign w:val="center"/>
                </w:tcPr>
                <w:p>
                  <w:pPr>
                    <w:adjustRightInd w:val="0"/>
                    <w:snapToGrid w:val="0"/>
                    <w:jc w:val="center"/>
                    <w:rPr>
                      <w:szCs w:val="21"/>
                    </w:rPr>
                  </w:pPr>
                  <w:r>
                    <w:rPr>
                      <w:szCs w:val="21"/>
                    </w:rPr>
                    <w:t>比例</w:t>
                  </w:r>
                  <w:r>
                    <w:rPr>
                      <w:rFonts w:hint="eastAsia"/>
                      <w:szCs w:val="21"/>
                    </w:rPr>
                    <w:t>（</w:t>
                  </w:r>
                  <w:r>
                    <w:rPr>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698" w:type="dxa"/>
                  <w:vMerge w:val="restart"/>
                  <w:tcBorders>
                    <w:tl2br w:val="nil"/>
                    <w:tr2bl w:val="nil"/>
                  </w:tcBorders>
                  <w:vAlign w:val="center"/>
                </w:tcPr>
                <w:p>
                  <w:pPr>
                    <w:adjustRightInd w:val="0"/>
                    <w:snapToGrid w:val="0"/>
                    <w:jc w:val="center"/>
                    <w:rPr>
                      <w:szCs w:val="21"/>
                    </w:rPr>
                  </w:pPr>
                  <w:r>
                    <w:rPr>
                      <w:szCs w:val="21"/>
                    </w:rPr>
                    <w:t>草丛</w:t>
                  </w:r>
                </w:p>
              </w:tc>
              <w:tc>
                <w:tcPr>
                  <w:tcW w:w="2620" w:type="dxa"/>
                  <w:tcBorders>
                    <w:tl2br w:val="nil"/>
                    <w:tr2bl w:val="nil"/>
                  </w:tcBorders>
                  <w:vAlign w:val="center"/>
                </w:tcPr>
                <w:p>
                  <w:pPr>
                    <w:jc w:val="center"/>
                    <w:rPr>
                      <w:rFonts w:ascii="宋体" w:hAnsi="宋体" w:cs="宋体"/>
                      <w:szCs w:val="21"/>
                    </w:rPr>
                  </w:pPr>
                  <w:r>
                    <w:rPr>
                      <w:rFonts w:hint="eastAsia" w:ascii="宋体" w:hAnsi="宋体" w:cs="宋体"/>
                      <w:szCs w:val="21"/>
                    </w:rPr>
                    <w:t>珍珠猪毛菜、醉马草+骆驼蓬群落</w:t>
                  </w:r>
                </w:p>
              </w:tc>
              <w:tc>
                <w:tcPr>
                  <w:tcW w:w="1103" w:type="dxa"/>
                  <w:tcBorders>
                    <w:tl2br w:val="nil"/>
                    <w:tr2bl w:val="nil"/>
                  </w:tcBorders>
                  <w:vAlign w:val="center"/>
                </w:tcPr>
                <w:p>
                  <w:pPr>
                    <w:widowControl/>
                    <w:jc w:val="center"/>
                    <w:rPr>
                      <w:rFonts w:eastAsiaTheme="minorEastAsia"/>
                      <w:color w:val="000000"/>
                      <w:kern w:val="0"/>
                      <w:szCs w:val="21"/>
                    </w:rPr>
                  </w:pPr>
                  <w:r>
                    <w:rPr>
                      <w:rFonts w:eastAsiaTheme="minorEastAsia"/>
                      <w:color w:val="000000"/>
                      <w:szCs w:val="21"/>
                    </w:rPr>
                    <w:t>0.8168</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43.33</w:t>
                  </w:r>
                </w:p>
              </w:tc>
              <w:tc>
                <w:tcPr>
                  <w:tcW w:w="1100" w:type="dxa"/>
                  <w:tcBorders>
                    <w:tl2br w:val="nil"/>
                    <w:tr2bl w:val="nil"/>
                  </w:tcBorders>
                  <w:vAlign w:val="center"/>
                </w:tcPr>
                <w:p>
                  <w:pPr>
                    <w:widowControl/>
                    <w:jc w:val="center"/>
                    <w:rPr>
                      <w:rFonts w:eastAsiaTheme="minorEastAsia"/>
                      <w:color w:val="000000"/>
                      <w:szCs w:val="21"/>
                    </w:rPr>
                  </w:pPr>
                  <w:r>
                    <w:rPr>
                      <w:rFonts w:hint="eastAsia" w:eastAsiaTheme="minorEastAsia"/>
                      <w:color w:val="000000"/>
                      <w:szCs w:val="21"/>
                    </w:rPr>
                    <w:t>0.0</w:t>
                  </w:r>
                  <w:r>
                    <w:rPr>
                      <w:rFonts w:eastAsiaTheme="minorEastAsia"/>
                      <w:color w:val="000000"/>
                      <w:szCs w:val="21"/>
                    </w:rPr>
                    <w:t>26922</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25.89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9" w:hRule="atLeast"/>
                <w:jc w:val="center"/>
              </w:trPr>
              <w:tc>
                <w:tcPr>
                  <w:tcW w:w="1698" w:type="dxa"/>
                  <w:vMerge w:val="continue"/>
                  <w:tcBorders>
                    <w:tl2br w:val="nil"/>
                    <w:tr2bl w:val="nil"/>
                  </w:tcBorders>
                  <w:vAlign w:val="center"/>
                </w:tcPr>
                <w:p>
                  <w:pPr>
                    <w:adjustRightInd w:val="0"/>
                    <w:snapToGrid w:val="0"/>
                    <w:jc w:val="center"/>
                    <w:rPr>
                      <w:szCs w:val="21"/>
                    </w:rPr>
                  </w:pPr>
                </w:p>
              </w:tc>
              <w:tc>
                <w:tcPr>
                  <w:tcW w:w="2620" w:type="dxa"/>
                  <w:tcBorders>
                    <w:tl2br w:val="nil"/>
                    <w:tr2bl w:val="nil"/>
                  </w:tcBorders>
                  <w:vAlign w:val="center"/>
                </w:tcPr>
                <w:p>
                  <w:pPr>
                    <w:jc w:val="center"/>
                    <w:rPr>
                      <w:rFonts w:ascii="宋体" w:hAnsi="宋体" w:cs="宋体"/>
                      <w:szCs w:val="21"/>
                    </w:rPr>
                  </w:pPr>
                  <w:r>
                    <w:rPr>
                      <w:rFonts w:hint="eastAsia" w:ascii="宋体" w:hAnsi="宋体" w:cs="宋体"/>
                      <w:szCs w:val="21"/>
                    </w:rPr>
                    <w:t>针茅+冷蒿群落</w:t>
                  </w:r>
                </w:p>
              </w:tc>
              <w:tc>
                <w:tcPr>
                  <w:tcW w:w="1103" w:type="dxa"/>
                  <w:tcBorders>
                    <w:tl2br w:val="nil"/>
                    <w:tr2bl w:val="nil"/>
                  </w:tcBorders>
                  <w:vAlign w:val="center"/>
                </w:tcPr>
                <w:p>
                  <w:pPr>
                    <w:jc w:val="center"/>
                    <w:rPr>
                      <w:rFonts w:eastAsiaTheme="minorEastAsia"/>
                      <w:color w:val="000000"/>
                      <w:szCs w:val="21"/>
                    </w:rPr>
                  </w:pPr>
                  <w:r>
                    <w:rPr>
                      <w:rFonts w:eastAsiaTheme="minorEastAsia"/>
                      <w:color w:val="000000"/>
                      <w:szCs w:val="21"/>
                    </w:rPr>
                    <w:t>0.2085</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11.06</w:t>
                  </w:r>
                </w:p>
              </w:tc>
              <w:tc>
                <w:tcPr>
                  <w:tcW w:w="1100" w:type="dxa"/>
                  <w:tcBorders>
                    <w:tl2br w:val="nil"/>
                    <w:tr2bl w:val="nil"/>
                  </w:tcBorders>
                  <w:vAlign w:val="center"/>
                </w:tcPr>
                <w:p>
                  <w:pPr>
                    <w:jc w:val="center"/>
                    <w:rPr>
                      <w:rFonts w:eastAsiaTheme="minorEastAsia"/>
                      <w:color w:val="000000"/>
                      <w:szCs w:val="21"/>
                    </w:rPr>
                  </w:pPr>
                  <w:r>
                    <w:rPr>
                      <w:rFonts w:hint="eastAsia" w:eastAsiaTheme="minorEastAsia"/>
                      <w:color w:val="000000"/>
                      <w:szCs w:val="21"/>
                    </w:rPr>
                    <w:t>0.0</w:t>
                  </w:r>
                  <w:r>
                    <w:rPr>
                      <w:rFonts w:eastAsiaTheme="minorEastAsia"/>
                      <w:color w:val="000000"/>
                      <w:szCs w:val="21"/>
                    </w:rPr>
                    <w:t>41045</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39.47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698" w:type="dxa"/>
                  <w:tcBorders>
                    <w:tl2br w:val="nil"/>
                    <w:tr2bl w:val="nil"/>
                  </w:tcBorders>
                  <w:vAlign w:val="center"/>
                </w:tcPr>
                <w:p>
                  <w:pPr>
                    <w:adjustRightInd w:val="0"/>
                    <w:snapToGrid w:val="0"/>
                    <w:jc w:val="center"/>
                    <w:rPr>
                      <w:szCs w:val="21"/>
                    </w:rPr>
                  </w:pPr>
                  <w:r>
                    <w:rPr>
                      <w:rFonts w:hint="eastAsia"/>
                      <w:szCs w:val="21"/>
                    </w:rPr>
                    <w:t>栽培植被</w:t>
                  </w:r>
                </w:p>
              </w:tc>
              <w:tc>
                <w:tcPr>
                  <w:tcW w:w="2620" w:type="dxa"/>
                  <w:tcBorders>
                    <w:tl2br w:val="nil"/>
                    <w:tr2bl w:val="nil"/>
                  </w:tcBorders>
                  <w:vAlign w:val="center"/>
                </w:tcPr>
                <w:p>
                  <w:pPr>
                    <w:adjustRightInd w:val="0"/>
                    <w:snapToGrid w:val="0"/>
                    <w:jc w:val="center"/>
                    <w:rPr>
                      <w:szCs w:val="21"/>
                    </w:rPr>
                  </w:pPr>
                  <w:r>
                    <w:rPr>
                      <w:szCs w:val="21"/>
                    </w:rPr>
                    <w:t>农作物</w:t>
                  </w:r>
                </w:p>
              </w:tc>
              <w:tc>
                <w:tcPr>
                  <w:tcW w:w="1103" w:type="dxa"/>
                  <w:tcBorders>
                    <w:tl2br w:val="nil"/>
                    <w:tr2bl w:val="nil"/>
                  </w:tcBorders>
                  <w:vAlign w:val="center"/>
                </w:tcPr>
                <w:p>
                  <w:pPr>
                    <w:jc w:val="center"/>
                    <w:rPr>
                      <w:rFonts w:eastAsiaTheme="minorEastAsia"/>
                      <w:color w:val="000000"/>
                      <w:szCs w:val="21"/>
                    </w:rPr>
                  </w:pPr>
                  <w:r>
                    <w:rPr>
                      <w:rFonts w:eastAsiaTheme="minorEastAsia"/>
                      <w:color w:val="000000"/>
                      <w:szCs w:val="21"/>
                    </w:rPr>
                    <w:t>0.5582</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29.61</w:t>
                  </w:r>
                </w:p>
              </w:tc>
              <w:tc>
                <w:tcPr>
                  <w:tcW w:w="1100" w:type="dxa"/>
                  <w:tcBorders>
                    <w:tl2br w:val="nil"/>
                    <w:tr2bl w:val="nil"/>
                  </w:tcBorders>
                  <w:vAlign w:val="center"/>
                </w:tcPr>
                <w:p>
                  <w:pPr>
                    <w:jc w:val="center"/>
                    <w:rPr>
                      <w:rFonts w:eastAsiaTheme="minorEastAsia"/>
                      <w:color w:val="000000"/>
                      <w:szCs w:val="21"/>
                    </w:rPr>
                  </w:pPr>
                  <w:r>
                    <w:rPr>
                      <w:rFonts w:hint="eastAsia" w:eastAsiaTheme="minorEastAsia"/>
                      <w:color w:val="000000"/>
                      <w:szCs w:val="21"/>
                    </w:rPr>
                    <w:t>0.0</w:t>
                  </w:r>
                  <w:r>
                    <w:rPr>
                      <w:rFonts w:eastAsiaTheme="minorEastAsia"/>
                      <w:color w:val="000000"/>
                      <w:szCs w:val="21"/>
                    </w:rPr>
                    <w:t>18062</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17.37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698" w:type="dxa"/>
                  <w:tcBorders>
                    <w:tl2br w:val="nil"/>
                    <w:tr2bl w:val="nil"/>
                  </w:tcBorders>
                  <w:vAlign w:val="center"/>
                </w:tcPr>
                <w:p>
                  <w:pPr>
                    <w:adjustRightInd w:val="0"/>
                    <w:snapToGrid w:val="0"/>
                    <w:jc w:val="center"/>
                    <w:rPr>
                      <w:szCs w:val="21"/>
                    </w:rPr>
                  </w:pPr>
                  <w:r>
                    <w:rPr>
                      <w:rFonts w:hint="eastAsia"/>
                      <w:szCs w:val="21"/>
                    </w:rPr>
                    <w:t>非</w:t>
                  </w:r>
                  <w:r>
                    <w:rPr>
                      <w:szCs w:val="21"/>
                    </w:rPr>
                    <w:t>植被区</w:t>
                  </w:r>
                </w:p>
              </w:tc>
              <w:tc>
                <w:tcPr>
                  <w:tcW w:w="2620" w:type="dxa"/>
                  <w:tcBorders>
                    <w:tl2br w:val="nil"/>
                    <w:tr2bl w:val="nil"/>
                  </w:tcBorders>
                  <w:vAlign w:val="center"/>
                </w:tcPr>
                <w:p>
                  <w:pPr>
                    <w:adjustRightInd w:val="0"/>
                    <w:snapToGrid w:val="0"/>
                    <w:jc w:val="center"/>
                    <w:rPr>
                      <w:szCs w:val="21"/>
                    </w:rPr>
                  </w:pPr>
                  <w:r>
                    <w:rPr>
                      <w:rFonts w:hint="eastAsia"/>
                      <w:szCs w:val="21"/>
                    </w:rPr>
                    <w:t>未利用地</w:t>
                  </w:r>
                  <w:r>
                    <w:rPr>
                      <w:szCs w:val="21"/>
                    </w:rPr>
                    <w:t>等</w:t>
                  </w:r>
                </w:p>
              </w:tc>
              <w:tc>
                <w:tcPr>
                  <w:tcW w:w="1103" w:type="dxa"/>
                  <w:tcBorders>
                    <w:tl2br w:val="nil"/>
                    <w:tr2bl w:val="nil"/>
                  </w:tcBorders>
                  <w:vAlign w:val="center"/>
                </w:tcPr>
                <w:p>
                  <w:pPr>
                    <w:jc w:val="center"/>
                    <w:rPr>
                      <w:rFonts w:eastAsiaTheme="minorEastAsia"/>
                      <w:color w:val="000000"/>
                      <w:szCs w:val="21"/>
                    </w:rPr>
                  </w:pPr>
                  <w:r>
                    <w:rPr>
                      <w:rFonts w:eastAsiaTheme="minorEastAsia"/>
                      <w:color w:val="000000"/>
                      <w:szCs w:val="21"/>
                    </w:rPr>
                    <w:t>0.3016</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16.00</w:t>
                  </w:r>
                </w:p>
              </w:tc>
              <w:tc>
                <w:tcPr>
                  <w:tcW w:w="1100" w:type="dxa"/>
                  <w:tcBorders>
                    <w:tl2br w:val="nil"/>
                    <w:tr2bl w:val="nil"/>
                  </w:tcBorders>
                  <w:vAlign w:val="center"/>
                </w:tcPr>
                <w:p>
                  <w:pPr>
                    <w:jc w:val="center"/>
                    <w:rPr>
                      <w:rFonts w:eastAsiaTheme="minorEastAsia"/>
                      <w:color w:val="000000"/>
                      <w:szCs w:val="21"/>
                    </w:rPr>
                  </w:pPr>
                  <w:r>
                    <w:rPr>
                      <w:rFonts w:hint="eastAsia" w:eastAsiaTheme="minorEastAsia"/>
                      <w:color w:val="000000"/>
                      <w:szCs w:val="21"/>
                    </w:rPr>
                    <w:t>0.0</w:t>
                  </w:r>
                  <w:r>
                    <w:rPr>
                      <w:rFonts w:eastAsiaTheme="minorEastAsia"/>
                      <w:color w:val="000000"/>
                      <w:szCs w:val="21"/>
                    </w:rPr>
                    <w:t>17971</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17.28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4318" w:type="dxa"/>
                  <w:gridSpan w:val="2"/>
                  <w:tcBorders>
                    <w:tl2br w:val="nil"/>
                    <w:tr2bl w:val="nil"/>
                  </w:tcBorders>
                  <w:vAlign w:val="center"/>
                </w:tcPr>
                <w:p>
                  <w:pPr>
                    <w:adjustRightInd w:val="0"/>
                    <w:snapToGrid w:val="0"/>
                    <w:jc w:val="center"/>
                    <w:rPr>
                      <w:szCs w:val="21"/>
                    </w:rPr>
                  </w:pPr>
                  <w:r>
                    <w:rPr>
                      <w:szCs w:val="21"/>
                    </w:rPr>
                    <w:t>合计</w:t>
                  </w:r>
                </w:p>
              </w:tc>
              <w:tc>
                <w:tcPr>
                  <w:tcW w:w="1103" w:type="dxa"/>
                  <w:tcBorders>
                    <w:tl2br w:val="nil"/>
                    <w:tr2bl w:val="nil"/>
                  </w:tcBorders>
                  <w:vAlign w:val="center"/>
                </w:tcPr>
                <w:p>
                  <w:pPr>
                    <w:widowControl/>
                    <w:jc w:val="center"/>
                    <w:rPr>
                      <w:rFonts w:eastAsiaTheme="minorEastAsia"/>
                      <w:color w:val="000000"/>
                      <w:kern w:val="0"/>
                      <w:szCs w:val="21"/>
                    </w:rPr>
                  </w:pPr>
                  <w:r>
                    <w:rPr>
                      <w:rFonts w:eastAsiaTheme="minorEastAsia"/>
                      <w:color w:val="000000"/>
                      <w:szCs w:val="21"/>
                    </w:rPr>
                    <w:t>1.8851</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100.00</w:t>
                  </w:r>
                </w:p>
              </w:tc>
              <w:tc>
                <w:tcPr>
                  <w:tcW w:w="1100" w:type="dxa"/>
                  <w:tcBorders>
                    <w:tl2br w:val="nil"/>
                    <w:tr2bl w:val="nil"/>
                  </w:tcBorders>
                  <w:vAlign w:val="center"/>
                </w:tcPr>
                <w:p>
                  <w:pPr>
                    <w:jc w:val="center"/>
                    <w:rPr>
                      <w:rFonts w:eastAsiaTheme="minorEastAsia"/>
                      <w:color w:val="000000"/>
                      <w:szCs w:val="21"/>
                    </w:rPr>
                  </w:pPr>
                  <w:r>
                    <w:rPr>
                      <w:rFonts w:hint="eastAsia" w:eastAsiaTheme="minorEastAsia"/>
                      <w:color w:val="000000"/>
                      <w:szCs w:val="21"/>
                    </w:rPr>
                    <w:t>0.104</w:t>
                  </w:r>
                </w:p>
              </w:tc>
              <w:tc>
                <w:tcPr>
                  <w:tcW w:w="948" w:type="dxa"/>
                  <w:tcBorders>
                    <w:tl2br w:val="nil"/>
                    <w:tr2bl w:val="nil"/>
                  </w:tcBorders>
                  <w:vAlign w:val="center"/>
                </w:tcPr>
                <w:p>
                  <w:pPr>
                    <w:jc w:val="center"/>
                    <w:rPr>
                      <w:rFonts w:eastAsiaTheme="minorEastAsia"/>
                      <w:color w:val="000000"/>
                      <w:szCs w:val="21"/>
                    </w:rPr>
                  </w:pPr>
                  <w:r>
                    <w:rPr>
                      <w:rFonts w:eastAsiaTheme="minorEastAsia"/>
                      <w:color w:val="000000"/>
                      <w:szCs w:val="21"/>
                    </w:rPr>
                    <w:t>100.00</w:t>
                  </w:r>
                </w:p>
              </w:tc>
            </w:tr>
          </w:tbl>
          <w:p>
            <w:pPr>
              <w:adjustRightInd w:val="0"/>
              <w:snapToGrid w:val="0"/>
              <w:spacing w:before="120" w:beforeLines="50" w:line="360" w:lineRule="auto"/>
              <w:ind w:firstLine="480" w:firstLineChars="200"/>
              <w:rPr>
                <w:color w:val="000000"/>
                <w:sz w:val="24"/>
              </w:rPr>
            </w:pPr>
            <w:r>
              <w:rPr>
                <w:color w:val="000000"/>
                <w:sz w:val="24"/>
              </w:rPr>
              <w:t>由</w:t>
            </w:r>
            <w:r>
              <w:rPr>
                <w:rFonts w:hint="eastAsia"/>
                <w:color w:val="000000"/>
                <w:sz w:val="24"/>
              </w:rPr>
              <w:t>上</w:t>
            </w:r>
            <w:r>
              <w:rPr>
                <w:color w:val="000000"/>
                <w:sz w:val="24"/>
              </w:rPr>
              <w:t>表可知，</w:t>
            </w:r>
            <w:bookmarkStart w:id="93" w:name="_Hlk517893595"/>
            <w:r>
              <w:rPr>
                <w:color w:val="000000"/>
                <w:sz w:val="24"/>
              </w:rPr>
              <w:t>项目评价范围内主要分为</w:t>
            </w:r>
            <w:r>
              <w:rPr>
                <w:rFonts w:hint="eastAsia"/>
                <w:color w:val="000000"/>
                <w:sz w:val="24"/>
              </w:rPr>
              <w:t>草丛、栽培植被</w:t>
            </w:r>
            <w:r>
              <w:rPr>
                <w:color w:val="000000"/>
                <w:sz w:val="24"/>
              </w:rPr>
              <w:t>和非植被区，其中植被区以</w:t>
            </w:r>
            <w:r>
              <w:rPr>
                <w:rFonts w:hint="eastAsia"/>
                <w:color w:val="000000"/>
                <w:sz w:val="24"/>
              </w:rPr>
              <w:t>珍珠猪毛菜、醉马草+骆驼蓬群落</w:t>
            </w:r>
            <w:r>
              <w:rPr>
                <w:color w:val="000000"/>
                <w:sz w:val="24"/>
              </w:rPr>
              <w:t>、</w:t>
            </w:r>
            <w:r>
              <w:rPr>
                <w:rFonts w:hint="eastAsia"/>
                <w:color w:val="000000"/>
                <w:sz w:val="24"/>
              </w:rPr>
              <w:t>针茅+冷蒿群落</w:t>
            </w:r>
            <w:r>
              <w:rPr>
                <w:color w:val="000000"/>
                <w:sz w:val="24"/>
              </w:rPr>
              <w:t>为主，占总面积的</w:t>
            </w:r>
            <w:r>
              <w:rPr>
                <w:rFonts w:hint="eastAsia"/>
                <w:color w:val="000000"/>
                <w:sz w:val="24"/>
              </w:rPr>
              <w:t>54.39</w:t>
            </w:r>
            <w:r>
              <w:rPr>
                <w:color w:val="000000"/>
                <w:sz w:val="24"/>
              </w:rPr>
              <w:t>%；</w:t>
            </w:r>
            <w:r>
              <w:rPr>
                <w:rFonts w:hint="eastAsia"/>
                <w:color w:val="000000"/>
                <w:sz w:val="24"/>
              </w:rPr>
              <w:t>栽培植被主要是农作物，</w:t>
            </w:r>
            <w:r>
              <w:rPr>
                <w:color w:val="000000"/>
                <w:sz w:val="24"/>
              </w:rPr>
              <w:t>占总面积的</w:t>
            </w:r>
            <w:r>
              <w:rPr>
                <w:rFonts w:hint="eastAsia"/>
                <w:color w:val="000000"/>
                <w:sz w:val="24"/>
              </w:rPr>
              <w:t>29.61</w:t>
            </w:r>
            <w:r>
              <w:rPr>
                <w:color w:val="000000"/>
                <w:sz w:val="24"/>
              </w:rPr>
              <w:t>%；非植被区主要为</w:t>
            </w:r>
            <w:r>
              <w:rPr>
                <w:rFonts w:hint="eastAsia"/>
                <w:color w:val="000000"/>
                <w:sz w:val="24"/>
              </w:rPr>
              <w:t>未利用地</w:t>
            </w:r>
            <w:r>
              <w:rPr>
                <w:color w:val="000000"/>
                <w:sz w:val="24"/>
              </w:rPr>
              <w:t>等，占总面积的</w:t>
            </w:r>
            <w:r>
              <w:rPr>
                <w:rFonts w:hint="eastAsia"/>
                <w:color w:val="000000"/>
                <w:sz w:val="24"/>
              </w:rPr>
              <w:t>16</w:t>
            </w:r>
            <w:r>
              <w:rPr>
                <w:color w:val="000000"/>
                <w:sz w:val="24"/>
              </w:rPr>
              <w:t>%。</w:t>
            </w:r>
          </w:p>
          <w:bookmarkEnd w:id="93"/>
          <w:p>
            <w:pPr>
              <w:adjustRightInd w:val="0"/>
              <w:snapToGrid w:val="0"/>
              <w:spacing w:line="360" w:lineRule="auto"/>
              <w:ind w:firstLine="480" w:firstLineChars="200"/>
              <w:jc w:val="left"/>
              <w:rPr>
                <w:sz w:val="24"/>
                <w:szCs w:val="22"/>
              </w:rPr>
            </w:pPr>
            <w:r>
              <w:rPr>
                <w:color w:val="000000"/>
                <w:sz w:val="24"/>
              </w:rPr>
              <w:t>由</w:t>
            </w:r>
            <w:r>
              <w:rPr>
                <w:rFonts w:hint="eastAsia"/>
                <w:color w:val="000000"/>
                <w:sz w:val="24"/>
              </w:rPr>
              <w:t>上</w:t>
            </w:r>
            <w:r>
              <w:rPr>
                <w:color w:val="000000"/>
                <w:sz w:val="24"/>
              </w:rPr>
              <w:t>表可知，项目</w:t>
            </w:r>
            <w:r>
              <w:rPr>
                <w:rFonts w:hint="eastAsia"/>
                <w:color w:val="000000"/>
                <w:sz w:val="24"/>
              </w:rPr>
              <w:t>区域</w:t>
            </w:r>
            <w:r>
              <w:rPr>
                <w:color w:val="000000"/>
                <w:sz w:val="24"/>
              </w:rPr>
              <w:t>范围内主要分为</w:t>
            </w:r>
            <w:r>
              <w:rPr>
                <w:rFonts w:hint="eastAsia"/>
                <w:color w:val="000000"/>
                <w:sz w:val="24"/>
              </w:rPr>
              <w:t>草丛、栽培植被</w:t>
            </w:r>
            <w:r>
              <w:rPr>
                <w:color w:val="000000"/>
                <w:sz w:val="24"/>
              </w:rPr>
              <w:t>和非植被区，其中植被区以</w:t>
            </w:r>
            <w:r>
              <w:rPr>
                <w:rFonts w:hint="eastAsia"/>
                <w:color w:val="000000"/>
                <w:sz w:val="24"/>
              </w:rPr>
              <w:t>珍珠猪毛菜、醉马草+骆驼蓬群落</w:t>
            </w:r>
            <w:r>
              <w:rPr>
                <w:color w:val="000000"/>
                <w:sz w:val="24"/>
              </w:rPr>
              <w:t>、</w:t>
            </w:r>
            <w:r>
              <w:rPr>
                <w:rFonts w:hint="eastAsia"/>
                <w:color w:val="000000"/>
                <w:sz w:val="24"/>
              </w:rPr>
              <w:t>针茅+冷蒿群落</w:t>
            </w:r>
            <w:r>
              <w:rPr>
                <w:color w:val="000000"/>
                <w:sz w:val="24"/>
              </w:rPr>
              <w:t>为主，占总面积的</w:t>
            </w:r>
            <w:r>
              <w:rPr>
                <w:rFonts w:hint="eastAsia"/>
                <w:color w:val="000000"/>
                <w:sz w:val="24"/>
              </w:rPr>
              <w:t>65.36</w:t>
            </w:r>
            <w:r>
              <w:rPr>
                <w:color w:val="000000"/>
                <w:sz w:val="24"/>
              </w:rPr>
              <w:t>%；</w:t>
            </w:r>
            <w:r>
              <w:rPr>
                <w:rFonts w:hint="eastAsia"/>
                <w:color w:val="000000"/>
                <w:sz w:val="24"/>
              </w:rPr>
              <w:t>栽培植被主要是农作物，</w:t>
            </w:r>
            <w:r>
              <w:rPr>
                <w:color w:val="000000"/>
                <w:sz w:val="24"/>
              </w:rPr>
              <w:t>占总面积的</w:t>
            </w:r>
            <w:r>
              <w:rPr>
                <w:rFonts w:hint="eastAsia"/>
                <w:color w:val="000000"/>
                <w:sz w:val="24"/>
              </w:rPr>
              <w:t>17.37</w:t>
            </w:r>
            <w:r>
              <w:rPr>
                <w:color w:val="000000"/>
                <w:sz w:val="24"/>
              </w:rPr>
              <w:t>%；非植被区主要为</w:t>
            </w:r>
            <w:r>
              <w:rPr>
                <w:rFonts w:hint="eastAsia"/>
                <w:color w:val="000000"/>
                <w:sz w:val="24"/>
              </w:rPr>
              <w:t>未利用地</w:t>
            </w:r>
            <w:r>
              <w:rPr>
                <w:color w:val="000000"/>
                <w:sz w:val="24"/>
              </w:rPr>
              <w:t>等，占总面积的</w:t>
            </w:r>
            <w:r>
              <w:rPr>
                <w:rFonts w:hint="eastAsia"/>
                <w:color w:val="000000"/>
                <w:sz w:val="24"/>
              </w:rPr>
              <w:t>17.28</w:t>
            </w:r>
            <w:r>
              <w:rPr>
                <w:color w:val="000000"/>
                <w:sz w:val="24"/>
              </w:rPr>
              <w:t>%。</w:t>
            </w:r>
          </w:p>
          <w:p>
            <w:pPr>
              <w:adjustRightInd w:val="0"/>
              <w:snapToGrid w:val="0"/>
              <w:spacing w:line="360" w:lineRule="auto"/>
              <w:ind w:firstLine="480" w:firstLineChars="200"/>
              <w:jc w:val="left"/>
              <w:rPr>
                <w:sz w:val="24"/>
                <w:szCs w:val="22"/>
              </w:rPr>
            </w:pPr>
            <w:r>
              <w:rPr>
                <w:sz w:val="24"/>
              </w:rPr>
              <w:t>②土地利用现状遥感解译结果</w:t>
            </w:r>
          </w:p>
          <w:p>
            <w:pPr>
              <w:adjustRightInd w:val="0"/>
              <w:snapToGrid w:val="0"/>
              <w:spacing w:line="360" w:lineRule="auto"/>
              <w:ind w:firstLine="480" w:firstLineChars="200"/>
              <w:rPr>
                <w:sz w:val="24"/>
                <w:szCs w:val="22"/>
              </w:rPr>
            </w:pPr>
            <w:r>
              <w:rPr>
                <w:sz w:val="24"/>
                <w:szCs w:val="22"/>
              </w:rPr>
              <w:t>按照《土地利用现状分类标准（GBT 21010-2017）》进行地类划分，将项目区的土地利用类型划分为</w:t>
            </w:r>
            <w:r>
              <w:rPr>
                <w:rFonts w:hint="eastAsia"/>
                <w:sz w:val="24"/>
                <w:szCs w:val="22"/>
              </w:rPr>
              <w:t>农用地及未利用地</w:t>
            </w:r>
            <w:r>
              <w:rPr>
                <w:sz w:val="24"/>
                <w:szCs w:val="22"/>
              </w:rPr>
              <w:t>。区域土地利用类型及面积统计见</w:t>
            </w:r>
            <w:r>
              <w:rPr>
                <w:rFonts w:hint="eastAsia"/>
                <w:sz w:val="24"/>
                <w:szCs w:val="22"/>
              </w:rPr>
              <w:t>下</w:t>
            </w:r>
            <w:r>
              <w:rPr>
                <w:sz w:val="24"/>
                <w:szCs w:val="22"/>
              </w:rPr>
              <w:t>表</w:t>
            </w:r>
            <w:r>
              <w:rPr>
                <w:rFonts w:hint="eastAsia"/>
                <w:sz w:val="24"/>
                <w:szCs w:val="22"/>
              </w:rPr>
              <w:t>及附图10</w:t>
            </w:r>
            <w:r>
              <w:rPr>
                <w:sz w:val="24"/>
                <w:szCs w:val="22"/>
              </w:rPr>
              <w:t>。</w:t>
            </w:r>
          </w:p>
          <w:p>
            <w:pPr>
              <w:spacing w:before="120" w:beforeLines="50" w:line="360" w:lineRule="auto"/>
              <w:jc w:val="center"/>
              <w:rPr>
                <w:sz w:val="28"/>
                <w:szCs w:val="28"/>
              </w:rPr>
            </w:pPr>
            <w:r>
              <w:rPr>
                <w:b/>
                <w:bCs/>
                <w:sz w:val="24"/>
              </w:rPr>
              <w:t>表3-</w:t>
            </w:r>
            <w:r>
              <w:rPr>
                <w:rFonts w:hint="eastAsia"/>
                <w:b/>
                <w:bCs/>
                <w:sz w:val="24"/>
              </w:rPr>
              <w:t>3</w:t>
            </w:r>
            <w:r>
              <w:rPr>
                <w:b/>
                <w:bCs/>
                <w:sz w:val="24"/>
              </w:rPr>
              <w:t xml:space="preserve">    土地利用类型及面积统计</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57" w:type="dxa"/>
                <w:left w:w="57" w:type="dxa"/>
                <w:bottom w:w="57" w:type="dxa"/>
                <w:right w:w="57" w:type="dxa"/>
              </w:tblCellMar>
            </w:tblPr>
            <w:tblGrid>
              <w:gridCol w:w="1195"/>
              <w:gridCol w:w="669"/>
              <w:gridCol w:w="1197"/>
              <w:gridCol w:w="1440"/>
              <w:gridCol w:w="1239"/>
              <w:gridCol w:w="1440"/>
              <w:gridCol w:w="12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817" w:type="pct"/>
                  <w:gridSpan w:val="3"/>
                  <w:tcBorders>
                    <w:tl2br w:val="nil"/>
                    <w:tr2bl w:val="nil"/>
                  </w:tcBorders>
                  <w:vAlign w:val="center"/>
                </w:tcPr>
                <w:p>
                  <w:pPr>
                    <w:adjustRightInd w:val="0"/>
                    <w:snapToGrid w:val="0"/>
                    <w:jc w:val="center"/>
                    <w:rPr>
                      <w:szCs w:val="21"/>
                    </w:rPr>
                  </w:pPr>
                  <w:r>
                    <w:rPr>
                      <w:szCs w:val="21"/>
                    </w:rPr>
                    <w:t>土地利用类型</w:t>
                  </w:r>
                </w:p>
              </w:tc>
              <w:tc>
                <w:tcPr>
                  <w:tcW w:w="1591" w:type="pct"/>
                  <w:gridSpan w:val="2"/>
                  <w:tcBorders>
                    <w:tl2br w:val="nil"/>
                    <w:tr2bl w:val="nil"/>
                  </w:tcBorders>
                  <w:vAlign w:val="center"/>
                </w:tcPr>
                <w:p>
                  <w:pPr>
                    <w:adjustRightInd w:val="0"/>
                    <w:snapToGrid w:val="0"/>
                    <w:jc w:val="center"/>
                    <w:rPr>
                      <w:szCs w:val="21"/>
                    </w:rPr>
                  </w:pPr>
                  <w:r>
                    <w:rPr>
                      <w:szCs w:val="21"/>
                    </w:rPr>
                    <w:t>评价区</w:t>
                  </w:r>
                </w:p>
              </w:tc>
              <w:tc>
                <w:tcPr>
                  <w:tcW w:w="1591" w:type="pct"/>
                  <w:gridSpan w:val="2"/>
                  <w:tcBorders>
                    <w:tl2br w:val="nil"/>
                    <w:tr2bl w:val="nil"/>
                  </w:tcBorders>
                  <w:vAlign w:val="center"/>
                </w:tcPr>
                <w:p>
                  <w:pPr>
                    <w:adjustRightInd w:val="0"/>
                    <w:snapToGrid w:val="0"/>
                    <w:jc w:val="center"/>
                    <w:rPr>
                      <w:szCs w:val="21"/>
                    </w:rPr>
                  </w:pPr>
                  <w:r>
                    <w:rPr>
                      <w:szCs w:val="21"/>
                    </w:rPr>
                    <w:t>项目区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9" w:hRule="atLeast"/>
                <w:jc w:val="center"/>
              </w:trPr>
              <w:tc>
                <w:tcPr>
                  <w:tcW w:w="709" w:type="pct"/>
                  <w:tcBorders>
                    <w:tl2br w:val="nil"/>
                    <w:tr2bl w:val="nil"/>
                  </w:tcBorders>
                  <w:vAlign w:val="center"/>
                </w:tcPr>
                <w:p>
                  <w:pPr>
                    <w:adjustRightInd w:val="0"/>
                    <w:snapToGrid w:val="0"/>
                    <w:jc w:val="center"/>
                    <w:rPr>
                      <w:szCs w:val="21"/>
                    </w:rPr>
                  </w:pPr>
                  <w:r>
                    <w:rPr>
                      <w:rFonts w:hint="eastAsia"/>
                      <w:szCs w:val="21"/>
                    </w:rPr>
                    <w:t>三大</w:t>
                  </w:r>
                  <w:r>
                    <w:rPr>
                      <w:szCs w:val="21"/>
                    </w:rPr>
                    <w:t>类</w:t>
                  </w:r>
                </w:p>
              </w:tc>
              <w:tc>
                <w:tcPr>
                  <w:tcW w:w="397" w:type="pct"/>
                  <w:tcBorders>
                    <w:tl2br w:val="nil"/>
                    <w:tr2bl w:val="nil"/>
                  </w:tcBorders>
                  <w:vAlign w:val="center"/>
                </w:tcPr>
                <w:p>
                  <w:pPr>
                    <w:adjustRightInd w:val="0"/>
                    <w:snapToGrid w:val="0"/>
                    <w:jc w:val="center"/>
                    <w:rPr>
                      <w:szCs w:val="21"/>
                    </w:rPr>
                  </w:pPr>
                  <w:r>
                    <w:rPr>
                      <w:szCs w:val="21"/>
                    </w:rPr>
                    <w:t>代码</w:t>
                  </w:r>
                </w:p>
              </w:tc>
              <w:tc>
                <w:tcPr>
                  <w:tcW w:w="710" w:type="pct"/>
                  <w:tcBorders>
                    <w:tl2br w:val="nil"/>
                    <w:tr2bl w:val="nil"/>
                  </w:tcBorders>
                  <w:vAlign w:val="center"/>
                </w:tcPr>
                <w:p>
                  <w:pPr>
                    <w:adjustRightInd w:val="0"/>
                    <w:snapToGrid w:val="0"/>
                    <w:jc w:val="center"/>
                    <w:rPr>
                      <w:szCs w:val="21"/>
                    </w:rPr>
                  </w:pPr>
                  <w:r>
                    <w:rPr>
                      <w:szCs w:val="21"/>
                    </w:rPr>
                    <w:t>二级类</w:t>
                  </w:r>
                </w:p>
              </w:tc>
              <w:tc>
                <w:tcPr>
                  <w:tcW w:w="855" w:type="pct"/>
                  <w:tcBorders>
                    <w:tl2br w:val="nil"/>
                    <w:tr2bl w:val="nil"/>
                  </w:tcBorders>
                  <w:vAlign w:val="center"/>
                </w:tcPr>
                <w:p>
                  <w:pPr>
                    <w:adjustRightInd w:val="0"/>
                    <w:snapToGrid w:val="0"/>
                    <w:jc w:val="center"/>
                    <w:rPr>
                      <w:szCs w:val="21"/>
                    </w:rPr>
                  </w:pPr>
                  <w:r>
                    <w:rPr>
                      <w:szCs w:val="21"/>
                    </w:rPr>
                    <w:t>面积</w:t>
                  </w:r>
                  <w:r>
                    <w:rPr>
                      <w:rFonts w:hint="eastAsia"/>
                      <w:szCs w:val="21"/>
                    </w:rPr>
                    <w:t>（</w:t>
                  </w:r>
                  <w:r>
                    <w:rPr>
                      <w:szCs w:val="21"/>
                    </w:rPr>
                    <w:t>km</w:t>
                  </w:r>
                  <w:r>
                    <w:rPr>
                      <w:szCs w:val="21"/>
                      <w:vertAlign w:val="superscript"/>
                    </w:rPr>
                    <w:t>2</w:t>
                  </w:r>
                  <w:r>
                    <w:rPr>
                      <w:szCs w:val="21"/>
                    </w:rPr>
                    <w:t>)</w:t>
                  </w:r>
                </w:p>
              </w:tc>
              <w:tc>
                <w:tcPr>
                  <w:tcW w:w="735" w:type="pct"/>
                  <w:tcBorders>
                    <w:tl2br w:val="nil"/>
                    <w:tr2bl w:val="nil"/>
                  </w:tcBorders>
                  <w:vAlign w:val="center"/>
                </w:tcPr>
                <w:p>
                  <w:pPr>
                    <w:adjustRightInd w:val="0"/>
                    <w:snapToGrid w:val="0"/>
                    <w:jc w:val="center"/>
                    <w:rPr>
                      <w:szCs w:val="21"/>
                    </w:rPr>
                  </w:pPr>
                  <w:r>
                    <w:rPr>
                      <w:szCs w:val="21"/>
                    </w:rPr>
                    <w:t>比例</w:t>
                  </w:r>
                  <w:r>
                    <w:rPr>
                      <w:rFonts w:hint="eastAsia"/>
                      <w:szCs w:val="21"/>
                    </w:rPr>
                    <w:t>（</w:t>
                  </w:r>
                  <w:r>
                    <w:rPr>
                      <w:szCs w:val="21"/>
                    </w:rPr>
                    <w:t>%)</w:t>
                  </w:r>
                </w:p>
              </w:tc>
              <w:tc>
                <w:tcPr>
                  <w:tcW w:w="855" w:type="pct"/>
                  <w:tcBorders>
                    <w:tl2br w:val="nil"/>
                    <w:tr2bl w:val="nil"/>
                  </w:tcBorders>
                  <w:vAlign w:val="center"/>
                </w:tcPr>
                <w:p>
                  <w:pPr>
                    <w:adjustRightInd w:val="0"/>
                    <w:snapToGrid w:val="0"/>
                    <w:jc w:val="center"/>
                    <w:rPr>
                      <w:szCs w:val="21"/>
                    </w:rPr>
                  </w:pPr>
                  <w:r>
                    <w:rPr>
                      <w:szCs w:val="21"/>
                    </w:rPr>
                    <w:t>面积</w:t>
                  </w:r>
                  <w:r>
                    <w:rPr>
                      <w:rFonts w:hint="eastAsia"/>
                      <w:szCs w:val="21"/>
                    </w:rPr>
                    <w:t>（k</w:t>
                  </w:r>
                  <w:r>
                    <w:rPr>
                      <w:szCs w:val="21"/>
                    </w:rPr>
                    <w:t>m</w:t>
                  </w:r>
                  <w:r>
                    <w:rPr>
                      <w:szCs w:val="21"/>
                      <w:vertAlign w:val="superscript"/>
                    </w:rPr>
                    <w:t>2</w:t>
                  </w:r>
                  <w:r>
                    <w:rPr>
                      <w:szCs w:val="21"/>
                    </w:rPr>
                    <w:t>)</w:t>
                  </w:r>
                </w:p>
              </w:tc>
              <w:tc>
                <w:tcPr>
                  <w:tcW w:w="735" w:type="pct"/>
                  <w:tcBorders>
                    <w:tl2br w:val="nil"/>
                    <w:tr2bl w:val="nil"/>
                  </w:tcBorders>
                  <w:vAlign w:val="center"/>
                </w:tcPr>
                <w:p>
                  <w:pPr>
                    <w:adjustRightInd w:val="0"/>
                    <w:snapToGrid w:val="0"/>
                    <w:jc w:val="center"/>
                    <w:rPr>
                      <w:szCs w:val="21"/>
                    </w:rPr>
                  </w:pPr>
                  <w:r>
                    <w:rPr>
                      <w:szCs w:val="21"/>
                    </w:rPr>
                    <w:t>比例</w:t>
                  </w:r>
                  <w:r>
                    <w:rPr>
                      <w:rFonts w:hint="eastAsia"/>
                      <w:szCs w:val="21"/>
                    </w:rPr>
                    <w:t>（</w:t>
                  </w:r>
                  <w:r>
                    <w:rPr>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restart"/>
                  <w:tcBorders>
                    <w:tl2br w:val="nil"/>
                    <w:tr2bl w:val="nil"/>
                  </w:tcBorders>
                  <w:vAlign w:val="center"/>
                </w:tcPr>
                <w:p>
                  <w:pPr>
                    <w:adjustRightInd w:val="0"/>
                    <w:snapToGrid w:val="0"/>
                    <w:jc w:val="center"/>
                    <w:rPr>
                      <w:szCs w:val="21"/>
                    </w:rPr>
                  </w:pPr>
                  <w:r>
                    <w:rPr>
                      <w:szCs w:val="21"/>
                    </w:rPr>
                    <w:t>农用地</w:t>
                  </w:r>
                </w:p>
              </w:tc>
              <w:tc>
                <w:tcPr>
                  <w:tcW w:w="669" w:type="dxa"/>
                  <w:tcBorders>
                    <w:tl2br w:val="nil"/>
                    <w:tr2bl w:val="nil"/>
                  </w:tcBorders>
                  <w:vAlign w:val="center"/>
                </w:tcPr>
                <w:p>
                  <w:pPr>
                    <w:adjustRightInd w:val="0"/>
                    <w:snapToGrid w:val="0"/>
                    <w:jc w:val="center"/>
                    <w:rPr>
                      <w:szCs w:val="21"/>
                    </w:rPr>
                  </w:pPr>
                  <w:r>
                    <w:rPr>
                      <w:szCs w:val="21"/>
                    </w:rPr>
                    <w:t>013</w:t>
                  </w:r>
                </w:p>
              </w:tc>
              <w:tc>
                <w:tcPr>
                  <w:tcW w:w="1197" w:type="dxa"/>
                  <w:tcBorders>
                    <w:tl2br w:val="nil"/>
                    <w:tr2bl w:val="nil"/>
                  </w:tcBorders>
                  <w:vAlign w:val="center"/>
                </w:tcPr>
                <w:p>
                  <w:pPr>
                    <w:adjustRightInd w:val="0"/>
                    <w:snapToGrid w:val="0"/>
                    <w:jc w:val="center"/>
                    <w:rPr>
                      <w:szCs w:val="21"/>
                    </w:rPr>
                  </w:pPr>
                  <w:r>
                    <w:rPr>
                      <w:szCs w:val="21"/>
                    </w:rPr>
                    <w:t>旱地</w:t>
                  </w:r>
                </w:p>
              </w:tc>
              <w:tc>
                <w:tcPr>
                  <w:tcW w:w="1441" w:type="dxa"/>
                  <w:tcBorders>
                    <w:tl2br w:val="nil"/>
                    <w:tr2bl w:val="nil"/>
                  </w:tcBorders>
                  <w:vAlign w:val="center"/>
                </w:tcPr>
                <w:p>
                  <w:pPr>
                    <w:widowControl/>
                    <w:adjustRightInd w:val="0"/>
                    <w:snapToGrid w:val="0"/>
                    <w:jc w:val="center"/>
                    <w:rPr>
                      <w:color w:val="000000"/>
                      <w:szCs w:val="21"/>
                    </w:rPr>
                  </w:pPr>
                  <w:r>
                    <w:rPr>
                      <w:rFonts w:eastAsia="等线"/>
                      <w:color w:val="000000"/>
                      <w:szCs w:val="21"/>
                    </w:rPr>
                    <w:t>0.5582</w:t>
                  </w:r>
                </w:p>
              </w:tc>
              <w:tc>
                <w:tcPr>
                  <w:tcW w:w="1238" w:type="dxa"/>
                  <w:tcBorders>
                    <w:tl2br w:val="nil"/>
                    <w:tr2bl w:val="nil"/>
                  </w:tcBorders>
                  <w:vAlign w:val="center"/>
                </w:tcPr>
                <w:p>
                  <w:pPr>
                    <w:widowControl/>
                    <w:adjustRightInd w:val="0"/>
                    <w:snapToGrid w:val="0"/>
                    <w:jc w:val="center"/>
                    <w:rPr>
                      <w:color w:val="000000"/>
                      <w:szCs w:val="21"/>
                    </w:rPr>
                  </w:pPr>
                  <w:r>
                    <w:rPr>
                      <w:rFonts w:eastAsia="等线"/>
                      <w:color w:val="000000"/>
                      <w:szCs w:val="21"/>
                    </w:rPr>
                    <w:t>29.61</w:t>
                  </w:r>
                </w:p>
              </w:tc>
              <w:tc>
                <w:tcPr>
                  <w:tcW w:w="1441" w:type="dxa"/>
                  <w:tcBorders>
                    <w:tl2br w:val="nil"/>
                    <w:tr2bl w:val="nil"/>
                  </w:tcBorders>
                  <w:vAlign w:val="center"/>
                </w:tcPr>
                <w:p>
                  <w:pPr>
                    <w:adjustRightInd w:val="0"/>
                    <w:snapToGrid w:val="0"/>
                    <w:jc w:val="center"/>
                    <w:rPr>
                      <w:color w:val="000000"/>
                      <w:szCs w:val="21"/>
                    </w:rPr>
                  </w:pPr>
                  <w:r>
                    <w:rPr>
                      <w:rFonts w:hint="eastAsia" w:eastAsia="等线"/>
                      <w:color w:val="000000"/>
                      <w:szCs w:val="21"/>
                    </w:rPr>
                    <w:t>0.0</w:t>
                  </w:r>
                  <w:r>
                    <w:rPr>
                      <w:rFonts w:eastAsia="等线"/>
                      <w:color w:val="000000"/>
                      <w:szCs w:val="21"/>
                    </w:rPr>
                    <w:t>18062</w:t>
                  </w:r>
                </w:p>
              </w:tc>
              <w:tc>
                <w:tcPr>
                  <w:tcW w:w="735" w:type="pct"/>
                  <w:tcBorders>
                    <w:tl2br w:val="nil"/>
                    <w:tr2bl w:val="nil"/>
                  </w:tcBorders>
                  <w:vAlign w:val="center"/>
                </w:tcPr>
                <w:p>
                  <w:pPr>
                    <w:adjustRightInd w:val="0"/>
                    <w:snapToGrid w:val="0"/>
                    <w:jc w:val="center"/>
                    <w:rPr>
                      <w:color w:val="000000"/>
                      <w:szCs w:val="21"/>
                    </w:rPr>
                  </w:pPr>
                  <w:r>
                    <w:rPr>
                      <w:rFonts w:hint="eastAsia" w:eastAsia="等线"/>
                      <w:color w:val="000000"/>
                      <w:szCs w:val="21"/>
                    </w:rPr>
                    <w:t>17.37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continue"/>
                  <w:tcBorders>
                    <w:tl2br w:val="nil"/>
                    <w:tr2bl w:val="nil"/>
                  </w:tcBorders>
                  <w:vAlign w:val="center"/>
                </w:tcPr>
                <w:p>
                  <w:pPr>
                    <w:adjustRightInd w:val="0"/>
                    <w:snapToGrid w:val="0"/>
                    <w:jc w:val="center"/>
                    <w:rPr>
                      <w:szCs w:val="21"/>
                    </w:rPr>
                  </w:pPr>
                </w:p>
              </w:tc>
              <w:tc>
                <w:tcPr>
                  <w:tcW w:w="669" w:type="dxa"/>
                  <w:tcBorders>
                    <w:tl2br w:val="nil"/>
                    <w:tr2bl w:val="nil"/>
                  </w:tcBorders>
                  <w:vAlign w:val="center"/>
                </w:tcPr>
                <w:p>
                  <w:pPr>
                    <w:adjustRightInd w:val="0"/>
                    <w:snapToGrid w:val="0"/>
                    <w:jc w:val="center"/>
                    <w:rPr>
                      <w:szCs w:val="21"/>
                    </w:rPr>
                  </w:pPr>
                  <w:r>
                    <w:rPr>
                      <w:szCs w:val="21"/>
                    </w:rPr>
                    <w:t>104</w:t>
                  </w:r>
                </w:p>
              </w:tc>
              <w:tc>
                <w:tcPr>
                  <w:tcW w:w="1197" w:type="dxa"/>
                  <w:tcBorders>
                    <w:tl2br w:val="nil"/>
                    <w:tr2bl w:val="nil"/>
                  </w:tcBorders>
                  <w:vAlign w:val="center"/>
                </w:tcPr>
                <w:p>
                  <w:pPr>
                    <w:adjustRightInd w:val="0"/>
                    <w:snapToGrid w:val="0"/>
                    <w:jc w:val="center"/>
                    <w:rPr>
                      <w:szCs w:val="21"/>
                    </w:rPr>
                  </w:pPr>
                  <w:r>
                    <w:rPr>
                      <w:szCs w:val="21"/>
                    </w:rPr>
                    <w:t>农村道路</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0.0421</w:t>
                  </w:r>
                </w:p>
              </w:tc>
              <w:tc>
                <w:tcPr>
                  <w:tcW w:w="1238" w:type="dxa"/>
                  <w:tcBorders>
                    <w:tl2br w:val="nil"/>
                    <w:tr2bl w:val="nil"/>
                  </w:tcBorders>
                  <w:vAlign w:val="center"/>
                </w:tcPr>
                <w:p>
                  <w:pPr>
                    <w:adjustRightInd w:val="0"/>
                    <w:snapToGrid w:val="0"/>
                    <w:jc w:val="center"/>
                    <w:rPr>
                      <w:color w:val="000000"/>
                      <w:szCs w:val="21"/>
                    </w:rPr>
                  </w:pPr>
                  <w:r>
                    <w:rPr>
                      <w:rFonts w:eastAsia="等线"/>
                      <w:color w:val="000000"/>
                      <w:szCs w:val="21"/>
                    </w:rPr>
                    <w:t>2.23</w:t>
                  </w:r>
                </w:p>
              </w:tc>
              <w:tc>
                <w:tcPr>
                  <w:tcW w:w="1441" w:type="dxa"/>
                  <w:tcBorders>
                    <w:tl2br w:val="nil"/>
                    <w:tr2bl w:val="nil"/>
                  </w:tcBorders>
                  <w:vAlign w:val="center"/>
                </w:tcPr>
                <w:p>
                  <w:pPr>
                    <w:adjustRightInd w:val="0"/>
                    <w:snapToGrid w:val="0"/>
                    <w:jc w:val="center"/>
                    <w:rPr>
                      <w:color w:val="000000"/>
                      <w:szCs w:val="21"/>
                    </w:rPr>
                  </w:pPr>
                  <w:r>
                    <w:rPr>
                      <w:rFonts w:hint="eastAsia" w:eastAsia="等线"/>
                      <w:color w:val="000000"/>
                      <w:szCs w:val="21"/>
                    </w:rPr>
                    <w:t>0.0</w:t>
                  </w:r>
                  <w:r>
                    <w:rPr>
                      <w:rFonts w:eastAsia="等线"/>
                      <w:color w:val="000000"/>
                      <w:szCs w:val="21"/>
                    </w:rPr>
                    <w:t>00292</w:t>
                  </w:r>
                </w:p>
              </w:tc>
              <w:tc>
                <w:tcPr>
                  <w:tcW w:w="735" w:type="pct"/>
                  <w:tcBorders>
                    <w:tl2br w:val="nil"/>
                    <w:tr2bl w:val="nil"/>
                  </w:tcBorders>
                  <w:vAlign w:val="center"/>
                </w:tcPr>
                <w:p>
                  <w:pPr>
                    <w:adjustRightInd w:val="0"/>
                    <w:snapToGrid w:val="0"/>
                    <w:jc w:val="center"/>
                    <w:rPr>
                      <w:color w:val="000000"/>
                      <w:szCs w:val="21"/>
                    </w:rPr>
                  </w:pPr>
                  <w:r>
                    <w:rPr>
                      <w:rFonts w:hint="eastAsia" w:eastAsia="等线"/>
                      <w:color w:val="000000"/>
                      <w:szCs w:val="21"/>
                    </w:rPr>
                    <w:t>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continue"/>
                  <w:tcBorders>
                    <w:tl2br w:val="nil"/>
                    <w:tr2bl w:val="nil"/>
                  </w:tcBorders>
                  <w:vAlign w:val="center"/>
                </w:tcPr>
                <w:p>
                  <w:pPr>
                    <w:adjustRightInd w:val="0"/>
                    <w:snapToGrid w:val="0"/>
                    <w:jc w:val="center"/>
                    <w:rPr>
                      <w:szCs w:val="21"/>
                    </w:rPr>
                  </w:pPr>
                </w:p>
              </w:tc>
              <w:tc>
                <w:tcPr>
                  <w:tcW w:w="669" w:type="dxa"/>
                  <w:tcBorders>
                    <w:tl2br w:val="nil"/>
                    <w:tr2bl w:val="nil"/>
                  </w:tcBorders>
                  <w:vAlign w:val="center"/>
                </w:tcPr>
                <w:p>
                  <w:pPr>
                    <w:adjustRightInd w:val="0"/>
                    <w:snapToGrid w:val="0"/>
                    <w:jc w:val="center"/>
                    <w:rPr>
                      <w:szCs w:val="21"/>
                    </w:rPr>
                  </w:pPr>
                  <w:r>
                    <w:rPr>
                      <w:szCs w:val="21"/>
                    </w:rPr>
                    <w:t>117</w:t>
                  </w:r>
                </w:p>
              </w:tc>
              <w:tc>
                <w:tcPr>
                  <w:tcW w:w="1197" w:type="dxa"/>
                  <w:tcBorders>
                    <w:tl2br w:val="nil"/>
                    <w:tr2bl w:val="nil"/>
                  </w:tcBorders>
                  <w:vAlign w:val="center"/>
                </w:tcPr>
                <w:p>
                  <w:pPr>
                    <w:adjustRightInd w:val="0"/>
                    <w:snapToGrid w:val="0"/>
                    <w:jc w:val="center"/>
                    <w:rPr>
                      <w:szCs w:val="21"/>
                    </w:rPr>
                  </w:pPr>
                  <w:r>
                    <w:rPr>
                      <w:szCs w:val="21"/>
                    </w:rPr>
                    <w:t>沟渠</w:t>
                  </w:r>
                </w:p>
              </w:tc>
              <w:tc>
                <w:tcPr>
                  <w:tcW w:w="1441" w:type="dxa"/>
                  <w:tcBorders>
                    <w:tl2br w:val="nil"/>
                    <w:tr2bl w:val="nil"/>
                  </w:tcBorders>
                  <w:vAlign w:val="center"/>
                </w:tcPr>
                <w:p>
                  <w:pPr>
                    <w:adjustRightInd w:val="0"/>
                    <w:snapToGrid w:val="0"/>
                    <w:jc w:val="center"/>
                    <w:rPr>
                      <w:rFonts w:eastAsia="等线"/>
                      <w:color w:val="000000"/>
                      <w:szCs w:val="21"/>
                    </w:rPr>
                  </w:pPr>
                  <w:r>
                    <w:rPr>
                      <w:rFonts w:eastAsia="等线"/>
                      <w:color w:val="000000"/>
                      <w:szCs w:val="21"/>
                    </w:rPr>
                    <w:t>0.0733</w:t>
                  </w:r>
                </w:p>
              </w:tc>
              <w:tc>
                <w:tcPr>
                  <w:tcW w:w="1238" w:type="dxa"/>
                  <w:tcBorders>
                    <w:tl2br w:val="nil"/>
                    <w:tr2bl w:val="nil"/>
                  </w:tcBorders>
                  <w:vAlign w:val="center"/>
                </w:tcPr>
                <w:p>
                  <w:pPr>
                    <w:adjustRightInd w:val="0"/>
                    <w:snapToGrid w:val="0"/>
                    <w:jc w:val="center"/>
                    <w:rPr>
                      <w:rFonts w:eastAsia="等线"/>
                      <w:color w:val="000000"/>
                      <w:szCs w:val="21"/>
                    </w:rPr>
                  </w:pPr>
                  <w:r>
                    <w:rPr>
                      <w:rFonts w:eastAsia="等线"/>
                      <w:color w:val="000000"/>
                      <w:szCs w:val="21"/>
                    </w:rPr>
                    <w:t>3.89</w:t>
                  </w:r>
                </w:p>
              </w:tc>
              <w:tc>
                <w:tcPr>
                  <w:tcW w:w="1441" w:type="dxa"/>
                  <w:tcBorders>
                    <w:tl2br w:val="nil"/>
                    <w:tr2bl w:val="nil"/>
                  </w:tcBorders>
                  <w:vAlign w:val="center"/>
                </w:tcPr>
                <w:p>
                  <w:pPr>
                    <w:adjustRightInd w:val="0"/>
                    <w:snapToGrid w:val="0"/>
                    <w:jc w:val="center"/>
                    <w:rPr>
                      <w:rFonts w:eastAsia="等线"/>
                      <w:color w:val="000000"/>
                      <w:szCs w:val="21"/>
                    </w:rPr>
                  </w:pPr>
                  <w:r>
                    <w:rPr>
                      <w:rFonts w:hint="eastAsia" w:eastAsia="等线"/>
                      <w:color w:val="000000"/>
                      <w:szCs w:val="21"/>
                    </w:rPr>
                    <w:t>0.0</w:t>
                  </w:r>
                  <w:r>
                    <w:rPr>
                      <w:rFonts w:eastAsia="等线"/>
                      <w:color w:val="000000"/>
                      <w:szCs w:val="21"/>
                    </w:rPr>
                    <w:t>00579</w:t>
                  </w:r>
                </w:p>
              </w:tc>
              <w:tc>
                <w:tcPr>
                  <w:tcW w:w="735" w:type="pct"/>
                  <w:tcBorders>
                    <w:tl2br w:val="nil"/>
                    <w:tr2bl w:val="nil"/>
                  </w:tcBorders>
                  <w:vAlign w:val="center"/>
                </w:tcPr>
                <w:p>
                  <w:pPr>
                    <w:adjustRightInd w:val="0"/>
                    <w:snapToGrid w:val="0"/>
                    <w:jc w:val="center"/>
                    <w:rPr>
                      <w:rFonts w:eastAsia="等线"/>
                      <w:color w:val="000000"/>
                      <w:szCs w:val="21"/>
                    </w:rPr>
                  </w:pPr>
                  <w:r>
                    <w:rPr>
                      <w:rFonts w:hint="eastAsia" w:eastAsia="等线"/>
                      <w:color w:val="000000"/>
                      <w:szCs w:val="21"/>
                    </w:rPr>
                    <w:t>0.56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restart"/>
                  <w:tcBorders>
                    <w:tl2br w:val="nil"/>
                    <w:tr2bl w:val="nil"/>
                  </w:tcBorders>
                  <w:vAlign w:val="center"/>
                </w:tcPr>
                <w:p>
                  <w:pPr>
                    <w:adjustRightInd w:val="0"/>
                    <w:snapToGrid w:val="0"/>
                    <w:jc w:val="center"/>
                    <w:rPr>
                      <w:szCs w:val="21"/>
                    </w:rPr>
                  </w:pPr>
                  <w:r>
                    <w:rPr>
                      <w:szCs w:val="21"/>
                    </w:rPr>
                    <w:t>未利用地</w:t>
                  </w:r>
                </w:p>
              </w:tc>
              <w:tc>
                <w:tcPr>
                  <w:tcW w:w="669" w:type="dxa"/>
                  <w:tcBorders>
                    <w:tl2br w:val="nil"/>
                    <w:tr2bl w:val="nil"/>
                  </w:tcBorders>
                  <w:vAlign w:val="center"/>
                </w:tcPr>
                <w:p>
                  <w:pPr>
                    <w:adjustRightInd w:val="0"/>
                    <w:snapToGrid w:val="0"/>
                    <w:jc w:val="center"/>
                    <w:rPr>
                      <w:szCs w:val="21"/>
                    </w:rPr>
                  </w:pPr>
                  <w:r>
                    <w:rPr>
                      <w:szCs w:val="21"/>
                    </w:rPr>
                    <w:t>043</w:t>
                  </w:r>
                </w:p>
              </w:tc>
              <w:tc>
                <w:tcPr>
                  <w:tcW w:w="1197" w:type="dxa"/>
                  <w:tcBorders>
                    <w:tl2br w:val="nil"/>
                    <w:tr2bl w:val="nil"/>
                  </w:tcBorders>
                  <w:vAlign w:val="center"/>
                </w:tcPr>
                <w:p>
                  <w:pPr>
                    <w:adjustRightInd w:val="0"/>
                    <w:snapToGrid w:val="0"/>
                    <w:jc w:val="center"/>
                    <w:rPr>
                      <w:szCs w:val="21"/>
                    </w:rPr>
                  </w:pPr>
                  <w:r>
                    <w:rPr>
                      <w:szCs w:val="21"/>
                    </w:rPr>
                    <w:t>其它草地</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1.0253</w:t>
                  </w:r>
                </w:p>
              </w:tc>
              <w:tc>
                <w:tcPr>
                  <w:tcW w:w="1238" w:type="dxa"/>
                  <w:tcBorders>
                    <w:tl2br w:val="nil"/>
                    <w:tr2bl w:val="nil"/>
                  </w:tcBorders>
                  <w:vAlign w:val="center"/>
                </w:tcPr>
                <w:p>
                  <w:pPr>
                    <w:adjustRightInd w:val="0"/>
                    <w:snapToGrid w:val="0"/>
                    <w:jc w:val="center"/>
                    <w:rPr>
                      <w:color w:val="000000"/>
                      <w:szCs w:val="21"/>
                    </w:rPr>
                  </w:pPr>
                  <w:r>
                    <w:rPr>
                      <w:rFonts w:eastAsia="等线"/>
                      <w:color w:val="000000"/>
                      <w:szCs w:val="21"/>
                    </w:rPr>
                    <w:t>54.39</w:t>
                  </w:r>
                </w:p>
              </w:tc>
              <w:tc>
                <w:tcPr>
                  <w:tcW w:w="1441" w:type="dxa"/>
                  <w:tcBorders>
                    <w:tl2br w:val="nil"/>
                    <w:tr2bl w:val="nil"/>
                  </w:tcBorders>
                  <w:vAlign w:val="center"/>
                </w:tcPr>
                <w:p>
                  <w:pPr>
                    <w:adjustRightInd w:val="0"/>
                    <w:snapToGrid w:val="0"/>
                    <w:jc w:val="center"/>
                    <w:rPr>
                      <w:color w:val="000000"/>
                      <w:szCs w:val="21"/>
                    </w:rPr>
                  </w:pPr>
                  <w:r>
                    <w:rPr>
                      <w:rFonts w:hint="eastAsia" w:eastAsia="等线"/>
                      <w:color w:val="000000"/>
                      <w:szCs w:val="21"/>
                    </w:rPr>
                    <w:t>0.0</w:t>
                  </w:r>
                  <w:r>
                    <w:rPr>
                      <w:rFonts w:eastAsia="等线"/>
                      <w:color w:val="000000"/>
                      <w:szCs w:val="21"/>
                    </w:rPr>
                    <w:t>67967</w:t>
                  </w:r>
                </w:p>
              </w:tc>
              <w:tc>
                <w:tcPr>
                  <w:tcW w:w="1238" w:type="dxa"/>
                  <w:tcBorders>
                    <w:tl2br w:val="nil"/>
                    <w:tr2bl w:val="nil"/>
                  </w:tcBorders>
                  <w:vAlign w:val="center"/>
                </w:tcPr>
                <w:p>
                  <w:pPr>
                    <w:adjustRightInd w:val="0"/>
                    <w:snapToGrid w:val="0"/>
                    <w:jc w:val="center"/>
                    <w:rPr>
                      <w:color w:val="000000"/>
                      <w:szCs w:val="21"/>
                    </w:rPr>
                  </w:pPr>
                  <w:r>
                    <w:rPr>
                      <w:rFonts w:hint="eastAsia" w:eastAsia="等线"/>
                      <w:color w:val="000000"/>
                      <w:szCs w:val="21"/>
                    </w:rPr>
                    <w:t>65.35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continue"/>
                  <w:tcBorders>
                    <w:tl2br w:val="nil"/>
                    <w:tr2bl w:val="nil"/>
                  </w:tcBorders>
                  <w:vAlign w:val="center"/>
                </w:tcPr>
                <w:p>
                  <w:pPr>
                    <w:adjustRightInd w:val="0"/>
                    <w:snapToGrid w:val="0"/>
                    <w:jc w:val="center"/>
                    <w:rPr>
                      <w:szCs w:val="21"/>
                    </w:rPr>
                  </w:pPr>
                </w:p>
              </w:tc>
              <w:tc>
                <w:tcPr>
                  <w:tcW w:w="669" w:type="dxa"/>
                  <w:tcBorders>
                    <w:tl2br w:val="nil"/>
                    <w:tr2bl w:val="nil"/>
                  </w:tcBorders>
                  <w:vAlign w:val="center"/>
                </w:tcPr>
                <w:p>
                  <w:pPr>
                    <w:adjustRightInd w:val="0"/>
                    <w:snapToGrid w:val="0"/>
                    <w:jc w:val="center"/>
                    <w:rPr>
                      <w:szCs w:val="21"/>
                    </w:rPr>
                  </w:pPr>
                  <w:r>
                    <w:rPr>
                      <w:szCs w:val="21"/>
                    </w:rPr>
                    <w:t>127</w:t>
                  </w:r>
                </w:p>
              </w:tc>
              <w:tc>
                <w:tcPr>
                  <w:tcW w:w="1197" w:type="dxa"/>
                  <w:tcBorders>
                    <w:tl2br w:val="nil"/>
                    <w:tr2bl w:val="nil"/>
                  </w:tcBorders>
                  <w:vAlign w:val="center"/>
                </w:tcPr>
                <w:p>
                  <w:pPr>
                    <w:adjustRightInd w:val="0"/>
                    <w:snapToGrid w:val="0"/>
                    <w:jc w:val="center"/>
                    <w:rPr>
                      <w:szCs w:val="21"/>
                    </w:rPr>
                  </w:pPr>
                  <w:r>
                    <w:rPr>
                      <w:szCs w:val="21"/>
                    </w:rPr>
                    <w:t>裸土地</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0.0756</w:t>
                  </w:r>
                </w:p>
              </w:tc>
              <w:tc>
                <w:tcPr>
                  <w:tcW w:w="1238" w:type="dxa"/>
                  <w:tcBorders>
                    <w:tl2br w:val="nil"/>
                    <w:tr2bl w:val="nil"/>
                  </w:tcBorders>
                  <w:vAlign w:val="center"/>
                </w:tcPr>
                <w:p>
                  <w:pPr>
                    <w:adjustRightInd w:val="0"/>
                    <w:snapToGrid w:val="0"/>
                    <w:jc w:val="center"/>
                    <w:rPr>
                      <w:color w:val="000000"/>
                      <w:szCs w:val="21"/>
                    </w:rPr>
                  </w:pPr>
                  <w:r>
                    <w:rPr>
                      <w:rFonts w:eastAsia="等线"/>
                      <w:color w:val="000000"/>
                      <w:szCs w:val="21"/>
                    </w:rPr>
                    <w:t>4.01</w:t>
                  </w:r>
                </w:p>
              </w:tc>
              <w:tc>
                <w:tcPr>
                  <w:tcW w:w="1441" w:type="dxa"/>
                  <w:tcBorders>
                    <w:tl2br w:val="nil"/>
                    <w:tr2bl w:val="nil"/>
                  </w:tcBorders>
                  <w:vAlign w:val="center"/>
                </w:tcPr>
                <w:p>
                  <w:pPr>
                    <w:adjustRightInd w:val="0"/>
                    <w:snapToGrid w:val="0"/>
                    <w:jc w:val="center"/>
                    <w:rPr>
                      <w:color w:val="000000"/>
                      <w:szCs w:val="21"/>
                    </w:rPr>
                  </w:pPr>
                  <w:r>
                    <w:rPr>
                      <w:rFonts w:hint="eastAsia" w:eastAsia="等线"/>
                      <w:color w:val="000000"/>
                      <w:szCs w:val="21"/>
                    </w:rPr>
                    <w:t>0.0</w:t>
                  </w:r>
                  <w:r>
                    <w:rPr>
                      <w:rFonts w:eastAsia="等线"/>
                      <w:color w:val="000000"/>
                      <w:szCs w:val="21"/>
                    </w:rPr>
                    <w:t>17100</w:t>
                  </w:r>
                </w:p>
              </w:tc>
              <w:tc>
                <w:tcPr>
                  <w:tcW w:w="1238" w:type="dxa"/>
                  <w:tcBorders>
                    <w:tl2br w:val="nil"/>
                    <w:tr2bl w:val="nil"/>
                  </w:tcBorders>
                  <w:vAlign w:val="center"/>
                </w:tcPr>
                <w:p>
                  <w:pPr>
                    <w:adjustRightInd w:val="0"/>
                    <w:snapToGrid w:val="0"/>
                    <w:jc w:val="center"/>
                    <w:rPr>
                      <w:color w:val="000000"/>
                      <w:szCs w:val="21"/>
                    </w:rPr>
                  </w:pPr>
                  <w:r>
                    <w:rPr>
                      <w:rFonts w:hint="eastAsia" w:eastAsia="等线"/>
                      <w:color w:val="000000"/>
                      <w:szCs w:val="21"/>
                    </w:rPr>
                    <w:t>16.44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restart"/>
                  <w:tcBorders>
                    <w:tl2br w:val="nil"/>
                    <w:tr2bl w:val="nil"/>
                  </w:tcBorders>
                  <w:vAlign w:val="center"/>
                </w:tcPr>
                <w:p>
                  <w:pPr>
                    <w:adjustRightInd w:val="0"/>
                    <w:snapToGrid w:val="0"/>
                    <w:jc w:val="center"/>
                    <w:rPr>
                      <w:szCs w:val="21"/>
                    </w:rPr>
                  </w:pPr>
                  <w:r>
                    <w:rPr>
                      <w:szCs w:val="21"/>
                    </w:rPr>
                    <w:t>建设用地</w:t>
                  </w:r>
                </w:p>
              </w:tc>
              <w:tc>
                <w:tcPr>
                  <w:tcW w:w="669" w:type="dxa"/>
                  <w:tcBorders>
                    <w:tl2br w:val="nil"/>
                    <w:tr2bl w:val="nil"/>
                  </w:tcBorders>
                  <w:vAlign w:val="center"/>
                </w:tcPr>
                <w:p>
                  <w:pPr>
                    <w:adjustRightInd w:val="0"/>
                    <w:snapToGrid w:val="0"/>
                    <w:jc w:val="center"/>
                    <w:rPr>
                      <w:szCs w:val="21"/>
                    </w:rPr>
                  </w:pPr>
                  <w:r>
                    <w:rPr>
                      <w:szCs w:val="21"/>
                    </w:rPr>
                    <w:t>061</w:t>
                  </w:r>
                </w:p>
              </w:tc>
              <w:tc>
                <w:tcPr>
                  <w:tcW w:w="1197" w:type="dxa"/>
                  <w:tcBorders>
                    <w:tl2br w:val="nil"/>
                    <w:tr2bl w:val="nil"/>
                  </w:tcBorders>
                  <w:vAlign w:val="center"/>
                </w:tcPr>
                <w:p>
                  <w:pPr>
                    <w:adjustRightInd w:val="0"/>
                    <w:snapToGrid w:val="0"/>
                    <w:jc w:val="center"/>
                    <w:rPr>
                      <w:szCs w:val="21"/>
                    </w:rPr>
                  </w:pPr>
                  <w:r>
                    <w:rPr>
                      <w:szCs w:val="21"/>
                    </w:rPr>
                    <w:t>工业用地</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0.0538</w:t>
                  </w:r>
                </w:p>
              </w:tc>
              <w:tc>
                <w:tcPr>
                  <w:tcW w:w="1238" w:type="dxa"/>
                  <w:tcBorders>
                    <w:tl2br w:val="nil"/>
                    <w:tr2bl w:val="nil"/>
                  </w:tcBorders>
                  <w:vAlign w:val="center"/>
                </w:tcPr>
                <w:p>
                  <w:pPr>
                    <w:adjustRightInd w:val="0"/>
                    <w:snapToGrid w:val="0"/>
                    <w:jc w:val="center"/>
                    <w:rPr>
                      <w:color w:val="000000"/>
                      <w:szCs w:val="21"/>
                    </w:rPr>
                  </w:pPr>
                  <w:r>
                    <w:rPr>
                      <w:rFonts w:eastAsia="等线"/>
                      <w:color w:val="000000"/>
                      <w:szCs w:val="21"/>
                    </w:rPr>
                    <w:t>2.85</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0</w:t>
                  </w:r>
                </w:p>
              </w:tc>
              <w:tc>
                <w:tcPr>
                  <w:tcW w:w="1238" w:type="dxa"/>
                  <w:tcBorders>
                    <w:tl2br w:val="nil"/>
                    <w:tr2bl w:val="nil"/>
                  </w:tcBorders>
                  <w:vAlign w:val="center"/>
                </w:tcPr>
                <w:p>
                  <w:pPr>
                    <w:adjustRightInd w:val="0"/>
                    <w:snapToGrid w:val="0"/>
                    <w:jc w:val="center"/>
                    <w:rPr>
                      <w:color w:val="000000"/>
                      <w:szCs w:val="21"/>
                    </w:rPr>
                  </w:pPr>
                  <w:r>
                    <w:rPr>
                      <w:rFonts w:eastAsia="等线"/>
                      <w:color w:val="000000"/>
                      <w:szCs w:val="21"/>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9" w:hRule="atLeast"/>
                <w:jc w:val="center"/>
              </w:trPr>
              <w:tc>
                <w:tcPr>
                  <w:tcW w:w="1195" w:type="dxa"/>
                  <w:vMerge w:val="continue"/>
                  <w:tcBorders>
                    <w:tl2br w:val="nil"/>
                    <w:tr2bl w:val="nil"/>
                  </w:tcBorders>
                  <w:vAlign w:val="center"/>
                </w:tcPr>
                <w:p>
                  <w:pPr>
                    <w:adjustRightInd w:val="0"/>
                    <w:snapToGrid w:val="0"/>
                    <w:jc w:val="center"/>
                    <w:rPr>
                      <w:szCs w:val="21"/>
                    </w:rPr>
                  </w:pPr>
                </w:p>
              </w:tc>
              <w:tc>
                <w:tcPr>
                  <w:tcW w:w="669" w:type="dxa"/>
                  <w:tcBorders>
                    <w:tl2br w:val="nil"/>
                    <w:tr2bl w:val="nil"/>
                  </w:tcBorders>
                  <w:vAlign w:val="center"/>
                </w:tcPr>
                <w:p>
                  <w:pPr>
                    <w:adjustRightInd w:val="0"/>
                    <w:snapToGrid w:val="0"/>
                    <w:jc w:val="center"/>
                    <w:rPr>
                      <w:szCs w:val="21"/>
                    </w:rPr>
                  </w:pPr>
                  <w:r>
                    <w:rPr>
                      <w:szCs w:val="21"/>
                    </w:rPr>
                    <w:t>072</w:t>
                  </w:r>
                </w:p>
              </w:tc>
              <w:tc>
                <w:tcPr>
                  <w:tcW w:w="1197" w:type="dxa"/>
                  <w:tcBorders>
                    <w:tl2br w:val="nil"/>
                    <w:tr2bl w:val="nil"/>
                  </w:tcBorders>
                  <w:vAlign w:val="center"/>
                </w:tcPr>
                <w:p>
                  <w:pPr>
                    <w:adjustRightInd w:val="0"/>
                    <w:snapToGrid w:val="0"/>
                    <w:jc w:val="center"/>
                    <w:rPr>
                      <w:szCs w:val="21"/>
                    </w:rPr>
                  </w:pPr>
                  <w:r>
                    <w:rPr>
                      <w:szCs w:val="21"/>
                    </w:rPr>
                    <w:t>农村宅基地</w:t>
                  </w:r>
                </w:p>
              </w:tc>
              <w:tc>
                <w:tcPr>
                  <w:tcW w:w="1441" w:type="dxa"/>
                  <w:tcBorders>
                    <w:tl2br w:val="nil"/>
                    <w:tr2bl w:val="nil"/>
                  </w:tcBorders>
                  <w:vAlign w:val="center"/>
                </w:tcPr>
                <w:p>
                  <w:pPr>
                    <w:adjustRightInd w:val="0"/>
                    <w:snapToGrid w:val="0"/>
                    <w:jc w:val="center"/>
                    <w:rPr>
                      <w:rFonts w:eastAsia="等线"/>
                      <w:color w:val="000000"/>
                      <w:szCs w:val="21"/>
                    </w:rPr>
                  </w:pPr>
                  <w:r>
                    <w:rPr>
                      <w:rFonts w:eastAsia="等线"/>
                      <w:color w:val="000000"/>
                      <w:szCs w:val="21"/>
                    </w:rPr>
                    <w:t>0.0072</w:t>
                  </w:r>
                </w:p>
              </w:tc>
              <w:tc>
                <w:tcPr>
                  <w:tcW w:w="1238" w:type="dxa"/>
                  <w:tcBorders>
                    <w:tl2br w:val="nil"/>
                    <w:tr2bl w:val="nil"/>
                  </w:tcBorders>
                  <w:vAlign w:val="center"/>
                </w:tcPr>
                <w:p>
                  <w:pPr>
                    <w:adjustRightInd w:val="0"/>
                    <w:snapToGrid w:val="0"/>
                    <w:jc w:val="center"/>
                    <w:rPr>
                      <w:rFonts w:eastAsia="等线"/>
                      <w:color w:val="000000"/>
                      <w:szCs w:val="21"/>
                    </w:rPr>
                  </w:pPr>
                  <w:r>
                    <w:rPr>
                      <w:rFonts w:eastAsia="等线"/>
                      <w:color w:val="000000"/>
                      <w:szCs w:val="21"/>
                    </w:rPr>
                    <w:t>0.38</w:t>
                  </w:r>
                </w:p>
              </w:tc>
              <w:tc>
                <w:tcPr>
                  <w:tcW w:w="1441" w:type="dxa"/>
                  <w:tcBorders>
                    <w:tl2br w:val="nil"/>
                    <w:tr2bl w:val="nil"/>
                  </w:tcBorders>
                  <w:vAlign w:val="center"/>
                </w:tcPr>
                <w:p>
                  <w:pPr>
                    <w:adjustRightInd w:val="0"/>
                    <w:snapToGrid w:val="0"/>
                    <w:jc w:val="center"/>
                    <w:rPr>
                      <w:rFonts w:eastAsia="等线"/>
                      <w:color w:val="000000"/>
                      <w:szCs w:val="21"/>
                    </w:rPr>
                  </w:pPr>
                  <w:r>
                    <w:rPr>
                      <w:rFonts w:eastAsia="等线"/>
                      <w:color w:val="000000"/>
                      <w:szCs w:val="21"/>
                    </w:rPr>
                    <w:t>0</w:t>
                  </w:r>
                </w:p>
              </w:tc>
              <w:tc>
                <w:tcPr>
                  <w:tcW w:w="1238" w:type="dxa"/>
                  <w:tcBorders>
                    <w:tl2br w:val="nil"/>
                    <w:tr2bl w:val="nil"/>
                  </w:tcBorders>
                  <w:vAlign w:val="center"/>
                </w:tcPr>
                <w:p>
                  <w:pPr>
                    <w:adjustRightInd w:val="0"/>
                    <w:snapToGrid w:val="0"/>
                    <w:jc w:val="center"/>
                    <w:rPr>
                      <w:rFonts w:eastAsia="等线"/>
                      <w:color w:val="000000"/>
                      <w:szCs w:val="21"/>
                    </w:rPr>
                  </w:pPr>
                  <w:r>
                    <w:rPr>
                      <w:rFonts w:eastAsia="等线"/>
                      <w:color w:val="000000"/>
                      <w:szCs w:val="21"/>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195" w:type="dxa"/>
                  <w:vMerge w:val="continue"/>
                  <w:tcBorders>
                    <w:tl2br w:val="nil"/>
                    <w:tr2bl w:val="nil"/>
                  </w:tcBorders>
                  <w:vAlign w:val="center"/>
                </w:tcPr>
                <w:p>
                  <w:pPr>
                    <w:adjustRightInd w:val="0"/>
                    <w:snapToGrid w:val="0"/>
                    <w:jc w:val="center"/>
                    <w:rPr>
                      <w:szCs w:val="21"/>
                    </w:rPr>
                  </w:pPr>
                </w:p>
              </w:tc>
              <w:tc>
                <w:tcPr>
                  <w:tcW w:w="669" w:type="dxa"/>
                  <w:tcBorders>
                    <w:tl2br w:val="nil"/>
                    <w:tr2bl w:val="nil"/>
                  </w:tcBorders>
                  <w:vAlign w:val="center"/>
                </w:tcPr>
                <w:p>
                  <w:pPr>
                    <w:adjustRightInd w:val="0"/>
                    <w:snapToGrid w:val="0"/>
                    <w:jc w:val="center"/>
                    <w:rPr>
                      <w:szCs w:val="21"/>
                    </w:rPr>
                  </w:pPr>
                  <w:r>
                    <w:rPr>
                      <w:szCs w:val="21"/>
                    </w:rPr>
                    <w:t>102</w:t>
                  </w:r>
                </w:p>
              </w:tc>
              <w:tc>
                <w:tcPr>
                  <w:tcW w:w="1197" w:type="dxa"/>
                  <w:tcBorders>
                    <w:tl2br w:val="nil"/>
                    <w:tr2bl w:val="nil"/>
                  </w:tcBorders>
                  <w:vAlign w:val="center"/>
                </w:tcPr>
                <w:p>
                  <w:pPr>
                    <w:adjustRightInd w:val="0"/>
                    <w:snapToGrid w:val="0"/>
                    <w:jc w:val="center"/>
                    <w:rPr>
                      <w:szCs w:val="21"/>
                    </w:rPr>
                  </w:pPr>
                  <w:r>
                    <w:rPr>
                      <w:szCs w:val="21"/>
                    </w:rPr>
                    <w:t>公路用地</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0.0496</w:t>
                  </w:r>
                </w:p>
              </w:tc>
              <w:tc>
                <w:tcPr>
                  <w:tcW w:w="1238" w:type="dxa"/>
                  <w:tcBorders>
                    <w:tl2br w:val="nil"/>
                    <w:tr2bl w:val="nil"/>
                  </w:tcBorders>
                  <w:vAlign w:val="center"/>
                </w:tcPr>
                <w:p>
                  <w:pPr>
                    <w:adjustRightInd w:val="0"/>
                    <w:snapToGrid w:val="0"/>
                    <w:jc w:val="center"/>
                    <w:rPr>
                      <w:color w:val="000000"/>
                      <w:szCs w:val="21"/>
                    </w:rPr>
                  </w:pPr>
                  <w:r>
                    <w:rPr>
                      <w:rFonts w:eastAsia="等线"/>
                      <w:color w:val="000000"/>
                      <w:szCs w:val="21"/>
                    </w:rPr>
                    <w:t>2.63</w:t>
                  </w:r>
                </w:p>
              </w:tc>
              <w:tc>
                <w:tcPr>
                  <w:tcW w:w="1441" w:type="dxa"/>
                  <w:tcBorders>
                    <w:tl2br w:val="nil"/>
                    <w:tr2bl w:val="nil"/>
                  </w:tcBorders>
                  <w:vAlign w:val="center"/>
                </w:tcPr>
                <w:p>
                  <w:pPr>
                    <w:adjustRightInd w:val="0"/>
                    <w:snapToGrid w:val="0"/>
                    <w:jc w:val="center"/>
                    <w:rPr>
                      <w:color w:val="000000"/>
                      <w:szCs w:val="21"/>
                    </w:rPr>
                  </w:pPr>
                  <w:r>
                    <w:rPr>
                      <w:rFonts w:eastAsia="等线"/>
                      <w:color w:val="000000"/>
                      <w:szCs w:val="21"/>
                    </w:rPr>
                    <w:t>0</w:t>
                  </w:r>
                </w:p>
              </w:tc>
              <w:tc>
                <w:tcPr>
                  <w:tcW w:w="735" w:type="pct"/>
                  <w:tcBorders>
                    <w:tl2br w:val="nil"/>
                    <w:tr2bl w:val="nil"/>
                  </w:tcBorders>
                  <w:vAlign w:val="center"/>
                </w:tcPr>
                <w:p>
                  <w:pPr>
                    <w:adjustRightInd w:val="0"/>
                    <w:snapToGrid w:val="0"/>
                    <w:jc w:val="center"/>
                    <w:rPr>
                      <w:color w:val="000000"/>
                      <w:szCs w:val="21"/>
                    </w:rPr>
                  </w:pPr>
                  <w:r>
                    <w:rPr>
                      <w:rFonts w:eastAsia="等线"/>
                      <w:color w:val="000000"/>
                      <w:szCs w:val="21"/>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1817" w:type="pct"/>
                  <w:gridSpan w:val="3"/>
                  <w:tcBorders>
                    <w:tl2br w:val="nil"/>
                    <w:tr2bl w:val="nil"/>
                  </w:tcBorders>
                  <w:vAlign w:val="center"/>
                </w:tcPr>
                <w:p>
                  <w:pPr>
                    <w:adjustRightInd w:val="0"/>
                    <w:snapToGrid w:val="0"/>
                    <w:jc w:val="center"/>
                    <w:rPr>
                      <w:szCs w:val="21"/>
                    </w:rPr>
                  </w:pPr>
                  <w:r>
                    <w:rPr>
                      <w:szCs w:val="21"/>
                    </w:rPr>
                    <w:t>合计</w:t>
                  </w:r>
                </w:p>
              </w:tc>
              <w:tc>
                <w:tcPr>
                  <w:tcW w:w="855" w:type="pct"/>
                  <w:tcBorders>
                    <w:tl2br w:val="nil"/>
                    <w:tr2bl w:val="nil"/>
                  </w:tcBorders>
                  <w:vAlign w:val="center"/>
                </w:tcPr>
                <w:p>
                  <w:pPr>
                    <w:widowControl/>
                    <w:adjustRightInd w:val="0"/>
                    <w:snapToGrid w:val="0"/>
                    <w:jc w:val="center"/>
                    <w:rPr>
                      <w:color w:val="000000"/>
                      <w:kern w:val="0"/>
                      <w:szCs w:val="21"/>
                    </w:rPr>
                  </w:pPr>
                  <w:r>
                    <w:rPr>
                      <w:rFonts w:eastAsia="等线"/>
                      <w:color w:val="000000"/>
                      <w:szCs w:val="21"/>
                    </w:rPr>
                    <w:t>1.8851</w:t>
                  </w:r>
                </w:p>
              </w:tc>
              <w:tc>
                <w:tcPr>
                  <w:tcW w:w="735" w:type="pct"/>
                  <w:tcBorders>
                    <w:tl2br w:val="nil"/>
                    <w:tr2bl w:val="nil"/>
                  </w:tcBorders>
                  <w:vAlign w:val="center"/>
                </w:tcPr>
                <w:p>
                  <w:pPr>
                    <w:adjustRightInd w:val="0"/>
                    <w:snapToGrid w:val="0"/>
                    <w:jc w:val="center"/>
                    <w:rPr>
                      <w:color w:val="000000"/>
                      <w:szCs w:val="21"/>
                    </w:rPr>
                  </w:pPr>
                  <w:r>
                    <w:rPr>
                      <w:rFonts w:eastAsia="等线"/>
                      <w:color w:val="000000"/>
                      <w:szCs w:val="21"/>
                    </w:rPr>
                    <w:t>100</w:t>
                  </w:r>
                </w:p>
              </w:tc>
              <w:tc>
                <w:tcPr>
                  <w:tcW w:w="855" w:type="pct"/>
                  <w:tcBorders>
                    <w:tl2br w:val="nil"/>
                    <w:tr2bl w:val="nil"/>
                  </w:tcBorders>
                  <w:vAlign w:val="center"/>
                </w:tcPr>
                <w:p>
                  <w:pPr>
                    <w:adjustRightInd w:val="0"/>
                    <w:snapToGrid w:val="0"/>
                    <w:jc w:val="center"/>
                    <w:rPr>
                      <w:color w:val="000000"/>
                      <w:szCs w:val="21"/>
                    </w:rPr>
                  </w:pPr>
                  <w:r>
                    <w:rPr>
                      <w:rFonts w:hint="eastAsia" w:eastAsia="等线"/>
                      <w:color w:val="000000"/>
                      <w:szCs w:val="21"/>
                    </w:rPr>
                    <w:t>0.104</w:t>
                  </w:r>
                </w:p>
              </w:tc>
              <w:tc>
                <w:tcPr>
                  <w:tcW w:w="735" w:type="pct"/>
                  <w:tcBorders>
                    <w:tl2br w:val="nil"/>
                    <w:tr2bl w:val="nil"/>
                  </w:tcBorders>
                  <w:vAlign w:val="center"/>
                </w:tcPr>
                <w:p>
                  <w:pPr>
                    <w:adjustRightInd w:val="0"/>
                    <w:snapToGrid w:val="0"/>
                    <w:jc w:val="center"/>
                    <w:rPr>
                      <w:color w:val="000000"/>
                      <w:szCs w:val="21"/>
                    </w:rPr>
                  </w:pPr>
                  <w:r>
                    <w:rPr>
                      <w:rFonts w:eastAsia="等线"/>
                      <w:color w:val="000000"/>
                      <w:szCs w:val="21"/>
                    </w:rPr>
                    <w:t>100</w:t>
                  </w:r>
                </w:p>
              </w:tc>
            </w:tr>
          </w:tbl>
          <w:p>
            <w:pPr>
              <w:adjustRightInd w:val="0"/>
              <w:snapToGrid w:val="0"/>
              <w:spacing w:before="120" w:beforeLines="50" w:line="360" w:lineRule="auto"/>
              <w:ind w:firstLine="482"/>
              <w:rPr>
                <w:sz w:val="24"/>
                <w:szCs w:val="22"/>
              </w:rPr>
            </w:pPr>
            <w:r>
              <w:rPr>
                <w:color w:val="000000"/>
                <w:sz w:val="24"/>
              </w:rPr>
              <w:t>由</w:t>
            </w:r>
            <w:r>
              <w:rPr>
                <w:rFonts w:hint="eastAsia"/>
                <w:color w:val="000000"/>
                <w:sz w:val="24"/>
              </w:rPr>
              <w:t>上</w:t>
            </w:r>
            <w:r>
              <w:rPr>
                <w:color w:val="000000"/>
                <w:sz w:val="24"/>
              </w:rPr>
              <w:t>表可知，项目评价范围内分布较广的为</w:t>
            </w:r>
            <w:r>
              <w:rPr>
                <w:rFonts w:hint="eastAsia"/>
                <w:color w:val="000000"/>
                <w:sz w:val="24"/>
              </w:rPr>
              <w:t>其它</w:t>
            </w:r>
            <w:r>
              <w:rPr>
                <w:color w:val="000000"/>
                <w:sz w:val="24"/>
              </w:rPr>
              <w:t>草地，占评价区总面积的</w:t>
            </w:r>
            <w:r>
              <w:rPr>
                <w:rFonts w:hint="eastAsia"/>
                <w:color w:val="000000"/>
                <w:sz w:val="24"/>
              </w:rPr>
              <w:t>54.39</w:t>
            </w:r>
            <w:r>
              <w:rPr>
                <w:color w:val="000000"/>
                <w:sz w:val="24"/>
              </w:rPr>
              <w:t>%；其次是</w:t>
            </w:r>
            <w:r>
              <w:rPr>
                <w:rFonts w:hint="eastAsia"/>
                <w:color w:val="000000"/>
                <w:sz w:val="24"/>
              </w:rPr>
              <w:t>旱地</w:t>
            </w:r>
            <w:r>
              <w:rPr>
                <w:color w:val="000000"/>
                <w:sz w:val="24"/>
              </w:rPr>
              <w:t>，占总面积的</w:t>
            </w:r>
            <w:r>
              <w:rPr>
                <w:rFonts w:hint="eastAsia"/>
                <w:color w:val="000000"/>
                <w:sz w:val="24"/>
              </w:rPr>
              <w:t>29.61</w:t>
            </w:r>
            <w:r>
              <w:rPr>
                <w:color w:val="000000"/>
                <w:sz w:val="24"/>
              </w:rPr>
              <w:t>%</w:t>
            </w:r>
            <w:r>
              <w:rPr>
                <w:rFonts w:hint="eastAsia"/>
                <w:color w:val="000000"/>
                <w:sz w:val="24"/>
              </w:rPr>
              <w:t>；再次是裸土地，</w:t>
            </w:r>
            <w:r>
              <w:rPr>
                <w:color w:val="000000"/>
                <w:sz w:val="24"/>
              </w:rPr>
              <w:t>占总面积的</w:t>
            </w:r>
            <w:r>
              <w:rPr>
                <w:rFonts w:hint="eastAsia"/>
                <w:color w:val="000000"/>
                <w:sz w:val="24"/>
              </w:rPr>
              <w:t>4.01</w:t>
            </w:r>
            <w:r>
              <w:rPr>
                <w:color w:val="000000"/>
                <w:sz w:val="24"/>
              </w:rPr>
              <w:t>%；</w:t>
            </w:r>
            <w:r>
              <w:rPr>
                <w:rFonts w:hint="eastAsia"/>
                <w:color w:val="000000"/>
                <w:sz w:val="24"/>
              </w:rPr>
              <w:t>工业用地、公路用地</w:t>
            </w:r>
            <w:r>
              <w:rPr>
                <w:color w:val="000000"/>
                <w:sz w:val="24"/>
              </w:rPr>
              <w:t>占</w:t>
            </w:r>
            <w:r>
              <w:rPr>
                <w:rFonts w:hint="eastAsia"/>
                <w:color w:val="000000"/>
                <w:sz w:val="24"/>
              </w:rPr>
              <w:t>地</w:t>
            </w:r>
            <w:r>
              <w:rPr>
                <w:color w:val="000000"/>
                <w:sz w:val="24"/>
              </w:rPr>
              <w:t>比较小，</w:t>
            </w:r>
            <w:r>
              <w:rPr>
                <w:rFonts w:hint="eastAsia"/>
                <w:color w:val="000000"/>
                <w:sz w:val="24"/>
              </w:rPr>
              <w:t>分别</w:t>
            </w:r>
            <w:r>
              <w:rPr>
                <w:color w:val="000000"/>
                <w:sz w:val="24"/>
              </w:rPr>
              <w:t>占总面积的</w:t>
            </w:r>
            <w:r>
              <w:rPr>
                <w:rFonts w:hint="eastAsia"/>
                <w:color w:val="000000"/>
                <w:sz w:val="24"/>
              </w:rPr>
              <w:t>2.85%、2.63</w:t>
            </w:r>
            <w:r>
              <w:rPr>
                <w:color w:val="000000"/>
                <w:sz w:val="24"/>
              </w:rPr>
              <w:t>%</w:t>
            </w:r>
            <w:r>
              <w:rPr>
                <w:rFonts w:hint="eastAsia"/>
                <w:color w:val="000000"/>
                <w:sz w:val="24"/>
              </w:rPr>
              <w:t>，农村道路及沟渠用地分别站总面积的2.23%和3.89%，仅有零星住宅用地，占总面积的0.38%</w:t>
            </w:r>
            <w:r>
              <w:rPr>
                <w:color w:val="000000"/>
                <w:sz w:val="24"/>
              </w:rPr>
              <w:t>。项目</w:t>
            </w:r>
            <w:r>
              <w:rPr>
                <w:rFonts w:hint="eastAsia"/>
                <w:color w:val="000000"/>
                <w:sz w:val="24"/>
              </w:rPr>
              <w:t>区域</w:t>
            </w:r>
            <w:r>
              <w:rPr>
                <w:color w:val="000000"/>
                <w:sz w:val="24"/>
              </w:rPr>
              <w:t>范围内分布较广的为</w:t>
            </w:r>
            <w:r>
              <w:rPr>
                <w:rFonts w:hint="eastAsia"/>
                <w:color w:val="000000"/>
                <w:sz w:val="24"/>
              </w:rPr>
              <w:t>未利用地</w:t>
            </w:r>
            <w:r>
              <w:rPr>
                <w:color w:val="000000"/>
                <w:sz w:val="24"/>
              </w:rPr>
              <w:t>，占评价区总面积的</w:t>
            </w:r>
            <w:r>
              <w:rPr>
                <w:rFonts w:hint="eastAsia"/>
                <w:color w:val="000000"/>
                <w:sz w:val="24"/>
              </w:rPr>
              <w:t>81.79</w:t>
            </w:r>
            <w:r>
              <w:rPr>
                <w:color w:val="000000"/>
                <w:sz w:val="24"/>
              </w:rPr>
              <w:t>%；其次是</w:t>
            </w:r>
            <w:r>
              <w:rPr>
                <w:rFonts w:hint="eastAsia"/>
                <w:color w:val="000000"/>
                <w:sz w:val="24"/>
              </w:rPr>
              <w:t>农用地</w:t>
            </w:r>
            <w:r>
              <w:rPr>
                <w:color w:val="000000"/>
                <w:sz w:val="24"/>
              </w:rPr>
              <w:t>，占总面积的</w:t>
            </w:r>
            <w:r>
              <w:rPr>
                <w:rFonts w:hint="eastAsia"/>
                <w:color w:val="000000"/>
                <w:sz w:val="24"/>
              </w:rPr>
              <w:t>18.21</w:t>
            </w:r>
            <w:r>
              <w:rPr>
                <w:color w:val="000000"/>
                <w:sz w:val="24"/>
              </w:rPr>
              <w:t>%。</w:t>
            </w:r>
          </w:p>
          <w:p>
            <w:pPr>
              <w:adjustRightInd w:val="0"/>
              <w:snapToGrid w:val="0"/>
              <w:spacing w:line="360" w:lineRule="auto"/>
              <w:ind w:firstLine="480" w:firstLineChars="200"/>
              <w:jc w:val="left"/>
              <w:rPr>
                <w:sz w:val="24"/>
                <w:szCs w:val="22"/>
              </w:rPr>
            </w:pPr>
            <w:r>
              <w:rPr>
                <w:sz w:val="24"/>
              </w:rPr>
              <w:t>③</w:t>
            </w:r>
            <w:r>
              <w:rPr>
                <w:sz w:val="24"/>
                <w:szCs w:val="22"/>
              </w:rPr>
              <w:t>土壤侵蚀强度与类型遥感解译结果</w:t>
            </w:r>
          </w:p>
          <w:p>
            <w:pPr>
              <w:adjustRightInd w:val="0"/>
              <w:snapToGrid w:val="0"/>
              <w:spacing w:line="360" w:lineRule="auto"/>
              <w:ind w:firstLine="480" w:firstLineChars="200"/>
              <w:jc w:val="left"/>
              <w:rPr>
                <w:sz w:val="28"/>
                <w:szCs w:val="28"/>
              </w:rPr>
            </w:pPr>
            <w:r>
              <w:rPr>
                <w:sz w:val="24"/>
                <w:szCs w:val="22"/>
              </w:rPr>
              <w:t>评价区土壤侵蚀强度的划分在区域土壤侵蚀模数的基础上进行，参照《全国土壤侵蚀遥感调查技术规程》的土壤侵蚀类型与强度的分类分级系统，以土地利用类型、植被覆盖和地面坡度等间接指标进行综合分析而实现，将项目区土壤侵蚀划分为</w:t>
            </w:r>
            <w:r>
              <w:rPr>
                <w:rFonts w:hint="eastAsia"/>
                <w:sz w:val="24"/>
                <w:szCs w:val="22"/>
              </w:rPr>
              <w:t>微度侵蚀、轻度侵蚀、中度侵蚀、强度侵蚀</w:t>
            </w:r>
            <w:r>
              <w:rPr>
                <w:sz w:val="24"/>
                <w:szCs w:val="22"/>
              </w:rPr>
              <w:t>4个级别。土壤侵蚀强度面积统计见</w:t>
            </w:r>
            <w:r>
              <w:rPr>
                <w:rFonts w:hint="eastAsia"/>
                <w:sz w:val="24"/>
                <w:szCs w:val="22"/>
              </w:rPr>
              <w:t>下表及附图11</w:t>
            </w:r>
            <w:r>
              <w:rPr>
                <w:sz w:val="24"/>
                <w:szCs w:val="22"/>
              </w:rPr>
              <w:t>。</w:t>
            </w:r>
          </w:p>
          <w:p>
            <w:pPr>
              <w:spacing w:before="120" w:beforeLines="50" w:line="360" w:lineRule="auto"/>
              <w:ind w:firstLine="482" w:firstLineChars="200"/>
              <w:jc w:val="center"/>
              <w:rPr>
                <w:sz w:val="28"/>
                <w:szCs w:val="28"/>
              </w:rPr>
            </w:pPr>
            <w:r>
              <w:rPr>
                <w:b/>
                <w:bCs/>
                <w:sz w:val="24"/>
              </w:rPr>
              <w:t>表3-</w:t>
            </w:r>
            <w:r>
              <w:rPr>
                <w:rFonts w:hint="eastAsia"/>
                <w:b/>
                <w:bCs/>
                <w:sz w:val="24"/>
              </w:rPr>
              <w:t>4</w:t>
            </w:r>
            <w:r>
              <w:rPr>
                <w:b/>
                <w:bCs/>
                <w:sz w:val="24"/>
              </w:rPr>
              <w:t xml:space="preserve">    土壤侵蚀强度面积统计</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57" w:type="dxa"/>
                <w:left w:w="57" w:type="dxa"/>
                <w:bottom w:w="57" w:type="dxa"/>
                <w:right w:w="57" w:type="dxa"/>
              </w:tblCellMar>
            </w:tblPr>
            <w:tblGrid>
              <w:gridCol w:w="1535"/>
              <w:gridCol w:w="1851"/>
              <w:gridCol w:w="1592"/>
              <w:gridCol w:w="1850"/>
              <w:gridCol w:w="15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vMerge w:val="restart"/>
                  <w:tcBorders>
                    <w:tl2br w:val="nil"/>
                    <w:tr2bl w:val="nil"/>
                  </w:tcBorders>
                  <w:vAlign w:val="center"/>
                </w:tcPr>
                <w:p>
                  <w:pPr>
                    <w:adjustRightInd w:val="0"/>
                    <w:snapToGrid w:val="0"/>
                    <w:jc w:val="center"/>
                    <w:rPr>
                      <w:szCs w:val="21"/>
                    </w:rPr>
                  </w:pPr>
                  <w:r>
                    <w:rPr>
                      <w:szCs w:val="21"/>
                    </w:rPr>
                    <w:t>侵蚀程度</w:t>
                  </w:r>
                </w:p>
              </w:tc>
              <w:tc>
                <w:tcPr>
                  <w:tcW w:w="2044" w:type="pct"/>
                  <w:gridSpan w:val="2"/>
                  <w:tcBorders>
                    <w:tl2br w:val="nil"/>
                    <w:tr2bl w:val="nil"/>
                  </w:tcBorders>
                  <w:vAlign w:val="center"/>
                </w:tcPr>
                <w:p>
                  <w:pPr>
                    <w:adjustRightInd w:val="0"/>
                    <w:snapToGrid w:val="0"/>
                    <w:jc w:val="center"/>
                    <w:rPr>
                      <w:szCs w:val="21"/>
                    </w:rPr>
                  </w:pPr>
                  <w:r>
                    <w:rPr>
                      <w:szCs w:val="21"/>
                    </w:rPr>
                    <w:t>评价区</w:t>
                  </w:r>
                </w:p>
              </w:tc>
              <w:tc>
                <w:tcPr>
                  <w:tcW w:w="2044" w:type="pct"/>
                  <w:gridSpan w:val="2"/>
                  <w:tcBorders>
                    <w:tl2br w:val="nil"/>
                    <w:tr2bl w:val="nil"/>
                  </w:tcBorders>
                  <w:vAlign w:val="center"/>
                </w:tcPr>
                <w:p>
                  <w:pPr>
                    <w:adjustRightInd w:val="0"/>
                    <w:snapToGrid w:val="0"/>
                    <w:jc w:val="center"/>
                    <w:rPr>
                      <w:szCs w:val="21"/>
                    </w:rPr>
                  </w:pPr>
                  <w:r>
                    <w:rPr>
                      <w:szCs w:val="21"/>
                    </w:rPr>
                    <w:t>项目区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vMerge w:val="continue"/>
                  <w:tcBorders>
                    <w:tl2br w:val="nil"/>
                    <w:tr2bl w:val="nil"/>
                  </w:tcBorders>
                  <w:vAlign w:val="center"/>
                </w:tcPr>
                <w:p>
                  <w:pPr>
                    <w:adjustRightInd w:val="0"/>
                    <w:snapToGrid w:val="0"/>
                    <w:jc w:val="center"/>
                    <w:rPr>
                      <w:szCs w:val="21"/>
                    </w:rPr>
                  </w:pPr>
                </w:p>
              </w:tc>
              <w:tc>
                <w:tcPr>
                  <w:tcW w:w="1099" w:type="pct"/>
                  <w:tcBorders>
                    <w:tl2br w:val="nil"/>
                    <w:tr2bl w:val="nil"/>
                  </w:tcBorders>
                  <w:vAlign w:val="center"/>
                </w:tcPr>
                <w:p>
                  <w:pPr>
                    <w:adjustRightInd w:val="0"/>
                    <w:snapToGrid w:val="0"/>
                    <w:jc w:val="center"/>
                    <w:rPr>
                      <w:szCs w:val="21"/>
                    </w:rPr>
                  </w:pPr>
                  <w:r>
                    <w:rPr>
                      <w:szCs w:val="21"/>
                    </w:rPr>
                    <w:t>面积（km</w:t>
                  </w:r>
                  <w:r>
                    <w:rPr>
                      <w:szCs w:val="21"/>
                      <w:vertAlign w:val="superscript"/>
                    </w:rPr>
                    <w:t>2</w:t>
                  </w:r>
                  <w:r>
                    <w:rPr>
                      <w:szCs w:val="21"/>
                    </w:rPr>
                    <w:t>)</w:t>
                  </w:r>
                </w:p>
              </w:tc>
              <w:tc>
                <w:tcPr>
                  <w:tcW w:w="944" w:type="pct"/>
                  <w:tcBorders>
                    <w:tl2br w:val="nil"/>
                    <w:tr2bl w:val="nil"/>
                  </w:tcBorders>
                  <w:vAlign w:val="center"/>
                </w:tcPr>
                <w:p>
                  <w:pPr>
                    <w:adjustRightInd w:val="0"/>
                    <w:snapToGrid w:val="0"/>
                    <w:jc w:val="center"/>
                    <w:rPr>
                      <w:szCs w:val="21"/>
                    </w:rPr>
                  </w:pPr>
                  <w:r>
                    <w:rPr>
                      <w:szCs w:val="21"/>
                    </w:rPr>
                    <w:t>比例（%)</w:t>
                  </w:r>
                </w:p>
              </w:tc>
              <w:tc>
                <w:tcPr>
                  <w:tcW w:w="1099" w:type="pct"/>
                  <w:tcBorders>
                    <w:tl2br w:val="nil"/>
                    <w:tr2bl w:val="nil"/>
                  </w:tcBorders>
                  <w:vAlign w:val="center"/>
                </w:tcPr>
                <w:p>
                  <w:pPr>
                    <w:adjustRightInd w:val="0"/>
                    <w:snapToGrid w:val="0"/>
                    <w:jc w:val="center"/>
                    <w:rPr>
                      <w:szCs w:val="21"/>
                    </w:rPr>
                  </w:pPr>
                  <w:r>
                    <w:rPr>
                      <w:szCs w:val="21"/>
                    </w:rPr>
                    <w:t>面积（km</w:t>
                  </w:r>
                  <w:r>
                    <w:rPr>
                      <w:szCs w:val="21"/>
                      <w:vertAlign w:val="superscript"/>
                    </w:rPr>
                    <w:t>2</w:t>
                  </w:r>
                  <w:r>
                    <w:rPr>
                      <w:szCs w:val="21"/>
                    </w:rPr>
                    <w:t>)</w:t>
                  </w:r>
                </w:p>
              </w:tc>
              <w:tc>
                <w:tcPr>
                  <w:tcW w:w="944" w:type="pct"/>
                  <w:tcBorders>
                    <w:tl2br w:val="nil"/>
                    <w:tr2bl w:val="nil"/>
                  </w:tcBorders>
                  <w:vAlign w:val="center"/>
                </w:tcPr>
                <w:p>
                  <w:pPr>
                    <w:adjustRightInd w:val="0"/>
                    <w:snapToGrid w:val="0"/>
                    <w:jc w:val="center"/>
                    <w:rPr>
                      <w:szCs w:val="21"/>
                    </w:rPr>
                  </w:pPr>
                  <w:r>
                    <w:rPr>
                      <w:szCs w:val="21"/>
                    </w:rPr>
                    <w:t>比例（%)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tcBorders>
                    <w:tl2br w:val="nil"/>
                    <w:tr2bl w:val="nil"/>
                  </w:tcBorders>
                  <w:vAlign w:val="center"/>
                </w:tcPr>
                <w:p>
                  <w:pPr>
                    <w:adjustRightInd w:val="0"/>
                    <w:snapToGrid w:val="0"/>
                    <w:jc w:val="center"/>
                    <w:rPr>
                      <w:szCs w:val="21"/>
                    </w:rPr>
                  </w:pPr>
                  <w:r>
                    <w:rPr>
                      <w:szCs w:val="21"/>
                    </w:rPr>
                    <w:t>微度侵蚀</w:t>
                  </w:r>
                </w:p>
              </w:tc>
              <w:tc>
                <w:tcPr>
                  <w:tcW w:w="1099" w:type="pct"/>
                  <w:tcBorders>
                    <w:tl2br w:val="nil"/>
                    <w:tr2bl w:val="nil"/>
                  </w:tcBorders>
                  <w:vAlign w:val="center"/>
                </w:tcPr>
                <w:p>
                  <w:pPr>
                    <w:jc w:val="center"/>
                    <w:rPr>
                      <w:color w:val="000000"/>
                      <w:szCs w:val="21"/>
                    </w:rPr>
                  </w:pPr>
                  <w:r>
                    <w:rPr>
                      <w:szCs w:val="21"/>
                    </w:rPr>
                    <w:t>0.6192</w:t>
                  </w:r>
                </w:p>
              </w:tc>
              <w:tc>
                <w:tcPr>
                  <w:tcW w:w="944" w:type="pct"/>
                  <w:tcBorders>
                    <w:tl2br w:val="nil"/>
                    <w:tr2bl w:val="nil"/>
                  </w:tcBorders>
                  <w:vAlign w:val="center"/>
                </w:tcPr>
                <w:p>
                  <w:pPr>
                    <w:jc w:val="center"/>
                    <w:rPr>
                      <w:color w:val="000000"/>
                      <w:szCs w:val="21"/>
                    </w:rPr>
                  </w:pPr>
                  <w:r>
                    <w:rPr>
                      <w:szCs w:val="21"/>
                    </w:rPr>
                    <w:t>32.85</w:t>
                  </w:r>
                </w:p>
              </w:tc>
              <w:tc>
                <w:tcPr>
                  <w:tcW w:w="1850" w:type="dxa"/>
                  <w:tcBorders>
                    <w:tl2br w:val="nil"/>
                    <w:tr2bl w:val="nil"/>
                  </w:tcBorders>
                  <w:vAlign w:val="center"/>
                </w:tcPr>
                <w:p>
                  <w:pPr>
                    <w:jc w:val="center"/>
                    <w:rPr>
                      <w:color w:val="000000"/>
                      <w:szCs w:val="21"/>
                    </w:rPr>
                  </w:pPr>
                  <w:r>
                    <w:rPr>
                      <w:szCs w:val="21"/>
                    </w:rPr>
                    <w:t>0.020522</w:t>
                  </w:r>
                </w:p>
              </w:tc>
              <w:tc>
                <w:tcPr>
                  <w:tcW w:w="1591" w:type="dxa"/>
                  <w:tcBorders>
                    <w:tl2br w:val="nil"/>
                    <w:tr2bl w:val="nil"/>
                  </w:tcBorders>
                  <w:vAlign w:val="center"/>
                </w:tcPr>
                <w:p>
                  <w:pPr>
                    <w:jc w:val="center"/>
                    <w:rPr>
                      <w:color w:val="000000"/>
                      <w:szCs w:val="21"/>
                    </w:rPr>
                  </w:pPr>
                  <w:r>
                    <w:rPr>
                      <w:szCs w:val="21"/>
                    </w:rPr>
                    <w:t>19.73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tcBorders>
                    <w:tl2br w:val="nil"/>
                    <w:tr2bl w:val="nil"/>
                  </w:tcBorders>
                  <w:vAlign w:val="center"/>
                </w:tcPr>
                <w:p>
                  <w:pPr>
                    <w:adjustRightInd w:val="0"/>
                    <w:snapToGrid w:val="0"/>
                    <w:jc w:val="center"/>
                    <w:rPr>
                      <w:szCs w:val="21"/>
                    </w:rPr>
                  </w:pPr>
                  <w:r>
                    <w:rPr>
                      <w:szCs w:val="21"/>
                    </w:rPr>
                    <w:t>轻度侵蚀</w:t>
                  </w:r>
                </w:p>
              </w:tc>
              <w:tc>
                <w:tcPr>
                  <w:tcW w:w="1099" w:type="pct"/>
                  <w:tcBorders>
                    <w:tl2br w:val="nil"/>
                    <w:tr2bl w:val="nil"/>
                  </w:tcBorders>
                  <w:vAlign w:val="center"/>
                </w:tcPr>
                <w:p>
                  <w:pPr>
                    <w:jc w:val="center"/>
                    <w:rPr>
                      <w:color w:val="000000"/>
                      <w:szCs w:val="21"/>
                    </w:rPr>
                  </w:pPr>
                  <w:r>
                    <w:rPr>
                      <w:szCs w:val="21"/>
                    </w:rPr>
                    <w:t>0.9322</w:t>
                  </w:r>
                </w:p>
              </w:tc>
              <w:tc>
                <w:tcPr>
                  <w:tcW w:w="944" w:type="pct"/>
                  <w:tcBorders>
                    <w:tl2br w:val="nil"/>
                    <w:tr2bl w:val="nil"/>
                  </w:tcBorders>
                  <w:vAlign w:val="center"/>
                </w:tcPr>
                <w:p>
                  <w:pPr>
                    <w:jc w:val="center"/>
                    <w:rPr>
                      <w:color w:val="000000"/>
                      <w:szCs w:val="21"/>
                    </w:rPr>
                  </w:pPr>
                  <w:r>
                    <w:rPr>
                      <w:szCs w:val="21"/>
                    </w:rPr>
                    <w:t>49.45</w:t>
                  </w:r>
                </w:p>
              </w:tc>
              <w:tc>
                <w:tcPr>
                  <w:tcW w:w="1850" w:type="dxa"/>
                  <w:tcBorders>
                    <w:tl2br w:val="nil"/>
                    <w:tr2bl w:val="nil"/>
                  </w:tcBorders>
                  <w:vAlign w:val="center"/>
                </w:tcPr>
                <w:p>
                  <w:pPr>
                    <w:jc w:val="center"/>
                    <w:rPr>
                      <w:color w:val="000000"/>
                      <w:szCs w:val="21"/>
                    </w:rPr>
                  </w:pPr>
                  <w:r>
                    <w:rPr>
                      <w:szCs w:val="21"/>
                    </w:rPr>
                    <w:t>0.027953</w:t>
                  </w:r>
                </w:p>
              </w:tc>
              <w:tc>
                <w:tcPr>
                  <w:tcW w:w="1591" w:type="dxa"/>
                  <w:tcBorders>
                    <w:tl2br w:val="nil"/>
                    <w:tr2bl w:val="nil"/>
                  </w:tcBorders>
                  <w:vAlign w:val="center"/>
                </w:tcPr>
                <w:p>
                  <w:pPr>
                    <w:jc w:val="center"/>
                    <w:rPr>
                      <w:color w:val="000000"/>
                      <w:szCs w:val="21"/>
                    </w:rPr>
                  </w:pPr>
                  <w:r>
                    <w:rPr>
                      <w:szCs w:val="21"/>
                    </w:rPr>
                    <w:t>26.88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tcBorders>
                    <w:tl2br w:val="nil"/>
                    <w:tr2bl w:val="nil"/>
                  </w:tcBorders>
                  <w:vAlign w:val="center"/>
                </w:tcPr>
                <w:p>
                  <w:pPr>
                    <w:adjustRightInd w:val="0"/>
                    <w:snapToGrid w:val="0"/>
                    <w:jc w:val="center"/>
                    <w:rPr>
                      <w:szCs w:val="21"/>
                    </w:rPr>
                  </w:pPr>
                  <w:r>
                    <w:rPr>
                      <w:szCs w:val="21"/>
                    </w:rPr>
                    <w:t>中度侵蚀</w:t>
                  </w:r>
                </w:p>
              </w:tc>
              <w:tc>
                <w:tcPr>
                  <w:tcW w:w="1099" w:type="pct"/>
                  <w:tcBorders>
                    <w:tl2br w:val="nil"/>
                    <w:tr2bl w:val="nil"/>
                  </w:tcBorders>
                  <w:vAlign w:val="center"/>
                </w:tcPr>
                <w:p>
                  <w:pPr>
                    <w:jc w:val="center"/>
                    <w:rPr>
                      <w:color w:val="000000"/>
                      <w:szCs w:val="21"/>
                    </w:rPr>
                  </w:pPr>
                  <w:r>
                    <w:rPr>
                      <w:szCs w:val="21"/>
                    </w:rPr>
                    <w:t>0.2581</w:t>
                  </w:r>
                </w:p>
              </w:tc>
              <w:tc>
                <w:tcPr>
                  <w:tcW w:w="944" w:type="pct"/>
                  <w:tcBorders>
                    <w:tl2br w:val="nil"/>
                    <w:tr2bl w:val="nil"/>
                  </w:tcBorders>
                  <w:vAlign w:val="center"/>
                </w:tcPr>
                <w:p>
                  <w:pPr>
                    <w:jc w:val="center"/>
                    <w:rPr>
                      <w:color w:val="000000"/>
                      <w:szCs w:val="21"/>
                    </w:rPr>
                  </w:pPr>
                  <w:r>
                    <w:rPr>
                      <w:szCs w:val="21"/>
                    </w:rPr>
                    <w:t>13.69</w:t>
                  </w:r>
                </w:p>
              </w:tc>
              <w:tc>
                <w:tcPr>
                  <w:tcW w:w="1850" w:type="dxa"/>
                  <w:tcBorders>
                    <w:tl2br w:val="nil"/>
                    <w:tr2bl w:val="nil"/>
                  </w:tcBorders>
                  <w:vAlign w:val="center"/>
                </w:tcPr>
                <w:p>
                  <w:pPr>
                    <w:jc w:val="center"/>
                    <w:rPr>
                      <w:color w:val="000000"/>
                      <w:szCs w:val="21"/>
                    </w:rPr>
                  </w:pPr>
                  <w:r>
                    <w:rPr>
                      <w:szCs w:val="21"/>
                    </w:rPr>
                    <w:t>0.038407</w:t>
                  </w:r>
                </w:p>
              </w:tc>
              <w:tc>
                <w:tcPr>
                  <w:tcW w:w="1591" w:type="dxa"/>
                  <w:tcBorders>
                    <w:tl2br w:val="nil"/>
                    <w:tr2bl w:val="nil"/>
                  </w:tcBorders>
                  <w:vAlign w:val="center"/>
                </w:tcPr>
                <w:p>
                  <w:pPr>
                    <w:jc w:val="center"/>
                    <w:rPr>
                      <w:color w:val="000000"/>
                      <w:szCs w:val="21"/>
                    </w:rPr>
                  </w:pPr>
                  <w:r>
                    <w:rPr>
                      <w:szCs w:val="21"/>
                    </w:rPr>
                    <w:t>36.93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tcBorders>
                    <w:tl2br w:val="nil"/>
                    <w:tr2bl w:val="nil"/>
                  </w:tcBorders>
                  <w:vAlign w:val="center"/>
                </w:tcPr>
                <w:p>
                  <w:pPr>
                    <w:adjustRightInd w:val="0"/>
                    <w:snapToGrid w:val="0"/>
                    <w:jc w:val="center"/>
                    <w:rPr>
                      <w:szCs w:val="21"/>
                    </w:rPr>
                  </w:pPr>
                  <w:r>
                    <w:rPr>
                      <w:szCs w:val="21"/>
                    </w:rPr>
                    <w:t>强度侵蚀</w:t>
                  </w:r>
                </w:p>
              </w:tc>
              <w:tc>
                <w:tcPr>
                  <w:tcW w:w="1099" w:type="pct"/>
                  <w:tcBorders>
                    <w:tl2br w:val="nil"/>
                    <w:tr2bl w:val="nil"/>
                  </w:tcBorders>
                  <w:vAlign w:val="center"/>
                </w:tcPr>
                <w:p>
                  <w:pPr>
                    <w:jc w:val="center"/>
                    <w:rPr>
                      <w:color w:val="000000"/>
                      <w:szCs w:val="21"/>
                    </w:rPr>
                  </w:pPr>
                  <w:r>
                    <w:rPr>
                      <w:szCs w:val="21"/>
                    </w:rPr>
                    <w:t>0.0756</w:t>
                  </w:r>
                </w:p>
              </w:tc>
              <w:tc>
                <w:tcPr>
                  <w:tcW w:w="944" w:type="pct"/>
                  <w:tcBorders>
                    <w:tl2br w:val="nil"/>
                    <w:tr2bl w:val="nil"/>
                  </w:tcBorders>
                  <w:vAlign w:val="center"/>
                </w:tcPr>
                <w:p>
                  <w:pPr>
                    <w:jc w:val="center"/>
                    <w:rPr>
                      <w:color w:val="000000"/>
                      <w:szCs w:val="21"/>
                    </w:rPr>
                  </w:pPr>
                  <w:r>
                    <w:rPr>
                      <w:szCs w:val="21"/>
                    </w:rPr>
                    <w:t>4.01</w:t>
                  </w:r>
                </w:p>
              </w:tc>
              <w:tc>
                <w:tcPr>
                  <w:tcW w:w="1850" w:type="dxa"/>
                  <w:tcBorders>
                    <w:tl2br w:val="nil"/>
                    <w:tr2bl w:val="nil"/>
                  </w:tcBorders>
                  <w:vAlign w:val="center"/>
                </w:tcPr>
                <w:p>
                  <w:pPr>
                    <w:jc w:val="center"/>
                    <w:rPr>
                      <w:color w:val="000000"/>
                      <w:szCs w:val="21"/>
                    </w:rPr>
                  </w:pPr>
                  <w:r>
                    <w:rPr>
                      <w:szCs w:val="21"/>
                    </w:rPr>
                    <w:t>0.017118</w:t>
                  </w:r>
                </w:p>
              </w:tc>
              <w:tc>
                <w:tcPr>
                  <w:tcW w:w="1591" w:type="dxa"/>
                  <w:tcBorders>
                    <w:tl2br w:val="nil"/>
                    <w:tr2bl w:val="nil"/>
                  </w:tcBorders>
                  <w:vAlign w:val="center"/>
                </w:tcPr>
                <w:p>
                  <w:pPr>
                    <w:jc w:val="center"/>
                    <w:rPr>
                      <w:color w:val="000000"/>
                      <w:szCs w:val="21"/>
                    </w:rPr>
                  </w:pPr>
                  <w:r>
                    <w:rPr>
                      <w:szCs w:val="21"/>
                    </w:rPr>
                    <w:t>16.46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69" w:hRule="atLeast"/>
                <w:jc w:val="center"/>
              </w:trPr>
              <w:tc>
                <w:tcPr>
                  <w:tcW w:w="911" w:type="pct"/>
                  <w:tcBorders>
                    <w:tl2br w:val="nil"/>
                    <w:tr2bl w:val="nil"/>
                  </w:tcBorders>
                  <w:vAlign w:val="center"/>
                </w:tcPr>
                <w:p>
                  <w:pPr>
                    <w:adjustRightInd w:val="0"/>
                    <w:snapToGrid w:val="0"/>
                    <w:jc w:val="center"/>
                    <w:rPr>
                      <w:szCs w:val="21"/>
                    </w:rPr>
                  </w:pPr>
                  <w:r>
                    <w:rPr>
                      <w:szCs w:val="21"/>
                    </w:rPr>
                    <w:t>合计</w:t>
                  </w:r>
                </w:p>
              </w:tc>
              <w:tc>
                <w:tcPr>
                  <w:tcW w:w="1099" w:type="pct"/>
                  <w:tcBorders>
                    <w:tl2br w:val="nil"/>
                    <w:tr2bl w:val="nil"/>
                  </w:tcBorders>
                  <w:vAlign w:val="center"/>
                </w:tcPr>
                <w:p>
                  <w:pPr>
                    <w:jc w:val="center"/>
                    <w:rPr>
                      <w:color w:val="000000"/>
                      <w:kern w:val="0"/>
                      <w:szCs w:val="21"/>
                    </w:rPr>
                  </w:pPr>
                  <w:r>
                    <w:rPr>
                      <w:rFonts w:hint="eastAsia"/>
                      <w:szCs w:val="21"/>
                    </w:rPr>
                    <w:t>1</w:t>
                  </w:r>
                  <w:r>
                    <w:rPr>
                      <w:szCs w:val="21"/>
                    </w:rPr>
                    <w:t>.8851</w:t>
                  </w:r>
                </w:p>
              </w:tc>
              <w:tc>
                <w:tcPr>
                  <w:tcW w:w="944" w:type="pct"/>
                  <w:tcBorders>
                    <w:tl2br w:val="nil"/>
                    <w:tr2bl w:val="nil"/>
                  </w:tcBorders>
                  <w:vAlign w:val="center"/>
                </w:tcPr>
                <w:p>
                  <w:pPr>
                    <w:jc w:val="center"/>
                    <w:rPr>
                      <w:color w:val="000000"/>
                      <w:szCs w:val="21"/>
                    </w:rPr>
                  </w:pPr>
                  <w:r>
                    <w:rPr>
                      <w:szCs w:val="21"/>
                    </w:rPr>
                    <w:t>100</w:t>
                  </w:r>
                </w:p>
              </w:tc>
              <w:tc>
                <w:tcPr>
                  <w:tcW w:w="1850" w:type="dxa"/>
                  <w:tcBorders>
                    <w:tl2br w:val="nil"/>
                    <w:tr2bl w:val="nil"/>
                  </w:tcBorders>
                  <w:vAlign w:val="center"/>
                </w:tcPr>
                <w:p>
                  <w:pPr>
                    <w:jc w:val="center"/>
                    <w:rPr>
                      <w:color w:val="000000"/>
                      <w:szCs w:val="21"/>
                    </w:rPr>
                  </w:pPr>
                  <w:r>
                    <w:rPr>
                      <w:szCs w:val="21"/>
                    </w:rPr>
                    <w:t>0.104</w:t>
                  </w:r>
                </w:p>
              </w:tc>
              <w:tc>
                <w:tcPr>
                  <w:tcW w:w="1591" w:type="dxa"/>
                  <w:tcBorders>
                    <w:tl2br w:val="nil"/>
                    <w:tr2bl w:val="nil"/>
                  </w:tcBorders>
                  <w:vAlign w:val="center"/>
                </w:tcPr>
                <w:p>
                  <w:pPr>
                    <w:jc w:val="center"/>
                    <w:rPr>
                      <w:color w:val="000000"/>
                      <w:szCs w:val="21"/>
                    </w:rPr>
                  </w:pPr>
                  <w:r>
                    <w:rPr>
                      <w:szCs w:val="21"/>
                    </w:rPr>
                    <w:t>100</w:t>
                  </w:r>
                </w:p>
              </w:tc>
            </w:tr>
          </w:tbl>
          <w:p>
            <w:pPr>
              <w:adjustRightInd w:val="0"/>
              <w:snapToGrid w:val="0"/>
              <w:spacing w:before="120" w:beforeLines="50" w:line="360" w:lineRule="auto"/>
              <w:ind w:firstLine="480" w:firstLineChars="200"/>
              <w:rPr>
                <w:sz w:val="24"/>
                <w:szCs w:val="22"/>
              </w:rPr>
            </w:pPr>
            <w:r>
              <w:rPr>
                <w:color w:val="000000"/>
                <w:sz w:val="24"/>
              </w:rPr>
              <w:t>由</w:t>
            </w:r>
            <w:r>
              <w:rPr>
                <w:rFonts w:hint="eastAsia"/>
                <w:color w:val="000000"/>
                <w:sz w:val="24"/>
              </w:rPr>
              <w:t>上表</w:t>
            </w:r>
            <w:r>
              <w:rPr>
                <w:color w:val="000000"/>
                <w:sz w:val="24"/>
              </w:rPr>
              <w:t>可知，项目评价范围内土壤侵蚀类型分布较广的为</w:t>
            </w:r>
            <w:r>
              <w:rPr>
                <w:rFonts w:hint="eastAsia"/>
                <w:color w:val="000000"/>
                <w:sz w:val="24"/>
              </w:rPr>
              <w:t>轻</w:t>
            </w:r>
            <w:r>
              <w:rPr>
                <w:color w:val="000000"/>
                <w:sz w:val="24"/>
              </w:rPr>
              <w:t>度侵蚀，占评价区总面积的</w:t>
            </w:r>
            <w:r>
              <w:rPr>
                <w:rFonts w:hint="eastAsia"/>
                <w:color w:val="000000"/>
                <w:sz w:val="24"/>
              </w:rPr>
              <w:t>49.45</w:t>
            </w:r>
            <w:r>
              <w:rPr>
                <w:color w:val="000000"/>
                <w:sz w:val="24"/>
              </w:rPr>
              <w:t>%；其次是</w:t>
            </w:r>
            <w:r>
              <w:rPr>
                <w:rFonts w:hint="eastAsia"/>
                <w:color w:val="000000"/>
                <w:sz w:val="24"/>
              </w:rPr>
              <w:t>微</w:t>
            </w:r>
            <w:r>
              <w:rPr>
                <w:color w:val="000000"/>
                <w:sz w:val="24"/>
              </w:rPr>
              <w:t>度侵蚀，占总面积的</w:t>
            </w:r>
            <w:r>
              <w:rPr>
                <w:rFonts w:hint="eastAsia"/>
                <w:color w:val="000000"/>
                <w:sz w:val="24"/>
              </w:rPr>
              <w:t>32.85</w:t>
            </w:r>
            <w:r>
              <w:rPr>
                <w:color w:val="000000"/>
                <w:sz w:val="24"/>
              </w:rPr>
              <w:t>%；</w:t>
            </w:r>
            <w:r>
              <w:rPr>
                <w:rFonts w:hint="eastAsia"/>
                <w:color w:val="000000"/>
                <w:sz w:val="24"/>
              </w:rPr>
              <w:t>再次是中度侵蚀，</w:t>
            </w:r>
            <w:r>
              <w:rPr>
                <w:color w:val="000000"/>
                <w:sz w:val="24"/>
              </w:rPr>
              <w:t>占总面积的</w:t>
            </w:r>
            <w:r>
              <w:rPr>
                <w:rFonts w:hint="eastAsia"/>
                <w:color w:val="000000"/>
                <w:sz w:val="24"/>
              </w:rPr>
              <w:t>13.69</w:t>
            </w:r>
            <w:r>
              <w:rPr>
                <w:color w:val="000000"/>
                <w:sz w:val="24"/>
              </w:rPr>
              <w:t>%；强度侵蚀占比较小，占总面积的</w:t>
            </w:r>
            <w:r>
              <w:rPr>
                <w:rFonts w:hint="eastAsia"/>
                <w:color w:val="000000"/>
                <w:sz w:val="24"/>
              </w:rPr>
              <w:t>4.01</w:t>
            </w:r>
            <w:r>
              <w:rPr>
                <w:color w:val="000000"/>
                <w:sz w:val="24"/>
              </w:rPr>
              <w:t>%。项目</w:t>
            </w:r>
            <w:r>
              <w:rPr>
                <w:rFonts w:hint="eastAsia"/>
                <w:color w:val="000000"/>
                <w:sz w:val="24"/>
              </w:rPr>
              <w:t>区域</w:t>
            </w:r>
            <w:r>
              <w:rPr>
                <w:color w:val="000000"/>
                <w:sz w:val="24"/>
              </w:rPr>
              <w:t>范围内土壤侵蚀类型分布较广的为</w:t>
            </w:r>
            <w:r>
              <w:rPr>
                <w:rFonts w:hint="eastAsia"/>
                <w:color w:val="000000"/>
                <w:sz w:val="24"/>
              </w:rPr>
              <w:t>中</w:t>
            </w:r>
            <w:r>
              <w:rPr>
                <w:color w:val="000000"/>
                <w:sz w:val="24"/>
              </w:rPr>
              <w:t>度侵蚀，占评价区总面积的</w:t>
            </w:r>
            <w:r>
              <w:rPr>
                <w:rFonts w:hint="eastAsia"/>
                <w:color w:val="000000"/>
                <w:sz w:val="24"/>
              </w:rPr>
              <w:t>36.93</w:t>
            </w:r>
            <w:r>
              <w:rPr>
                <w:color w:val="000000"/>
                <w:sz w:val="24"/>
              </w:rPr>
              <w:t>%；其次是</w:t>
            </w:r>
            <w:r>
              <w:rPr>
                <w:rFonts w:hint="eastAsia"/>
                <w:color w:val="000000"/>
                <w:sz w:val="24"/>
              </w:rPr>
              <w:t>轻</w:t>
            </w:r>
            <w:r>
              <w:rPr>
                <w:color w:val="000000"/>
                <w:sz w:val="24"/>
              </w:rPr>
              <w:t>度侵蚀，占总面积的</w:t>
            </w:r>
            <w:r>
              <w:rPr>
                <w:rFonts w:hint="eastAsia"/>
                <w:color w:val="000000"/>
                <w:sz w:val="24"/>
              </w:rPr>
              <w:t>26.88</w:t>
            </w:r>
            <w:r>
              <w:rPr>
                <w:color w:val="000000"/>
                <w:sz w:val="24"/>
              </w:rPr>
              <w:t>%；</w:t>
            </w:r>
            <w:r>
              <w:rPr>
                <w:rFonts w:hint="eastAsia"/>
                <w:color w:val="000000"/>
                <w:sz w:val="24"/>
              </w:rPr>
              <w:t>再次是微度侵蚀，</w:t>
            </w:r>
            <w:r>
              <w:rPr>
                <w:color w:val="000000"/>
                <w:sz w:val="24"/>
              </w:rPr>
              <w:t>占总面积的</w:t>
            </w:r>
            <w:r>
              <w:rPr>
                <w:rFonts w:hint="eastAsia"/>
                <w:color w:val="000000"/>
                <w:sz w:val="24"/>
              </w:rPr>
              <w:t>19.73</w:t>
            </w:r>
            <w:r>
              <w:rPr>
                <w:color w:val="000000"/>
                <w:sz w:val="24"/>
              </w:rPr>
              <w:t>%；强度侵蚀占比较小，占总面积的</w:t>
            </w:r>
            <w:r>
              <w:rPr>
                <w:rFonts w:hint="eastAsia"/>
                <w:color w:val="000000"/>
                <w:sz w:val="24"/>
              </w:rPr>
              <w:t>16.46</w:t>
            </w:r>
            <w:r>
              <w:rPr>
                <w:color w:val="000000"/>
                <w:sz w:val="24"/>
              </w:rPr>
              <w:t>%。</w:t>
            </w:r>
          </w:p>
          <w:p>
            <w:pPr>
              <w:adjustRightInd w:val="0"/>
              <w:snapToGrid w:val="0"/>
              <w:spacing w:line="360" w:lineRule="auto"/>
              <w:ind w:firstLine="480" w:firstLineChars="200"/>
              <w:rPr>
                <w:kern w:val="0"/>
                <w:sz w:val="24"/>
              </w:rPr>
            </w:pPr>
            <w:r>
              <w:rPr>
                <w:rFonts w:hint="eastAsia"/>
                <w:kern w:val="0"/>
                <w:sz w:val="24"/>
              </w:rPr>
              <w:t>④调查结果分析</w:t>
            </w:r>
          </w:p>
          <w:p>
            <w:pPr>
              <w:adjustRightInd w:val="0"/>
              <w:snapToGrid w:val="0"/>
              <w:spacing w:line="360" w:lineRule="auto"/>
              <w:ind w:firstLine="480" w:firstLineChars="200"/>
              <w:rPr>
                <w:kern w:val="0"/>
                <w:sz w:val="24"/>
              </w:rPr>
            </w:pPr>
            <w:r>
              <w:rPr>
                <w:rFonts w:hint="eastAsia"/>
                <w:kern w:val="0"/>
                <w:sz w:val="24"/>
              </w:rPr>
              <w:t>综上所述，</w:t>
            </w:r>
            <w:r>
              <w:rPr>
                <w:kern w:val="0"/>
                <w:sz w:val="24"/>
              </w:rPr>
              <w:t>项目</w:t>
            </w:r>
            <w:r>
              <w:rPr>
                <w:rFonts w:hint="eastAsia"/>
                <w:kern w:val="0"/>
                <w:sz w:val="24"/>
              </w:rPr>
              <w:t>范围内以其他草地及耕地为主</w:t>
            </w:r>
            <w:r>
              <w:rPr>
                <w:kern w:val="0"/>
                <w:sz w:val="24"/>
              </w:rPr>
              <w:t>，植被类型</w:t>
            </w:r>
            <w:r>
              <w:rPr>
                <w:color w:val="000000"/>
                <w:sz w:val="24"/>
              </w:rPr>
              <w:t>以</w:t>
            </w:r>
            <w:r>
              <w:rPr>
                <w:rFonts w:hint="eastAsia"/>
                <w:color w:val="000000"/>
                <w:sz w:val="24"/>
              </w:rPr>
              <w:t>珍珠猪毛菜、醉马草+骆驼蓬群落</w:t>
            </w:r>
            <w:r>
              <w:rPr>
                <w:color w:val="000000"/>
                <w:sz w:val="24"/>
              </w:rPr>
              <w:t>、</w:t>
            </w:r>
            <w:r>
              <w:rPr>
                <w:rFonts w:hint="eastAsia"/>
                <w:color w:val="000000"/>
                <w:sz w:val="24"/>
              </w:rPr>
              <w:t>针茅+冷蒿群落及农作物</w:t>
            </w:r>
            <w:r>
              <w:rPr>
                <w:color w:val="000000"/>
                <w:sz w:val="24"/>
              </w:rPr>
              <w:t>为主</w:t>
            </w:r>
            <w:r>
              <w:rPr>
                <w:kern w:val="0"/>
                <w:sz w:val="24"/>
              </w:rPr>
              <w:t>。本次调查未发现国家及地方濒危保护物种。</w:t>
            </w:r>
          </w:p>
          <w:p>
            <w:pPr>
              <w:adjustRightInd w:val="0"/>
              <w:snapToGrid w:val="0"/>
              <w:spacing w:line="360" w:lineRule="auto"/>
              <w:ind w:firstLine="482" w:firstLineChars="200"/>
              <w:rPr>
                <w:b/>
                <w:bCs/>
                <w:kern w:val="0"/>
                <w:sz w:val="24"/>
              </w:rPr>
            </w:pPr>
            <w:r>
              <w:rPr>
                <w:b/>
                <w:bCs/>
                <w:kern w:val="0"/>
                <w:sz w:val="24"/>
              </w:rPr>
              <w:t>3.</w:t>
            </w:r>
            <w:r>
              <w:rPr>
                <w:rFonts w:hint="eastAsia"/>
                <w:b/>
                <w:bCs/>
                <w:kern w:val="0"/>
                <w:sz w:val="24"/>
              </w:rPr>
              <w:t>2.4.3</w:t>
            </w:r>
            <w:r>
              <w:rPr>
                <w:b/>
                <w:bCs/>
                <w:kern w:val="0"/>
                <w:sz w:val="24"/>
              </w:rPr>
              <w:t>项目区域动物现状调查</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b w:val="0"/>
                <w:bCs w:val="0"/>
                <w:kern w:val="0"/>
                <w:sz w:val="24"/>
                <w:lang w:eastAsia="zh-CN"/>
              </w:rPr>
              <w:t>根据现场调查，</w:t>
            </w:r>
            <w:r>
              <w:rPr>
                <w:rFonts w:hint="eastAsia"/>
                <w:b w:val="0"/>
                <w:bCs w:val="0"/>
                <w:kern w:val="0"/>
                <w:sz w:val="24"/>
                <w:lang w:eastAsia="zh-CN"/>
              </w:rPr>
              <w:t>项目所在区域植被覆盖较稀疏，能为野生动物提供觅食、栖息、繁殖的场所很少，</w:t>
            </w:r>
            <w:r>
              <w:rPr>
                <w:b w:val="0"/>
                <w:bCs w:val="0"/>
                <w:kern w:val="0"/>
                <w:sz w:val="24"/>
                <w:lang w:eastAsia="zh-CN"/>
              </w:rPr>
              <w:t>在本项目所在区域及周边范围内分布的野生动物的种类和数量相对较少，基本为当地常见的鼠、兔和麻雀</w:t>
            </w:r>
            <w:r>
              <w:rPr>
                <w:rFonts w:hint="eastAsia"/>
                <w:b w:val="0"/>
                <w:bCs w:val="0"/>
                <w:kern w:val="0"/>
                <w:sz w:val="24"/>
                <w:lang w:eastAsia="zh-CN"/>
              </w:rPr>
              <w:t>及少量爬行类动物</w:t>
            </w:r>
            <w:r>
              <w:rPr>
                <w:b w:val="0"/>
                <w:bCs w:val="0"/>
                <w:kern w:val="0"/>
                <w:sz w:val="24"/>
                <w:lang w:eastAsia="zh-CN"/>
              </w:rPr>
              <w:t>等，不涉及国家珍稀</w:t>
            </w:r>
            <w:r>
              <w:rPr>
                <w:rFonts w:hint="eastAsia"/>
                <w:b w:val="0"/>
                <w:bCs w:val="0"/>
                <w:kern w:val="0"/>
                <w:sz w:val="24"/>
                <w:lang w:eastAsia="zh-CN"/>
              </w:rPr>
              <w:t>濒危</w:t>
            </w:r>
            <w:r>
              <w:rPr>
                <w:b w:val="0"/>
                <w:bCs w:val="0"/>
                <w:kern w:val="0"/>
                <w:sz w:val="24"/>
                <w:lang w:eastAsia="zh-CN"/>
              </w:rPr>
              <w:t>保护物种。</w:t>
            </w:r>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94" w:name="_Toc2303"/>
            <w:r>
              <w:rPr>
                <w:rFonts w:hint="eastAsia" w:ascii="Times New Roman" w:hAnsi="Times New Roman" w:cs="Times New Roman"/>
                <w:sz w:val="24"/>
                <w:szCs w:val="24"/>
                <w:lang w:eastAsia="zh-CN"/>
              </w:rPr>
              <w:t>3.2</w:t>
            </w:r>
            <w:r>
              <w:rPr>
                <w:rFonts w:ascii="Times New Roman" w:hAnsi="Times New Roman" w:cs="Times New Roman"/>
                <w:sz w:val="24"/>
                <w:szCs w:val="24"/>
                <w:lang w:eastAsia="zh-CN"/>
              </w:rPr>
              <w:t>.5</w:t>
            </w:r>
            <w:r>
              <w:rPr>
                <w:rFonts w:hint="eastAsia" w:ascii="Times New Roman" w:hAnsi="Times New Roman" w:cs="Times New Roman"/>
                <w:sz w:val="24"/>
                <w:szCs w:val="24"/>
                <w:lang w:eastAsia="zh-CN"/>
              </w:rPr>
              <w:t>地表</w:t>
            </w:r>
            <w:r>
              <w:rPr>
                <w:rFonts w:ascii="Times New Roman" w:hAnsi="Times New Roman" w:cs="Times New Roman"/>
                <w:sz w:val="24"/>
                <w:szCs w:val="24"/>
                <w:lang w:eastAsia="zh-CN"/>
              </w:rPr>
              <w:t>水环境质量现状</w:t>
            </w:r>
            <w:bookmarkEnd w:id="94"/>
          </w:p>
          <w:p>
            <w:pPr>
              <w:pStyle w:val="21"/>
              <w:spacing w:before="0" w:after="0" w:line="360" w:lineRule="auto"/>
              <w:ind w:firstLine="480" w:firstLineChars="200"/>
              <w:jc w:val="both"/>
              <w:outlineLvl w:val="9"/>
              <w:rPr>
                <w:rFonts w:ascii="Times New Roman" w:hAnsi="Times New Roman" w:cs="Times New Roman"/>
                <w:lang w:eastAsia="zh-CN"/>
              </w:rPr>
            </w:pPr>
            <w:bookmarkStart w:id="95" w:name="_Toc12182"/>
            <w:r>
              <w:rPr>
                <w:rFonts w:ascii="Times New Roman" w:hAnsi="Times New Roman" w:cs="Times New Roman"/>
                <w:b w:val="0"/>
                <w:bCs w:val="0"/>
                <w:sz w:val="24"/>
                <w:lang w:eastAsia="zh-CN"/>
              </w:rPr>
              <w:t>本项目位于张掖市</w:t>
            </w:r>
            <w:r>
              <w:rPr>
                <w:rFonts w:hint="eastAsia" w:ascii="Times New Roman" w:hAnsi="Times New Roman" w:cs="Times New Roman"/>
                <w:b w:val="0"/>
                <w:bCs w:val="0"/>
                <w:sz w:val="24"/>
                <w:lang w:eastAsia="zh-CN"/>
              </w:rPr>
              <w:t>民乐县六坝镇，站址西侧约6km处为洪水河，洪水河河道长年干涸，无地表径流，仅在特大暴雨季节有上游泄洪。</w:t>
            </w:r>
            <w:bookmarkEnd w:id="9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426" w:type="dxa"/>
            <w:vAlign w:val="center"/>
          </w:tcPr>
          <w:p>
            <w:pPr>
              <w:adjustRightInd w:val="0"/>
              <w:snapToGrid w:val="0"/>
              <w:jc w:val="center"/>
              <w:rPr>
                <w:kern w:val="0"/>
                <w:szCs w:val="21"/>
              </w:rPr>
            </w:pPr>
            <w:r>
              <w:rPr>
                <w:bCs/>
                <w:szCs w:val="21"/>
              </w:rPr>
              <w:t>与项目有关的原有环境污染和生态破坏问题</w:t>
            </w:r>
          </w:p>
        </w:tc>
        <w:tc>
          <w:tcPr>
            <w:tcW w:w="8635" w:type="dxa"/>
            <w:vAlign w:val="center"/>
          </w:tcPr>
          <w:p>
            <w:pPr>
              <w:adjustRightInd w:val="0"/>
              <w:snapToGrid w:val="0"/>
              <w:spacing w:line="360" w:lineRule="auto"/>
              <w:ind w:firstLine="480" w:firstLineChars="200"/>
              <w:rPr>
                <w:color w:val="FF0000"/>
                <w:sz w:val="24"/>
              </w:rPr>
            </w:pPr>
            <w:r>
              <w:rPr>
                <w:color w:val="FF0000"/>
                <w:sz w:val="24"/>
              </w:rPr>
              <w:t>本项目</w:t>
            </w:r>
            <w:r>
              <w:rPr>
                <w:rFonts w:hint="eastAsia"/>
                <w:color w:val="FF0000"/>
                <w:sz w:val="24"/>
              </w:rPr>
              <w:t>储能电站及输电线路</w:t>
            </w:r>
            <w:r>
              <w:rPr>
                <w:color w:val="FF0000"/>
                <w:sz w:val="24"/>
              </w:rPr>
              <w:t>属于新建项目，项目所在地现状为未利用地及农用地，场地不存在与项目有关的原有环境问题。</w:t>
            </w:r>
          </w:p>
          <w:p>
            <w:pPr>
              <w:pStyle w:val="2"/>
              <w:snapToGrid w:val="0"/>
              <w:spacing w:line="360" w:lineRule="auto"/>
              <w:ind w:firstLine="480" w:firstLineChars="200"/>
              <w:jc w:val="both"/>
            </w:pPr>
            <w:r>
              <w:rPr>
                <w:rFonts w:ascii="Times New Roman" w:hAnsi="Times New Roman" w:cs="Times New Roman"/>
                <w:color w:val="FF0000"/>
              </w:rPr>
              <w:t>顺化330kV变电站</w:t>
            </w:r>
            <w:r>
              <w:rPr>
                <w:rFonts w:hint="eastAsia" w:ascii="Times New Roman" w:hAnsi="Times New Roman" w:cs="Times New Roman"/>
                <w:color w:val="FF0000"/>
              </w:rPr>
              <w:t>已建成，根据环境质量现状监测结果，</w:t>
            </w:r>
            <w:r>
              <w:rPr>
                <w:rFonts w:ascii="Times New Roman" w:hAnsi="Times New Roman" w:cs="Times New Roman"/>
                <w:color w:val="FF0000"/>
              </w:rPr>
              <w:t>顺化330kV变电站四周声环境质量</w:t>
            </w:r>
            <w:r>
              <w:rPr>
                <w:rFonts w:hint="eastAsia" w:ascii="Times New Roman" w:hAnsi="Times New Roman" w:cs="Times New Roman"/>
                <w:color w:val="FF0000"/>
              </w:rPr>
              <w:t>为</w:t>
            </w:r>
            <w:r>
              <w:rPr>
                <w:rFonts w:ascii="Times New Roman" w:hAnsi="Times New Roman" w:cs="Times New Roman"/>
                <w:color w:val="FF0000"/>
              </w:rPr>
              <w:t>昼间48.7~52.9dB（A），夜间46.0~49.5dB（A），扩建间隔处昼间51.3dB（A），夜间48.2dB（A），均满足《声环境质量标准》（GB3096-2008）2类标准限值要求；顺化330kV变电站四周各监测点位工频电场强度为30.58～1856V/m，工频磁感应强度为0.00325～0.054μT</w:t>
            </w:r>
            <w:r>
              <w:rPr>
                <w:rFonts w:hint="eastAsia" w:ascii="Times New Roman" w:hAnsi="Times New Roman" w:cs="Times New Roman"/>
                <w:color w:val="FF0000"/>
              </w:rPr>
              <w:t>，间隔扩建处的工频</w:t>
            </w:r>
            <w:r>
              <w:rPr>
                <w:rFonts w:ascii="Times New Roman" w:hAnsi="Times New Roman" w:cs="Times New Roman"/>
                <w:color w:val="FF0000"/>
              </w:rPr>
              <w:t>电场强度为</w:t>
            </w:r>
            <w:r>
              <w:rPr>
                <w:rFonts w:hint="eastAsia" w:ascii="Times New Roman" w:hAnsi="Times New Roman" w:cs="Times New Roman"/>
                <w:color w:val="FF0000"/>
              </w:rPr>
              <w:t>207.8</w:t>
            </w:r>
            <w:r>
              <w:rPr>
                <w:rFonts w:ascii="Times New Roman" w:hAnsi="Times New Roman" w:cs="Times New Roman"/>
                <w:color w:val="FF0000"/>
              </w:rPr>
              <w:t>V/m，工频磁感应强度为</w:t>
            </w:r>
            <w:r>
              <w:rPr>
                <w:rFonts w:hint="eastAsia" w:ascii="Times New Roman" w:hAnsi="Times New Roman" w:cs="Times New Roman"/>
                <w:color w:val="FF0000"/>
              </w:rPr>
              <w:t>0.011</w:t>
            </w:r>
            <w:r>
              <w:rPr>
                <w:rFonts w:ascii="Times New Roman" w:hAnsi="Times New Roman" w:cs="Times New Roman"/>
                <w:color w:val="FF0000"/>
              </w:rPr>
              <w:t>μT；均满足《电磁环境控制限值》（GB8702-2014）中工频电场强度4000V/m、工频磁感应强度100μT公众暴露控制限值</w:t>
            </w:r>
            <w:r>
              <w:rPr>
                <w:rFonts w:hint="eastAsia" w:ascii="Times New Roman" w:hAnsi="Times New Roman" w:cs="Times New Roman"/>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26" w:type="dxa"/>
            <w:vAlign w:val="center"/>
          </w:tcPr>
          <w:p>
            <w:pPr>
              <w:adjustRightInd w:val="0"/>
              <w:snapToGrid w:val="0"/>
              <w:jc w:val="center"/>
              <w:rPr>
                <w:kern w:val="0"/>
                <w:szCs w:val="21"/>
              </w:rPr>
            </w:pPr>
            <w:r>
              <w:rPr>
                <w:kern w:val="0"/>
                <w:szCs w:val="21"/>
              </w:rPr>
              <w:t>生态环境保护目标</w:t>
            </w:r>
          </w:p>
        </w:tc>
        <w:tc>
          <w:tcPr>
            <w:tcW w:w="8635" w:type="dxa"/>
            <w:vAlign w:val="center"/>
          </w:tcPr>
          <w:p>
            <w:pPr>
              <w:spacing w:before="120" w:beforeLines="50" w:after="120" w:afterLines="50" w:line="360" w:lineRule="auto"/>
              <w:rPr>
                <w:b/>
                <w:bCs/>
                <w:sz w:val="24"/>
              </w:rPr>
            </w:pPr>
            <w:r>
              <w:rPr>
                <w:rFonts w:hint="eastAsia"/>
                <w:b/>
                <w:bCs/>
                <w:sz w:val="24"/>
              </w:rPr>
              <w:t>3.3环境</w:t>
            </w:r>
            <w:r>
              <w:rPr>
                <w:b/>
                <w:bCs/>
                <w:sz w:val="24"/>
              </w:rPr>
              <w:t>保护目标</w:t>
            </w:r>
          </w:p>
          <w:p>
            <w:pPr>
              <w:adjustRightInd w:val="0"/>
              <w:snapToGrid w:val="0"/>
              <w:spacing w:line="360" w:lineRule="auto"/>
              <w:ind w:firstLine="482" w:firstLineChars="200"/>
              <w:rPr>
                <w:b/>
                <w:bCs/>
                <w:snapToGrid w:val="0"/>
                <w:kern w:val="24"/>
                <w:sz w:val="24"/>
              </w:rPr>
            </w:pPr>
            <w:r>
              <w:rPr>
                <w:b/>
                <w:bCs/>
                <w:snapToGrid w:val="0"/>
                <w:kern w:val="24"/>
                <w:sz w:val="24"/>
              </w:rPr>
              <w:t>1、大气环境保护目标</w:t>
            </w:r>
          </w:p>
          <w:p>
            <w:pPr>
              <w:adjustRightInd w:val="0"/>
              <w:snapToGrid w:val="0"/>
              <w:spacing w:line="360" w:lineRule="auto"/>
              <w:ind w:firstLine="480" w:firstLineChars="200"/>
              <w:rPr>
                <w:snapToGrid w:val="0"/>
                <w:kern w:val="24"/>
                <w:sz w:val="24"/>
              </w:rPr>
            </w:pPr>
            <w:r>
              <w:rPr>
                <w:snapToGrid w:val="0"/>
                <w:kern w:val="24"/>
                <w:sz w:val="24"/>
              </w:rPr>
              <w:t>拟建项目500m范围内不存在自然保护区、风景名胜区、居住区、文化区和农村地区中人群较集中的区域等大气环境保护目标。</w:t>
            </w:r>
          </w:p>
          <w:p>
            <w:pPr>
              <w:adjustRightInd w:val="0"/>
              <w:snapToGrid w:val="0"/>
              <w:spacing w:line="360" w:lineRule="auto"/>
              <w:ind w:firstLine="482" w:firstLineChars="200"/>
              <w:rPr>
                <w:b/>
                <w:bCs/>
                <w:snapToGrid w:val="0"/>
                <w:kern w:val="24"/>
                <w:sz w:val="24"/>
              </w:rPr>
            </w:pPr>
            <w:r>
              <w:rPr>
                <w:b/>
                <w:bCs/>
                <w:snapToGrid w:val="0"/>
                <w:kern w:val="24"/>
                <w:sz w:val="24"/>
              </w:rPr>
              <w:t>2、水环境保护目标</w:t>
            </w:r>
          </w:p>
          <w:p>
            <w:pPr>
              <w:adjustRightInd w:val="0"/>
              <w:snapToGrid w:val="0"/>
              <w:spacing w:line="360" w:lineRule="auto"/>
              <w:ind w:firstLine="480" w:firstLineChars="200"/>
              <w:rPr>
                <w:snapToGrid w:val="0"/>
                <w:kern w:val="24"/>
                <w:sz w:val="24"/>
              </w:rPr>
            </w:pPr>
            <w:r>
              <w:rPr>
                <w:snapToGrid w:val="0"/>
                <w:kern w:val="24"/>
                <w:sz w:val="24"/>
              </w:rPr>
              <w:t>（1）地表水环境保护目标</w:t>
            </w:r>
          </w:p>
          <w:p>
            <w:pPr>
              <w:adjustRightInd w:val="0"/>
              <w:snapToGrid w:val="0"/>
              <w:spacing w:line="360" w:lineRule="auto"/>
              <w:ind w:firstLine="480" w:firstLineChars="200"/>
              <w:rPr>
                <w:snapToGrid w:val="0"/>
                <w:kern w:val="24"/>
                <w:sz w:val="24"/>
              </w:rPr>
            </w:pPr>
            <w:r>
              <w:rPr>
                <w:snapToGrid w:val="0"/>
                <w:kern w:val="24"/>
                <w:sz w:val="24"/>
              </w:rPr>
              <w:t>拟建项目所在区域为</w:t>
            </w:r>
            <w:r>
              <w:rPr>
                <w:rFonts w:hint="eastAsia"/>
                <w:kern w:val="0"/>
                <w:sz w:val="24"/>
              </w:rPr>
              <w:t>未利用地及农用地</w:t>
            </w:r>
            <w:r>
              <w:rPr>
                <w:snapToGrid w:val="0"/>
                <w:kern w:val="24"/>
                <w:sz w:val="24"/>
              </w:rPr>
              <w:t>，附近无地表水体，项目运营期不向地表水体排放污水，项目建设对地表水环境几乎不产生影响。</w:t>
            </w:r>
          </w:p>
          <w:p>
            <w:pPr>
              <w:adjustRightInd w:val="0"/>
              <w:snapToGrid w:val="0"/>
              <w:spacing w:line="360" w:lineRule="auto"/>
              <w:ind w:firstLine="480" w:firstLineChars="200"/>
              <w:rPr>
                <w:snapToGrid w:val="0"/>
                <w:kern w:val="24"/>
                <w:sz w:val="24"/>
              </w:rPr>
            </w:pPr>
            <w:r>
              <w:rPr>
                <w:snapToGrid w:val="0"/>
                <w:kern w:val="24"/>
                <w:sz w:val="24"/>
              </w:rPr>
              <w:t>（2）地下水环境保护目标</w:t>
            </w:r>
          </w:p>
          <w:p>
            <w:pPr>
              <w:adjustRightInd w:val="0"/>
              <w:snapToGrid w:val="0"/>
              <w:spacing w:line="360" w:lineRule="auto"/>
              <w:ind w:firstLine="480" w:firstLineChars="200"/>
              <w:rPr>
                <w:snapToGrid w:val="0"/>
                <w:kern w:val="24"/>
                <w:sz w:val="24"/>
              </w:rPr>
            </w:pPr>
            <w:r>
              <w:rPr>
                <w:snapToGrid w:val="0"/>
                <w:kern w:val="24"/>
                <w:sz w:val="24"/>
              </w:rPr>
              <w:t>拟建项目500m范围内不存在地下水集中式饮用水水源、热水、矿泉水、温泉等特殊地下水环境保护目标。</w:t>
            </w:r>
          </w:p>
          <w:p>
            <w:pPr>
              <w:adjustRightInd w:val="0"/>
              <w:snapToGrid w:val="0"/>
              <w:spacing w:line="360" w:lineRule="auto"/>
              <w:ind w:firstLine="482" w:firstLineChars="200"/>
              <w:rPr>
                <w:b/>
                <w:bCs/>
                <w:snapToGrid w:val="0"/>
                <w:kern w:val="24"/>
                <w:sz w:val="24"/>
              </w:rPr>
            </w:pPr>
            <w:r>
              <w:rPr>
                <w:b/>
                <w:bCs/>
                <w:snapToGrid w:val="0"/>
                <w:kern w:val="24"/>
                <w:sz w:val="24"/>
              </w:rPr>
              <w:t>3、声环境保护目标</w:t>
            </w:r>
          </w:p>
          <w:p>
            <w:pPr>
              <w:adjustRightInd w:val="0"/>
              <w:snapToGrid w:val="0"/>
              <w:spacing w:line="360" w:lineRule="auto"/>
              <w:ind w:firstLine="480" w:firstLineChars="200"/>
              <w:rPr>
                <w:snapToGrid w:val="0"/>
                <w:kern w:val="24"/>
                <w:sz w:val="24"/>
              </w:rPr>
            </w:pPr>
            <w:r>
              <w:rPr>
                <w:snapToGrid w:val="0"/>
                <w:kern w:val="24"/>
                <w:sz w:val="24"/>
              </w:rPr>
              <w:t>拟建</w:t>
            </w:r>
            <w:r>
              <w:rPr>
                <w:rFonts w:hint="eastAsia"/>
                <w:snapToGrid w:val="0"/>
                <w:kern w:val="24"/>
                <w:sz w:val="24"/>
              </w:rPr>
              <w:t>项目</w:t>
            </w:r>
            <w:r>
              <w:rPr>
                <w:snapToGrid w:val="0"/>
                <w:kern w:val="24"/>
                <w:sz w:val="24"/>
              </w:rPr>
              <w:t>50m范围内不存在声环境保护目标。</w:t>
            </w:r>
          </w:p>
          <w:p>
            <w:pPr>
              <w:adjustRightInd w:val="0"/>
              <w:snapToGrid w:val="0"/>
              <w:spacing w:line="360" w:lineRule="auto"/>
              <w:ind w:firstLine="482" w:firstLineChars="200"/>
              <w:rPr>
                <w:b/>
                <w:bCs/>
                <w:snapToGrid w:val="0"/>
                <w:kern w:val="24"/>
                <w:sz w:val="24"/>
              </w:rPr>
            </w:pPr>
            <w:r>
              <w:rPr>
                <w:b/>
                <w:bCs/>
                <w:snapToGrid w:val="0"/>
                <w:kern w:val="24"/>
                <w:sz w:val="24"/>
              </w:rPr>
              <w:t>4、生态环境保护目标</w:t>
            </w:r>
          </w:p>
          <w:p>
            <w:pPr>
              <w:pStyle w:val="14"/>
              <w:adjustRightInd w:val="0"/>
              <w:snapToGrid w:val="0"/>
              <w:spacing w:line="360" w:lineRule="auto"/>
              <w:ind w:firstLine="480" w:firstLineChars="200"/>
            </w:pPr>
            <w:r>
              <w:rPr>
                <w:snapToGrid w:val="0"/>
                <w:kern w:val="24"/>
                <w:sz w:val="24"/>
              </w:rPr>
              <w:t>拟建项目500m范围内无生态环境保护目标</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6" w:type="dxa"/>
            <w:vMerge w:val="restart"/>
            <w:vAlign w:val="center"/>
          </w:tcPr>
          <w:p>
            <w:pPr>
              <w:adjustRightInd w:val="0"/>
              <w:snapToGrid w:val="0"/>
              <w:jc w:val="center"/>
              <w:rPr>
                <w:kern w:val="0"/>
                <w:szCs w:val="21"/>
              </w:rPr>
            </w:pPr>
            <w:r>
              <w:rPr>
                <w:kern w:val="0"/>
                <w:szCs w:val="21"/>
              </w:rPr>
              <w:t>评价</w:t>
            </w:r>
          </w:p>
          <w:p>
            <w:pPr>
              <w:adjustRightInd w:val="0"/>
              <w:snapToGrid w:val="0"/>
              <w:jc w:val="center"/>
              <w:rPr>
                <w:kern w:val="0"/>
                <w:szCs w:val="21"/>
              </w:rPr>
            </w:pPr>
            <w:r>
              <w:rPr>
                <w:kern w:val="0"/>
                <w:szCs w:val="21"/>
              </w:rPr>
              <w:t>标准</w:t>
            </w:r>
          </w:p>
        </w:tc>
        <w:tc>
          <w:tcPr>
            <w:tcW w:w="8635" w:type="dxa"/>
            <w:vAlign w:val="center"/>
          </w:tcPr>
          <w:p>
            <w:pPr>
              <w:adjustRightInd w:val="0"/>
              <w:snapToGrid w:val="0"/>
              <w:spacing w:before="120" w:beforeLines="50" w:after="120" w:afterLines="50" w:line="360" w:lineRule="auto"/>
              <w:rPr>
                <w:b/>
                <w:bCs/>
                <w:kern w:val="0"/>
                <w:sz w:val="24"/>
              </w:rPr>
            </w:pPr>
            <w:r>
              <w:rPr>
                <w:rFonts w:hint="eastAsia"/>
                <w:b/>
                <w:bCs/>
                <w:kern w:val="0"/>
                <w:sz w:val="24"/>
              </w:rPr>
              <w:t>3.4</w:t>
            </w:r>
            <w:r>
              <w:rPr>
                <w:b/>
                <w:bCs/>
                <w:kern w:val="0"/>
                <w:sz w:val="24"/>
              </w:rPr>
              <w:t>环境质量标准</w:t>
            </w:r>
          </w:p>
          <w:p>
            <w:pPr>
              <w:adjustRightInd w:val="0"/>
              <w:snapToGrid w:val="0"/>
              <w:spacing w:line="360" w:lineRule="auto"/>
              <w:ind w:firstLine="482" w:firstLineChars="200"/>
              <w:rPr>
                <w:b/>
                <w:bCs/>
                <w:sz w:val="24"/>
              </w:rPr>
            </w:pPr>
            <w:r>
              <w:rPr>
                <w:rFonts w:hint="eastAsia"/>
                <w:b/>
                <w:bCs/>
                <w:sz w:val="24"/>
              </w:rPr>
              <w:t>（1）环境空气</w:t>
            </w:r>
          </w:p>
          <w:p>
            <w:pPr>
              <w:pStyle w:val="56"/>
              <w:ind w:firstLine="480"/>
              <w:rPr>
                <w:sz w:val="24"/>
              </w:rPr>
            </w:pPr>
            <w:r>
              <w:rPr>
                <w:sz w:val="24"/>
              </w:rPr>
              <w:t>本项目</w:t>
            </w:r>
            <w:r>
              <w:rPr>
                <w:rFonts w:hint="eastAsia"/>
                <w:sz w:val="24"/>
              </w:rPr>
              <w:t>储能电站、输电线路及顺化330kV变电站</w:t>
            </w:r>
            <w:r>
              <w:rPr>
                <w:sz w:val="24"/>
              </w:rPr>
              <w:t>所在区域属于环境空气质量二类功能区，SO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、CO、O</w:t>
            </w:r>
            <w:r>
              <w:rPr>
                <w:sz w:val="24"/>
                <w:vertAlign w:val="subscript"/>
              </w:rPr>
              <w:t>3</w:t>
            </w:r>
            <w:r>
              <w:rPr>
                <w:sz w:val="24"/>
              </w:rPr>
              <w:t>、TSP执行《环境空气质量标准》（GB3095-2012）中二级标准，具体标准值</w:t>
            </w:r>
            <w:r>
              <w:rPr>
                <w:rFonts w:hint="eastAsia"/>
                <w:sz w:val="24"/>
              </w:rPr>
              <w:t>如下</w:t>
            </w:r>
            <w:r>
              <w:rPr>
                <w:sz w:val="24"/>
              </w:rPr>
              <w:t>。</w:t>
            </w:r>
          </w:p>
          <w:p>
            <w:pPr>
              <w:pStyle w:val="49"/>
              <w:spacing w:before="120" w:beforeLines="50" w:line="360" w:lineRule="auto"/>
              <w:ind w:left="0" w:firstLine="0" w:firstLineChars="0"/>
              <w:jc w:val="center"/>
              <w:outlineLvl w:val="9"/>
              <w:rPr>
                <w:rFonts w:ascii="Times New Roman" w:hAnsi="Times New Roman" w:eastAsia="宋体"/>
                <w:b/>
                <w:bCs/>
              </w:rPr>
            </w:pPr>
            <w:bookmarkStart w:id="96" w:name="_Ref361304774"/>
            <w:r>
              <w:rPr>
                <w:rFonts w:ascii="Times New Roman" w:hAnsi="Times New Roman" w:eastAsia="宋体"/>
                <w:b/>
                <w:bCs/>
              </w:rPr>
              <w:t>表3-</w:t>
            </w:r>
            <w:r>
              <w:rPr>
                <w:rFonts w:hint="eastAsia" w:ascii="Times New Roman" w:hAnsi="Times New Roman" w:eastAsia="宋体"/>
                <w:b/>
                <w:bCs/>
              </w:rPr>
              <w:t>5</w:t>
            </w:r>
            <w:r>
              <w:rPr>
                <w:rFonts w:ascii="Times New Roman" w:hAnsi="Times New Roman" w:eastAsia="宋体"/>
                <w:b/>
                <w:bCs/>
              </w:rPr>
              <w:t xml:space="preserve"> </w:t>
            </w:r>
            <w:r>
              <w:rPr>
                <w:rFonts w:hint="eastAsia" w:ascii="Times New Roman" w:hAnsi="Times New Roman" w:eastAsia="宋体"/>
                <w:b/>
                <w:bCs/>
              </w:rPr>
              <w:t xml:space="preserve"> </w:t>
            </w:r>
            <w:r>
              <w:rPr>
                <w:rFonts w:ascii="Times New Roman" w:hAnsi="Times New Roman" w:eastAsia="宋体"/>
                <w:b/>
                <w:bCs/>
              </w:rPr>
              <w:t xml:space="preserve"> </w:t>
            </w:r>
            <w:r>
              <w:rPr>
                <w:rFonts w:hint="eastAsia" w:ascii="Times New Roman" w:hAnsi="Times New Roman" w:eastAsia="宋体"/>
                <w:b/>
                <w:bCs/>
              </w:rPr>
              <w:t xml:space="preserve">  </w:t>
            </w:r>
            <w:r>
              <w:rPr>
                <w:rFonts w:ascii="Times New Roman" w:hAnsi="Times New Roman" w:eastAsia="宋体"/>
                <w:b/>
                <w:bCs/>
              </w:rPr>
              <w:t>《环境空气质量标准》（GB3095-2012）</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826"/>
              <w:gridCol w:w="2732"/>
              <w:gridCol w:w="912"/>
              <w:gridCol w:w="919"/>
              <w:gridCol w:w="1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序号</w:t>
                  </w:r>
                </w:p>
              </w:tc>
              <w:tc>
                <w:tcPr>
                  <w:tcW w:w="1083" w:type="pct"/>
                  <w:vMerge w:val="restart"/>
                  <w:tcBorders>
                    <w:tl2br w:val="nil"/>
                    <w:tr2bl w:val="nil"/>
                  </w:tcBorders>
                  <w:vAlign w:val="center"/>
                </w:tcPr>
                <w:p>
                  <w:pPr>
                    <w:pStyle w:val="57"/>
                    <w:rPr>
                      <w:rFonts w:eastAsia="宋体"/>
                      <w:szCs w:val="21"/>
                    </w:rPr>
                  </w:pPr>
                  <w:r>
                    <w:rPr>
                      <w:rFonts w:eastAsia="宋体"/>
                      <w:szCs w:val="21"/>
                    </w:rPr>
                    <w:t>污染物项目</w:t>
                  </w:r>
                </w:p>
              </w:tc>
              <w:tc>
                <w:tcPr>
                  <w:tcW w:w="162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平均时间</w:t>
                  </w:r>
                </w:p>
              </w:tc>
              <w:tc>
                <w:tcPr>
                  <w:tcW w:w="1088" w:type="pct"/>
                  <w:gridSpan w:val="2"/>
                  <w:tcBorders>
                    <w:tl2br w:val="nil"/>
                    <w:tr2bl w:val="nil"/>
                  </w:tcBorders>
                  <w:vAlign w:val="center"/>
                </w:tcPr>
                <w:p>
                  <w:pPr>
                    <w:pStyle w:val="46"/>
                    <w:spacing w:beforeLines="0" w:afterLines="0" w:line="240" w:lineRule="auto"/>
                    <w:rPr>
                      <w:rFonts w:ascii="Times New Roman"/>
                      <w:sz w:val="21"/>
                    </w:rPr>
                  </w:pPr>
                  <w:r>
                    <w:rPr>
                      <w:rFonts w:ascii="Times New Roman"/>
                      <w:sz w:val="21"/>
                    </w:rPr>
                    <w:t>浓度限值</w:t>
                  </w:r>
                </w:p>
              </w:tc>
              <w:tc>
                <w:tcPr>
                  <w:tcW w:w="66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vMerge w:val="continue"/>
                  <w:tcBorders>
                    <w:tl2br w:val="nil"/>
                    <w:tr2bl w:val="nil"/>
                  </w:tcBorders>
                  <w:vAlign w:val="center"/>
                </w:tcPr>
                <w:p>
                  <w:pPr>
                    <w:pStyle w:val="46"/>
                    <w:spacing w:beforeLines="0" w:afterLines="0" w:line="240" w:lineRule="auto"/>
                    <w:rPr>
                      <w:rFonts w:ascii="Times New Roman"/>
                      <w:sz w:val="21"/>
                    </w:rPr>
                  </w:pP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一级</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二级</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1</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SO</w:t>
                  </w:r>
                  <w:r>
                    <w:rPr>
                      <w:rFonts w:ascii="Times New Roman"/>
                      <w:sz w:val="21"/>
                      <w:vertAlign w:val="subscript"/>
                    </w:rPr>
                    <w:t>2</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年平均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60</w:t>
                  </w:r>
                </w:p>
              </w:tc>
              <w:tc>
                <w:tcPr>
                  <w:tcW w:w="66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μg/m</w:t>
                  </w:r>
                  <w:r>
                    <w:rPr>
                      <w:rFonts w:ascii="Times New Roman"/>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24小时平均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50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150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150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500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2</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NO</w:t>
                  </w:r>
                  <w:r>
                    <w:rPr>
                      <w:rFonts w:ascii="Times New Roman"/>
                      <w:sz w:val="21"/>
                      <w:vertAlign w:val="subscript"/>
                    </w:rPr>
                    <w:t>2</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年平均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40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40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24小时平均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80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80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200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200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3</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CO</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24小时平均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4</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4</w:t>
                  </w:r>
                </w:p>
              </w:tc>
              <w:tc>
                <w:tcPr>
                  <w:tcW w:w="66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mg/m</w:t>
                  </w:r>
                  <w:r>
                    <w:rPr>
                      <w:rFonts w:ascii="Times New Roman"/>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4</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O</w:t>
                  </w:r>
                  <w:r>
                    <w:rPr>
                      <w:rFonts w:ascii="Times New Roman"/>
                      <w:sz w:val="21"/>
                      <w:vertAlign w:val="subscript"/>
                    </w:rPr>
                    <w:t>3</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日最大8小时平均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100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160</w:t>
                  </w:r>
                </w:p>
              </w:tc>
              <w:tc>
                <w:tcPr>
                  <w:tcW w:w="66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μg/m</w:t>
                  </w:r>
                  <w:r>
                    <w:rPr>
                      <w:rFonts w:ascii="Times New Roman"/>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160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200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5</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PM</w:t>
                  </w:r>
                  <w:r>
                    <w:rPr>
                      <w:rFonts w:ascii="Times New Roman"/>
                      <w:sz w:val="21"/>
                      <w:vertAlign w:val="subscript"/>
                    </w:rPr>
                    <w:t>10</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年平均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40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70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46"/>
                    <w:spacing w:beforeLines="0" w:afterLines="0" w:line="240" w:lineRule="auto"/>
                    <w:rPr>
                      <w:rFonts w:ascii="Times New Roman"/>
                      <w:sz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24小时平均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45</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150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6</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PM</w:t>
                  </w:r>
                  <w:r>
                    <w:rPr>
                      <w:rFonts w:ascii="Times New Roman"/>
                      <w:sz w:val="21"/>
                      <w:vertAlign w:val="subscript"/>
                    </w:rPr>
                    <w:t>2.5</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年平均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15</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35</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57"/>
                    <w:rPr>
                      <w:rFonts w:eastAsia="宋体"/>
                      <w:szCs w:val="21"/>
                    </w:rPr>
                  </w:pPr>
                </w:p>
              </w:tc>
              <w:tc>
                <w:tcPr>
                  <w:tcW w:w="1083" w:type="pct"/>
                  <w:vMerge w:val="continue"/>
                  <w:tcBorders>
                    <w:tl2br w:val="nil"/>
                    <w:tr2bl w:val="nil"/>
                  </w:tcBorders>
                  <w:vAlign w:val="center"/>
                </w:tcPr>
                <w:p>
                  <w:pPr>
                    <w:pStyle w:val="57"/>
                    <w:rPr>
                      <w:rFonts w:eastAsia="宋体"/>
                      <w:szCs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24小时平均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35</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75</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restart"/>
                  <w:tcBorders>
                    <w:tl2br w:val="nil"/>
                    <w:tr2bl w:val="nil"/>
                  </w:tcBorders>
                  <w:vAlign w:val="center"/>
                </w:tcPr>
                <w:p>
                  <w:pPr>
                    <w:pStyle w:val="57"/>
                    <w:rPr>
                      <w:rFonts w:eastAsia="宋体"/>
                      <w:szCs w:val="21"/>
                    </w:rPr>
                  </w:pPr>
                  <w:r>
                    <w:rPr>
                      <w:rFonts w:eastAsia="宋体"/>
                      <w:szCs w:val="21"/>
                    </w:rPr>
                    <w:t>7</w:t>
                  </w:r>
                </w:p>
              </w:tc>
              <w:tc>
                <w:tcPr>
                  <w:tcW w:w="1083" w:type="pct"/>
                  <w:vMerge w:val="restart"/>
                  <w:tcBorders>
                    <w:tl2br w:val="nil"/>
                    <w:tr2bl w:val="nil"/>
                  </w:tcBorders>
                  <w:vAlign w:val="center"/>
                </w:tcPr>
                <w:p>
                  <w:pPr>
                    <w:pStyle w:val="46"/>
                    <w:spacing w:beforeLines="0" w:afterLines="0" w:line="240" w:lineRule="auto"/>
                    <w:rPr>
                      <w:rFonts w:ascii="Times New Roman"/>
                      <w:sz w:val="21"/>
                    </w:rPr>
                  </w:pPr>
                  <w:r>
                    <w:rPr>
                      <w:rFonts w:ascii="Times New Roman"/>
                      <w:sz w:val="21"/>
                    </w:rPr>
                    <w:t>TSP</w:t>
                  </w: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年平均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80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200</w:t>
                  </w:r>
                </w:p>
              </w:tc>
              <w:tc>
                <w:tcPr>
                  <w:tcW w:w="662" w:type="pct"/>
                  <w:vMerge w:val="continue"/>
                  <w:tcBorders>
                    <w:tl2br w:val="nil"/>
                    <w:tr2bl w:val="nil"/>
                  </w:tcBorders>
                  <w:vAlign w:val="center"/>
                </w:tcPr>
                <w:p>
                  <w:pPr>
                    <w:pStyle w:val="57"/>
                    <w:rPr>
                      <w:rFonts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2" w:type="pct"/>
                  <w:vMerge w:val="continue"/>
                  <w:tcBorders>
                    <w:tl2br w:val="nil"/>
                    <w:tr2bl w:val="nil"/>
                  </w:tcBorders>
                  <w:vAlign w:val="center"/>
                </w:tcPr>
                <w:p>
                  <w:pPr>
                    <w:pStyle w:val="57"/>
                    <w:rPr>
                      <w:rFonts w:eastAsia="宋体"/>
                      <w:szCs w:val="21"/>
                    </w:rPr>
                  </w:pPr>
                </w:p>
              </w:tc>
              <w:tc>
                <w:tcPr>
                  <w:tcW w:w="1083" w:type="pct"/>
                  <w:vMerge w:val="continue"/>
                  <w:tcBorders>
                    <w:tl2br w:val="nil"/>
                    <w:tr2bl w:val="nil"/>
                  </w:tcBorders>
                  <w:vAlign w:val="center"/>
                </w:tcPr>
                <w:p>
                  <w:pPr>
                    <w:pStyle w:val="46"/>
                    <w:spacing w:beforeLines="0" w:afterLines="0" w:line="240" w:lineRule="auto"/>
                    <w:rPr>
                      <w:rFonts w:ascii="Times New Roman"/>
                      <w:sz w:val="21"/>
                    </w:rPr>
                  </w:pPr>
                </w:p>
              </w:tc>
              <w:tc>
                <w:tcPr>
                  <w:tcW w:w="162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24小时平均</w:t>
                  </w:r>
                </w:p>
              </w:tc>
              <w:tc>
                <w:tcPr>
                  <w:tcW w:w="542"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120</w:t>
                  </w:r>
                </w:p>
              </w:tc>
              <w:tc>
                <w:tcPr>
                  <w:tcW w:w="545" w:type="pct"/>
                  <w:tcBorders>
                    <w:tl2br w:val="nil"/>
                    <w:tr2bl w:val="nil"/>
                  </w:tcBorders>
                  <w:vAlign w:val="center"/>
                </w:tcPr>
                <w:p>
                  <w:pPr>
                    <w:pStyle w:val="46"/>
                    <w:spacing w:beforeLines="0" w:afterLines="0" w:line="240" w:lineRule="auto"/>
                    <w:rPr>
                      <w:rFonts w:ascii="Times New Roman"/>
                      <w:sz w:val="21"/>
                    </w:rPr>
                  </w:pPr>
                  <w:r>
                    <w:rPr>
                      <w:rFonts w:ascii="Times New Roman"/>
                      <w:sz w:val="21"/>
                    </w:rPr>
                    <w:t>300</w:t>
                  </w:r>
                </w:p>
              </w:tc>
              <w:tc>
                <w:tcPr>
                  <w:tcW w:w="662" w:type="pct"/>
                  <w:vMerge w:val="continue"/>
                  <w:tcBorders>
                    <w:tl2br w:val="nil"/>
                    <w:tr2bl w:val="nil"/>
                  </w:tcBorders>
                  <w:vAlign w:val="center"/>
                </w:tcPr>
                <w:p>
                  <w:pPr>
                    <w:pStyle w:val="57"/>
                    <w:rPr>
                      <w:rFonts w:eastAsia="宋体"/>
                      <w:szCs w:val="21"/>
                    </w:rPr>
                  </w:pPr>
                </w:p>
              </w:tc>
            </w:tr>
            <w:bookmarkEnd w:id="96"/>
          </w:tbl>
          <w:p>
            <w:pPr>
              <w:adjustRightInd w:val="0"/>
              <w:snapToGrid w:val="0"/>
              <w:spacing w:before="120" w:beforeLines="50" w:line="360" w:lineRule="auto"/>
              <w:ind w:firstLine="482" w:firstLineChars="200"/>
              <w:rPr>
                <w:sz w:val="24"/>
              </w:rPr>
            </w:pPr>
            <w:r>
              <w:rPr>
                <w:b/>
                <w:bCs/>
                <w:sz w:val="24"/>
              </w:rPr>
              <w:t>（</w:t>
            </w:r>
            <w:r>
              <w:rPr>
                <w:rFonts w:hint="eastAsia"/>
                <w:b/>
                <w:bCs/>
                <w:sz w:val="24"/>
              </w:rPr>
              <w:t>2</w:t>
            </w:r>
            <w:r>
              <w:rPr>
                <w:b/>
                <w:bCs/>
                <w:sz w:val="24"/>
              </w:rPr>
              <w:t>）声环境</w:t>
            </w:r>
          </w:p>
          <w:p>
            <w:pPr>
              <w:pStyle w:val="21"/>
              <w:adjustRightInd w:val="0"/>
              <w:snapToGrid w:val="0"/>
              <w:spacing w:before="0" w:after="0" w:line="360" w:lineRule="auto"/>
              <w:ind w:firstLine="448" w:firstLineChars="200"/>
              <w:jc w:val="both"/>
              <w:outlineLvl w:val="9"/>
              <w:rPr>
                <w:rFonts w:ascii="Times New Roman" w:hAnsi="Times New Roman" w:cs="Times New Roman"/>
                <w:b w:val="0"/>
                <w:bCs w:val="0"/>
                <w:color w:val="FF0000"/>
                <w:spacing w:val="-8"/>
                <w:sz w:val="24"/>
                <w:lang w:eastAsia="zh-CN"/>
              </w:rPr>
            </w:pPr>
            <w:bookmarkStart w:id="97" w:name="_Toc9387"/>
            <w:r>
              <w:rPr>
                <w:rFonts w:hint="eastAsia" w:ascii="Times New Roman" w:hAnsi="Times New Roman" w:cs="Times New Roman"/>
                <w:b w:val="0"/>
                <w:bCs w:val="0"/>
                <w:color w:val="FF0000"/>
                <w:spacing w:val="-8"/>
                <w:sz w:val="24"/>
                <w:lang w:eastAsia="zh-CN"/>
              </w:rPr>
              <w:t>①储能电站及顺化330kV变电站</w:t>
            </w:r>
          </w:p>
          <w:p>
            <w:pPr>
              <w:pStyle w:val="21"/>
              <w:adjustRightInd w:val="0"/>
              <w:snapToGrid w:val="0"/>
              <w:spacing w:before="0" w:after="0" w:line="360" w:lineRule="auto"/>
              <w:ind w:firstLine="448" w:firstLineChars="200"/>
              <w:jc w:val="both"/>
              <w:outlineLvl w:val="9"/>
              <w:rPr>
                <w:rFonts w:ascii="Times New Roman" w:hAnsi="Times New Roman" w:cs="Times New Roman"/>
                <w:b w:val="0"/>
                <w:bCs w:val="0"/>
                <w:color w:val="FF0000"/>
                <w:spacing w:val="-8"/>
                <w:sz w:val="24"/>
                <w:szCs w:val="24"/>
                <w:lang w:eastAsia="zh-CN"/>
              </w:rPr>
            </w:pPr>
            <w:r>
              <w:rPr>
                <w:rFonts w:ascii="Times New Roman" w:hAnsi="Times New Roman" w:cs="Times New Roman"/>
                <w:b w:val="0"/>
                <w:bCs w:val="0"/>
                <w:color w:val="FF0000"/>
                <w:spacing w:val="-8"/>
                <w:sz w:val="24"/>
                <w:lang w:eastAsia="zh-CN"/>
              </w:rPr>
              <w:t>根据现场调查，项目</w:t>
            </w:r>
            <w:r>
              <w:rPr>
                <w:rFonts w:hint="eastAsia" w:ascii="Times New Roman" w:hAnsi="Times New Roman" w:cs="Times New Roman"/>
                <w:b w:val="0"/>
                <w:bCs w:val="0"/>
                <w:color w:val="FF0000"/>
                <w:spacing w:val="-8"/>
                <w:sz w:val="24"/>
                <w:lang w:eastAsia="zh-CN"/>
              </w:rPr>
              <w:t>选址</w:t>
            </w:r>
            <w:r>
              <w:rPr>
                <w:rFonts w:ascii="Times New Roman" w:hAnsi="Times New Roman" w:cs="Times New Roman"/>
                <w:b w:val="0"/>
                <w:bCs w:val="0"/>
                <w:color w:val="FF0000"/>
                <w:spacing w:val="-8"/>
                <w:sz w:val="24"/>
                <w:lang w:eastAsia="zh-CN"/>
              </w:rPr>
              <w:t>北侧为顺化330kV变电站，西侧为县道。本项目功能与顺化330kV变电站相似，根据顺化330kV变电站环评及验收可知，顺化330kV变电站四周执行</w:t>
            </w:r>
            <w:r>
              <w:rPr>
                <w:rFonts w:ascii="Times New Roman" w:hAnsi="Times New Roman" w:cs="Times New Roman"/>
                <w:b w:val="0"/>
                <w:bCs w:val="0"/>
                <w:color w:val="FF0000"/>
                <w:spacing w:val="-3"/>
                <w:position w:val="1"/>
                <w:sz w:val="24"/>
                <w:szCs w:val="24"/>
                <w:lang w:eastAsia="zh-CN"/>
              </w:rPr>
              <w:t>《声环境质量</w:t>
            </w:r>
            <w:r>
              <w:rPr>
                <w:rFonts w:ascii="Times New Roman" w:hAnsi="Times New Roman" w:cs="Times New Roman"/>
                <w:b w:val="0"/>
                <w:bCs w:val="0"/>
                <w:color w:val="FF0000"/>
                <w:spacing w:val="-8"/>
                <w:sz w:val="24"/>
                <w:szCs w:val="24"/>
                <w:lang w:eastAsia="zh-CN"/>
              </w:rPr>
              <w:t>标准》（GB3096-2008）2类标准，</w:t>
            </w:r>
            <w:r>
              <w:rPr>
                <w:rFonts w:hint="eastAsia" w:ascii="Times New Roman" w:hAnsi="Times New Roman" w:cs="Times New Roman"/>
                <w:b w:val="0"/>
                <w:bCs w:val="0"/>
                <w:color w:val="FF0000"/>
                <w:spacing w:val="-8"/>
                <w:sz w:val="24"/>
                <w:szCs w:val="24"/>
                <w:lang w:eastAsia="zh-CN"/>
              </w:rPr>
              <w:t>综合上述因素，</w:t>
            </w:r>
            <w:r>
              <w:rPr>
                <w:rFonts w:ascii="Times New Roman" w:hAnsi="Times New Roman" w:cs="Times New Roman"/>
                <w:b w:val="0"/>
                <w:bCs w:val="0"/>
                <w:color w:val="FF0000"/>
                <w:spacing w:val="-8"/>
                <w:sz w:val="24"/>
                <w:szCs w:val="24"/>
                <w:lang w:eastAsia="zh-CN"/>
              </w:rPr>
              <w:t>本项目区域执行</w:t>
            </w:r>
            <w:r>
              <w:rPr>
                <w:rFonts w:ascii="Times New Roman" w:hAnsi="Times New Roman" w:cs="Times New Roman"/>
                <w:b w:val="0"/>
                <w:bCs w:val="0"/>
                <w:color w:val="FF0000"/>
                <w:spacing w:val="-3"/>
                <w:position w:val="1"/>
                <w:sz w:val="24"/>
                <w:szCs w:val="24"/>
                <w:lang w:eastAsia="zh-CN"/>
              </w:rPr>
              <w:t>《声环境质量</w:t>
            </w:r>
            <w:r>
              <w:rPr>
                <w:rFonts w:ascii="Times New Roman" w:hAnsi="Times New Roman" w:cs="Times New Roman"/>
                <w:b w:val="0"/>
                <w:bCs w:val="0"/>
                <w:color w:val="FF0000"/>
                <w:spacing w:val="-8"/>
                <w:sz w:val="24"/>
                <w:szCs w:val="24"/>
                <w:lang w:eastAsia="zh-CN"/>
              </w:rPr>
              <w:t>标准》（GB3096-2008）2类标准</w:t>
            </w:r>
            <w:r>
              <w:rPr>
                <w:rFonts w:hint="eastAsia" w:ascii="Times New Roman" w:hAnsi="Times New Roman" w:cs="Times New Roman"/>
                <w:b w:val="0"/>
                <w:bCs w:val="0"/>
                <w:color w:val="FF0000"/>
                <w:spacing w:val="-8"/>
                <w:sz w:val="24"/>
                <w:szCs w:val="24"/>
                <w:lang w:eastAsia="zh-CN"/>
              </w:rPr>
              <w:t>。</w:t>
            </w:r>
          </w:p>
          <w:p>
            <w:pPr>
              <w:pStyle w:val="21"/>
              <w:adjustRightInd w:val="0"/>
              <w:snapToGrid w:val="0"/>
              <w:spacing w:before="0" w:after="0" w:line="360" w:lineRule="auto"/>
              <w:ind w:firstLine="448" w:firstLineChars="200"/>
              <w:jc w:val="both"/>
              <w:outlineLvl w:val="9"/>
              <w:rPr>
                <w:rFonts w:ascii="Times New Roman" w:hAnsi="Times New Roman" w:cs="Times New Roman"/>
                <w:b w:val="0"/>
                <w:bCs w:val="0"/>
                <w:color w:val="FF0000"/>
                <w:spacing w:val="-8"/>
                <w:sz w:val="24"/>
                <w:szCs w:val="24"/>
                <w:lang w:eastAsia="zh-CN"/>
              </w:rPr>
            </w:pPr>
            <w:r>
              <w:rPr>
                <w:rFonts w:hint="eastAsia" w:ascii="Times New Roman" w:hAnsi="Times New Roman" w:cs="Times New Roman"/>
                <w:b w:val="0"/>
                <w:bCs w:val="0"/>
                <w:color w:val="FF0000"/>
                <w:spacing w:val="-8"/>
                <w:sz w:val="24"/>
                <w:szCs w:val="24"/>
                <w:lang w:eastAsia="zh-CN"/>
              </w:rPr>
              <w:t>②输电线路</w:t>
            </w:r>
          </w:p>
          <w:p>
            <w:pPr>
              <w:pStyle w:val="21"/>
              <w:adjustRightInd w:val="0"/>
              <w:snapToGrid w:val="0"/>
              <w:spacing w:before="0" w:after="0" w:line="360" w:lineRule="auto"/>
              <w:ind w:firstLine="448" w:firstLineChars="200"/>
              <w:jc w:val="both"/>
              <w:outlineLvl w:val="9"/>
              <w:rPr>
                <w:rFonts w:ascii="Times New Roman" w:hAnsi="Times New Roman" w:cs="Times New Roman"/>
                <w:b w:val="0"/>
                <w:bCs w:val="0"/>
                <w:color w:val="FF0000"/>
                <w:spacing w:val="-3"/>
                <w:position w:val="1"/>
                <w:sz w:val="24"/>
                <w:szCs w:val="24"/>
                <w:lang w:eastAsia="zh-CN"/>
              </w:rPr>
            </w:pPr>
            <w:r>
              <w:rPr>
                <w:rFonts w:ascii="Times New Roman" w:hAnsi="Times New Roman" w:cs="Times New Roman"/>
                <w:b w:val="0"/>
                <w:bCs w:val="0"/>
                <w:color w:val="FF0000"/>
                <w:spacing w:val="-8"/>
                <w:sz w:val="24"/>
                <w:szCs w:val="24"/>
                <w:lang w:eastAsia="zh-CN"/>
              </w:rPr>
              <w:t>输电线路</w:t>
            </w:r>
            <w:r>
              <w:rPr>
                <w:rFonts w:ascii="Times New Roman" w:hAnsi="Times New Roman" w:cs="Times New Roman"/>
                <w:b w:val="0"/>
                <w:bCs w:val="0"/>
                <w:color w:val="FF0000"/>
                <w:spacing w:val="-8"/>
                <w:sz w:val="24"/>
                <w:lang w:eastAsia="zh-CN"/>
              </w:rPr>
              <w:t>沿线区域执行</w:t>
            </w:r>
            <w:r>
              <w:rPr>
                <w:rFonts w:ascii="Times New Roman" w:hAnsi="Times New Roman" w:cs="Times New Roman"/>
                <w:b w:val="0"/>
                <w:bCs w:val="0"/>
                <w:color w:val="FF0000"/>
                <w:spacing w:val="-3"/>
                <w:position w:val="1"/>
                <w:sz w:val="24"/>
                <w:szCs w:val="24"/>
                <w:lang w:eastAsia="zh-CN"/>
              </w:rPr>
              <w:t>《声环境质量</w:t>
            </w:r>
            <w:r>
              <w:rPr>
                <w:rFonts w:ascii="Times New Roman" w:hAnsi="Times New Roman" w:cs="Times New Roman"/>
                <w:b w:val="0"/>
                <w:bCs w:val="0"/>
                <w:color w:val="FF0000"/>
                <w:spacing w:val="-8"/>
                <w:sz w:val="24"/>
                <w:szCs w:val="24"/>
                <w:lang w:eastAsia="zh-CN"/>
              </w:rPr>
              <w:t>标准》（GB3096-2008）</w:t>
            </w:r>
            <w:r>
              <w:rPr>
                <w:rFonts w:hint="eastAsia" w:ascii="Times New Roman" w:hAnsi="Times New Roman" w:cs="Times New Roman"/>
                <w:b w:val="0"/>
                <w:bCs w:val="0"/>
                <w:color w:val="FF0000"/>
                <w:spacing w:val="-8"/>
                <w:sz w:val="24"/>
                <w:szCs w:val="24"/>
                <w:lang w:eastAsia="zh-CN"/>
              </w:rPr>
              <w:t>1</w:t>
            </w:r>
            <w:r>
              <w:rPr>
                <w:rFonts w:ascii="Times New Roman" w:hAnsi="Times New Roman" w:cs="Times New Roman"/>
                <w:b w:val="0"/>
                <w:bCs w:val="0"/>
                <w:color w:val="FF0000"/>
                <w:spacing w:val="-8"/>
                <w:sz w:val="24"/>
                <w:szCs w:val="24"/>
                <w:lang w:eastAsia="zh-CN"/>
              </w:rPr>
              <w:t>类标准。</w:t>
            </w:r>
          </w:p>
          <w:bookmarkEnd w:id="97"/>
          <w:p>
            <w:pPr>
              <w:pStyle w:val="49"/>
              <w:adjustRightInd w:val="0"/>
              <w:snapToGrid w:val="0"/>
              <w:spacing w:before="120" w:beforeLines="50" w:line="360" w:lineRule="auto"/>
              <w:ind w:left="0" w:firstLine="0" w:firstLineChars="0"/>
              <w:jc w:val="center"/>
              <w:rPr>
                <w:rFonts w:ascii="Times New Roman" w:hAnsi="Times New Roman" w:eastAsia="宋体"/>
                <w:b/>
                <w:bCs/>
                <w:color w:val="FF0000"/>
              </w:rPr>
            </w:pPr>
            <w:r>
              <w:rPr>
                <w:rFonts w:ascii="Times New Roman" w:hAnsi="Times New Roman" w:eastAsia="宋体"/>
                <w:b/>
                <w:bCs/>
                <w:color w:val="FF0000"/>
              </w:rPr>
              <w:t>表3-</w:t>
            </w:r>
            <w:r>
              <w:rPr>
                <w:rFonts w:hint="eastAsia" w:ascii="Times New Roman" w:hAnsi="Times New Roman" w:eastAsia="宋体"/>
                <w:b/>
                <w:bCs/>
                <w:color w:val="FF0000"/>
              </w:rPr>
              <w:t>6</w:t>
            </w:r>
            <w:r>
              <w:rPr>
                <w:rFonts w:ascii="Times New Roman" w:hAnsi="Times New Roman" w:eastAsia="宋体"/>
                <w:b/>
                <w:bCs/>
                <w:color w:val="FF0000"/>
              </w:rPr>
              <w:t xml:space="preserve"> </w:t>
            </w:r>
            <w:r>
              <w:rPr>
                <w:rFonts w:hint="eastAsia" w:ascii="Times New Roman" w:hAnsi="Times New Roman" w:eastAsia="宋体"/>
                <w:b/>
                <w:bCs/>
                <w:color w:val="FF0000"/>
              </w:rPr>
              <w:t xml:space="preserve"> </w:t>
            </w:r>
            <w:r>
              <w:rPr>
                <w:rFonts w:ascii="Times New Roman" w:hAnsi="Times New Roman" w:eastAsia="宋体"/>
                <w:b/>
                <w:bCs/>
                <w:color w:val="FF0000"/>
              </w:rPr>
              <w:t xml:space="preserve"> </w:t>
            </w:r>
            <w:r>
              <w:rPr>
                <w:rFonts w:hint="eastAsia" w:ascii="Times New Roman" w:hAnsi="Times New Roman" w:eastAsia="宋体"/>
                <w:b/>
                <w:bCs/>
                <w:color w:val="FF0000"/>
              </w:rPr>
              <w:t xml:space="preserve">  声环境质量标准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655"/>
              <w:gridCol w:w="1567"/>
              <w:gridCol w:w="4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79" w:type="pct"/>
                  <w:vMerge w:val="restar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类别</w:t>
                  </w:r>
                </w:p>
              </w:tc>
              <w:tc>
                <w:tcPr>
                  <w:tcW w:w="1914" w:type="pct"/>
                  <w:gridSpan w:val="2"/>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标准</w:t>
                  </w:r>
                  <w:r>
                    <w:rPr>
                      <w:rFonts w:ascii="Times New Roman"/>
                      <w:color w:val="FF0000"/>
                      <w:sz w:val="21"/>
                    </w:rPr>
                    <w:t>限值dB(A)</w:t>
                  </w:r>
                </w:p>
              </w:tc>
              <w:tc>
                <w:tcPr>
                  <w:tcW w:w="2505" w:type="pct"/>
                  <w:vMerge w:val="restar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79" w:type="pct"/>
                  <w:vMerge w:val="continue"/>
                  <w:tcBorders>
                    <w:tl2br w:val="nil"/>
                    <w:tr2bl w:val="nil"/>
                  </w:tcBorders>
                  <w:vAlign w:val="center"/>
                </w:tcPr>
                <w:p>
                  <w:pPr>
                    <w:pStyle w:val="46"/>
                    <w:spacing w:before="24" w:after="24"/>
                    <w:rPr>
                      <w:rFonts w:ascii="Times New Roman"/>
                      <w:color w:val="FF0000"/>
                      <w:sz w:val="21"/>
                    </w:rPr>
                  </w:pPr>
                </w:p>
              </w:tc>
              <w:tc>
                <w:tcPr>
                  <w:tcW w:w="983" w:type="pct"/>
                  <w:tcBorders>
                    <w:tl2br w:val="nil"/>
                    <w:tr2bl w:val="nil"/>
                  </w:tcBorders>
                  <w:vAlign w:val="center"/>
                </w:tcPr>
                <w:p>
                  <w:pPr>
                    <w:pStyle w:val="46"/>
                    <w:spacing w:before="24" w:after="24"/>
                    <w:rPr>
                      <w:rFonts w:ascii="Times New Roman"/>
                      <w:color w:val="FF0000"/>
                      <w:sz w:val="21"/>
                    </w:rPr>
                  </w:pPr>
                  <w:r>
                    <w:rPr>
                      <w:rFonts w:ascii="Times New Roman"/>
                      <w:color w:val="FF0000"/>
                      <w:sz w:val="21"/>
                    </w:rPr>
                    <w:t>昼间</w:t>
                  </w:r>
                </w:p>
              </w:tc>
              <w:tc>
                <w:tcPr>
                  <w:tcW w:w="931" w:type="pct"/>
                  <w:tcBorders>
                    <w:tl2br w:val="nil"/>
                    <w:tr2bl w:val="nil"/>
                  </w:tcBorders>
                  <w:vAlign w:val="center"/>
                </w:tcPr>
                <w:p>
                  <w:pPr>
                    <w:pStyle w:val="46"/>
                    <w:spacing w:before="24" w:after="24"/>
                    <w:rPr>
                      <w:rFonts w:ascii="Times New Roman"/>
                      <w:color w:val="FF0000"/>
                      <w:sz w:val="21"/>
                    </w:rPr>
                  </w:pPr>
                  <w:r>
                    <w:rPr>
                      <w:rFonts w:ascii="Times New Roman"/>
                      <w:color w:val="FF0000"/>
                      <w:sz w:val="21"/>
                    </w:rPr>
                    <w:t>夜间</w:t>
                  </w:r>
                </w:p>
              </w:tc>
              <w:tc>
                <w:tcPr>
                  <w:tcW w:w="2505" w:type="pct"/>
                  <w:vMerge w:val="continue"/>
                  <w:tcBorders>
                    <w:tl2br w:val="nil"/>
                    <w:tr2bl w:val="nil"/>
                  </w:tcBorders>
                  <w:vAlign w:val="center"/>
                </w:tcPr>
                <w:p>
                  <w:pPr>
                    <w:pStyle w:val="46"/>
                    <w:spacing w:before="24" w:after="24"/>
                    <w:rPr>
                      <w:rFonts w:ascii="Times New Roman"/>
                      <w:color w:val="FF000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79"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1类</w:t>
                  </w:r>
                </w:p>
              </w:tc>
              <w:tc>
                <w:tcPr>
                  <w:tcW w:w="983"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55</w:t>
                  </w:r>
                </w:p>
              </w:tc>
              <w:tc>
                <w:tcPr>
                  <w:tcW w:w="931"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45</w:t>
                  </w:r>
                </w:p>
              </w:tc>
              <w:tc>
                <w:tcPr>
                  <w:tcW w:w="2505"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输电线路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79"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2类</w:t>
                  </w:r>
                </w:p>
              </w:tc>
              <w:tc>
                <w:tcPr>
                  <w:tcW w:w="983"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60</w:t>
                  </w:r>
                </w:p>
              </w:tc>
              <w:tc>
                <w:tcPr>
                  <w:tcW w:w="931"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50</w:t>
                  </w:r>
                </w:p>
              </w:tc>
              <w:tc>
                <w:tcPr>
                  <w:tcW w:w="2505"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储能电站、顺化330kV变电站</w:t>
                  </w:r>
                </w:p>
              </w:tc>
            </w:tr>
          </w:tbl>
          <w:p>
            <w:pPr>
              <w:pStyle w:val="21"/>
              <w:adjustRightInd w:val="0"/>
              <w:snapToGrid w:val="0"/>
              <w:spacing w:before="0" w:after="0" w:line="360" w:lineRule="auto"/>
              <w:ind w:firstLine="482" w:firstLineChars="200"/>
              <w:jc w:val="both"/>
              <w:outlineLvl w:val="9"/>
              <w:rPr>
                <w:rFonts w:ascii="Times New Roman" w:hAnsi="Times New Roman" w:cs="Times New Roman"/>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26" w:type="dxa"/>
            <w:vMerge w:val="continue"/>
            <w:vAlign w:val="center"/>
          </w:tcPr>
          <w:p>
            <w:pPr>
              <w:adjustRightInd w:val="0"/>
              <w:snapToGrid w:val="0"/>
              <w:rPr>
                <w:szCs w:val="21"/>
              </w:rPr>
            </w:pPr>
          </w:p>
        </w:tc>
        <w:tc>
          <w:tcPr>
            <w:tcW w:w="8635" w:type="dxa"/>
            <w:vAlign w:val="center"/>
          </w:tcPr>
          <w:p>
            <w:pPr>
              <w:adjustRightInd w:val="0"/>
              <w:snapToGrid w:val="0"/>
              <w:spacing w:before="120" w:beforeLines="50" w:after="120" w:afterLines="50" w:line="360" w:lineRule="auto"/>
              <w:rPr>
                <w:b/>
                <w:bCs/>
                <w:kern w:val="0"/>
                <w:sz w:val="24"/>
              </w:rPr>
            </w:pPr>
            <w:r>
              <w:rPr>
                <w:rFonts w:hint="eastAsia"/>
                <w:b/>
                <w:bCs/>
                <w:kern w:val="0"/>
                <w:sz w:val="24"/>
              </w:rPr>
              <w:t>3.5</w:t>
            </w:r>
            <w:r>
              <w:rPr>
                <w:b/>
                <w:bCs/>
                <w:kern w:val="0"/>
                <w:sz w:val="24"/>
              </w:rPr>
              <w:t>污染物排放标准</w:t>
            </w:r>
          </w:p>
          <w:p>
            <w:pPr>
              <w:adjustRightInd w:val="0"/>
              <w:snapToGrid w:val="0"/>
              <w:spacing w:line="360" w:lineRule="auto"/>
              <w:ind w:firstLine="482" w:firstLineChars="200"/>
              <w:rPr>
                <w:b/>
                <w:bCs/>
                <w:sz w:val="24"/>
              </w:rPr>
            </w:pPr>
            <w:r>
              <w:rPr>
                <w:rFonts w:hint="eastAsia"/>
                <w:b/>
                <w:bCs/>
                <w:kern w:val="0"/>
                <w:sz w:val="24"/>
              </w:rPr>
              <w:t>（1）</w:t>
            </w:r>
            <w:r>
              <w:rPr>
                <w:rFonts w:hint="eastAsia"/>
                <w:b/>
                <w:bCs/>
                <w:sz w:val="24"/>
              </w:rPr>
              <w:t>大气环境</w:t>
            </w:r>
          </w:p>
          <w:p>
            <w:pPr>
              <w:adjustRightInd w:val="0"/>
              <w:snapToGrid w:val="0"/>
              <w:spacing w:line="360" w:lineRule="auto"/>
              <w:ind w:firstLine="480" w:firstLineChars="200"/>
              <w:rPr>
                <w:b/>
                <w:bCs/>
                <w:sz w:val="24"/>
              </w:rPr>
            </w:pPr>
            <w:r>
              <w:rPr>
                <w:rFonts w:hint="eastAsia"/>
                <w:sz w:val="24"/>
              </w:rPr>
              <w:t>项目施工期施工扬尘排放《大气污染物综合排放标准》（GB16297-1996）中无组织排放监控浓度限值，具体见下表。</w:t>
            </w:r>
          </w:p>
          <w:p>
            <w:pPr>
              <w:adjustRightInd w:val="0"/>
              <w:snapToGrid w:val="0"/>
              <w:spacing w:before="120" w:beforeLines="50" w:line="360" w:lineRule="auto"/>
              <w:jc w:val="center"/>
              <w:rPr>
                <w:b/>
                <w:bCs/>
                <w:sz w:val="24"/>
              </w:rPr>
            </w:pPr>
            <w:r>
              <w:rPr>
                <w:rFonts w:hint="eastAsia"/>
                <w:b/>
                <w:bCs/>
                <w:sz w:val="24"/>
              </w:rPr>
              <w:t>表3-7     大气污染物综合排放标准（摘录）</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422"/>
              <w:gridCol w:w="3196"/>
              <w:gridCol w:w="2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5" w:type="pct"/>
                  <w:vMerge w:val="restart"/>
                  <w:tcBorders>
                    <w:tl2br w:val="nil"/>
                    <w:tr2bl w:val="nil"/>
                  </w:tcBorders>
                  <w:vAlign w:val="center"/>
                </w:tcPr>
                <w:p>
                  <w:pPr>
                    <w:adjustRightInd w:val="0"/>
                    <w:snapToGrid w:val="0"/>
                    <w:jc w:val="center"/>
                    <w:rPr>
                      <w:szCs w:val="21"/>
                    </w:rPr>
                  </w:pPr>
                  <w:r>
                    <w:rPr>
                      <w:rFonts w:hint="eastAsia"/>
                      <w:szCs w:val="21"/>
                    </w:rPr>
                    <w:t>序号</w:t>
                  </w:r>
                </w:p>
              </w:tc>
              <w:tc>
                <w:tcPr>
                  <w:tcW w:w="845" w:type="pct"/>
                  <w:vMerge w:val="restart"/>
                  <w:tcBorders>
                    <w:tl2br w:val="nil"/>
                    <w:tr2bl w:val="nil"/>
                  </w:tcBorders>
                  <w:vAlign w:val="center"/>
                </w:tcPr>
                <w:p>
                  <w:pPr>
                    <w:adjustRightInd w:val="0"/>
                    <w:snapToGrid w:val="0"/>
                    <w:jc w:val="center"/>
                    <w:rPr>
                      <w:szCs w:val="21"/>
                    </w:rPr>
                  </w:pPr>
                  <w:r>
                    <w:rPr>
                      <w:rFonts w:hint="eastAsia"/>
                      <w:szCs w:val="21"/>
                    </w:rPr>
                    <w:t>污染物</w:t>
                  </w:r>
                </w:p>
              </w:tc>
              <w:tc>
                <w:tcPr>
                  <w:tcW w:w="3518" w:type="pct"/>
                  <w:gridSpan w:val="2"/>
                  <w:tcBorders>
                    <w:tl2br w:val="nil"/>
                    <w:tr2bl w:val="nil"/>
                  </w:tcBorders>
                  <w:vAlign w:val="center"/>
                </w:tcPr>
                <w:p>
                  <w:pPr>
                    <w:adjustRightInd w:val="0"/>
                    <w:snapToGrid w:val="0"/>
                    <w:jc w:val="center"/>
                    <w:rPr>
                      <w:szCs w:val="21"/>
                    </w:rPr>
                  </w:pPr>
                  <w:r>
                    <w:rPr>
                      <w:rFonts w:ascii="宋体" w:hAnsi="宋体" w:cs="宋体"/>
                      <w:szCs w:val="21"/>
                    </w:rPr>
                    <w:t>无组织排放监控浓度限值</w:t>
                  </w:r>
                  <w:r>
                    <w:rPr>
                      <w:rFonts w:hint="eastAsia"/>
                      <w:szCs w:val="21"/>
                    </w:rPr>
                    <w:t>（mg/m</w:t>
                  </w:r>
                  <w:r>
                    <w:rPr>
                      <w:rFonts w:hint="eastAsia"/>
                      <w:szCs w:val="21"/>
                      <w:vertAlign w:val="superscript"/>
                    </w:rPr>
                    <w:t>3</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5" w:type="pct"/>
                  <w:vMerge w:val="continue"/>
                  <w:tcBorders>
                    <w:tl2br w:val="nil"/>
                    <w:tr2bl w:val="nil"/>
                  </w:tcBorders>
                  <w:vAlign w:val="center"/>
                </w:tcPr>
                <w:p>
                  <w:pPr>
                    <w:adjustRightInd w:val="0"/>
                    <w:snapToGrid w:val="0"/>
                    <w:jc w:val="center"/>
                    <w:rPr>
                      <w:szCs w:val="21"/>
                    </w:rPr>
                  </w:pPr>
                </w:p>
              </w:tc>
              <w:tc>
                <w:tcPr>
                  <w:tcW w:w="845" w:type="pct"/>
                  <w:vMerge w:val="continue"/>
                  <w:tcBorders>
                    <w:tl2br w:val="nil"/>
                    <w:tr2bl w:val="nil"/>
                  </w:tcBorders>
                  <w:vAlign w:val="center"/>
                </w:tcPr>
                <w:p>
                  <w:pPr>
                    <w:adjustRightInd w:val="0"/>
                    <w:snapToGrid w:val="0"/>
                    <w:jc w:val="center"/>
                    <w:rPr>
                      <w:szCs w:val="21"/>
                    </w:rPr>
                  </w:pPr>
                </w:p>
              </w:tc>
              <w:tc>
                <w:tcPr>
                  <w:tcW w:w="1898" w:type="pct"/>
                  <w:tcBorders>
                    <w:tl2br w:val="nil"/>
                    <w:tr2bl w:val="nil"/>
                  </w:tcBorders>
                  <w:vAlign w:val="center"/>
                </w:tcPr>
                <w:p>
                  <w:pPr>
                    <w:adjustRightInd w:val="0"/>
                    <w:snapToGrid w:val="0"/>
                    <w:jc w:val="center"/>
                    <w:rPr>
                      <w:szCs w:val="21"/>
                    </w:rPr>
                  </w:pPr>
                  <w:r>
                    <w:rPr>
                      <w:rFonts w:hint="eastAsia"/>
                      <w:szCs w:val="21"/>
                    </w:rPr>
                    <w:t>监控点</w:t>
                  </w:r>
                </w:p>
              </w:tc>
              <w:tc>
                <w:tcPr>
                  <w:tcW w:w="1619" w:type="pct"/>
                  <w:tcBorders>
                    <w:tl2br w:val="nil"/>
                    <w:tr2bl w:val="nil"/>
                  </w:tcBorders>
                  <w:vAlign w:val="center"/>
                </w:tcPr>
                <w:p>
                  <w:pPr>
                    <w:adjustRightInd w:val="0"/>
                    <w:snapToGrid w:val="0"/>
                    <w:jc w:val="center"/>
                    <w:rPr>
                      <w:szCs w:val="21"/>
                    </w:rPr>
                  </w:pPr>
                  <w:r>
                    <w:rPr>
                      <w:rFonts w:hint="eastAsia"/>
                      <w:szCs w:val="21"/>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5" w:type="pct"/>
                  <w:tcBorders>
                    <w:tl2br w:val="nil"/>
                    <w:tr2bl w:val="nil"/>
                  </w:tcBorders>
                  <w:vAlign w:val="center"/>
                </w:tcPr>
                <w:p>
                  <w:pPr>
                    <w:adjustRightInd w:val="0"/>
                    <w:snapToGrid w:val="0"/>
                    <w:jc w:val="center"/>
                    <w:rPr>
                      <w:szCs w:val="21"/>
                    </w:rPr>
                  </w:pPr>
                  <w:r>
                    <w:rPr>
                      <w:rFonts w:hint="eastAsia"/>
                      <w:szCs w:val="21"/>
                    </w:rPr>
                    <w:t>1</w:t>
                  </w:r>
                </w:p>
              </w:tc>
              <w:tc>
                <w:tcPr>
                  <w:tcW w:w="845" w:type="pct"/>
                  <w:tcBorders>
                    <w:tl2br w:val="nil"/>
                    <w:tr2bl w:val="nil"/>
                  </w:tcBorders>
                  <w:vAlign w:val="center"/>
                </w:tcPr>
                <w:p>
                  <w:pPr>
                    <w:adjustRightInd w:val="0"/>
                    <w:snapToGrid w:val="0"/>
                    <w:jc w:val="center"/>
                    <w:rPr>
                      <w:szCs w:val="21"/>
                    </w:rPr>
                  </w:pPr>
                  <w:r>
                    <w:rPr>
                      <w:rFonts w:hint="eastAsia"/>
                      <w:szCs w:val="21"/>
                    </w:rPr>
                    <w:t>颗粒物</w:t>
                  </w:r>
                </w:p>
              </w:tc>
              <w:tc>
                <w:tcPr>
                  <w:tcW w:w="1898" w:type="pct"/>
                  <w:tcBorders>
                    <w:tl2br w:val="nil"/>
                    <w:tr2bl w:val="nil"/>
                  </w:tcBorders>
                  <w:vAlign w:val="center"/>
                </w:tcPr>
                <w:p>
                  <w:pPr>
                    <w:adjustRightInd w:val="0"/>
                    <w:snapToGrid w:val="0"/>
                    <w:jc w:val="center"/>
                    <w:rPr>
                      <w:szCs w:val="21"/>
                    </w:rPr>
                  </w:pPr>
                  <w:r>
                    <w:rPr>
                      <w:rFonts w:hint="eastAsia"/>
                      <w:szCs w:val="21"/>
                    </w:rPr>
                    <w:t>周界外浓度最高点</w:t>
                  </w:r>
                </w:p>
              </w:tc>
              <w:tc>
                <w:tcPr>
                  <w:tcW w:w="1619" w:type="pct"/>
                  <w:tcBorders>
                    <w:tl2br w:val="nil"/>
                    <w:tr2bl w:val="nil"/>
                  </w:tcBorders>
                  <w:vAlign w:val="center"/>
                </w:tcPr>
                <w:p>
                  <w:pPr>
                    <w:adjustRightInd w:val="0"/>
                    <w:snapToGrid w:val="0"/>
                    <w:jc w:val="center"/>
                    <w:rPr>
                      <w:szCs w:val="21"/>
                    </w:rPr>
                  </w:pPr>
                  <w:r>
                    <w:rPr>
                      <w:rFonts w:hint="eastAsia"/>
                      <w:szCs w:val="21"/>
                    </w:rPr>
                    <w:t>1.0</w:t>
                  </w:r>
                </w:p>
              </w:tc>
            </w:tr>
          </w:tbl>
          <w:p>
            <w:pPr>
              <w:adjustRightInd w:val="0"/>
              <w:snapToGrid w:val="0"/>
              <w:spacing w:before="120" w:beforeLines="50" w:line="360" w:lineRule="auto"/>
              <w:ind w:firstLine="482" w:firstLineChars="200"/>
              <w:rPr>
                <w:sz w:val="24"/>
              </w:rPr>
            </w:pPr>
            <w:r>
              <w:rPr>
                <w:rFonts w:hint="eastAsia"/>
                <w:b/>
                <w:bCs/>
                <w:sz w:val="24"/>
              </w:rPr>
              <w:t>（2）</w:t>
            </w:r>
            <w:r>
              <w:rPr>
                <w:b/>
                <w:bCs/>
                <w:sz w:val="24"/>
              </w:rPr>
              <w:t>声环境</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98" w:name="_Toc9356"/>
            <w:r>
              <w:rPr>
                <w:rFonts w:ascii="Times New Roman" w:hAnsi="Times New Roman" w:cs="Times New Roman"/>
                <w:b w:val="0"/>
                <w:bCs w:val="0"/>
                <w:sz w:val="24"/>
                <w:szCs w:val="24"/>
                <w:lang w:eastAsia="zh-CN"/>
              </w:rPr>
              <w:t>本项目施工期噪声执行《建筑施工场界环境噪声排放标准》 （GB12523-2011）标准限值要求。</w:t>
            </w:r>
            <w:bookmarkEnd w:id="98"/>
          </w:p>
          <w:p>
            <w:pPr>
              <w:pStyle w:val="49"/>
              <w:adjustRightInd w:val="0"/>
              <w:snapToGrid w:val="0"/>
              <w:spacing w:before="120" w:beforeLines="50" w:line="360" w:lineRule="auto"/>
              <w:ind w:left="0" w:firstLine="0" w:firstLineChars="0"/>
              <w:jc w:val="center"/>
              <w:rPr>
                <w:rFonts w:ascii="Times New Roman" w:hAnsi="Times New Roman" w:eastAsia="宋体"/>
                <w:b/>
                <w:bCs/>
              </w:rPr>
            </w:pPr>
            <w:r>
              <w:rPr>
                <w:rFonts w:ascii="Times New Roman" w:hAnsi="Times New Roman" w:eastAsia="宋体"/>
                <w:b/>
                <w:bCs/>
              </w:rPr>
              <w:t>表3-</w:t>
            </w:r>
            <w:r>
              <w:rPr>
                <w:rFonts w:hint="eastAsia" w:ascii="Times New Roman" w:hAnsi="Times New Roman" w:eastAsia="宋体"/>
                <w:b/>
                <w:bCs/>
              </w:rPr>
              <w:t>8</w:t>
            </w:r>
            <w:r>
              <w:rPr>
                <w:rFonts w:ascii="Times New Roman" w:hAnsi="Times New Roman" w:eastAsia="宋体"/>
                <w:b/>
                <w:bCs/>
              </w:rPr>
              <w:t xml:space="preserve">  </w:t>
            </w:r>
            <w:r>
              <w:rPr>
                <w:rFonts w:hint="eastAsia" w:ascii="Times New Roman" w:hAnsi="Times New Roman" w:eastAsia="宋体"/>
                <w:b/>
                <w:bCs/>
              </w:rPr>
              <w:t xml:space="preserve">   </w:t>
            </w:r>
            <w:r>
              <w:rPr>
                <w:rFonts w:ascii="Times New Roman" w:hAnsi="Times New Roman" w:eastAsia="宋体"/>
                <w:b/>
                <w:bCs/>
              </w:rPr>
              <w:t>建筑施工场界噪声限值</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7"/>
              <w:gridCol w:w="4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00" w:type="pct"/>
                  <w:gridSpan w:val="2"/>
                  <w:tcBorders>
                    <w:tl2br w:val="nil"/>
                    <w:tr2bl w:val="nil"/>
                  </w:tcBorders>
                  <w:vAlign w:val="center"/>
                </w:tcPr>
                <w:p>
                  <w:pPr>
                    <w:pStyle w:val="46"/>
                    <w:spacing w:before="24" w:after="24"/>
                    <w:rPr>
                      <w:rFonts w:ascii="Times New Roman"/>
                      <w:sz w:val="21"/>
                    </w:rPr>
                  </w:pPr>
                  <w:r>
                    <w:rPr>
                      <w:rFonts w:ascii="Times New Roman"/>
                      <w:sz w:val="21"/>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528" w:type="pct"/>
                  <w:tcBorders>
                    <w:tl2br w:val="nil"/>
                    <w:tr2bl w:val="nil"/>
                  </w:tcBorders>
                  <w:vAlign w:val="center"/>
                </w:tcPr>
                <w:p>
                  <w:pPr>
                    <w:pStyle w:val="46"/>
                    <w:spacing w:before="24" w:after="24"/>
                    <w:rPr>
                      <w:rFonts w:ascii="Times New Roman"/>
                      <w:sz w:val="21"/>
                    </w:rPr>
                  </w:pPr>
                  <w:r>
                    <w:rPr>
                      <w:rFonts w:ascii="Times New Roman"/>
                      <w:sz w:val="21"/>
                    </w:rPr>
                    <w:t>昼间</w:t>
                  </w:r>
                </w:p>
              </w:tc>
              <w:tc>
                <w:tcPr>
                  <w:tcW w:w="2472" w:type="pct"/>
                  <w:tcBorders>
                    <w:tl2br w:val="nil"/>
                    <w:tr2bl w:val="nil"/>
                  </w:tcBorders>
                  <w:vAlign w:val="center"/>
                </w:tcPr>
                <w:p>
                  <w:pPr>
                    <w:pStyle w:val="46"/>
                    <w:spacing w:before="24" w:after="24"/>
                    <w:rPr>
                      <w:rFonts w:ascii="Times New Roman"/>
                      <w:sz w:val="21"/>
                    </w:rPr>
                  </w:pPr>
                  <w:r>
                    <w:rPr>
                      <w:rFonts w:ascii="Times New Roman"/>
                      <w:sz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528" w:type="pct"/>
                  <w:tcBorders>
                    <w:tl2br w:val="nil"/>
                    <w:tr2bl w:val="nil"/>
                  </w:tcBorders>
                  <w:vAlign w:val="center"/>
                </w:tcPr>
                <w:p>
                  <w:pPr>
                    <w:pStyle w:val="46"/>
                    <w:spacing w:before="24" w:after="24"/>
                    <w:rPr>
                      <w:rFonts w:ascii="Times New Roman"/>
                      <w:sz w:val="21"/>
                    </w:rPr>
                  </w:pPr>
                  <w:r>
                    <w:rPr>
                      <w:rFonts w:ascii="Times New Roman"/>
                      <w:sz w:val="21"/>
                    </w:rPr>
                    <w:t>70</w:t>
                  </w:r>
                </w:p>
              </w:tc>
              <w:tc>
                <w:tcPr>
                  <w:tcW w:w="2472" w:type="pct"/>
                  <w:tcBorders>
                    <w:tl2br w:val="nil"/>
                    <w:tr2bl w:val="nil"/>
                  </w:tcBorders>
                  <w:vAlign w:val="center"/>
                </w:tcPr>
                <w:p>
                  <w:pPr>
                    <w:pStyle w:val="46"/>
                    <w:spacing w:before="24" w:after="24"/>
                    <w:rPr>
                      <w:rFonts w:ascii="Times New Roman"/>
                      <w:sz w:val="21"/>
                    </w:rPr>
                  </w:pPr>
                  <w:r>
                    <w:rPr>
                      <w:rFonts w:ascii="Times New Roman"/>
                      <w:sz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00" w:type="pct"/>
                  <w:gridSpan w:val="2"/>
                  <w:tcBorders>
                    <w:tl2br w:val="nil"/>
                    <w:tr2bl w:val="nil"/>
                  </w:tcBorders>
                  <w:vAlign w:val="center"/>
                </w:tcPr>
                <w:p>
                  <w:pPr>
                    <w:pStyle w:val="58"/>
                    <w:rPr>
                      <w:color w:val="auto"/>
                      <w:szCs w:val="21"/>
                    </w:rPr>
                  </w:pPr>
                  <w:r>
                    <w:rPr>
                      <w:color w:val="auto"/>
                      <w:szCs w:val="21"/>
                    </w:rPr>
                    <w:t>备注：夜间噪声最大声级超过限值的幅度不得高于15dB(A)</w:t>
                  </w:r>
                </w:p>
              </w:tc>
            </w:tr>
          </w:tbl>
          <w:p>
            <w:pPr>
              <w:pStyle w:val="21"/>
              <w:adjustRightInd w:val="0"/>
              <w:snapToGrid w:val="0"/>
              <w:spacing w:before="120" w:beforeLines="50" w:after="0" w:line="360" w:lineRule="auto"/>
              <w:ind w:firstLine="480" w:firstLineChars="200"/>
              <w:jc w:val="both"/>
              <w:outlineLvl w:val="9"/>
              <w:rPr>
                <w:rFonts w:ascii="Times New Roman" w:hAnsi="Times New Roman" w:cs="Times New Roman"/>
                <w:b w:val="0"/>
                <w:bCs w:val="0"/>
                <w:color w:val="FF0000"/>
                <w:sz w:val="24"/>
                <w:szCs w:val="24"/>
                <w:lang w:eastAsia="zh-CN"/>
              </w:rPr>
            </w:pPr>
            <w:bookmarkStart w:id="99" w:name="_Toc31353"/>
            <w:r>
              <w:rPr>
                <w:rFonts w:hint="eastAsia" w:ascii="Times New Roman" w:hAnsi="Times New Roman" w:cs="Times New Roman"/>
                <w:b w:val="0"/>
                <w:bCs w:val="0"/>
                <w:color w:val="FF0000"/>
                <w:sz w:val="24"/>
                <w:szCs w:val="24"/>
                <w:lang w:eastAsia="zh-CN"/>
              </w:rPr>
              <w:t>储能电</w:t>
            </w:r>
            <w:r>
              <w:rPr>
                <w:rFonts w:ascii="Times New Roman" w:hAnsi="Times New Roman" w:cs="Times New Roman"/>
                <w:b w:val="0"/>
                <w:bCs w:val="0"/>
                <w:color w:val="FF0000"/>
                <w:sz w:val="24"/>
                <w:szCs w:val="24"/>
                <w:lang w:eastAsia="zh-CN"/>
              </w:rPr>
              <w:t>站</w:t>
            </w:r>
            <w:r>
              <w:rPr>
                <w:rFonts w:hint="eastAsia" w:ascii="Times New Roman" w:hAnsi="Times New Roman" w:cs="Times New Roman"/>
                <w:b w:val="0"/>
                <w:bCs w:val="0"/>
                <w:color w:val="FF0000"/>
                <w:sz w:val="24"/>
                <w:szCs w:val="24"/>
                <w:lang w:eastAsia="zh-CN"/>
              </w:rPr>
              <w:t>厂界及</w:t>
            </w:r>
            <w:r>
              <w:rPr>
                <w:rFonts w:ascii="Times New Roman" w:hAnsi="Times New Roman" w:cs="Times New Roman"/>
                <w:b w:val="0"/>
                <w:bCs w:val="0"/>
                <w:color w:val="FF0000"/>
                <w:spacing w:val="-3"/>
                <w:position w:val="1"/>
                <w:sz w:val="24"/>
                <w:szCs w:val="24"/>
                <w:lang w:eastAsia="zh-CN"/>
              </w:rPr>
              <w:t>顺化330kV变电站扩建间隔</w:t>
            </w:r>
            <w:r>
              <w:rPr>
                <w:rFonts w:ascii="Times New Roman" w:hAnsi="Times New Roman" w:cs="Times New Roman"/>
                <w:b w:val="0"/>
                <w:bCs w:val="0"/>
                <w:color w:val="FF0000"/>
                <w:sz w:val="24"/>
                <w:szCs w:val="24"/>
                <w:lang w:eastAsia="zh-CN"/>
              </w:rPr>
              <w:t>运营期噪声执行《工业企业厂界环境噪声排放标准》（GB12348-2008）</w:t>
            </w:r>
            <w:r>
              <w:rPr>
                <w:rFonts w:hint="eastAsia" w:ascii="Times New Roman" w:hAnsi="Times New Roman" w:cs="Times New Roman"/>
                <w:b w:val="0"/>
                <w:bCs w:val="0"/>
                <w:color w:val="FF0000"/>
                <w:sz w:val="24"/>
                <w:szCs w:val="24"/>
                <w:lang w:eastAsia="zh-CN"/>
              </w:rPr>
              <w:t>2</w:t>
            </w:r>
            <w:r>
              <w:rPr>
                <w:rFonts w:ascii="Times New Roman" w:hAnsi="Times New Roman" w:cs="Times New Roman"/>
                <w:b w:val="0"/>
                <w:bCs w:val="0"/>
                <w:color w:val="FF0000"/>
                <w:sz w:val="24"/>
                <w:szCs w:val="24"/>
                <w:lang w:eastAsia="zh-CN"/>
              </w:rPr>
              <w:t>类标准。</w:t>
            </w:r>
            <w:bookmarkEnd w:id="99"/>
          </w:p>
          <w:p>
            <w:pPr>
              <w:pStyle w:val="49"/>
              <w:adjustRightInd w:val="0"/>
              <w:snapToGrid w:val="0"/>
              <w:spacing w:before="120" w:beforeLines="50" w:line="360" w:lineRule="auto"/>
              <w:ind w:left="0" w:firstLine="0" w:firstLineChars="0"/>
              <w:jc w:val="center"/>
              <w:rPr>
                <w:rFonts w:ascii="Times New Roman" w:hAnsi="Times New Roman" w:eastAsia="宋体"/>
                <w:b/>
                <w:bCs/>
                <w:color w:val="FF0000"/>
              </w:rPr>
            </w:pPr>
            <w:r>
              <w:rPr>
                <w:rFonts w:ascii="Times New Roman" w:hAnsi="Times New Roman" w:eastAsia="宋体"/>
                <w:b/>
                <w:bCs/>
                <w:color w:val="FF0000"/>
              </w:rPr>
              <w:t>表3-</w:t>
            </w:r>
            <w:r>
              <w:rPr>
                <w:rFonts w:hint="eastAsia" w:ascii="Times New Roman" w:hAnsi="Times New Roman" w:eastAsia="宋体"/>
                <w:b/>
                <w:bCs/>
                <w:color w:val="FF0000"/>
              </w:rPr>
              <w:t>9</w:t>
            </w:r>
            <w:r>
              <w:rPr>
                <w:rFonts w:ascii="Times New Roman" w:hAnsi="Times New Roman" w:eastAsia="宋体"/>
                <w:b/>
                <w:bCs/>
                <w:color w:val="FF0000"/>
              </w:rPr>
              <w:t xml:space="preserve">  </w:t>
            </w:r>
            <w:r>
              <w:rPr>
                <w:rFonts w:hint="eastAsia" w:ascii="Times New Roman" w:hAnsi="Times New Roman" w:eastAsia="宋体"/>
                <w:b/>
                <w:bCs/>
                <w:color w:val="FF0000"/>
              </w:rPr>
              <w:t xml:space="preserve">   工业企业厂界环境噪声标准（摘录）</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3350"/>
              <w:gridCol w:w="3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38"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类别</w:t>
                  </w:r>
                </w:p>
              </w:tc>
              <w:tc>
                <w:tcPr>
                  <w:tcW w:w="3961" w:type="pct"/>
                  <w:gridSpan w:val="2"/>
                  <w:tcBorders>
                    <w:tl2br w:val="nil"/>
                    <w:tr2bl w:val="nil"/>
                  </w:tcBorders>
                  <w:vAlign w:val="center"/>
                </w:tcPr>
                <w:p>
                  <w:pPr>
                    <w:pStyle w:val="46"/>
                    <w:spacing w:before="24" w:after="24"/>
                    <w:rPr>
                      <w:rFonts w:ascii="Times New Roman"/>
                      <w:color w:val="FF0000"/>
                      <w:sz w:val="21"/>
                    </w:rPr>
                  </w:pPr>
                  <w:r>
                    <w:rPr>
                      <w:rFonts w:ascii="Times New Roman"/>
                      <w:color w:val="FF0000"/>
                      <w:sz w:val="21"/>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38" w:type="pct"/>
                  <w:vMerge w:val="restar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2类</w:t>
                  </w:r>
                </w:p>
              </w:tc>
              <w:tc>
                <w:tcPr>
                  <w:tcW w:w="1990" w:type="pct"/>
                  <w:tcBorders>
                    <w:tl2br w:val="nil"/>
                    <w:tr2bl w:val="nil"/>
                  </w:tcBorders>
                  <w:vAlign w:val="center"/>
                </w:tcPr>
                <w:p>
                  <w:pPr>
                    <w:pStyle w:val="46"/>
                    <w:spacing w:before="24" w:after="24"/>
                    <w:rPr>
                      <w:rFonts w:ascii="Times New Roman"/>
                      <w:color w:val="FF0000"/>
                      <w:sz w:val="21"/>
                    </w:rPr>
                  </w:pPr>
                  <w:r>
                    <w:rPr>
                      <w:rFonts w:ascii="Times New Roman"/>
                      <w:color w:val="FF0000"/>
                      <w:sz w:val="21"/>
                    </w:rPr>
                    <w:t>昼间</w:t>
                  </w:r>
                </w:p>
              </w:tc>
              <w:tc>
                <w:tcPr>
                  <w:tcW w:w="1971" w:type="pct"/>
                  <w:tcBorders>
                    <w:tl2br w:val="nil"/>
                    <w:tr2bl w:val="nil"/>
                  </w:tcBorders>
                  <w:vAlign w:val="center"/>
                </w:tcPr>
                <w:p>
                  <w:pPr>
                    <w:pStyle w:val="46"/>
                    <w:spacing w:before="24" w:after="24"/>
                    <w:rPr>
                      <w:rFonts w:ascii="Times New Roman"/>
                      <w:color w:val="FF0000"/>
                      <w:sz w:val="21"/>
                    </w:rPr>
                  </w:pPr>
                  <w:r>
                    <w:rPr>
                      <w:rFonts w:ascii="Times New Roman"/>
                      <w:color w:val="FF0000"/>
                      <w:sz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38" w:type="pct"/>
                  <w:vMerge w:val="continue"/>
                  <w:tcBorders>
                    <w:tl2br w:val="nil"/>
                    <w:tr2bl w:val="nil"/>
                  </w:tcBorders>
                  <w:vAlign w:val="center"/>
                </w:tcPr>
                <w:p>
                  <w:pPr>
                    <w:pStyle w:val="46"/>
                    <w:spacing w:before="24" w:after="24"/>
                    <w:rPr>
                      <w:rFonts w:ascii="Times New Roman"/>
                      <w:color w:val="FF0000"/>
                      <w:sz w:val="21"/>
                    </w:rPr>
                  </w:pPr>
                </w:p>
              </w:tc>
              <w:tc>
                <w:tcPr>
                  <w:tcW w:w="1990"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60</w:t>
                  </w:r>
                </w:p>
              </w:tc>
              <w:tc>
                <w:tcPr>
                  <w:tcW w:w="1971" w:type="pct"/>
                  <w:tcBorders>
                    <w:tl2br w:val="nil"/>
                    <w:tr2bl w:val="nil"/>
                  </w:tcBorders>
                  <w:vAlign w:val="center"/>
                </w:tcPr>
                <w:p>
                  <w:pPr>
                    <w:pStyle w:val="46"/>
                    <w:spacing w:before="24" w:after="24"/>
                    <w:rPr>
                      <w:rFonts w:ascii="Times New Roman"/>
                      <w:color w:val="FF0000"/>
                      <w:sz w:val="21"/>
                    </w:rPr>
                  </w:pPr>
                  <w:r>
                    <w:rPr>
                      <w:rFonts w:hint="eastAsia" w:ascii="Times New Roman"/>
                      <w:color w:val="FF0000"/>
                      <w:sz w:val="21"/>
                    </w:rPr>
                    <w:t>50</w:t>
                  </w:r>
                </w:p>
              </w:tc>
            </w:tr>
          </w:tbl>
          <w:p>
            <w:pPr>
              <w:adjustRightInd w:val="0"/>
              <w:snapToGrid w:val="0"/>
              <w:spacing w:before="120" w:beforeLines="50" w:line="360" w:lineRule="auto"/>
              <w:ind w:firstLine="482" w:firstLineChars="200"/>
              <w:rPr>
                <w:b/>
                <w:bCs/>
                <w:kern w:val="0"/>
                <w:sz w:val="24"/>
              </w:rPr>
            </w:pPr>
            <w:r>
              <w:rPr>
                <w:b/>
                <w:bCs/>
                <w:sz w:val="24"/>
              </w:rPr>
              <w:t>（</w:t>
            </w:r>
            <w:r>
              <w:rPr>
                <w:rFonts w:hint="eastAsia"/>
                <w:b/>
                <w:bCs/>
                <w:sz w:val="24"/>
              </w:rPr>
              <w:t>3</w:t>
            </w:r>
            <w:r>
              <w:rPr>
                <w:b/>
                <w:bCs/>
                <w:sz w:val="24"/>
              </w:rPr>
              <w:t>）</w:t>
            </w:r>
            <w:r>
              <w:rPr>
                <w:rFonts w:hint="eastAsia"/>
                <w:b/>
                <w:bCs/>
                <w:kern w:val="0"/>
                <w:sz w:val="24"/>
              </w:rPr>
              <w:t>水环境</w:t>
            </w:r>
          </w:p>
          <w:p>
            <w:pPr>
              <w:adjustRightInd w:val="0"/>
              <w:snapToGrid w:val="0"/>
              <w:spacing w:line="360" w:lineRule="auto"/>
              <w:ind w:firstLine="480" w:firstLineChars="200"/>
              <w:rPr>
                <w:color w:val="FF0000"/>
                <w:kern w:val="0"/>
                <w:sz w:val="24"/>
              </w:rPr>
            </w:pPr>
            <w:r>
              <w:rPr>
                <w:rFonts w:hint="eastAsia"/>
                <w:color w:val="FF0000"/>
                <w:sz w:val="24"/>
              </w:rPr>
              <w:t>项目运营期</w:t>
            </w:r>
            <w:r>
              <w:rPr>
                <w:color w:val="FF0000"/>
                <w:sz w:val="24"/>
              </w:rPr>
              <w:t>生活污水经</w:t>
            </w:r>
            <w:r>
              <w:rPr>
                <w:rFonts w:hint="eastAsia"/>
                <w:color w:val="FF0000"/>
                <w:sz w:val="24"/>
              </w:rPr>
              <w:t>污水管道收集</w:t>
            </w:r>
            <w:r>
              <w:rPr>
                <w:color w:val="FF0000"/>
                <w:sz w:val="24"/>
              </w:rPr>
              <w:t>后</w:t>
            </w:r>
            <w:r>
              <w:rPr>
                <w:rFonts w:hint="eastAsia"/>
                <w:color w:val="FF0000"/>
                <w:sz w:val="24"/>
              </w:rPr>
              <w:t>排至化粪池，项目距离民乐生态工业园区较近，因此采用吸污车将化粪池污水清运至民乐生态工业园区第一污水处理厂处理。</w:t>
            </w:r>
            <w:r>
              <w:rPr>
                <w:color w:val="FF0000"/>
                <w:kern w:val="0"/>
                <w:sz w:val="24"/>
              </w:rPr>
              <w:t>生活污水执行《污水排入城镇下水道水质标准》（GB/T31962-2015）</w:t>
            </w:r>
            <w:r>
              <w:rPr>
                <w:rFonts w:hint="eastAsia"/>
                <w:color w:val="FF0000"/>
                <w:kern w:val="0"/>
                <w:sz w:val="24"/>
              </w:rPr>
              <w:t>A</w:t>
            </w:r>
            <w:r>
              <w:rPr>
                <w:color w:val="FF0000"/>
                <w:kern w:val="0"/>
                <w:sz w:val="24"/>
              </w:rPr>
              <w:t>级标准。</w:t>
            </w:r>
          </w:p>
          <w:p>
            <w:pPr>
              <w:adjustRightInd w:val="0"/>
              <w:snapToGrid w:val="0"/>
              <w:spacing w:before="120" w:beforeLines="50" w:line="360" w:lineRule="auto"/>
              <w:jc w:val="center"/>
              <w:rPr>
                <w:color w:val="FF0000"/>
              </w:rPr>
            </w:pPr>
            <w:r>
              <w:rPr>
                <w:b/>
                <w:bCs/>
                <w:color w:val="FF0000"/>
                <w:sz w:val="24"/>
              </w:rPr>
              <w:t>表3-</w:t>
            </w:r>
            <w:r>
              <w:rPr>
                <w:rFonts w:hint="eastAsia"/>
                <w:b/>
                <w:bCs/>
                <w:color w:val="FF0000"/>
                <w:sz w:val="24"/>
              </w:rPr>
              <w:t>10</w:t>
            </w:r>
            <w:r>
              <w:rPr>
                <w:b/>
                <w:bCs/>
                <w:color w:val="FF0000"/>
                <w:sz w:val="24"/>
              </w:rPr>
              <w:t xml:space="preserve">     污水排入城镇下水道水质标准（摘录）</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1148"/>
              <w:gridCol w:w="1217"/>
              <w:gridCol w:w="1217"/>
              <w:gridCol w:w="1515"/>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44" w:type="pct"/>
                  <w:vAlign w:val="center"/>
                </w:tcPr>
                <w:p>
                  <w:pPr>
                    <w:adjustRightInd w:val="0"/>
                    <w:snapToGrid w:val="0"/>
                    <w:jc w:val="center"/>
                    <w:rPr>
                      <w:color w:val="FF0000"/>
                      <w:szCs w:val="21"/>
                    </w:rPr>
                  </w:pPr>
                  <w:r>
                    <w:rPr>
                      <w:color w:val="FF0000"/>
                      <w:szCs w:val="21"/>
                    </w:rPr>
                    <w:t>项目</w:t>
                  </w:r>
                </w:p>
              </w:tc>
              <w:tc>
                <w:tcPr>
                  <w:tcW w:w="682" w:type="pct"/>
                  <w:vAlign w:val="center"/>
                </w:tcPr>
                <w:p>
                  <w:pPr>
                    <w:adjustRightInd w:val="0"/>
                    <w:snapToGrid w:val="0"/>
                    <w:jc w:val="center"/>
                    <w:rPr>
                      <w:color w:val="FF0000"/>
                      <w:szCs w:val="21"/>
                    </w:rPr>
                  </w:pPr>
                  <w:r>
                    <w:rPr>
                      <w:color w:val="FF0000"/>
                      <w:szCs w:val="21"/>
                    </w:rPr>
                    <w:t>pH</w:t>
                  </w:r>
                </w:p>
              </w:tc>
              <w:tc>
                <w:tcPr>
                  <w:tcW w:w="723" w:type="pct"/>
                  <w:vAlign w:val="center"/>
                </w:tcPr>
                <w:p>
                  <w:pPr>
                    <w:adjustRightInd w:val="0"/>
                    <w:snapToGrid w:val="0"/>
                    <w:jc w:val="center"/>
                    <w:rPr>
                      <w:color w:val="FF0000"/>
                      <w:szCs w:val="21"/>
                    </w:rPr>
                  </w:pPr>
                  <w:r>
                    <w:rPr>
                      <w:color w:val="FF0000"/>
                      <w:szCs w:val="21"/>
                    </w:rPr>
                    <w:t>COD</w:t>
                  </w:r>
                </w:p>
              </w:tc>
              <w:tc>
                <w:tcPr>
                  <w:tcW w:w="723" w:type="pct"/>
                  <w:vAlign w:val="center"/>
                </w:tcPr>
                <w:p>
                  <w:pPr>
                    <w:adjustRightInd w:val="0"/>
                    <w:snapToGrid w:val="0"/>
                    <w:jc w:val="center"/>
                    <w:rPr>
                      <w:color w:val="FF0000"/>
                      <w:szCs w:val="21"/>
                    </w:rPr>
                  </w:pPr>
                  <w:r>
                    <w:rPr>
                      <w:color w:val="FF0000"/>
                      <w:szCs w:val="21"/>
                    </w:rPr>
                    <w:t>BOD</w:t>
                  </w:r>
                  <w:r>
                    <w:rPr>
                      <w:color w:val="FF0000"/>
                      <w:szCs w:val="21"/>
                      <w:vertAlign w:val="subscript"/>
                    </w:rPr>
                    <w:t>5</w:t>
                  </w:r>
                </w:p>
              </w:tc>
              <w:tc>
                <w:tcPr>
                  <w:tcW w:w="899" w:type="pct"/>
                  <w:vAlign w:val="center"/>
                </w:tcPr>
                <w:p>
                  <w:pPr>
                    <w:adjustRightInd w:val="0"/>
                    <w:snapToGrid w:val="0"/>
                    <w:jc w:val="center"/>
                    <w:rPr>
                      <w:color w:val="FF0000"/>
                      <w:szCs w:val="21"/>
                    </w:rPr>
                  </w:pPr>
                  <w:r>
                    <w:rPr>
                      <w:color w:val="FF0000"/>
                      <w:szCs w:val="21"/>
                    </w:rPr>
                    <w:t>NH</w:t>
                  </w:r>
                  <w:r>
                    <w:rPr>
                      <w:color w:val="FF0000"/>
                      <w:szCs w:val="21"/>
                      <w:vertAlign w:val="subscript"/>
                    </w:rPr>
                    <w:t>3</w:t>
                  </w:r>
                  <w:r>
                    <w:rPr>
                      <w:color w:val="FF0000"/>
                      <w:szCs w:val="21"/>
                    </w:rPr>
                    <w:t>-N</w:t>
                  </w:r>
                </w:p>
              </w:tc>
              <w:tc>
                <w:tcPr>
                  <w:tcW w:w="726" w:type="pct"/>
                  <w:vAlign w:val="center"/>
                </w:tcPr>
                <w:p>
                  <w:pPr>
                    <w:adjustRightInd w:val="0"/>
                    <w:snapToGrid w:val="0"/>
                    <w:jc w:val="center"/>
                    <w:rPr>
                      <w:color w:val="FF0000"/>
                      <w:szCs w:val="21"/>
                    </w:rPr>
                  </w:pPr>
                  <w:r>
                    <w:rPr>
                      <w:color w:val="FF0000"/>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44" w:type="pct"/>
                  <w:vAlign w:val="center"/>
                </w:tcPr>
                <w:p>
                  <w:pPr>
                    <w:adjustRightInd w:val="0"/>
                    <w:snapToGrid w:val="0"/>
                    <w:jc w:val="center"/>
                    <w:rPr>
                      <w:color w:val="FF0000"/>
                      <w:szCs w:val="21"/>
                    </w:rPr>
                  </w:pPr>
                  <w:r>
                    <w:rPr>
                      <w:color w:val="FF0000"/>
                      <w:szCs w:val="21"/>
                    </w:rPr>
                    <w:t>标准限值</w:t>
                  </w:r>
                </w:p>
                <w:p>
                  <w:pPr>
                    <w:adjustRightInd w:val="0"/>
                    <w:snapToGrid w:val="0"/>
                    <w:jc w:val="center"/>
                    <w:rPr>
                      <w:color w:val="FF0000"/>
                      <w:szCs w:val="21"/>
                    </w:rPr>
                  </w:pPr>
                  <w:r>
                    <w:rPr>
                      <w:rFonts w:hint="eastAsia"/>
                      <w:color w:val="FF0000"/>
                      <w:szCs w:val="21"/>
                    </w:rPr>
                    <w:t>（mg/m</w:t>
                  </w:r>
                  <w:r>
                    <w:rPr>
                      <w:rFonts w:hint="eastAsia"/>
                      <w:color w:val="FF0000"/>
                      <w:szCs w:val="21"/>
                      <w:vertAlign w:val="superscript"/>
                    </w:rPr>
                    <w:t>3</w:t>
                  </w:r>
                  <w:r>
                    <w:rPr>
                      <w:rFonts w:hint="eastAsia"/>
                      <w:color w:val="FF0000"/>
                      <w:szCs w:val="21"/>
                    </w:rPr>
                    <w:t>，</w:t>
                  </w:r>
                  <w:r>
                    <w:rPr>
                      <w:color w:val="FF0000"/>
                      <w:szCs w:val="21"/>
                    </w:rPr>
                    <w:t>pH</w:t>
                  </w:r>
                  <w:r>
                    <w:rPr>
                      <w:rFonts w:hint="eastAsia"/>
                      <w:color w:val="FF0000"/>
                      <w:szCs w:val="21"/>
                    </w:rPr>
                    <w:t>除外）</w:t>
                  </w:r>
                </w:p>
              </w:tc>
              <w:tc>
                <w:tcPr>
                  <w:tcW w:w="682" w:type="pct"/>
                  <w:vAlign w:val="center"/>
                </w:tcPr>
                <w:p>
                  <w:pPr>
                    <w:adjustRightInd w:val="0"/>
                    <w:snapToGrid w:val="0"/>
                    <w:jc w:val="center"/>
                    <w:rPr>
                      <w:color w:val="FF0000"/>
                      <w:szCs w:val="21"/>
                    </w:rPr>
                  </w:pPr>
                  <w:r>
                    <w:rPr>
                      <w:color w:val="FF0000"/>
                      <w:szCs w:val="21"/>
                    </w:rPr>
                    <w:t>6.5~9.5</w:t>
                  </w:r>
                </w:p>
              </w:tc>
              <w:tc>
                <w:tcPr>
                  <w:tcW w:w="723" w:type="pct"/>
                  <w:vAlign w:val="center"/>
                </w:tcPr>
                <w:p>
                  <w:pPr>
                    <w:adjustRightInd w:val="0"/>
                    <w:snapToGrid w:val="0"/>
                    <w:jc w:val="center"/>
                    <w:rPr>
                      <w:color w:val="FF0000"/>
                      <w:szCs w:val="21"/>
                    </w:rPr>
                  </w:pPr>
                  <w:r>
                    <w:rPr>
                      <w:color w:val="FF0000"/>
                      <w:szCs w:val="21"/>
                    </w:rPr>
                    <w:t>500</w:t>
                  </w:r>
                </w:p>
              </w:tc>
              <w:tc>
                <w:tcPr>
                  <w:tcW w:w="723" w:type="pct"/>
                  <w:vAlign w:val="center"/>
                </w:tcPr>
                <w:p>
                  <w:pPr>
                    <w:adjustRightInd w:val="0"/>
                    <w:snapToGrid w:val="0"/>
                    <w:jc w:val="center"/>
                    <w:rPr>
                      <w:color w:val="FF0000"/>
                      <w:szCs w:val="21"/>
                    </w:rPr>
                  </w:pPr>
                  <w:r>
                    <w:rPr>
                      <w:color w:val="FF0000"/>
                      <w:szCs w:val="21"/>
                    </w:rPr>
                    <w:t>350</w:t>
                  </w:r>
                </w:p>
              </w:tc>
              <w:tc>
                <w:tcPr>
                  <w:tcW w:w="899" w:type="pct"/>
                  <w:vAlign w:val="center"/>
                </w:tcPr>
                <w:p>
                  <w:pPr>
                    <w:adjustRightInd w:val="0"/>
                    <w:snapToGrid w:val="0"/>
                    <w:jc w:val="center"/>
                    <w:rPr>
                      <w:color w:val="FF0000"/>
                      <w:szCs w:val="21"/>
                    </w:rPr>
                  </w:pPr>
                  <w:r>
                    <w:rPr>
                      <w:color w:val="FF0000"/>
                      <w:szCs w:val="21"/>
                    </w:rPr>
                    <w:t>45</w:t>
                  </w:r>
                </w:p>
              </w:tc>
              <w:tc>
                <w:tcPr>
                  <w:tcW w:w="726" w:type="pct"/>
                  <w:vAlign w:val="center"/>
                </w:tcPr>
                <w:p>
                  <w:pPr>
                    <w:adjustRightInd w:val="0"/>
                    <w:snapToGrid w:val="0"/>
                    <w:jc w:val="center"/>
                    <w:rPr>
                      <w:color w:val="FF0000"/>
                      <w:szCs w:val="21"/>
                    </w:rPr>
                  </w:pPr>
                  <w:r>
                    <w:rPr>
                      <w:color w:val="FF0000"/>
                      <w:szCs w:val="21"/>
                    </w:rPr>
                    <w:t>400</w:t>
                  </w:r>
                </w:p>
              </w:tc>
            </w:tr>
          </w:tbl>
          <w:p>
            <w:pPr>
              <w:adjustRightInd w:val="0"/>
              <w:snapToGrid w:val="0"/>
              <w:spacing w:before="120" w:beforeLines="50" w:line="360" w:lineRule="auto"/>
              <w:ind w:firstLine="482" w:firstLineChars="200"/>
              <w:rPr>
                <w:sz w:val="24"/>
              </w:rPr>
            </w:pPr>
            <w:r>
              <w:rPr>
                <w:b/>
                <w:bCs/>
                <w:sz w:val="24"/>
              </w:rPr>
              <w:t>（</w:t>
            </w:r>
            <w:r>
              <w:rPr>
                <w:rFonts w:hint="eastAsia"/>
                <w:b/>
                <w:bCs/>
                <w:sz w:val="24"/>
              </w:rPr>
              <w:t>4</w:t>
            </w:r>
            <w:r>
              <w:rPr>
                <w:b/>
                <w:bCs/>
                <w:sz w:val="24"/>
              </w:rPr>
              <w:t>）固体废物</w:t>
            </w:r>
          </w:p>
          <w:p>
            <w:pPr>
              <w:adjustRightInd w:val="0"/>
              <w:snapToGrid w:val="0"/>
              <w:spacing w:line="360" w:lineRule="auto"/>
              <w:ind w:firstLine="480" w:firstLineChars="200"/>
              <w:rPr>
                <w:sz w:val="24"/>
              </w:rPr>
            </w:pPr>
            <w:r>
              <w:rPr>
                <w:kern w:val="0"/>
                <w:sz w:val="24"/>
              </w:rPr>
              <w:t>一般工业固体废物执行《一般工业固体废物贮存和填埋污染控制标准》（GB18599-2020）</w:t>
            </w:r>
            <w:r>
              <w:rPr>
                <w:rFonts w:hint="eastAsia"/>
                <w:kern w:val="0"/>
                <w:sz w:val="24"/>
              </w:rPr>
              <w:t>；</w:t>
            </w:r>
            <w:r>
              <w:rPr>
                <w:kern w:val="0"/>
                <w:sz w:val="24"/>
              </w:rPr>
              <w:t>危险废物执行《危险废物贮存污染控制标准》（GB18597-2001</w:t>
            </w:r>
            <w:r>
              <w:rPr>
                <w:rFonts w:hint="eastAsia"/>
                <w:kern w:val="0"/>
                <w:sz w:val="24"/>
              </w:rPr>
              <w:t>）</w:t>
            </w:r>
            <w:r>
              <w:rPr>
                <w:kern w:val="0"/>
                <w:sz w:val="24"/>
              </w:rPr>
              <w:t>及</w:t>
            </w:r>
            <w:r>
              <w:rPr>
                <w:rFonts w:hint="eastAsia"/>
                <w:kern w:val="0"/>
                <w:sz w:val="24"/>
              </w:rPr>
              <w:t>其</w:t>
            </w:r>
            <w:r>
              <w:rPr>
                <w:kern w:val="0"/>
                <w:sz w:val="24"/>
              </w:rPr>
              <w:t>修改单的规定。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426" w:type="dxa"/>
            <w:vMerge w:val="continue"/>
            <w:vAlign w:val="center"/>
          </w:tcPr>
          <w:p>
            <w:pPr>
              <w:adjustRightInd w:val="0"/>
              <w:snapToGrid w:val="0"/>
              <w:rPr>
                <w:szCs w:val="21"/>
              </w:rPr>
            </w:pPr>
          </w:p>
        </w:tc>
        <w:tc>
          <w:tcPr>
            <w:tcW w:w="8635" w:type="dxa"/>
            <w:vAlign w:val="center"/>
          </w:tcPr>
          <w:p>
            <w:pPr>
              <w:adjustRightInd w:val="0"/>
              <w:snapToGrid w:val="0"/>
              <w:spacing w:before="120" w:beforeLines="50" w:after="120" w:afterLines="50" w:line="360" w:lineRule="auto"/>
              <w:rPr>
                <w:b/>
                <w:bCs/>
                <w:sz w:val="24"/>
              </w:rPr>
            </w:pPr>
            <w:r>
              <w:rPr>
                <w:rFonts w:hint="eastAsia"/>
                <w:b/>
                <w:bCs/>
                <w:sz w:val="24"/>
              </w:rPr>
              <w:t>3.6</w:t>
            </w:r>
            <w:r>
              <w:rPr>
                <w:b/>
                <w:bCs/>
                <w:sz w:val="24"/>
              </w:rPr>
              <w:t>电磁环境</w:t>
            </w:r>
            <w:r>
              <w:rPr>
                <w:rFonts w:hint="eastAsia"/>
                <w:b/>
                <w:bCs/>
                <w:sz w:val="24"/>
              </w:rPr>
              <w:t>评价标准</w:t>
            </w:r>
          </w:p>
          <w:p>
            <w:pPr>
              <w:pStyle w:val="49"/>
              <w:adjustRightInd w:val="0"/>
              <w:snapToGrid w:val="0"/>
              <w:spacing w:line="360" w:lineRule="auto"/>
              <w:ind w:left="0" w:firstLine="480" w:firstLineChars="200"/>
              <w:jc w:val="both"/>
            </w:pPr>
            <w:r>
              <w:rPr>
                <w:rFonts w:hint="eastAsia" w:ascii="Times New Roman" w:hAnsi="Times New Roman" w:eastAsia="宋体"/>
                <w:szCs w:val="24"/>
              </w:rPr>
              <w:t>本项目</w:t>
            </w:r>
            <w:r>
              <w:rPr>
                <w:rFonts w:ascii="Times New Roman" w:hAnsi="Times New Roman" w:eastAsia="宋体"/>
                <w:szCs w:val="24"/>
              </w:rPr>
              <w:t>电磁环境执行《电磁环境控制限值》（GB8702-2014）公众暴露控制限值。</w:t>
            </w:r>
          </w:p>
          <w:p>
            <w:pPr>
              <w:pStyle w:val="49"/>
              <w:adjustRightInd w:val="0"/>
              <w:snapToGrid w:val="0"/>
              <w:spacing w:before="120" w:beforeLines="50" w:line="360" w:lineRule="auto"/>
              <w:ind w:left="0" w:firstLine="0" w:firstLineChars="0"/>
              <w:jc w:val="center"/>
              <w:rPr>
                <w:rFonts w:ascii="Times New Roman" w:hAnsi="Times New Roman" w:eastAsia="宋体"/>
                <w:b/>
                <w:bCs/>
              </w:rPr>
            </w:pPr>
            <w:r>
              <w:rPr>
                <w:rFonts w:ascii="Times New Roman" w:hAnsi="Times New Roman" w:eastAsia="宋体"/>
                <w:b/>
                <w:bCs/>
              </w:rPr>
              <w:t>表3-</w:t>
            </w:r>
            <w:r>
              <w:rPr>
                <w:rFonts w:hint="eastAsia" w:ascii="Times New Roman" w:hAnsi="Times New Roman" w:eastAsia="宋体"/>
                <w:b/>
                <w:bCs/>
              </w:rPr>
              <w:t>11</w:t>
            </w:r>
            <w:r>
              <w:rPr>
                <w:rFonts w:ascii="Times New Roman" w:hAnsi="Times New Roman" w:eastAsia="宋体"/>
                <w:b/>
                <w:bCs/>
              </w:rPr>
              <w:t xml:space="preserve">  </w:t>
            </w:r>
            <w:r>
              <w:rPr>
                <w:rFonts w:hint="eastAsia" w:ascii="Times New Roman" w:hAnsi="Times New Roman" w:eastAsia="宋体"/>
                <w:b/>
                <w:bCs/>
              </w:rPr>
              <w:t xml:space="preserve">  </w:t>
            </w:r>
            <w:r>
              <w:rPr>
                <w:rFonts w:ascii="Times New Roman" w:hAnsi="Times New Roman" w:eastAsia="宋体"/>
                <w:b/>
                <w:bCs/>
              </w:rPr>
              <w:t>电磁环境评价标准</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52"/>
              <w:gridCol w:w="3774"/>
              <w:gridCol w:w="31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pct"/>
                  <w:tcBorders>
                    <w:tl2br w:val="nil"/>
                    <w:tr2bl w:val="nil"/>
                  </w:tcBorders>
                  <w:vAlign w:val="center"/>
                </w:tcPr>
                <w:p>
                  <w:pPr>
                    <w:pStyle w:val="46"/>
                    <w:spacing w:before="24" w:after="24"/>
                    <w:rPr>
                      <w:rFonts w:ascii="Times New Roman"/>
                      <w:sz w:val="21"/>
                    </w:rPr>
                  </w:pPr>
                  <w:r>
                    <w:rPr>
                      <w:rFonts w:ascii="Times New Roman"/>
                      <w:sz w:val="21"/>
                    </w:rPr>
                    <w:t>名称</w:t>
                  </w:r>
                </w:p>
              </w:tc>
              <w:tc>
                <w:tcPr>
                  <w:tcW w:w="2242" w:type="pct"/>
                  <w:tcBorders>
                    <w:tl2br w:val="nil"/>
                    <w:tr2bl w:val="nil"/>
                  </w:tcBorders>
                  <w:vAlign w:val="center"/>
                </w:tcPr>
                <w:p>
                  <w:pPr>
                    <w:pStyle w:val="46"/>
                    <w:spacing w:before="24" w:after="24"/>
                    <w:rPr>
                      <w:rFonts w:ascii="Times New Roman"/>
                      <w:sz w:val="21"/>
                    </w:rPr>
                  </w:pPr>
                  <w:r>
                    <w:rPr>
                      <w:rFonts w:ascii="Times New Roman"/>
                      <w:sz w:val="21"/>
                    </w:rPr>
                    <w:t>标准限值</w:t>
                  </w:r>
                </w:p>
              </w:tc>
              <w:tc>
                <w:tcPr>
                  <w:tcW w:w="1895" w:type="pct"/>
                  <w:tcBorders>
                    <w:tl2br w:val="nil"/>
                    <w:tr2bl w:val="nil"/>
                  </w:tcBorders>
                  <w:vAlign w:val="center"/>
                </w:tcPr>
                <w:p>
                  <w:pPr>
                    <w:pStyle w:val="46"/>
                    <w:spacing w:before="24" w:after="24"/>
                    <w:rPr>
                      <w:rFonts w:ascii="Times New Roman"/>
                      <w:sz w:val="21"/>
                    </w:rPr>
                  </w:pPr>
                  <w:r>
                    <w:rPr>
                      <w:rFonts w:ascii="Times New Roman"/>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pct"/>
                  <w:tcBorders>
                    <w:tl2br w:val="nil"/>
                    <w:tr2bl w:val="nil"/>
                  </w:tcBorders>
                  <w:vAlign w:val="center"/>
                </w:tcPr>
                <w:p>
                  <w:pPr>
                    <w:pStyle w:val="46"/>
                    <w:spacing w:before="24" w:after="24"/>
                    <w:rPr>
                      <w:rFonts w:ascii="Times New Roman"/>
                      <w:sz w:val="21"/>
                    </w:rPr>
                  </w:pPr>
                  <w:r>
                    <w:rPr>
                      <w:rFonts w:ascii="Times New Roman"/>
                      <w:sz w:val="21"/>
                    </w:rPr>
                    <w:t>工频磁场</w:t>
                  </w:r>
                </w:p>
              </w:tc>
              <w:tc>
                <w:tcPr>
                  <w:tcW w:w="2242" w:type="pct"/>
                  <w:tcBorders>
                    <w:tl2br w:val="nil"/>
                    <w:tr2bl w:val="nil"/>
                  </w:tcBorders>
                  <w:vAlign w:val="center"/>
                </w:tcPr>
                <w:p>
                  <w:pPr>
                    <w:pStyle w:val="46"/>
                    <w:spacing w:before="24" w:after="24"/>
                    <w:rPr>
                      <w:rFonts w:ascii="Times New Roman"/>
                      <w:sz w:val="21"/>
                    </w:rPr>
                  </w:pPr>
                  <w:r>
                    <w:rPr>
                      <w:rFonts w:ascii="Times New Roman"/>
                      <w:sz w:val="21"/>
                    </w:rPr>
                    <w:t>公众曝露控制限值100μT</w:t>
                  </w:r>
                </w:p>
              </w:tc>
              <w:tc>
                <w:tcPr>
                  <w:tcW w:w="1895" w:type="pct"/>
                  <w:vMerge w:val="restart"/>
                  <w:tcBorders>
                    <w:tl2br w:val="nil"/>
                    <w:tr2bl w:val="nil"/>
                  </w:tcBorders>
                  <w:vAlign w:val="center"/>
                </w:tcPr>
                <w:p>
                  <w:pPr>
                    <w:pStyle w:val="46"/>
                    <w:spacing w:before="24" w:after="24"/>
                    <w:rPr>
                      <w:rFonts w:ascii="Times New Roman"/>
                      <w:sz w:val="21"/>
                    </w:rPr>
                  </w:pPr>
                  <w:r>
                    <w:rPr>
                      <w:rFonts w:ascii="Times New Roman"/>
                      <w:sz w:val="21"/>
                    </w:rPr>
                    <w:t>《电磁环境控制限值》</w:t>
                  </w:r>
                </w:p>
                <w:p>
                  <w:pPr>
                    <w:pStyle w:val="46"/>
                    <w:spacing w:before="24" w:after="24"/>
                    <w:rPr>
                      <w:rFonts w:ascii="Times New Roman"/>
                      <w:sz w:val="21"/>
                    </w:rPr>
                  </w:pPr>
                  <w:r>
                    <w:rPr>
                      <w:rFonts w:ascii="Times New Roman"/>
                      <w:sz w:val="21"/>
                    </w:rPr>
                    <w:t>(GB8702-2014)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pct"/>
                  <w:tcBorders>
                    <w:tl2br w:val="nil"/>
                    <w:tr2bl w:val="nil"/>
                  </w:tcBorders>
                  <w:vAlign w:val="center"/>
                </w:tcPr>
                <w:p>
                  <w:pPr>
                    <w:pStyle w:val="46"/>
                    <w:spacing w:before="24" w:after="24"/>
                    <w:rPr>
                      <w:rFonts w:ascii="Times New Roman"/>
                      <w:sz w:val="21"/>
                    </w:rPr>
                  </w:pPr>
                  <w:r>
                    <w:rPr>
                      <w:rFonts w:ascii="Times New Roman"/>
                      <w:sz w:val="21"/>
                    </w:rPr>
                    <w:t>工频电场</w:t>
                  </w:r>
                </w:p>
              </w:tc>
              <w:tc>
                <w:tcPr>
                  <w:tcW w:w="2242" w:type="pct"/>
                  <w:tcBorders>
                    <w:tl2br w:val="nil"/>
                    <w:tr2bl w:val="nil"/>
                  </w:tcBorders>
                  <w:vAlign w:val="center"/>
                </w:tcPr>
                <w:p>
                  <w:pPr>
                    <w:pStyle w:val="46"/>
                    <w:spacing w:before="24" w:after="24"/>
                    <w:rPr>
                      <w:rFonts w:ascii="Times New Roman"/>
                      <w:sz w:val="21"/>
                    </w:rPr>
                  </w:pPr>
                  <w:r>
                    <w:rPr>
                      <w:rFonts w:ascii="Times New Roman"/>
                      <w:sz w:val="21"/>
                    </w:rPr>
                    <w:t>公众曝露控制限值4000V/m</w:t>
                  </w:r>
                </w:p>
              </w:tc>
              <w:tc>
                <w:tcPr>
                  <w:tcW w:w="1895" w:type="pct"/>
                  <w:vMerge w:val="continue"/>
                  <w:tcBorders>
                    <w:tl2br w:val="nil"/>
                    <w:tr2bl w:val="nil"/>
                  </w:tcBorders>
                  <w:vAlign w:val="center"/>
                </w:tcPr>
                <w:p>
                  <w:pPr>
                    <w:pStyle w:val="46"/>
                    <w:spacing w:before="24" w:after="24"/>
                    <w:rPr>
                      <w:rFonts w:ascii="Times New Roman"/>
                      <w:sz w:val="21"/>
                    </w:rPr>
                  </w:pPr>
                </w:p>
              </w:tc>
            </w:tr>
          </w:tbl>
          <w:p>
            <w:pPr>
              <w:adjustRightInd w:val="0"/>
              <w:snapToGrid w:val="0"/>
              <w:spacing w:line="360" w:lineRule="auto"/>
              <w:ind w:firstLine="480" w:firstLineChars="200"/>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26" w:type="dxa"/>
            <w:vAlign w:val="center"/>
          </w:tcPr>
          <w:p>
            <w:pPr>
              <w:adjustRightInd w:val="0"/>
              <w:snapToGrid w:val="0"/>
              <w:spacing w:line="360" w:lineRule="auto"/>
              <w:rPr>
                <w:kern w:val="0"/>
                <w:sz w:val="24"/>
              </w:rPr>
            </w:pPr>
            <w:r>
              <w:rPr>
                <w:rFonts w:hint="eastAsia"/>
                <w:kern w:val="0"/>
                <w:szCs w:val="21"/>
              </w:rPr>
              <w:t>其他</w:t>
            </w:r>
          </w:p>
        </w:tc>
        <w:tc>
          <w:tcPr>
            <w:tcW w:w="8635" w:type="dxa"/>
            <w:vAlign w:val="center"/>
          </w:tcPr>
          <w:p>
            <w:pPr>
              <w:adjustRightInd w:val="0"/>
              <w:snapToGrid w:val="0"/>
              <w:spacing w:before="120" w:beforeLines="50" w:after="120" w:afterLines="50" w:line="360" w:lineRule="auto"/>
              <w:rPr>
                <w:b/>
                <w:bCs/>
                <w:sz w:val="24"/>
              </w:rPr>
            </w:pPr>
            <w:r>
              <w:rPr>
                <w:b/>
                <w:bCs/>
                <w:sz w:val="24"/>
              </w:rPr>
              <w:t>3.7评价工作等级及评价范围</w:t>
            </w:r>
          </w:p>
          <w:p>
            <w:pPr>
              <w:adjustRightInd w:val="0"/>
              <w:snapToGrid w:val="0"/>
              <w:spacing w:before="120" w:beforeLines="50" w:after="120" w:afterLines="50" w:line="360" w:lineRule="auto"/>
              <w:rPr>
                <w:b/>
                <w:bCs/>
                <w:sz w:val="24"/>
              </w:rPr>
            </w:pPr>
            <w:r>
              <w:rPr>
                <w:b/>
                <w:bCs/>
                <w:sz w:val="24"/>
              </w:rPr>
              <w:t>3.7.1评价工作等级</w:t>
            </w:r>
          </w:p>
          <w:p>
            <w:pPr>
              <w:adjustRightInd w:val="0"/>
              <w:snapToGrid w:val="0"/>
              <w:spacing w:line="360" w:lineRule="auto"/>
              <w:ind w:firstLine="480" w:firstLineChars="200"/>
              <w:rPr>
                <w:sz w:val="24"/>
                <w:szCs w:val="22"/>
              </w:rPr>
            </w:pPr>
            <w:r>
              <w:rPr>
                <w:sz w:val="24"/>
                <w:szCs w:val="22"/>
              </w:rPr>
              <w:t>（1）环境空气</w:t>
            </w:r>
          </w:p>
          <w:p>
            <w:pPr>
              <w:adjustRightInd w:val="0"/>
              <w:snapToGrid w:val="0"/>
              <w:spacing w:line="360" w:lineRule="auto"/>
              <w:ind w:firstLine="480" w:firstLineChars="200"/>
              <w:rPr>
                <w:sz w:val="24"/>
                <w:szCs w:val="22"/>
              </w:rPr>
            </w:pPr>
            <w:r>
              <w:rPr>
                <w:sz w:val="24"/>
                <w:szCs w:val="22"/>
              </w:rPr>
              <w:t>项目运营期无废气排放，不设置食堂，因此，未开展大气环境影响评价工作。</w:t>
            </w:r>
          </w:p>
          <w:p>
            <w:pPr>
              <w:adjustRightInd w:val="0"/>
              <w:snapToGrid w:val="0"/>
              <w:spacing w:line="360" w:lineRule="auto"/>
              <w:ind w:firstLine="480" w:firstLineChars="200"/>
              <w:rPr>
                <w:sz w:val="24"/>
                <w:szCs w:val="22"/>
              </w:rPr>
            </w:pPr>
            <w:r>
              <w:rPr>
                <w:sz w:val="24"/>
                <w:szCs w:val="22"/>
              </w:rPr>
              <w:t>（2）水环境</w:t>
            </w:r>
          </w:p>
          <w:p>
            <w:pPr>
              <w:adjustRightInd w:val="0"/>
              <w:snapToGrid w:val="0"/>
              <w:spacing w:line="360" w:lineRule="auto"/>
              <w:ind w:firstLine="480" w:firstLineChars="200"/>
              <w:rPr>
                <w:sz w:val="24"/>
                <w:szCs w:val="22"/>
              </w:rPr>
            </w:pPr>
            <w:r>
              <w:rPr>
                <w:sz w:val="24"/>
                <w:szCs w:val="22"/>
              </w:rPr>
              <w:t>①地表水</w:t>
            </w:r>
          </w:p>
          <w:p>
            <w:pPr>
              <w:adjustRightInd w:val="0"/>
              <w:snapToGrid w:val="0"/>
              <w:spacing w:line="360" w:lineRule="auto"/>
              <w:ind w:firstLine="480" w:firstLineChars="200"/>
              <w:rPr>
                <w:snapToGrid w:val="0"/>
                <w:sz w:val="24"/>
                <w:szCs w:val="22"/>
                <w:highlight w:val="yellow"/>
              </w:rPr>
            </w:pPr>
            <w:r>
              <w:rPr>
                <w:snapToGrid w:val="0"/>
                <w:sz w:val="24"/>
              </w:rPr>
              <w:t>项目废水经化粪池收集预处理，满足</w:t>
            </w:r>
            <w:r>
              <w:rPr>
                <w:kern w:val="0"/>
                <w:sz w:val="24"/>
              </w:rPr>
              <w:t>《污水排入城镇下水道水质标准》（GB/T31962-2015）</w:t>
            </w:r>
            <w:r>
              <w:rPr>
                <w:rFonts w:hint="eastAsia"/>
                <w:kern w:val="0"/>
                <w:sz w:val="24"/>
              </w:rPr>
              <w:t>A</w:t>
            </w:r>
            <w:r>
              <w:rPr>
                <w:kern w:val="0"/>
                <w:sz w:val="24"/>
              </w:rPr>
              <w:t>级标准</w:t>
            </w:r>
            <w:r>
              <w:rPr>
                <w:snapToGrid w:val="0"/>
                <w:sz w:val="24"/>
              </w:rPr>
              <w:t>后，采用吸污车清运至</w:t>
            </w:r>
            <w:r>
              <w:rPr>
                <w:rFonts w:hint="eastAsia"/>
                <w:snapToGrid w:val="0"/>
                <w:sz w:val="24"/>
              </w:rPr>
              <w:t>民乐生态工业园区</w:t>
            </w:r>
            <w:r>
              <w:rPr>
                <w:rFonts w:hint="eastAsia"/>
                <w:sz w:val="24"/>
              </w:rPr>
              <w:t>第一</w:t>
            </w:r>
            <w:r>
              <w:rPr>
                <w:rFonts w:hint="eastAsia"/>
                <w:snapToGrid w:val="0"/>
                <w:sz w:val="24"/>
              </w:rPr>
              <w:t>污水处理厂</w:t>
            </w:r>
            <w:r>
              <w:rPr>
                <w:snapToGrid w:val="0"/>
                <w:sz w:val="24"/>
              </w:rPr>
              <w:t>处理。项目污水属于间接排放，</w:t>
            </w:r>
            <w:r>
              <w:rPr>
                <w:snapToGrid w:val="0"/>
                <w:sz w:val="24"/>
                <w:szCs w:val="22"/>
              </w:rPr>
              <w:t>按照《环境影响评价技术导则 地表水环境》（HJ2.3-2018）评价工作等级判定依据，本项目地表水环境评价等级为三级B。</w:t>
            </w:r>
          </w:p>
          <w:p>
            <w:pPr>
              <w:adjustRightInd w:val="0"/>
              <w:snapToGrid w:val="0"/>
              <w:spacing w:line="360" w:lineRule="auto"/>
              <w:ind w:firstLine="480" w:firstLineChars="200"/>
              <w:rPr>
                <w:sz w:val="24"/>
                <w:szCs w:val="22"/>
              </w:rPr>
            </w:pPr>
            <w:r>
              <w:rPr>
                <w:sz w:val="24"/>
                <w:szCs w:val="22"/>
              </w:rPr>
              <w:t>②地下水</w:t>
            </w:r>
          </w:p>
          <w:p>
            <w:pPr>
              <w:adjustRightInd w:val="0"/>
              <w:snapToGrid w:val="0"/>
              <w:spacing w:line="360" w:lineRule="auto"/>
              <w:ind w:firstLine="480" w:firstLineChars="200"/>
              <w:rPr>
                <w:sz w:val="24"/>
                <w:szCs w:val="22"/>
              </w:rPr>
            </w:pPr>
            <w:r>
              <w:rPr>
                <w:sz w:val="24"/>
                <w:szCs w:val="22"/>
              </w:rPr>
              <w:t>按照《环境影响评价技术导则 地下水环境》（HJ610-2016），项目地下水环境评价等级由项目类别及项目敏感程度确定。根据地下水导则附录A，本项目属于</w:t>
            </w:r>
            <w:r>
              <w:rPr>
                <w:rFonts w:hint="eastAsia" w:ascii="宋体" w:hAnsi="宋体" w:cs="宋体"/>
                <w:sz w:val="24"/>
                <w:szCs w:val="22"/>
              </w:rPr>
              <w:t>“</w:t>
            </w:r>
            <w:r>
              <w:rPr>
                <w:sz w:val="24"/>
                <w:szCs w:val="22"/>
              </w:rPr>
              <w:t>E电力35、送（输）变电工程-报告表--Ⅳ类</w:t>
            </w:r>
            <w:r>
              <w:rPr>
                <w:rFonts w:hint="eastAsia" w:ascii="宋体" w:hAnsi="宋体" w:cs="宋体"/>
                <w:sz w:val="24"/>
                <w:szCs w:val="22"/>
              </w:rPr>
              <w:t>”</w:t>
            </w:r>
            <w:r>
              <w:rPr>
                <w:sz w:val="24"/>
                <w:szCs w:val="22"/>
              </w:rPr>
              <w:t>，因此本项目属于该分类表中的Ⅳ类项目；根据《环境影响评价技术导则 地下水环境》（HJ610-2018）总则--一般性原则，Ⅳ类建设项目不开展地下水环境影响评价。</w:t>
            </w:r>
          </w:p>
          <w:p>
            <w:pPr>
              <w:adjustRightInd w:val="0"/>
              <w:snapToGrid w:val="0"/>
              <w:spacing w:line="360" w:lineRule="auto"/>
              <w:ind w:firstLine="480" w:firstLineChars="200"/>
              <w:rPr>
                <w:sz w:val="24"/>
                <w:szCs w:val="22"/>
              </w:rPr>
            </w:pPr>
            <w:r>
              <w:rPr>
                <w:sz w:val="24"/>
                <w:szCs w:val="22"/>
              </w:rPr>
              <w:t>（3）声环境</w:t>
            </w:r>
          </w:p>
          <w:p>
            <w:pPr>
              <w:adjustRightInd w:val="0"/>
              <w:snapToGrid w:val="0"/>
              <w:spacing w:line="360" w:lineRule="auto"/>
              <w:ind w:firstLine="480" w:firstLineChars="200"/>
              <w:rPr>
                <w:sz w:val="24"/>
                <w:szCs w:val="22"/>
              </w:rPr>
            </w:pPr>
            <w:r>
              <w:rPr>
                <w:color w:val="FF0000"/>
                <w:sz w:val="24"/>
                <w:szCs w:val="22"/>
              </w:rPr>
              <w:t>本项目</w:t>
            </w:r>
            <w:r>
              <w:rPr>
                <w:rFonts w:hint="eastAsia"/>
                <w:color w:val="FF0000"/>
                <w:sz w:val="24"/>
                <w:szCs w:val="22"/>
              </w:rPr>
              <w:t>储能电站</w:t>
            </w:r>
            <w:r>
              <w:rPr>
                <w:color w:val="FF0000"/>
                <w:sz w:val="24"/>
                <w:szCs w:val="22"/>
              </w:rPr>
              <w:t>选址</w:t>
            </w:r>
            <w:r>
              <w:rPr>
                <w:rFonts w:hint="eastAsia"/>
                <w:color w:val="FF0000"/>
                <w:sz w:val="24"/>
                <w:szCs w:val="22"/>
              </w:rPr>
              <w:t>区域执行《声环境质量标准》</w:t>
            </w:r>
            <w:r>
              <w:rPr>
                <w:color w:val="FF0000"/>
                <w:spacing w:val="-8"/>
                <w:sz w:val="24"/>
              </w:rPr>
              <w:t>（GB3096-2008）</w:t>
            </w:r>
            <w:r>
              <w:rPr>
                <w:rFonts w:hint="eastAsia"/>
                <w:color w:val="FF0000"/>
                <w:sz w:val="24"/>
                <w:szCs w:val="22"/>
              </w:rPr>
              <w:t>2</w:t>
            </w:r>
            <w:r>
              <w:rPr>
                <w:color w:val="FF0000"/>
                <w:sz w:val="24"/>
                <w:szCs w:val="22"/>
              </w:rPr>
              <w:t>类</w:t>
            </w:r>
            <w:r>
              <w:rPr>
                <w:rFonts w:hint="eastAsia"/>
                <w:color w:val="FF0000"/>
                <w:sz w:val="24"/>
                <w:szCs w:val="22"/>
              </w:rPr>
              <w:t>标准</w:t>
            </w:r>
            <w:r>
              <w:rPr>
                <w:sz w:val="24"/>
                <w:szCs w:val="22"/>
              </w:rPr>
              <w:t>，预计项目建设前后评价范围内噪声级增高量</w:t>
            </w:r>
            <w:r>
              <w:rPr>
                <w:rFonts w:hint="eastAsia"/>
                <w:sz w:val="24"/>
                <w:szCs w:val="22"/>
              </w:rPr>
              <w:t>＜</w:t>
            </w:r>
            <w:r>
              <w:rPr>
                <w:sz w:val="24"/>
                <w:szCs w:val="22"/>
              </w:rPr>
              <w:t>3dB（A），按照《环境影响评价技术导则 声环境》（HJ2.4-2009）中的有关规定，</w:t>
            </w:r>
            <w:r>
              <w:rPr>
                <w:rFonts w:hint="eastAsia"/>
                <w:sz w:val="24"/>
                <w:szCs w:val="22"/>
              </w:rPr>
              <w:t>确定</w:t>
            </w:r>
            <w:r>
              <w:rPr>
                <w:sz w:val="24"/>
                <w:szCs w:val="22"/>
              </w:rPr>
              <w:t>本项目声环境影响评价等级为</w:t>
            </w:r>
            <w:r>
              <w:rPr>
                <w:rFonts w:hint="eastAsia"/>
                <w:sz w:val="24"/>
                <w:szCs w:val="22"/>
              </w:rPr>
              <w:t>二</w:t>
            </w:r>
            <w:r>
              <w:rPr>
                <w:sz w:val="24"/>
                <w:szCs w:val="22"/>
              </w:rPr>
              <w:t>级。</w:t>
            </w:r>
          </w:p>
          <w:p>
            <w:pPr>
              <w:adjustRightInd w:val="0"/>
              <w:snapToGrid w:val="0"/>
              <w:spacing w:line="360" w:lineRule="auto"/>
              <w:ind w:firstLine="480" w:firstLineChars="200"/>
              <w:rPr>
                <w:sz w:val="24"/>
                <w:szCs w:val="22"/>
              </w:rPr>
            </w:pPr>
            <w:r>
              <w:rPr>
                <w:sz w:val="24"/>
                <w:szCs w:val="22"/>
              </w:rPr>
              <w:t>（4）土壤环境</w:t>
            </w:r>
          </w:p>
          <w:p>
            <w:pPr>
              <w:adjustRightInd w:val="0"/>
              <w:snapToGrid w:val="0"/>
              <w:spacing w:line="360" w:lineRule="auto"/>
              <w:ind w:firstLine="480" w:firstLineChars="200"/>
              <w:rPr>
                <w:sz w:val="24"/>
                <w:szCs w:val="22"/>
              </w:rPr>
            </w:pPr>
            <w:r>
              <w:rPr>
                <w:sz w:val="24"/>
                <w:szCs w:val="22"/>
              </w:rPr>
              <w:t>按照《环境影响评价技术导则 土壤环境》（HJ964-2018）附录A，本项目行业类别属于其他行业，该类项目全部为Ⅳ类，因此，本项目属于Ⅳ类项目。</w:t>
            </w:r>
          </w:p>
          <w:p>
            <w:pPr>
              <w:adjustRightInd w:val="0"/>
              <w:snapToGrid w:val="0"/>
              <w:spacing w:line="360" w:lineRule="auto"/>
              <w:ind w:firstLine="480" w:firstLineChars="200"/>
              <w:rPr>
                <w:sz w:val="24"/>
                <w:szCs w:val="22"/>
                <w:highlight w:val="red"/>
              </w:rPr>
            </w:pPr>
            <w:r>
              <w:rPr>
                <w:sz w:val="24"/>
                <w:szCs w:val="22"/>
              </w:rPr>
              <w:t>根据《环境影响评价技术导则 土壤环境》（HJ964-2018）总则--评价基本任务，Ⅳ类建设项目可不开展土壤环境影响评价。</w:t>
            </w:r>
          </w:p>
          <w:p>
            <w:pPr>
              <w:adjustRightInd w:val="0"/>
              <w:snapToGrid w:val="0"/>
              <w:spacing w:line="360" w:lineRule="auto"/>
              <w:ind w:firstLine="480" w:firstLineChars="200"/>
              <w:rPr>
                <w:sz w:val="24"/>
              </w:rPr>
            </w:pPr>
            <w:r>
              <w:rPr>
                <w:sz w:val="24"/>
              </w:rPr>
              <w:t>（5）生态环境</w:t>
            </w:r>
          </w:p>
          <w:p>
            <w:pPr>
              <w:adjustRightInd w:val="0"/>
              <w:snapToGrid w:val="0"/>
              <w:spacing w:line="360" w:lineRule="auto"/>
              <w:ind w:firstLine="480" w:firstLineChars="200"/>
              <w:rPr>
                <w:sz w:val="24"/>
              </w:rPr>
            </w:pPr>
            <w:r>
              <w:rPr>
                <w:sz w:val="24"/>
                <w:lang w:bidi="ar"/>
              </w:rPr>
              <w:t>本项目为新建，</w:t>
            </w:r>
            <w:r>
              <w:rPr>
                <w:color w:val="FF0000"/>
                <w:sz w:val="24"/>
                <w:lang w:bidi="ar"/>
              </w:rPr>
              <w:t>新增</w:t>
            </w:r>
            <w:r>
              <w:rPr>
                <w:rFonts w:hint="eastAsia"/>
                <w:color w:val="FF0000"/>
                <w:sz w:val="24"/>
                <w:lang w:bidi="ar"/>
              </w:rPr>
              <w:t>用</w:t>
            </w:r>
            <w:r>
              <w:rPr>
                <w:color w:val="FF0000"/>
                <w:sz w:val="24"/>
                <w:lang w:bidi="ar"/>
              </w:rPr>
              <w:t>地</w:t>
            </w:r>
            <w:r>
              <w:rPr>
                <w:rFonts w:hint="eastAsia"/>
                <w:color w:val="FF0000"/>
                <w:sz w:val="24"/>
              </w:rPr>
              <w:t>10</w:t>
            </w:r>
            <w:r>
              <w:rPr>
                <w:rFonts w:hint="eastAsia"/>
                <w:color w:val="FF0000"/>
                <w:sz w:val="24"/>
                <w:lang w:val="en-US" w:eastAsia="zh-CN"/>
              </w:rPr>
              <w:t>5835</w:t>
            </w:r>
            <w:r>
              <w:rPr>
                <w:color w:val="FF0000"/>
                <w:sz w:val="24"/>
                <w:lang w:bidi="ar"/>
              </w:rPr>
              <w:t>m</w:t>
            </w:r>
            <w:r>
              <w:rPr>
                <w:color w:val="FF0000"/>
                <w:sz w:val="24"/>
                <w:vertAlign w:val="superscript"/>
                <w:lang w:bidi="ar"/>
              </w:rPr>
              <w:t>2</w:t>
            </w:r>
            <w:r>
              <w:rPr>
                <w:rFonts w:hint="eastAsia"/>
                <w:color w:val="FF0000"/>
                <w:sz w:val="24"/>
                <w:vertAlign w:val="baseline"/>
                <w:lang w:eastAsia="zh-CN" w:bidi="ar"/>
              </w:rPr>
              <w:t>（</w:t>
            </w:r>
            <w:r>
              <w:rPr>
                <w:rFonts w:hint="eastAsia"/>
                <w:color w:val="FF0000"/>
                <w:sz w:val="24"/>
                <w:vertAlign w:val="baseline"/>
                <w:lang w:val="en-US" w:eastAsia="zh-CN" w:bidi="ar"/>
              </w:rPr>
              <w:t>含永久占地及临时占地</w:t>
            </w:r>
            <w:r>
              <w:rPr>
                <w:rFonts w:hint="eastAsia"/>
                <w:color w:val="FF0000"/>
                <w:sz w:val="24"/>
                <w:vertAlign w:val="baseline"/>
                <w:lang w:eastAsia="zh-CN" w:bidi="ar"/>
              </w:rPr>
              <w:t>）</w:t>
            </w:r>
            <w:r>
              <w:rPr>
                <w:sz w:val="24"/>
                <w:lang w:bidi="ar"/>
              </w:rPr>
              <w:t>，小于2km</w:t>
            </w:r>
            <w:r>
              <w:rPr>
                <w:sz w:val="24"/>
                <w:vertAlign w:val="superscript"/>
                <w:lang w:bidi="ar"/>
              </w:rPr>
              <w:t>2</w:t>
            </w:r>
            <w:r>
              <w:rPr>
                <w:sz w:val="24"/>
                <w:lang w:bidi="ar"/>
              </w:rPr>
              <w:t>，所在区域属于</w:t>
            </w:r>
            <w:r>
              <w:rPr>
                <w:rFonts w:hint="eastAsia"/>
                <w:sz w:val="24"/>
                <w:lang w:bidi="ar"/>
              </w:rPr>
              <w:t>未利用地及农用地</w:t>
            </w:r>
            <w:r>
              <w:rPr>
                <w:sz w:val="24"/>
                <w:lang w:bidi="ar"/>
              </w:rPr>
              <w:t>，不属于特殊生态敏感区和重要生态敏感区，属于一般区域。根据《环境影响评价技术导则 生态影响》（HJ19-2011）表1，本项目生态影响评价工作等级为三级。</w:t>
            </w:r>
          </w:p>
          <w:p>
            <w:pPr>
              <w:adjustRightInd w:val="0"/>
              <w:snapToGrid w:val="0"/>
              <w:spacing w:line="360" w:lineRule="auto"/>
              <w:ind w:firstLine="480" w:firstLineChars="200"/>
              <w:rPr>
                <w:sz w:val="24"/>
              </w:rPr>
            </w:pPr>
            <w:r>
              <w:rPr>
                <w:sz w:val="24"/>
              </w:rPr>
              <w:t>（6）环境风险</w:t>
            </w:r>
          </w:p>
          <w:p>
            <w:pPr>
              <w:adjustRightInd w:val="0"/>
              <w:snapToGrid w:val="0"/>
              <w:spacing w:line="360" w:lineRule="auto"/>
              <w:ind w:firstLine="480" w:firstLineChars="200"/>
              <w:rPr>
                <w:sz w:val="24"/>
              </w:rPr>
            </w:pPr>
            <w:r>
              <w:rPr>
                <w:sz w:val="24"/>
                <w:lang w:bidi="ar"/>
              </w:rPr>
              <w:t>①风险潜势</w:t>
            </w:r>
          </w:p>
          <w:p>
            <w:pPr>
              <w:adjustRightInd w:val="0"/>
              <w:snapToGrid w:val="0"/>
              <w:spacing w:line="360" w:lineRule="auto"/>
              <w:ind w:firstLine="480" w:firstLineChars="200"/>
              <w:rPr>
                <w:sz w:val="24"/>
              </w:rPr>
            </w:pPr>
            <w:r>
              <w:rPr>
                <w:sz w:val="24"/>
                <w:lang w:bidi="ar"/>
              </w:rPr>
              <w:t>根据《建设项目环境风险评价技术导则》（HJ169-2018）附录B.1中规定的突发环境事件风险物质，本项目涉及的风险物质为</w:t>
            </w:r>
            <w:r>
              <w:rPr>
                <w:rFonts w:hint="eastAsia"/>
                <w:sz w:val="24"/>
                <w:lang w:bidi="ar"/>
              </w:rPr>
              <w:t>变压器油（矿物油类）</w:t>
            </w:r>
            <w:r>
              <w:rPr>
                <w:sz w:val="24"/>
                <w:lang w:bidi="ar"/>
              </w:rPr>
              <w:t>。</w:t>
            </w:r>
          </w:p>
          <w:p>
            <w:pPr>
              <w:adjustRightInd w:val="0"/>
              <w:snapToGrid w:val="0"/>
              <w:spacing w:line="360" w:lineRule="auto"/>
              <w:ind w:firstLine="480" w:firstLineChars="200"/>
              <w:rPr>
                <w:sz w:val="24"/>
                <w:szCs w:val="22"/>
              </w:rPr>
            </w:pPr>
            <w:r>
              <w:rPr>
                <w:sz w:val="24"/>
                <w:lang w:bidi="ar"/>
              </w:rPr>
              <w:t>根据附录C，确定危险物质数量与临界量比值Q。</w:t>
            </w:r>
            <w:r>
              <w:rPr>
                <w:rFonts w:hint="eastAsia"/>
                <w:sz w:val="24"/>
                <w:lang w:bidi="ar"/>
              </w:rPr>
              <w:t>本项目风险物质为变压器油（矿物油类），最大存在量为</w:t>
            </w:r>
            <w:r>
              <w:rPr>
                <w:rFonts w:hint="eastAsia"/>
                <w:sz w:val="24"/>
              </w:rPr>
              <w:t>155t，其临界量为2500t</w:t>
            </w:r>
            <w:r>
              <w:rPr>
                <w:sz w:val="24"/>
                <w:lang w:bidi="ar"/>
              </w:rPr>
              <w:t>，</w:t>
            </w:r>
            <w:r>
              <w:rPr>
                <w:rFonts w:hint="eastAsia"/>
                <w:sz w:val="24"/>
                <w:lang w:bidi="ar"/>
              </w:rPr>
              <w:t>因此</w:t>
            </w:r>
            <w:r>
              <w:rPr>
                <w:sz w:val="24"/>
                <w:lang w:bidi="ar"/>
              </w:rPr>
              <w:t>项目</w:t>
            </w:r>
            <w:r>
              <w:rPr>
                <w:sz w:val="24"/>
              </w:rPr>
              <w:t>Q值为</w:t>
            </w:r>
            <w:r>
              <w:rPr>
                <w:rFonts w:hint="eastAsia"/>
                <w:sz w:val="24"/>
              </w:rPr>
              <w:t>0.062</w:t>
            </w:r>
            <w:r>
              <w:rPr>
                <w:sz w:val="24"/>
                <w:lang w:bidi="ar"/>
              </w:rPr>
              <w:t>，</w:t>
            </w:r>
            <w:r>
              <w:rPr>
                <w:sz w:val="24"/>
                <w:szCs w:val="22"/>
              </w:rPr>
              <w:t>本项目Q值小于1，风险潜势为I。</w:t>
            </w:r>
          </w:p>
          <w:p>
            <w:pPr>
              <w:adjustRightInd w:val="0"/>
              <w:snapToGrid w:val="0"/>
              <w:spacing w:line="360" w:lineRule="auto"/>
              <w:ind w:firstLine="480" w:firstLineChars="200"/>
              <w:rPr>
                <w:sz w:val="24"/>
                <w:szCs w:val="22"/>
              </w:rPr>
            </w:pPr>
            <w:r>
              <w:rPr>
                <w:sz w:val="24"/>
                <w:szCs w:val="22"/>
              </w:rPr>
              <w:t>②评价工作等级</w:t>
            </w:r>
          </w:p>
          <w:p>
            <w:pPr>
              <w:adjustRightInd w:val="0"/>
              <w:snapToGrid w:val="0"/>
              <w:spacing w:line="360" w:lineRule="auto"/>
              <w:ind w:firstLine="480" w:firstLineChars="200"/>
              <w:rPr>
                <w:snapToGrid w:val="0"/>
                <w:kern w:val="21"/>
                <w:sz w:val="24"/>
                <w:szCs w:val="22"/>
              </w:rPr>
            </w:pPr>
            <w:r>
              <w:rPr>
                <w:snapToGrid w:val="0"/>
                <w:kern w:val="21"/>
                <w:sz w:val="24"/>
                <w:szCs w:val="22"/>
              </w:rPr>
              <w:t>根据《建设项目环境风险评价技术导则》（HJ169-2018）评价等级划分标准见</w:t>
            </w:r>
            <w:r>
              <w:rPr>
                <w:rFonts w:hint="eastAsia"/>
                <w:snapToGrid w:val="0"/>
                <w:kern w:val="21"/>
                <w:sz w:val="24"/>
                <w:szCs w:val="22"/>
              </w:rPr>
              <w:t>下</w:t>
            </w:r>
            <w:r>
              <w:rPr>
                <w:snapToGrid w:val="0"/>
                <w:kern w:val="21"/>
                <w:sz w:val="24"/>
                <w:szCs w:val="22"/>
              </w:rPr>
              <w:t>表。</w:t>
            </w:r>
          </w:p>
          <w:p>
            <w:pPr>
              <w:adjustRightInd w:val="0"/>
              <w:snapToGrid w:val="0"/>
              <w:spacing w:before="120" w:beforeLines="50" w:line="360" w:lineRule="auto"/>
              <w:jc w:val="center"/>
              <w:rPr>
                <w:b/>
                <w:bCs/>
                <w:sz w:val="24"/>
              </w:rPr>
            </w:pPr>
            <w:r>
              <w:rPr>
                <w:b/>
                <w:bCs/>
                <w:sz w:val="24"/>
                <w:lang w:bidi="ar"/>
              </w:rPr>
              <w:t>表3-1</w:t>
            </w:r>
            <w:r>
              <w:rPr>
                <w:rFonts w:hint="eastAsia"/>
                <w:b/>
                <w:bCs/>
                <w:sz w:val="24"/>
                <w:lang w:bidi="ar"/>
              </w:rPr>
              <w:t>2</w:t>
            </w:r>
            <w:r>
              <w:rPr>
                <w:b/>
                <w:bCs/>
                <w:sz w:val="24"/>
                <w:lang w:bidi="ar"/>
              </w:rPr>
              <w:t xml:space="preserve">    环境风险等级评价</w:t>
            </w:r>
          </w:p>
          <w:tbl>
            <w:tblPr>
              <w:tblStyle w:val="24"/>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527"/>
              <w:gridCol w:w="1949"/>
              <w:gridCol w:w="1995"/>
              <w:gridCol w:w="1469"/>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7" w:type="pct"/>
                  <w:tcBorders>
                    <w:top w:val="single" w:color="auto" w:sz="12" w:space="0"/>
                    <w:left w:val="nil"/>
                    <w:bottom w:val="single" w:color="auto" w:sz="4" w:space="0"/>
                    <w:right w:val="single" w:color="auto" w:sz="4" w:space="0"/>
                  </w:tcBorders>
                  <w:vAlign w:val="center"/>
                </w:tcPr>
                <w:p>
                  <w:pPr>
                    <w:adjustRightInd w:val="0"/>
                    <w:snapToGrid w:val="0"/>
                    <w:jc w:val="center"/>
                    <w:rPr>
                      <w:szCs w:val="21"/>
                    </w:rPr>
                  </w:pPr>
                  <w:r>
                    <w:rPr>
                      <w:szCs w:val="21"/>
                      <w:lang w:bidi="ar"/>
                    </w:rPr>
                    <w:t>环境风险潜势</w:t>
                  </w:r>
                </w:p>
              </w:tc>
              <w:tc>
                <w:tcPr>
                  <w:tcW w:w="907"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szCs w:val="21"/>
                      <w:vertAlign w:val="superscript"/>
                    </w:rPr>
                  </w:pPr>
                  <w:r>
                    <w:rPr>
                      <w:szCs w:val="21"/>
                      <w:lang w:bidi="ar"/>
                    </w:rPr>
                    <w:t>VI</w:t>
                  </w:r>
                  <w:r>
                    <w:rPr>
                      <w:sz w:val="24"/>
                      <w:lang w:bidi="ar"/>
                    </w:rPr>
                    <w:t>、</w:t>
                  </w:r>
                  <w:r>
                    <w:rPr>
                      <w:szCs w:val="21"/>
                      <w:lang w:bidi="ar"/>
                    </w:rPr>
                    <w:t>VI</w:t>
                  </w:r>
                  <w:r>
                    <w:rPr>
                      <w:sz w:val="24"/>
                      <w:lang w:bidi="ar"/>
                    </w:rPr>
                    <w:t>+</w:t>
                  </w:r>
                </w:p>
              </w:tc>
              <w:tc>
                <w:tcPr>
                  <w:tcW w:w="1158"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szCs w:val="21"/>
                      <w:lang w:bidi="ar"/>
                    </w:rPr>
                    <w:t>III</w:t>
                  </w:r>
                </w:p>
              </w:tc>
              <w:tc>
                <w:tcPr>
                  <w:tcW w:w="1185" w:type="pct"/>
                  <w:tcBorders>
                    <w:top w:val="single" w:color="auto" w:sz="12" w:space="0"/>
                    <w:left w:val="single" w:color="auto" w:sz="4" w:space="0"/>
                    <w:bottom w:val="single" w:color="auto" w:sz="4" w:space="0"/>
                    <w:right w:val="single" w:color="auto" w:sz="4" w:space="0"/>
                  </w:tcBorders>
                </w:tcPr>
                <w:p>
                  <w:pPr>
                    <w:adjustRightInd w:val="0"/>
                    <w:snapToGrid w:val="0"/>
                    <w:jc w:val="center"/>
                    <w:rPr>
                      <w:sz w:val="24"/>
                      <w:szCs w:val="22"/>
                    </w:rPr>
                  </w:pPr>
                  <w:r>
                    <w:rPr>
                      <w:szCs w:val="21"/>
                      <w:lang w:bidi="ar"/>
                    </w:rPr>
                    <w:t>II</w:t>
                  </w:r>
                </w:p>
              </w:tc>
              <w:tc>
                <w:tcPr>
                  <w:tcW w:w="870" w:type="pct"/>
                  <w:tcBorders>
                    <w:top w:val="single" w:color="auto" w:sz="12" w:space="0"/>
                    <w:left w:val="single" w:color="auto" w:sz="4" w:space="0"/>
                    <w:bottom w:val="single" w:color="auto" w:sz="4" w:space="0"/>
                    <w:right w:val="nil"/>
                  </w:tcBorders>
                </w:tcPr>
                <w:p>
                  <w:pPr>
                    <w:adjustRightInd w:val="0"/>
                    <w:snapToGrid w:val="0"/>
                    <w:jc w:val="center"/>
                    <w:rPr>
                      <w:sz w:val="24"/>
                      <w:szCs w:val="22"/>
                    </w:rPr>
                  </w:pPr>
                  <w:r>
                    <w:rPr>
                      <w:szCs w:val="21"/>
                      <w:lang w:bidi="ar"/>
                    </w:rPr>
                    <w:t>I</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7" w:type="pct"/>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szCs w:val="21"/>
                      <w:lang w:bidi="ar"/>
                    </w:rPr>
                    <w:t>评价工作等级</w:t>
                  </w:r>
                </w:p>
              </w:tc>
              <w:tc>
                <w:tcPr>
                  <w:tcW w:w="90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lang w:bidi="ar"/>
                    </w:rPr>
                    <w:t>一</w:t>
                  </w:r>
                </w:p>
              </w:tc>
              <w:tc>
                <w:tcPr>
                  <w:tcW w:w="11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lang w:bidi="ar"/>
                    </w:rPr>
                    <w:t>二</w:t>
                  </w:r>
                </w:p>
              </w:tc>
              <w:tc>
                <w:tcPr>
                  <w:tcW w:w="1185"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szCs w:val="21"/>
                      <w:lang w:bidi="ar"/>
                    </w:rPr>
                    <w:t>三</w:t>
                  </w:r>
                </w:p>
              </w:tc>
              <w:tc>
                <w:tcPr>
                  <w:tcW w:w="870" w:type="pct"/>
                  <w:tcBorders>
                    <w:top w:val="single" w:color="auto" w:sz="4" w:space="0"/>
                    <w:left w:val="single" w:color="auto" w:sz="4" w:space="0"/>
                    <w:bottom w:val="single" w:color="auto" w:sz="4" w:space="0"/>
                    <w:right w:val="nil"/>
                  </w:tcBorders>
                </w:tcPr>
                <w:p>
                  <w:pPr>
                    <w:adjustRightInd w:val="0"/>
                    <w:snapToGrid w:val="0"/>
                    <w:jc w:val="center"/>
                    <w:rPr>
                      <w:szCs w:val="21"/>
                      <w:vertAlign w:val="superscript"/>
                    </w:rPr>
                  </w:pPr>
                  <w:r>
                    <w:rPr>
                      <w:szCs w:val="21"/>
                      <w:lang w:bidi="ar"/>
                    </w:rPr>
                    <w:t>简单分析</w:t>
                  </w:r>
                  <w:r>
                    <w:rPr>
                      <w:szCs w:val="21"/>
                      <w:vertAlign w:val="superscript"/>
                      <w:lang w:bidi="ar"/>
                    </w:rPr>
                    <w: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tcBorders>
                    <w:top w:val="single" w:color="auto" w:sz="4" w:space="0"/>
                    <w:left w:val="nil"/>
                    <w:bottom w:val="single" w:color="auto" w:sz="12" w:space="0"/>
                    <w:right w:val="nil"/>
                  </w:tcBorders>
                  <w:vAlign w:val="center"/>
                </w:tcPr>
                <w:p>
                  <w:pPr>
                    <w:adjustRightInd w:val="0"/>
                    <w:snapToGrid w:val="0"/>
                    <w:jc w:val="center"/>
                    <w:rPr>
                      <w:szCs w:val="21"/>
                    </w:rPr>
                  </w:pPr>
                  <w:r>
                    <w:rPr>
                      <w:szCs w:val="21"/>
                      <w:lang w:bidi="ar"/>
                    </w:rPr>
                    <w:t>简要分析 a：是相对于详细评价工作内容而言，在描述危险物质、环境影响途径、环境危害后果、风险措施等方面给出定性的说明。</w:t>
                  </w:r>
                </w:p>
              </w:tc>
            </w:tr>
          </w:tbl>
          <w:p>
            <w:pPr>
              <w:adjustRightInd w:val="0"/>
              <w:snapToGrid w:val="0"/>
              <w:spacing w:before="120" w:beforeLines="50" w:line="360" w:lineRule="auto"/>
              <w:ind w:firstLine="480" w:firstLineChars="200"/>
              <w:rPr>
                <w:b/>
                <w:bCs/>
                <w:sz w:val="24"/>
              </w:rPr>
            </w:pPr>
            <w:r>
              <w:rPr>
                <w:sz w:val="24"/>
                <w:szCs w:val="22"/>
              </w:rPr>
              <w:t>项目环境风险潜势为Ⅰ，依据上表确定项目环境风险评价工作等级为简单分析。</w:t>
            </w:r>
          </w:p>
          <w:p>
            <w:pPr>
              <w:pStyle w:val="31"/>
              <w:ind w:firstLine="0"/>
              <w:rPr>
                <w:rFonts w:ascii="Times New Roman" w:cs="Times New Roman"/>
                <w:b/>
                <w:bCs/>
              </w:rPr>
            </w:pPr>
            <w:r>
              <w:rPr>
                <w:rFonts w:ascii="Times New Roman" w:cs="Times New Roman"/>
                <w:b/>
                <w:bCs/>
              </w:rPr>
              <w:t>3.7.2评价范围</w:t>
            </w:r>
          </w:p>
          <w:p>
            <w:pPr>
              <w:adjustRightInd w:val="0"/>
              <w:snapToGrid w:val="0"/>
              <w:spacing w:line="360" w:lineRule="auto"/>
              <w:ind w:firstLine="480" w:firstLineChars="200"/>
              <w:rPr>
                <w:sz w:val="24"/>
              </w:rPr>
            </w:pPr>
            <w:r>
              <w:rPr>
                <w:sz w:val="24"/>
              </w:rPr>
              <w:t>（1）声环境</w:t>
            </w:r>
          </w:p>
          <w:p>
            <w:pPr>
              <w:adjustRightInd w:val="0"/>
              <w:snapToGrid w:val="0"/>
              <w:spacing w:line="360" w:lineRule="auto"/>
              <w:ind w:firstLine="480" w:firstLineChars="200"/>
              <w:rPr>
                <w:sz w:val="24"/>
              </w:rPr>
            </w:pPr>
            <w:r>
              <w:rPr>
                <w:color w:val="FF0000"/>
                <w:sz w:val="24"/>
              </w:rPr>
              <w:t>根据</w:t>
            </w:r>
            <w:r>
              <w:rPr>
                <w:color w:val="FF0000"/>
                <w:sz w:val="24"/>
                <w:szCs w:val="22"/>
              </w:rPr>
              <w:t>《环境影响评价技术导则 声环境》（HJ2.4-2009）</w:t>
            </w:r>
            <w:r>
              <w:rPr>
                <w:color w:val="FF0000"/>
                <w:sz w:val="24"/>
              </w:rPr>
              <w:t>，对于以固定声源为主的建设项目，其评价范围的确定应满足一级评价的要求，一般以建设项目边界向外200m为评价范围；二级、三级评价范围可根据建设项目所在区域和相邻区域的声环境功能区类别及敏感目标等实际情况适当缩小。</w:t>
            </w:r>
          </w:p>
          <w:p>
            <w:pPr>
              <w:adjustRightInd w:val="0"/>
              <w:snapToGrid w:val="0"/>
              <w:spacing w:line="360" w:lineRule="auto"/>
              <w:ind w:firstLine="480" w:firstLineChars="200"/>
              <w:rPr>
                <w:color w:val="FF0000"/>
                <w:sz w:val="24"/>
              </w:rPr>
            </w:pPr>
            <w:r>
              <w:rPr>
                <w:rFonts w:hint="eastAsia"/>
                <w:color w:val="FF0000"/>
                <w:sz w:val="24"/>
              </w:rPr>
              <w:t>①储能电站</w:t>
            </w:r>
          </w:p>
          <w:p>
            <w:pPr>
              <w:adjustRightInd w:val="0"/>
              <w:snapToGrid w:val="0"/>
              <w:spacing w:line="360" w:lineRule="auto"/>
              <w:ind w:firstLine="480" w:firstLineChars="200"/>
              <w:rPr>
                <w:color w:val="FF0000"/>
                <w:sz w:val="24"/>
              </w:rPr>
            </w:pPr>
            <w:r>
              <w:rPr>
                <w:color w:val="FF0000"/>
                <w:sz w:val="24"/>
              </w:rPr>
              <w:t>本项目声环境影响评价等级为</w:t>
            </w:r>
            <w:r>
              <w:rPr>
                <w:rFonts w:hint="eastAsia"/>
                <w:color w:val="FF0000"/>
                <w:sz w:val="24"/>
              </w:rPr>
              <w:t>二</w:t>
            </w:r>
            <w:r>
              <w:rPr>
                <w:color w:val="FF0000"/>
                <w:sz w:val="24"/>
              </w:rPr>
              <w:t>级，周边200m内无声环境敏感目标，因此评价范围适当缩小，</w:t>
            </w:r>
            <w:r>
              <w:rPr>
                <w:rFonts w:hint="eastAsia"/>
                <w:color w:val="FF0000"/>
                <w:sz w:val="24"/>
              </w:rPr>
              <w:t>储能电站</w:t>
            </w:r>
            <w:r>
              <w:rPr>
                <w:color w:val="FF0000"/>
                <w:sz w:val="24"/>
              </w:rPr>
              <w:t>声环境评价范围为项目四周边界外</w:t>
            </w:r>
            <w:r>
              <w:rPr>
                <w:rFonts w:hint="eastAsia"/>
                <w:color w:val="FF0000"/>
                <w:sz w:val="24"/>
              </w:rPr>
              <w:t>5</w:t>
            </w:r>
            <w:r>
              <w:rPr>
                <w:color w:val="FF0000"/>
                <w:sz w:val="24"/>
              </w:rPr>
              <w:t>0m范围</w:t>
            </w:r>
            <w:r>
              <w:rPr>
                <w:rFonts w:hint="eastAsia"/>
                <w:color w:val="FF0000"/>
                <w:sz w:val="24"/>
              </w:rPr>
              <w:t>。</w:t>
            </w:r>
          </w:p>
          <w:p>
            <w:pPr>
              <w:adjustRightInd w:val="0"/>
              <w:snapToGrid w:val="0"/>
              <w:spacing w:line="360" w:lineRule="auto"/>
              <w:ind w:firstLine="480" w:firstLineChars="200"/>
              <w:rPr>
                <w:color w:val="FF0000"/>
                <w:sz w:val="24"/>
              </w:rPr>
            </w:pPr>
            <w:r>
              <w:rPr>
                <w:rFonts w:hint="eastAsia"/>
                <w:color w:val="FF0000"/>
                <w:sz w:val="24"/>
              </w:rPr>
              <w:t>②输电线路</w:t>
            </w:r>
          </w:p>
          <w:p>
            <w:pPr>
              <w:adjustRightInd w:val="0"/>
              <w:snapToGrid w:val="0"/>
              <w:spacing w:line="360" w:lineRule="auto"/>
              <w:ind w:firstLine="480" w:firstLineChars="200"/>
              <w:rPr>
                <w:color w:val="FF0000"/>
                <w:sz w:val="24"/>
              </w:rPr>
            </w:pPr>
            <w:r>
              <w:rPr>
                <w:rFonts w:hint="eastAsia"/>
                <w:color w:val="FF0000"/>
                <w:sz w:val="24"/>
              </w:rPr>
              <w:t>输电线路</w:t>
            </w:r>
            <w:r>
              <w:rPr>
                <w:color w:val="FF0000"/>
                <w:sz w:val="24"/>
              </w:rPr>
              <w:t>声环境评价范围为</w:t>
            </w:r>
            <w:r>
              <w:rPr>
                <w:rFonts w:hint="eastAsia"/>
                <w:color w:val="FF0000"/>
                <w:sz w:val="24"/>
              </w:rPr>
              <w:t>边导线地面投影外两侧各40m。</w:t>
            </w:r>
          </w:p>
          <w:p>
            <w:pPr>
              <w:adjustRightInd w:val="0"/>
              <w:snapToGrid w:val="0"/>
              <w:spacing w:line="360" w:lineRule="auto"/>
              <w:ind w:firstLine="480" w:firstLineChars="200"/>
              <w:rPr>
                <w:color w:val="FF0000"/>
                <w:sz w:val="24"/>
              </w:rPr>
            </w:pPr>
            <w:r>
              <w:rPr>
                <w:color w:val="FF0000"/>
                <w:sz w:val="24"/>
              </w:rPr>
              <w:t>（2）水环境</w:t>
            </w:r>
          </w:p>
          <w:p>
            <w:pPr>
              <w:adjustRightInd w:val="0"/>
              <w:snapToGrid w:val="0"/>
              <w:spacing w:line="360" w:lineRule="auto"/>
              <w:ind w:firstLine="480" w:firstLineChars="200"/>
              <w:rPr>
                <w:color w:val="FF0000"/>
                <w:sz w:val="24"/>
                <w:lang w:bidi="ar"/>
              </w:rPr>
            </w:pPr>
            <w:r>
              <w:rPr>
                <w:color w:val="FF0000"/>
                <w:sz w:val="24"/>
                <w:lang w:bidi="ar"/>
              </w:rPr>
              <w:t>根据《环境影响评价技术导则 地表水环境》（HJ2.3-2018），评价等级为三级B，其评价应满足其依托污水处理设施环境可行性分析的要求。</w:t>
            </w:r>
          </w:p>
          <w:p>
            <w:pPr>
              <w:adjustRightInd w:val="0"/>
              <w:snapToGrid w:val="0"/>
              <w:spacing w:line="360" w:lineRule="auto"/>
              <w:ind w:firstLine="480" w:firstLineChars="200"/>
              <w:rPr>
                <w:color w:val="FF0000"/>
                <w:sz w:val="24"/>
              </w:rPr>
            </w:pPr>
            <w:r>
              <w:rPr>
                <w:color w:val="FF0000"/>
                <w:sz w:val="24"/>
                <w:lang w:bidi="ar"/>
              </w:rPr>
              <w:t>（3）</w:t>
            </w:r>
            <w:r>
              <w:rPr>
                <w:color w:val="FF0000"/>
                <w:sz w:val="24"/>
              </w:rPr>
              <w:t>生态环境</w:t>
            </w:r>
          </w:p>
          <w:p>
            <w:pPr>
              <w:adjustRightInd w:val="0"/>
              <w:snapToGrid w:val="0"/>
              <w:spacing w:line="360" w:lineRule="auto"/>
              <w:ind w:firstLine="480" w:firstLineChars="200"/>
              <w:rPr>
                <w:color w:val="FF0000"/>
                <w:sz w:val="24"/>
              </w:rPr>
            </w:pPr>
            <w:r>
              <w:rPr>
                <w:rFonts w:hint="eastAsia"/>
                <w:color w:val="FF0000"/>
                <w:sz w:val="24"/>
              </w:rPr>
              <w:t>①储能电站</w:t>
            </w:r>
          </w:p>
          <w:p>
            <w:pPr>
              <w:adjustRightInd w:val="0"/>
              <w:snapToGrid w:val="0"/>
              <w:spacing w:line="360" w:lineRule="auto"/>
              <w:ind w:firstLine="480" w:firstLineChars="200"/>
              <w:rPr>
                <w:color w:val="FF0000"/>
                <w:sz w:val="24"/>
                <w:lang w:bidi="ar"/>
              </w:rPr>
            </w:pPr>
            <w:r>
              <w:rPr>
                <w:color w:val="FF0000"/>
                <w:sz w:val="24"/>
                <w:lang w:bidi="ar"/>
              </w:rPr>
              <w:t>根据《环境影响评价技术导则 输变电》（HJ24-2020），变电站、换流站、开关站、串补站、接地极生态环境影响评价范围为站场边界或围墙外500m内，因此本次生态环境影响评价范围为项目厂界外500m范围</w:t>
            </w:r>
            <w:r>
              <w:rPr>
                <w:rFonts w:hint="eastAsia"/>
                <w:color w:val="FF0000"/>
                <w:sz w:val="24"/>
                <w:lang w:bidi="ar"/>
              </w:rPr>
              <w:t>。</w:t>
            </w:r>
          </w:p>
          <w:p>
            <w:pPr>
              <w:adjustRightInd w:val="0"/>
              <w:snapToGrid w:val="0"/>
              <w:spacing w:line="360" w:lineRule="auto"/>
              <w:ind w:firstLine="480" w:firstLineChars="200"/>
              <w:rPr>
                <w:color w:val="FF0000"/>
                <w:sz w:val="24"/>
              </w:rPr>
            </w:pPr>
            <w:r>
              <w:rPr>
                <w:rFonts w:hint="eastAsia"/>
                <w:color w:val="FF0000"/>
                <w:sz w:val="24"/>
              </w:rPr>
              <w:t>②输电线路</w:t>
            </w:r>
          </w:p>
          <w:p>
            <w:pPr>
              <w:adjustRightInd w:val="0"/>
              <w:snapToGrid w:val="0"/>
              <w:spacing w:line="360" w:lineRule="auto"/>
              <w:ind w:firstLine="480" w:firstLineChars="200"/>
              <w:rPr>
                <w:color w:val="FF0000"/>
                <w:sz w:val="24"/>
                <w:lang w:bidi="ar"/>
              </w:rPr>
            </w:pPr>
            <w:r>
              <w:rPr>
                <w:rFonts w:hint="eastAsia"/>
                <w:color w:val="FF0000"/>
                <w:sz w:val="24"/>
                <w:lang w:bidi="ar"/>
              </w:rPr>
              <w:t>输电线路评价范围为线路边导线地面投影外两侧各300m内的带状区域。</w:t>
            </w:r>
          </w:p>
          <w:p>
            <w:pPr>
              <w:adjustRightInd w:val="0"/>
              <w:snapToGrid w:val="0"/>
              <w:spacing w:line="360" w:lineRule="auto"/>
              <w:ind w:firstLine="480" w:firstLineChars="200"/>
              <w:rPr>
                <w:sz w:val="24"/>
                <w:lang w:bidi="ar"/>
              </w:rPr>
            </w:pPr>
            <w:r>
              <w:rPr>
                <w:rFonts w:hint="eastAsia"/>
                <w:sz w:val="24"/>
                <w:lang w:bidi="ar"/>
              </w:rPr>
              <w:t>项目评价范围见附图12。</w:t>
            </w:r>
          </w:p>
          <w:p>
            <w:pPr>
              <w:adjustRightInd w:val="0"/>
              <w:snapToGrid w:val="0"/>
              <w:spacing w:before="120" w:beforeLines="50" w:after="120" w:afterLines="50" w:line="360" w:lineRule="auto"/>
              <w:rPr>
                <w:kern w:val="0"/>
                <w:sz w:val="24"/>
              </w:rPr>
            </w:pPr>
            <w:r>
              <w:rPr>
                <w:b/>
                <w:bCs/>
                <w:sz w:val="24"/>
              </w:rPr>
              <w:t>3.</w:t>
            </w:r>
            <w:r>
              <w:rPr>
                <w:rFonts w:hint="eastAsia"/>
                <w:b/>
                <w:bCs/>
                <w:sz w:val="24"/>
              </w:rPr>
              <w:t>8</w:t>
            </w:r>
            <w:r>
              <w:rPr>
                <w:b/>
                <w:bCs/>
                <w:sz w:val="24"/>
              </w:rPr>
              <w:t>总量控制指标</w:t>
            </w:r>
          </w:p>
          <w:p>
            <w:pPr>
              <w:spacing w:line="360" w:lineRule="auto"/>
              <w:ind w:firstLine="480" w:firstLineChars="200"/>
              <w:rPr>
                <w:kern w:val="0"/>
                <w:sz w:val="24"/>
              </w:rPr>
            </w:pPr>
            <w:r>
              <w:rPr>
                <w:kern w:val="0"/>
                <w:sz w:val="24"/>
              </w:rPr>
              <w:t>根据本项目的排污特点和总量控制原则，本项目</w:t>
            </w:r>
            <w:r>
              <w:rPr>
                <w:sz w:val="24"/>
              </w:rPr>
              <w:t>运行期主要环境影响为噪声、工频电场</w:t>
            </w:r>
            <w:r>
              <w:rPr>
                <w:rFonts w:hint="eastAsia"/>
                <w:sz w:val="24"/>
              </w:rPr>
              <w:t>及工频磁场等</w:t>
            </w:r>
            <w:r>
              <w:rPr>
                <w:sz w:val="24"/>
              </w:rPr>
              <w:t>，均不属于国家要求总量控制的污染物种类</w:t>
            </w:r>
            <w:r>
              <w:rPr>
                <w:kern w:val="0"/>
                <w:sz w:val="24"/>
              </w:rPr>
              <w:t>，因此，本项目不申请总量控制指标</w:t>
            </w:r>
            <w:r>
              <w:rPr>
                <w:rFonts w:hint="eastAsia"/>
                <w:kern w:val="0"/>
                <w:sz w:val="24"/>
              </w:rPr>
              <w:t>。</w:t>
            </w: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20" w:firstLineChars="200"/>
            </w:pPr>
          </w:p>
        </w:tc>
      </w:tr>
    </w:tbl>
    <w:p>
      <w:pPr>
        <w:pStyle w:val="20"/>
        <w:adjustRightInd w:val="0"/>
        <w:snapToGrid w:val="0"/>
        <w:spacing w:before="0" w:beforeAutospacing="0" w:after="0" w:afterAutospacing="0" w:line="14" w:lineRule="auto"/>
        <w:jc w:val="center"/>
        <w:rPr>
          <w:rFonts w:ascii="黑体" w:hAnsi="黑体" w:eastAsia="黑体"/>
          <w:snapToGrid w:val="0"/>
          <w:kern w:val="2"/>
          <w:sz w:val="36"/>
          <w:szCs w:val="36"/>
        </w:rPr>
      </w:pPr>
    </w:p>
    <w:p>
      <w:pPr>
        <w:pStyle w:val="20"/>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黑体" w:hAnsi="黑体" w:eastAsia="黑体"/>
          <w:snapToGrid w:val="0"/>
          <w:kern w:val="2"/>
          <w:sz w:val="36"/>
          <w:szCs w:val="36"/>
        </w:rPr>
        <w:br w:type="page"/>
      </w:r>
      <w:bookmarkStart w:id="100" w:name="_Toc24371"/>
      <w:r>
        <w:rPr>
          <w:rFonts w:hint="eastAsia" w:ascii="黑体" w:hAnsi="黑体" w:eastAsia="黑体"/>
          <w:snapToGrid w:val="0"/>
          <w:sz w:val="30"/>
          <w:szCs w:val="30"/>
        </w:rPr>
        <w:t>四、生态环境影响分析</w:t>
      </w:r>
      <w:bookmarkEnd w:id="100"/>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3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tcMar>
              <w:left w:w="28" w:type="dxa"/>
              <w:right w:w="28" w:type="dxa"/>
            </w:tcMar>
            <w:vAlign w:val="center"/>
          </w:tcPr>
          <w:p>
            <w:pPr>
              <w:pStyle w:val="20"/>
              <w:adjustRightInd w:val="0"/>
              <w:snapToGrid w:val="0"/>
              <w:spacing w:before="0" w:beforeAutospacing="0" w:after="0" w:afterAutospacing="0"/>
              <w:jc w:val="center"/>
              <w:rPr>
                <w:rFonts w:cs="宋体"/>
                <w:bCs/>
                <w:kern w:val="2"/>
                <w:sz w:val="21"/>
                <w:szCs w:val="21"/>
              </w:rPr>
            </w:pPr>
            <w:bookmarkStart w:id="101" w:name="_Hlk49796138"/>
            <w:r>
              <w:rPr>
                <w:rFonts w:hint="eastAsia" w:cs="宋体"/>
                <w:bCs/>
                <w:spacing w:val="10"/>
                <w:kern w:val="2"/>
                <w:sz w:val="21"/>
                <w:szCs w:val="21"/>
              </w:rPr>
              <w:t>施工期生态环境影响分析</w:t>
            </w:r>
            <w:bookmarkEnd w:id="101"/>
          </w:p>
        </w:tc>
        <w:tc>
          <w:tcPr>
            <w:tcW w:w="8363" w:type="dxa"/>
          </w:tcPr>
          <w:p>
            <w:pPr>
              <w:adjustRightInd w:val="0"/>
              <w:snapToGrid w:val="0"/>
              <w:spacing w:before="120" w:beforeLines="50" w:after="120" w:afterLines="50" w:line="360" w:lineRule="auto"/>
              <w:rPr>
                <w:b/>
                <w:bCs/>
                <w:sz w:val="24"/>
              </w:rPr>
            </w:pPr>
            <w:r>
              <w:rPr>
                <w:rFonts w:hint="eastAsia"/>
                <w:b/>
                <w:bCs/>
                <w:sz w:val="24"/>
              </w:rPr>
              <w:t>4.1施工期生态环境影响分析</w:t>
            </w:r>
          </w:p>
          <w:p>
            <w:pPr>
              <w:pStyle w:val="56"/>
              <w:adjustRightInd w:val="0"/>
              <w:snapToGrid w:val="0"/>
              <w:ind w:firstLine="480"/>
              <w:rPr>
                <w:sz w:val="24"/>
              </w:rPr>
            </w:pPr>
            <w:r>
              <w:rPr>
                <w:sz w:val="24"/>
              </w:rPr>
              <w:t>项目施工期对环境的影响主要表现为施工作业扬尘、运输车辆扬尘、运输及动力设备运行产生的燃油废气，施工机械噪声，施工废水、建筑垃圾及施工人员生活污水、生活垃圾等。</w:t>
            </w:r>
          </w:p>
          <w:p>
            <w:pPr>
              <w:pStyle w:val="56"/>
              <w:adjustRightInd w:val="0"/>
              <w:snapToGrid w:val="0"/>
              <w:ind w:firstLine="480"/>
              <w:rPr>
                <w:sz w:val="24"/>
              </w:rPr>
            </w:pPr>
            <w:r>
              <w:rPr>
                <w:sz w:val="24"/>
              </w:rPr>
              <w:t>项目施工期污染因子识别见表4-1。</w:t>
            </w:r>
          </w:p>
          <w:p>
            <w:pPr>
              <w:pStyle w:val="49"/>
              <w:adjustRightInd w:val="0"/>
              <w:snapToGrid w:val="0"/>
              <w:spacing w:before="120" w:beforeLines="50" w:line="360" w:lineRule="auto"/>
              <w:ind w:left="0" w:firstLine="0" w:firstLineChars="0"/>
              <w:jc w:val="center"/>
              <w:rPr>
                <w:rFonts w:ascii="Times New Roman" w:hAnsi="Times New Roman" w:eastAsia="宋体"/>
                <w:b/>
                <w:bCs/>
              </w:rPr>
            </w:pPr>
            <w:r>
              <w:rPr>
                <w:rFonts w:ascii="Times New Roman" w:hAnsi="Times New Roman" w:eastAsia="宋体"/>
                <w:b/>
                <w:bCs/>
              </w:rPr>
              <w:t xml:space="preserve">表4-1  </w:t>
            </w:r>
            <w:r>
              <w:rPr>
                <w:rFonts w:hint="eastAsia" w:ascii="Times New Roman" w:hAnsi="Times New Roman" w:eastAsia="宋体"/>
                <w:b/>
                <w:bCs/>
              </w:rPr>
              <w:t xml:space="preserve">  </w:t>
            </w:r>
            <w:r>
              <w:rPr>
                <w:rFonts w:ascii="Times New Roman" w:hAnsi="Times New Roman" w:eastAsia="宋体"/>
                <w:b/>
                <w:bCs/>
              </w:rPr>
              <w:t>施工期环境影响因子识别一览表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849"/>
              <w:gridCol w:w="2525"/>
              <w:gridCol w:w="2275"/>
              <w:gridCol w:w="1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tl2br w:val="nil"/>
                    <w:tr2bl w:val="nil"/>
                  </w:tcBorders>
                  <w:vAlign w:val="center"/>
                </w:tcPr>
                <w:p>
                  <w:pPr>
                    <w:pStyle w:val="46"/>
                    <w:spacing w:before="24" w:after="24"/>
                    <w:rPr>
                      <w:rFonts w:ascii="Times New Roman"/>
                      <w:sz w:val="21"/>
                    </w:rPr>
                  </w:pPr>
                  <w:r>
                    <w:rPr>
                      <w:rFonts w:ascii="Times New Roman"/>
                      <w:sz w:val="21"/>
                    </w:rPr>
                    <w:t>序号</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项目</w:t>
                  </w: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污染源</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污染物类型</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1</w:t>
                  </w:r>
                </w:p>
              </w:tc>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废气</w:t>
                  </w: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场地平整、地基开挖、建筑材料堆放等</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扬尘</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进场道路</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扬尘</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燃油设备、运输车辆</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燃油废气</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CO、NO</w:t>
                  </w:r>
                  <w:r>
                    <w:rPr>
                      <w:rFonts w:ascii="Times New Roman"/>
                      <w:sz w:val="21"/>
                      <w:vertAlign w:val="subscript"/>
                    </w:rPr>
                    <w:t>X</w:t>
                  </w:r>
                  <w:r>
                    <w:rPr>
                      <w:rFonts w:ascii="Times New Roman"/>
                      <w:sz w:val="21"/>
                    </w:rPr>
                    <w:t>、SO</w:t>
                  </w:r>
                  <w:r>
                    <w:rPr>
                      <w:rFonts w:ascii="Times New Roman"/>
                      <w:sz w:val="21"/>
                      <w:vertAlign w:val="subscript"/>
                    </w:rPr>
                    <w:t>2</w:t>
                  </w:r>
                  <w:r>
                    <w:rPr>
                      <w:rFonts w:ascii="Times New Roman"/>
                      <w:sz w:val="21"/>
                    </w:rPr>
                    <w:t>、CnHm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2</w:t>
                  </w:r>
                </w:p>
              </w:tc>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废水</w:t>
                  </w: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施工作业废水</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车辆进出冲洗</w:t>
                  </w:r>
                  <w:r>
                    <w:rPr>
                      <w:rFonts w:hint="eastAsia" w:ascii="Times New Roman"/>
                      <w:sz w:val="21"/>
                    </w:rPr>
                    <w:t>、养护</w:t>
                  </w:r>
                  <w:r>
                    <w:rPr>
                      <w:rFonts w:ascii="Times New Roman"/>
                      <w:sz w:val="21"/>
                    </w:rPr>
                    <w:t>废水</w:t>
                  </w:r>
                </w:p>
              </w:tc>
              <w:tc>
                <w:tcPr>
                  <w:tcW w:w="1944" w:type="dxa"/>
                  <w:tcBorders>
                    <w:tl2br w:val="nil"/>
                    <w:tr2bl w:val="nil"/>
                  </w:tcBorders>
                  <w:vAlign w:val="center"/>
                </w:tcPr>
                <w:p>
                  <w:pPr>
                    <w:pStyle w:val="46"/>
                    <w:spacing w:before="24" w:after="24"/>
                    <w:rPr>
                      <w:rFonts w:ascii="Times New Roman"/>
                      <w:sz w:val="21"/>
                    </w:rPr>
                  </w:pPr>
                  <w:r>
                    <w:rPr>
                      <w:rFonts w:ascii="Times New Roman"/>
                      <w:sz w:val="21"/>
                    </w:rPr>
                    <w:t>pH、SS、COD、石油类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生活废水</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施工人员生活废水</w:t>
                  </w:r>
                </w:p>
              </w:tc>
              <w:tc>
                <w:tcPr>
                  <w:tcW w:w="1944" w:type="dxa"/>
                  <w:tcBorders>
                    <w:tl2br w:val="nil"/>
                    <w:tr2bl w:val="nil"/>
                  </w:tcBorders>
                  <w:vAlign w:val="center"/>
                </w:tcPr>
                <w:p>
                  <w:pPr>
                    <w:pStyle w:val="46"/>
                    <w:spacing w:before="24" w:after="24"/>
                    <w:rPr>
                      <w:rFonts w:ascii="Times New Roman"/>
                      <w:sz w:val="21"/>
                    </w:rPr>
                  </w:pPr>
                  <w:r>
                    <w:rPr>
                      <w:rFonts w:ascii="Times New Roman"/>
                      <w:sz w:val="21"/>
                    </w:rPr>
                    <w:t>pH、COD、BOD</w:t>
                  </w:r>
                  <w:r>
                    <w:rPr>
                      <w:rFonts w:ascii="Times New Roman"/>
                      <w:sz w:val="21"/>
                      <w:vertAlign w:val="subscript"/>
                    </w:rPr>
                    <w:t>5</w:t>
                  </w:r>
                  <w:r>
                    <w:rPr>
                      <w:rFonts w:ascii="Times New Roman"/>
                      <w:sz w:val="21"/>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tl2br w:val="nil"/>
                    <w:tr2bl w:val="nil"/>
                  </w:tcBorders>
                  <w:vAlign w:val="center"/>
                </w:tcPr>
                <w:p>
                  <w:pPr>
                    <w:pStyle w:val="46"/>
                    <w:spacing w:before="24" w:after="24"/>
                    <w:rPr>
                      <w:rFonts w:ascii="Times New Roman"/>
                      <w:sz w:val="21"/>
                    </w:rPr>
                  </w:pPr>
                  <w:r>
                    <w:rPr>
                      <w:rFonts w:ascii="Times New Roman"/>
                      <w:sz w:val="21"/>
                    </w:rPr>
                    <w:t>3</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噪声</w:t>
                  </w: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施工作业</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设备噪声</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连续等效A声级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4</w:t>
                  </w:r>
                </w:p>
              </w:tc>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固体废物</w:t>
                  </w: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施工人员</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生活垃圾</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tcBorders>
                    <w:tl2br w:val="nil"/>
                    <w:tr2bl w:val="nil"/>
                  </w:tcBorders>
                  <w:vAlign w:val="center"/>
                </w:tcPr>
                <w:p>
                  <w:pPr>
                    <w:pStyle w:val="46"/>
                    <w:spacing w:before="24" w:after="24"/>
                    <w:rPr>
                      <w:rFonts w:ascii="Times New Roman"/>
                      <w:sz w:val="21"/>
                    </w:rPr>
                  </w:pPr>
                  <w:r>
                    <w:rPr>
                      <w:rFonts w:ascii="Times New Roman"/>
                      <w:sz w:val="21"/>
                    </w:rPr>
                    <w:t>施工建设</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建筑垃圾</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5</w:t>
                  </w:r>
                </w:p>
              </w:tc>
              <w:tc>
                <w:tcPr>
                  <w:tcW w:w="0" w:type="auto"/>
                  <w:vMerge w:val="restart"/>
                  <w:tcBorders>
                    <w:tl2br w:val="nil"/>
                    <w:tr2bl w:val="nil"/>
                  </w:tcBorders>
                  <w:vAlign w:val="center"/>
                </w:tcPr>
                <w:p>
                  <w:pPr>
                    <w:pStyle w:val="46"/>
                    <w:spacing w:before="24" w:after="24"/>
                    <w:rPr>
                      <w:rFonts w:ascii="Times New Roman"/>
                      <w:sz w:val="21"/>
                    </w:rPr>
                  </w:pPr>
                  <w:r>
                    <w:rPr>
                      <w:rFonts w:ascii="Times New Roman"/>
                      <w:sz w:val="21"/>
                    </w:rPr>
                    <w:t>生态环境</w:t>
                  </w:r>
                </w:p>
              </w:tc>
              <w:tc>
                <w:tcPr>
                  <w:tcW w:w="2525" w:type="dxa"/>
                  <w:vMerge w:val="restart"/>
                  <w:tcBorders>
                    <w:tl2br w:val="nil"/>
                    <w:tr2bl w:val="nil"/>
                  </w:tcBorders>
                  <w:vAlign w:val="center"/>
                </w:tcPr>
                <w:p>
                  <w:pPr>
                    <w:pStyle w:val="46"/>
                    <w:spacing w:before="24" w:after="24"/>
                    <w:rPr>
                      <w:rFonts w:ascii="Times New Roman"/>
                      <w:sz w:val="21"/>
                    </w:rPr>
                  </w:pPr>
                  <w:r>
                    <w:rPr>
                      <w:rFonts w:ascii="Times New Roman"/>
                      <w:sz w:val="21"/>
                    </w:rPr>
                    <w:t>临时施工营地、进场道路、站内工程修建</w:t>
                  </w: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土地利用性质改变</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vMerge w:val="continue"/>
                  <w:tcBorders>
                    <w:tl2br w:val="nil"/>
                    <w:tr2bl w:val="nil"/>
                  </w:tcBorders>
                  <w:vAlign w:val="center"/>
                </w:tcPr>
                <w:p>
                  <w:pPr>
                    <w:pStyle w:val="46"/>
                    <w:spacing w:before="24" w:after="24"/>
                    <w:rPr>
                      <w:rFonts w:ascii="Times New Roman"/>
                      <w:sz w:val="21"/>
                    </w:rPr>
                  </w:pP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水土流失</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vMerge w:val="continue"/>
                  <w:tcBorders>
                    <w:tl2br w:val="nil"/>
                    <w:tr2bl w:val="nil"/>
                  </w:tcBorders>
                  <w:vAlign w:val="center"/>
                </w:tcPr>
                <w:p>
                  <w:pPr>
                    <w:pStyle w:val="46"/>
                    <w:spacing w:before="24" w:after="24"/>
                    <w:rPr>
                      <w:rFonts w:ascii="Times New Roman"/>
                      <w:sz w:val="21"/>
                    </w:rPr>
                  </w:pPr>
                </w:p>
              </w:tc>
              <w:tc>
                <w:tcPr>
                  <w:tcW w:w="2275" w:type="dxa"/>
                  <w:tcBorders>
                    <w:tl2br w:val="nil"/>
                    <w:tr2bl w:val="nil"/>
                  </w:tcBorders>
                  <w:vAlign w:val="center"/>
                </w:tcPr>
                <w:p>
                  <w:pPr>
                    <w:pStyle w:val="46"/>
                    <w:spacing w:before="24" w:after="24"/>
                    <w:rPr>
                      <w:rFonts w:ascii="Times New Roman"/>
                      <w:sz w:val="21"/>
                    </w:rPr>
                  </w:pPr>
                  <w:r>
                    <w:rPr>
                      <w:rFonts w:hint="eastAsia" w:ascii="Times New Roman"/>
                      <w:sz w:val="21"/>
                    </w:rPr>
                    <w:t>野生动物</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l2br w:val="nil"/>
                    <w:tr2bl w:val="nil"/>
                  </w:tcBorders>
                  <w:vAlign w:val="center"/>
                </w:tcPr>
                <w:p>
                  <w:pPr>
                    <w:pStyle w:val="46"/>
                    <w:spacing w:before="24" w:after="24"/>
                    <w:rPr>
                      <w:rFonts w:ascii="Times New Roman"/>
                      <w:sz w:val="21"/>
                    </w:rPr>
                  </w:pPr>
                </w:p>
              </w:tc>
              <w:tc>
                <w:tcPr>
                  <w:tcW w:w="0" w:type="auto"/>
                  <w:vMerge w:val="continue"/>
                  <w:tcBorders>
                    <w:tl2br w:val="nil"/>
                    <w:tr2bl w:val="nil"/>
                  </w:tcBorders>
                  <w:vAlign w:val="center"/>
                </w:tcPr>
                <w:p>
                  <w:pPr>
                    <w:pStyle w:val="46"/>
                    <w:spacing w:before="24" w:after="24"/>
                    <w:rPr>
                      <w:rFonts w:ascii="Times New Roman"/>
                      <w:sz w:val="21"/>
                    </w:rPr>
                  </w:pPr>
                </w:p>
              </w:tc>
              <w:tc>
                <w:tcPr>
                  <w:tcW w:w="2525" w:type="dxa"/>
                  <w:vMerge w:val="continue"/>
                  <w:tcBorders>
                    <w:tl2br w:val="nil"/>
                    <w:tr2bl w:val="nil"/>
                  </w:tcBorders>
                  <w:vAlign w:val="center"/>
                </w:tcPr>
                <w:p>
                  <w:pPr>
                    <w:pStyle w:val="46"/>
                    <w:spacing w:before="24" w:after="24"/>
                    <w:rPr>
                      <w:rFonts w:ascii="Times New Roman"/>
                      <w:sz w:val="21"/>
                    </w:rPr>
                  </w:pPr>
                </w:p>
              </w:tc>
              <w:tc>
                <w:tcPr>
                  <w:tcW w:w="2275" w:type="dxa"/>
                  <w:tcBorders>
                    <w:tl2br w:val="nil"/>
                    <w:tr2bl w:val="nil"/>
                  </w:tcBorders>
                  <w:vAlign w:val="center"/>
                </w:tcPr>
                <w:p>
                  <w:pPr>
                    <w:pStyle w:val="46"/>
                    <w:spacing w:before="24" w:after="24"/>
                    <w:rPr>
                      <w:rFonts w:ascii="Times New Roman"/>
                      <w:sz w:val="21"/>
                    </w:rPr>
                  </w:pPr>
                  <w:r>
                    <w:rPr>
                      <w:rFonts w:ascii="Times New Roman"/>
                      <w:sz w:val="21"/>
                    </w:rPr>
                    <w:t>植被破坏</w:t>
                  </w:r>
                </w:p>
              </w:tc>
              <w:tc>
                <w:tcPr>
                  <w:tcW w:w="0" w:type="auto"/>
                  <w:tcBorders>
                    <w:tl2br w:val="nil"/>
                    <w:tr2bl w:val="nil"/>
                  </w:tcBorders>
                  <w:vAlign w:val="center"/>
                </w:tcPr>
                <w:p>
                  <w:pPr>
                    <w:pStyle w:val="46"/>
                    <w:spacing w:before="24" w:after="24"/>
                    <w:rPr>
                      <w:rFonts w:ascii="Times New Roman"/>
                      <w:sz w:val="21"/>
                    </w:rPr>
                  </w:pPr>
                  <w:r>
                    <w:rPr>
                      <w:rFonts w:ascii="Times New Roman"/>
                      <w:sz w:val="21"/>
                    </w:rPr>
                    <w:t>/</w:t>
                  </w:r>
                </w:p>
              </w:tc>
            </w:tr>
          </w:tbl>
          <w:p>
            <w:pPr>
              <w:adjustRightInd w:val="0"/>
              <w:snapToGrid w:val="0"/>
              <w:spacing w:before="120" w:beforeLines="50" w:after="120" w:afterLines="50" w:line="360" w:lineRule="auto"/>
              <w:rPr>
                <w:b/>
                <w:bCs/>
                <w:sz w:val="24"/>
              </w:rPr>
            </w:pPr>
            <w:r>
              <w:rPr>
                <w:rFonts w:hint="eastAsia"/>
                <w:b/>
                <w:bCs/>
                <w:sz w:val="24"/>
              </w:rPr>
              <w:t>4.1.1</w:t>
            </w:r>
            <w:r>
              <w:rPr>
                <w:b/>
                <w:bCs/>
                <w:sz w:val="24"/>
              </w:rPr>
              <w:t>施工期</w:t>
            </w:r>
            <w:r>
              <w:rPr>
                <w:rFonts w:hint="eastAsia"/>
                <w:b/>
                <w:bCs/>
                <w:sz w:val="24"/>
              </w:rPr>
              <w:t>废气影响分析</w:t>
            </w:r>
          </w:p>
          <w:p>
            <w:pPr>
              <w:pStyle w:val="11"/>
              <w:adjustRightInd w:val="0"/>
              <w:spacing w:before="0" w:after="0" w:line="360" w:lineRule="auto"/>
              <w:ind w:right="0" w:firstLine="480" w:firstLineChars="200"/>
              <w:rPr>
                <w:sz w:val="24"/>
                <w:szCs w:val="24"/>
              </w:rPr>
            </w:pPr>
            <w:r>
              <w:rPr>
                <w:sz w:val="24"/>
                <w:szCs w:val="24"/>
              </w:rPr>
              <w:t>（1）施工扬尘对环境影响分析</w:t>
            </w:r>
          </w:p>
          <w:p>
            <w:pPr>
              <w:pStyle w:val="11"/>
              <w:adjustRightInd w:val="0"/>
              <w:spacing w:before="0" w:after="0" w:line="360" w:lineRule="auto"/>
              <w:ind w:right="0" w:firstLine="480" w:firstLineChars="200"/>
              <w:rPr>
                <w:sz w:val="24"/>
                <w:szCs w:val="24"/>
              </w:rPr>
            </w:pPr>
            <w:r>
              <w:rPr>
                <w:sz w:val="24"/>
                <w:szCs w:val="24"/>
              </w:rPr>
              <w:t>施工扬尘主要在地表开挖、平整等过程产生。根据施工扬尘产生机理，扬尘的产生量主要与施工强度、施工方法、土壤湿度、气象条件等有关。在空气干燥、风速较大的气象条件下，现场尘土飞扬程度增大，空气中颗粒物浓度增加，会对周围环境带来一定的影响。散体材料堆场在风力作用下也易发生扬尘，其扬尘基本集中在下风向50m范围内。根据现场的天气情况不同，其影响范围也有所不同，采取一些覆盖、洒水等措施后，对周围环境影响不大。项目施工期时间相对较短，其影响是暂时的，随着施工结束而结束。</w:t>
            </w:r>
          </w:p>
          <w:p>
            <w:pPr>
              <w:pStyle w:val="48"/>
              <w:tabs>
                <w:tab w:val="left" w:pos="987"/>
              </w:tabs>
              <w:adjustRightInd w:val="0"/>
              <w:snapToGrid w:val="0"/>
              <w:spacing w:line="360" w:lineRule="auto"/>
              <w:ind w:left="0" w:firstLine="480" w:firstLineChars="200"/>
              <w:rPr>
                <w:rFonts w:ascii="Times New Roman" w:hAnsi="Times New Roman" w:cs="Times New Roman"/>
                <w:b/>
                <w:sz w:val="24"/>
              </w:rPr>
            </w:pPr>
            <w:bookmarkStart w:id="102" w:name="_bookmark73"/>
            <w:bookmarkEnd w:id="102"/>
            <w:r>
              <w:rPr>
                <w:rFonts w:ascii="Times New Roman" w:hAnsi="Times New Roman" w:cs="Times New Roman"/>
                <w:bCs/>
                <w:sz w:val="24"/>
              </w:rPr>
              <w:t>（2）施工道路扬尘影响分析</w:t>
            </w:r>
          </w:p>
          <w:p>
            <w:pPr>
              <w:pStyle w:val="11"/>
              <w:adjustRightInd w:val="0"/>
              <w:spacing w:before="0" w:after="0" w:line="360" w:lineRule="auto"/>
              <w:ind w:right="0" w:firstLine="480" w:firstLineChars="200"/>
              <w:rPr>
                <w:bCs/>
                <w:sz w:val="24"/>
                <w:szCs w:val="24"/>
              </w:rPr>
            </w:pPr>
            <w:r>
              <w:rPr>
                <w:bCs/>
                <w:sz w:val="24"/>
                <w:szCs w:val="24"/>
              </w:rPr>
              <w:t>引起道路扬尘的因素较多，主要与车辆行驶速度、载重量、轮胎与路面的接触面积、风速、路面积尘量和路面湿度有关，其中风速还直接影响到扬尘的传输距离。本项目材料采用汽车运输，材料本身在运输过程中，如果防护措施不当，遇风会起扬尘，尤其是粉状材料，极易产生扬尘污染，特别是大风天气，这种影响将更严重。在施工期，施工材料的运输和装卸将对周围地区带来TSP污染影响。根据相关资料，运输车辆下风向5m处10.14mg/m</w:t>
            </w:r>
            <w:r>
              <w:rPr>
                <w:bCs/>
                <w:sz w:val="24"/>
                <w:szCs w:val="24"/>
                <w:vertAlign w:val="superscript"/>
              </w:rPr>
              <w:t>3</w:t>
            </w:r>
            <w:r>
              <w:rPr>
                <w:bCs/>
                <w:sz w:val="24"/>
                <w:szCs w:val="24"/>
              </w:rPr>
              <w:t>，下风向10m处2.89mg/m</w:t>
            </w:r>
            <w:r>
              <w:rPr>
                <w:bCs/>
                <w:sz w:val="24"/>
                <w:szCs w:val="24"/>
                <w:vertAlign w:val="superscript"/>
              </w:rPr>
              <w:t>3</w:t>
            </w:r>
            <w:r>
              <w:rPr>
                <w:bCs/>
                <w:sz w:val="24"/>
                <w:szCs w:val="24"/>
              </w:rPr>
              <w:t>，下风向50m处1.15mg/m</w:t>
            </w:r>
            <w:r>
              <w:rPr>
                <w:bCs/>
                <w:sz w:val="24"/>
                <w:szCs w:val="24"/>
                <w:vertAlign w:val="superscript"/>
              </w:rPr>
              <w:t>3</w:t>
            </w:r>
            <w:r>
              <w:rPr>
                <w:bCs/>
                <w:sz w:val="24"/>
                <w:szCs w:val="24"/>
              </w:rPr>
              <w:t>，超过《大气污染物综合排放标准》（GB16297-1996）周界外无组织颗粒物1mg/m</w:t>
            </w:r>
            <w:r>
              <w:rPr>
                <w:bCs/>
                <w:sz w:val="24"/>
                <w:szCs w:val="24"/>
                <w:vertAlign w:val="superscript"/>
              </w:rPr>
              <w:t>3</w:t>
            </w:r>
            <w:r>
              <w:rPr>
                <w:bCs/>
                <w:sz w:val="24"/>
                <w:szCs w:val="24"/>
              </w:rPr>
              <w:t>的限值要求。场地洒水是降低扬尘的最好办法，如果在施工期间对施工场地路面实施洒水抑尘，每天洒水4~5次，可使粉尘减少70％左右。施工场地洒水抑尘的试验结果见表4-2。</w:t>
            </w:r>
          </w:p>
          <w:p>
            <w:pPr>
              <w:pStyle w:val="59"/>
              <w:adjustRightInd w:val="0"/>
              <w:snapToGrid w:val="0"/>
              <w:spacing w:before="120" w:beforeLines="50" w:line="360" w:lineRule="auto"/>
              <w:ind w:firstLine="482" w:firstLineChars="200"/>
              <w:rPr>
                <w:rFonts w:eastAsia="宋体" w:cs="Times New Roman"/>
                <w:sz w:val="24"/>
              </w:rPr>
            </w:pPr>
            <w:r>
              <w:rPr>
                <w:rFonts w:eastAsia="宋体" w:cs="Times New Roman"/>
                <w:sz w:val="24"/>
              </w:rPr>
              <w:t>表4-2     洒水抑尘试验结果</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1275"/>
              <w:gridCol w:w="1125"/>
              <w:gridCol w:w="1123"/>
              <w:gridCol w:w="1125"/>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43" w:type="pct"/>
                  <w:gridSpan w:val="2"/>
                  <w:vAlign w:val="center"/>
                </w:tcPr>
                <w:p>
                  <w:pPr>
                    <w:pStyle w:val="60"/>
                  </w:pPr>
                  <w:r>
                    <w:t>距离（m）</w:t>
                  </w:r>
                </w:p>
              </w:tc>
              <w:tc>
                <w:tcPr>
                  <w:tcW w:w="689" w:type="pct"/>
                  <w:vAlign w:val="center"/>
                </w:tcPr>
                <w:p>
                  <w:pPr>
                    <w:pStyle w:val="60"/>
                  </w:pPr>
                  <w:r>
                    <w:t>5</w:t>
                  </w:r>
                </w:p>
              </w:tc>
              <w:tc>
                <w:tcPr>
                  <w:tcW w:w="688" w:type="pct"/>
                  <w:vAlign w:val="center"/>
                </w:tcPr>
                <w:p>
                  <w:pPr>
                    <w:pStyle w:val="60"/>
                  </w:pPr>
                  <w:r>
                    <w:t>10</w:t>
                  </w:r>
                </w:p>
              </w:tc>
              <w:tc>
                <w:tcPr>
                  <w:tcW w:w="689" w:type="pct"/>
                  <w:vAlign w:val="center"/>
                </w:tcPr>
                <w:p>
                  <w:pPr>
                    <w:pStyle w:val="60"/>
                  </w:pPr>
                  <w:r>
                    <w:t>50</w:t>
                  </w:r>
                </w:p>
              </w:tc>
              <w:tc>
                <w:tcPr>
                  <w:tcW w:w="689" w:type="pct"/>
                  <w:vAlign w:val="center"/>
                </w:tcPr>
                <w:p>
                  <w:pPr>
                    <w:pStyle w:val="60"/>
                  </w:pPr>
                  <w: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trPr>
              <w:tc>
                <w:tcPr>
                  <w:tcW w:w="1462" w:type="pct"/>
                  <w:vMerge w:val="restart"/>
                  <w:vAlign w:val="center"/>
                </w:tcPr>
                <w:p>
                  <w:pPr>
                    <w:pStyle w:val="60"/>
                  </w:pPr>
                  <w:r>
                    <w:t>TSP小时平均浓度（mg/m</w:t>
                  </w:r>
                  <w:r>
                    <w:rPr>
                      <w:vertAlign w:val="superscript"/>
                    </w:rPr>
                    <w:t>3</w:t>
                  </w:r>
                  <w:r>
                    <w:t>）</w:t>
                  </w:r>
                </w:p>
              </w:tc>
              <w:tc>
                <w:tcPr>
                  <w:tcW w:w="780" w:type="pct"/>
                  <w:vAlign w:val="center"/>
                </w:tcPr>
                <w:p>
                  <w:pPr>
                    <w:pStyle w:val="60"/>
                  </w:pPr>
                  <w:r>
                    <w:t>不洒水</w:t>
                  </w:r>
                </w:p>
              </w:tc>
              <w:tc>
                <w:tcPr>
                  <w:tcW w:w="689" w:type="pct"/>
                  <w:vAlign w:val="center"/>
                </w:tcPr>
                <w:p>
                  <w:pPr>
                    <w:pStyle w:val="60"/>
                  </w:pPr>
                  <w:r>
                    <w:t>10.14</w:t>
                  </w:r>
                </w:p>
              </w:tc>
              <w:tc>
                <w:tcPr>
                  <w:tcW w:w="688" w:type="pct"/>
                  <w:vAlign w:val="center"/>
                </w:tcPr>
                <w:p>
                  <w:pPr>
                    <w:pStyle w:val="60"/>
                  </w:pPr>
                  <w:r>
                    <w:t>2.89</w:t>
                  </w:r>
                </w:p>
              </w:tc>
              <w:tc>
                <w:tcPr>
                  <w:tcW w:w="689" w:type="pct"/>
                  <w:vAlign w:val="center"/>
                </w:tcPr>
                <w:p>
                  <w:pPr>
                    <w:pStyle w:val="60"/>
                  </w:pPr>
                  <w:r>
                    <w:t>1.15</w:t>
                  </w:r>
                </w:p>
              </w:tc>
              <w:tc>
                <w:tcPr>
                  <w:tcW w:w="689" w:type="pct"/>
                  <w:vAlign w:val="center"/>
                </w:tcPr>
                <w:p>
                  <w:pPr>
                    <w:pStyle w:val="60"/>
                  </w:pPr>
                  <w: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trPr>
              <w:tc>
                <w:tcPr>
                  <w:tcW w:w="1462" w:type="pct"/>
                  <w:vMerge w:val="continue"/>
                  <w:vAlign w:val="center"/>
                </w:tcPr>
                <w:p>
                  <w:pPr>
                    <w:pStyle w:val="60"/>
                  </w:pPr>
                </w:p>
              </w:tc>
              <w:tc>
                <w:tcPr>
                  <w:tcW w:w="780" w:type="pct"/>
                  <w:vAlign w:val="center"/>
                </w:tcPr>
                <w:p>
                  <w:pPr>
                    <w:pStyle w:val="60"/>
                  </w:pPr>
                  <w:r>
                    <w:t>洒水</w:t>
                  </w:r>
                </w:p>
              </w:tc>
              <w:tc>
                <w:tcPr>
                  <w:tcW w:w="689" w:type="pct"/>
                  <w:vAlign w:val="center"/>
                </w:tcPr>
                <w:p>
                  <w:pPr>
                    <w:pStyle w:val="60"/>
                  </w:pPr>
                  <w:r>
                    <w:t>2.0</w:t>
                  </w:r>
                </w:p>
              </w:tc>
              <w:tc>
                <w:tcPr>
                  <w:tcW w:w="688" w:type="pct"/>
                  <w:vAlign w:val="center"/>
                </w:tcPr>
                <w:p>
                  <w:pPr>
                    <w:pStyle w:val="60"/>
                  </w:pPr>
                  <w:r>
                    <w:t>1.40</w:t>
                  </w:r>
                </w:p>
              </w:tc>
              <w:tc>
                <w:tcPr>
                  <w:tcW w:w="689" w:type="pct"/>
                  <w:vAlign w:val="center"/>
                </w:tcPr>
                <w:p>
                  <w:pPr>
                    <w:pStyle w:val="60"/>
                  </w:pPr>
                  <w:r>
                    <w:t>0.67</w:t>
                  </w:r>
                </w:p>
              </w:tc>
              <w:tc>
                <w:tcPr>
                  <w:tcW w:w="689" w:type="pct"/>
                  <w:vAlign w:val="center"/>
                </w:tcPr>
                <w:p>
                  <w:pPr>
                    <w:pStyle w:val="60"/>
                  </w:pPr>
                  <w:r>
                    <w:t>0.60</w:t>
                  </w:r>
                </w:p>
              </w:tc>
            </w:tr>
          </w:tbl>
          <w:p>
            <w:pPr>
              <w:pStyle w:val="11"/>
              <w:adjustRightInd w:val="0"/>
              <w:spacing w:before="120" w:beforeLines="50" w:after="0" w:line="360" w:lineRule="auto"/>
              <w:ind w:right="0" w:firstLine="480" w:firstLineChars="200"/>
              <w:rPr>
                <w:bCs/>
                <w:sz w:val="24"/>
                <w:szCs w:val="24"/>
              </w:rPr>
            </w:pPr>
            <w:r>
              <w:rPr>
                <w:bCs/>
                <w:sz w:val="24"/>
                <w:szCs w:val="24"/>
              </w:rPr>
              <w:t>通过采取施工道路定期洒水降尘，施工车辆轮胎清洗，运输材料遮盖等措施后，</w:t>
            </w:r>
            <w:r>
              <w:rPr>
                <w:rFonts w:hint="eastAsia"/>
                <w:bCs/>
                <w:sz w:val="24"/>
                <w:szCs w:val="24"/>
              </w:rPr>
              <w:t>道路扬尘对空气质量的影响主要局限于施工场地</w:t>
            </w:r>
            <w:r>
              <w:rPr>
                <w:bCs/>
                <w:sz w:val="24"/>
                <w:szCs w:val="24"/>
              </w:rPr>
              <w:t>50m</w:t>
            </w:r>
            <w:r>
              <w:rPr>
                <w:rFonts w:hint="eastAsia"/>
                <w:bCs/>
                <w:sz w:val="24"/>
                <w:szCs w:val="24"/>
              </w:rPr>
              <w:t>以内，并且影响时段较短，影响将随施工期结束而停止。</w:t>
            </w:r>
          </w:p>
          <w:p>
            <w:pPr>
              <w:pStyle w:val="48"/>
              <w:tabs>
                <w:tab w:val="left" w:pos="987"/>
              </w:tabs>
              <w:adjustRightInd w:val="0"/>
              <w:snapToGrid w:val="0"/>
              <w:spacing w:line="360" w:lineRule="auto"/>
              <w:ind w:left="0" w:firstLine="480" w:firstLineChars="200"/>
              <w:rPr>
                <w:rFonts w:ascii="Times New Roman" w:hAnsi="Times New Roman" w:cs="Times New Roman"/>
                <w:b/>
                <w:sz w:val="24"/>
              </w:rPr>
            </w:pPr>
            <w:r>
              <w:rPr>
                <w:rFonts w:ascii="Times New Roman" w:hAnsi="Times New Roman" w:cs="Times New Roman"/>
                <w:bCs/>
                <w:sz w:val="24"/>
              </w:rPr>
              <w:t>（3）施工机械、车辆尾气影响分析</w:t>
            </w:r>
          </w:p>
          <w:p>
            <w:pPr>
              <w:pStyle w:val="11"/>
              <w:adjustRightInd w:val="0"/>
              <w:spacing w:before="0" w:after="0" w:line="360" w:lineRule="auto"/>
              <w:ind w:right="0" w:firstLine="480" w:firstLineChars="200"/>
              <w:rPr>
                <w:sz w:val="24"/>
                <w:szCs w:val="24"/>
              </w:rPr>
            </w:pPr>
            <w:r>
              <w:rPr>
                <w:sz w:val="24"/>
                <w:szCs w:val="24"/>
              </w:rPr>
              <w:t>施工机械和运输车辆排放尾气主要的污染物有CO、NOx、HC。主要对运输路线两侧局部范围其它处敏感点产生一定影响，由于排放量小，其影响的程度与范围也相对小，通过采取限制超载、限制车速等措施可以大大降低运输车辆及施工机械尾气对周围环境的影响。因此，施工机械和运输汽车所排放的尾气对周围环境影响不大。随着施工期的结束，此影响随即消失。</w:t>
            </w:r>
          </w:p>
          <w:p>
            <w:pPr>
              <w:pStyle w:val="48"/>
              <w:tabs>
                <w:tab w:val="left" w:pos="987"/>
              </w:tabs>
              <w:adjustRightInd w:val="0"/>
              <w:snapToGrid w:val="0"/>
              <w:spacing w:line="360" w:lineRule="auto"/>
              <w:ind w:left="0" w:firstLine="480" w:firstLineChars="200"/>
              <w:rPr>
                <w:rFonts w:ascii="Times New Roman" w:hAnsi="Times New Roman" w:cs="Times New Roman"/>
                <w:bCs/>
                <w:sz w:val="24"/>
              </w:rPr>
            </w:pPr>
            <w:bookmarkStart w:id="103" w:name="_bookmark74"/>
            <w:bookmarkEnd w:id="103"/>
            <w:bookmarkStart w:id="104" w:name="_bookmark75"/>
            <w:bookmarkEnd w:id="104"/>
            <w:r>
              <w:rPr>
                <w:rFonts w:ascii="Times New Roman" w:hAnsi="Times New Roman" w:cs="Times New Roman"/>
                <w:bCs/>
                <w:sz w:val="24"/>
              </w:rPr>
              <w:t>（4）施工期大气环境影响分析小结</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05" w:name="_Toc2037"/>
            <w:r>
              <w:rPr>
                <w:rFonts w:ascii="Times New Roman" w:hAnsi="Times New Roman" w:cs="Times New Roman"/>
                <w:b w:val="0"/>
                <w:bCs w:val="0"/>
                <w:sz w:val="24"/>
                <w:szCs w:val="24"/>
                <w:lang w:eastAsia="zh-CN"/>
              </w:rPr>
              <w:t>施工扬尘、燃油废气会对大气环境造成不利影响，但项目工程规模较小，施工区域大气扩散条件较好，对环境的影响程度和范围有限，且其影响具有流动性、暂时性，施工结束后影响消失，不会造成持久性不利影响。</w:t>
            </w:r>
            <w:bookmarkEnd w:id="105"/>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106" w:name="_Toc10639"/>
            <w:r>
              <w:rPr>
                <w:rFonts w:hint="eastAsia" w:ascii="Times New Roman" w:hAnsi="Times New Roman" w:cs="Times New Roman"/>
                <w:sz w:val="24"/>
                <w:szCs w:val="24"/>
                <w:lang w:eastAsia="zh-CN"/>
              </w:rPr>
              <w:t>4.1.2</w:t>
            </w:r>
            <w:r>
              <w:rPr>
                <w:rFonts w:ascii="Times New Roman" w:hAnsi="Times New Roman" w:cs="Times New Roman"/>
                <w:sz w:val="24"/>
                <w:szCs w:val="24"/>
                <w:lang w:eastAsia="zh-CN"/>
              </w:rPr>
              <w:t>施工期地表水环境</w:t>
            </w:r>
            <w:r>
              <w:rPr>
                <w:rFonts w:hint="eastAsia" w:ascii="Times New Roman" w:hAnsi="Times New Roman" w:cs="Times New Roman"/>
                <w:sz w:val="24"/>
                <w:szCs w:val="24"/>
                <w:lang w:eastAsia="zh-CN"/>
              </w:rPr>
              <w:t>影响分析</w:t>
            </w:r>
            <w:bookmarkEnd w:id="106"/>
          </w:p>
          <w:p>
            <w:pPr>
              <w:adjustRightInd w:val="0"/>
              <w:snapToGrid w:val="0"/>
              <w:spacing w:line="360" w:lineRule="auto"/>
              <w:ind w:firstLine="480" w:firstLineChars="200"/>
              <w:rPr>
                <w:sz w:val="24"/>
              </w:rPr>
            </w:pPr>
            <w:r>
              <w:rPr>
                <w:sz w:val="24"/>
              </w:rPr>
              <w:t>本项目施工期间的废水包括施工生产废水和施工人员生活废水。其中生产废水主要为设备清洗、物料清洗、进出车辆清洗及建筑结构养护等过程产生；生活废水主要</w:t>
            </w:r>
            <w:r>
              <w:rPr>
                <w:rFonts w:hint="eastAsia"/>
                <w:sz w:val="24"/>
              </w:rPr>
              <w:t>来自</w:t>
            </w:r>
            <w:r>
              <w:rPr>
                <w:sz w:val="24"/>
              </w:rPr>
              <w:t>施工人员的生活排水。</w:t>
            </w:r>
          </w:p>
          <w:p>
            <w:pPr>
              <w:adjustRightInd w:val="0"/>
              <w:snapToGrid w:val="0"/>
              <w:spacing w:line="360" w:lineRule="auto"/>
              <w:ind w:firstLine="480" w:firstLineChars="200"/>
              <w:rPr>
                <w:sz w:val="24"/>
              </w:rPr>
            </w:pPr>
            <w:r>
              <w:rPr>
                <w:sz w:val="24"/>
              </w:rPr>
              <w:t>生产废水设置5m</w:t>
            </w:r>
            <w:r>
              <w:rPr>
                <w:sz w:val="24"/>
                <w:vertAlign w:val="superscript"/>
              </w:rPr>
              <w:t>3</w:t>
            </w:r>
            <w:r>
              <w:rPr>
                <w:sz w:val="24"/>
              </w:rPr>
              <w:t>的临时沉淀池（防渗），经沉淀处理后回用于施工工序，不外排。</w:t>
            </w:r>
          </w:p>
          <w:p>
            <w:pPr>
              <w:adjustRightInd w:val="0"/>
              <w:snapToGrid w:val="0"/>
              <w:spacing w:line="360" w:lineRule="auto"/>
              <w:ind w:firstLine="480" w:firstLineChars="200"/>
              <w:rPr>
                <w:sz w:val="24"/>
              </w:rPr>
            </w:pPr>
            <w:r>
              <w:rPr>
                <w:color w:val="FF0000"/>
                <w:sz w:val="24"/>
              </w:rPr>
              <w:t>施工高峰期人数约</w:t>
            </w:r>
            <w:r>
              <w:rPr>
                <w:rFonts w:hint="eastAsia"/>
                <w:color w:val="FF0000"/>
                <w:sz w:val="24"/>
              </w:rPr>
              <w:t>90</w:t>
            </w:r>
            <w:r>
              <w:rPr>
                <w:color w:val="FF0000"/>
                <w:sz w:val="24"/>
              </w:rPr>
              <w:t>人，施工人员</w:t>
            </w:r>
            <w:r>
              <w:rPr>
                <w:rFonts w:hint="eastAsia"/>
                <w:color w:val="FF0000"/>
                <w:sz w:val="24"/>
              </w:rPr>
              <w:t>多为电气安装专业技术人员</w:t>
            </w:r>
            <w:r>
              <w:rPr>
                <w:color w:val="FF0000"/>
                <w:sz w:val="24"/>
              </w:rPr>
              <w:t>，</w:t>
            </w:r>
            <w:bookmarkStart w:id="107" w:name="_Hlk101336791"/>
            <w:r>
              <w:rPr>
                <w:rFonts w:hint="eastAsia"/>
                <w:color w:val="FF0000"/>
                <w:sz w:val="24"/>
              </w:rPr>
              <w:t>租用六坝镇民房，</w:t>
            </w:r>
            <w:r>
              <w:rPr>
                <w:color w:val="FF0000"/>
                <w:sz w:val="24"/>
              </w:rPr>
              <w:t>不在施工现场食宿</w:t>
            </w:r>
            <w:bookmarkEnd w:id="107"/>
            <w:r>
              <w:rPr>
                <w:rFonts w:hint="eastAsia"/>
                <w:color w:val="FF0000"/>
                <w:sz w:val="24"/>
              </w:rPr>
              <w:t>，施工现场仅设置2~3个看护人员留守；</w:t>
            </w:r>
            <w:r>
              <w:rPr>
                <w:color w:val="FF0000"/>
                <w:sz w:val="24"/>
              </w:rPr>
              <w:t>施工人员使用临时旱厕（防渗），定期清掏；施工管理室、值班室（</w:t>
            </w:r>
            <w:r>
              <w:rPr>
                <w:rFonts w:hint="eastAsia"/>
                <w:color w:val="FF0000"/>
                <w:sz w:val="24"/>
              </w:rPr>
              <w:t>3</w:t>
            </w:r>
            <w:r>
              <w:rPr>
                <w:color w:val="FF0000"/>
                <w:sz w:val="24"/>
              </w:rPr>
              <w:t>人）产生的少量洗漱废水0.</w:t>
            </w:r>
            <w:r>
              <w:rPr>
                <w:rFonts w:hint="eastAsia"/>
                <w:color w:val="FF0000"/>
                <w:sz w:val="24"/>
              </w:rPr>
              <w:t>1</w:t>
            </w:r>
            <w:r>
              <w:rPr>
                <w:color w:val="FF0000"/>
                <w:sz w:val="24"/>
              </w:rPr>
              <w:t>2m</w:t>
            </w:r>
            <w:r>
              <w:rPr>
                <w:color w:val="FF0000"/>
                <w:sz w:val="24"/>
                <w:vertAlign w:val="superscript"/>
              </w:rPr>
              <w:t>3</w:t>
            </w:r>
            <w:r>
              <w:rPr>
                <w:color w:val="FF0000"/>
                <w:sz w:val="24"/>
              </w:rPr>
              <w:t>/d，用于场地泼洒抑尘；施工结束后对沉淀池、临时旱厕进行处理，并恢复迹地。此外，本项目基本处于戈壁地带，属于较为干旱缺水地区，施工期污水量很小，因此施工期排水对地表水环境影响不大</w:t>
            </w:r>
            <w:r>
              <w:rPr>
                <w:sz w:val="24"/>
              </w:rPr>
              <w:t>。</w:t>
            </w:r>
          </w:p>
          <w:p>
            <w:pPr>
              <w:adjustRightInd w:val="0"/>
              <w:snapToGrid w:val="0"/>
              <w:spacing w:line="360" w:lineRule="auto"/>
              <w:ind w:firstLine="480" w:firstLineChars="200"/>
              <w:rPr>
                <w:sz w:val="24"/>
              </w:rPr>
            </w:pPr>
            <w:r>
              <w:rPr>
                <w:rFonts w:hint="eastAsia"/>
                <w:sz w:val="24"/>
              </w:rPr>
              <w:t>输电线路开挖工程量小，施工时间较短，施工周期一般在一到两个星期内，影响区域较小；输电线路的施工具有局地占地面积小、施工人员少等特点，施工人员利用储能电站设置的施工生活设施，不另外新建生活设施。线路施工期间划定明确的施工范围，不得随意扩大，施工中注意不让泥水外溢而影响周围环境。</w:t>
            </w:r>
          </w:p>
          <w:p>
            <w:pPr>
              <w:adjustRightInd w:val="0"/>
              <w:snapToGrid w:val="0"/>
              <w:spacing w:line="360" w:lineRule="auto"/>
              <w:ind w:firstLine="480" w:firstLineChars="200"/>
              <w:rPr>
                <w:sz w:val="24"/>
              </w:rPr>
            </w:pPr>
            <w:r>
              <w:rPr>
                <w:rFonts w:hint="eastAsia"/>
                <w:sz w:val="24"/>
              </w:rPr>
              <w:t>间隔扩建工程不产生废污水，对水环境基本不会产生影响。</w:t>
            </w:r>
          </w:p>
          <w:p>
            <w:pPr>
              <w:adjustRightInd w:val="0"/>
              <w:snapToGrid w:val="0"/>
              <w:spacing w:before="120" w:beforeLines="50" w:after="120" w:afterLines="50" w:line="360" w:lineRule="auto"/>
              <w:rPr>
                <w:b/>
                <w:bCs/>
                <w:sz w:val="24"/>
              </w:rPr>
            </w:pPr>
            <w:r>
              <w:rPr>
                <w:rFonts w:hint="eastAsia"/>
                <w:b/>
                <w:bCs/>
                <w:sz w:val="24"/>
              </w:rPr>
              <w:t>4.1.3</w:t>
            </w:r>
            <w:r>
              <w:rPr>
                <w:b/>
                <w:bCs/>
                <w:sz w:val="24"/>
              </w:rPr>
              <w:t>施工期声环境</w:t>
            </w:r>
            <w:r>
              <w:rPr>
                <w:rFonts w:hint="eastAsia"/>
                <w:b/>
                <w:bCs/>
                <w:sz w:val="24"/>
              </w:rPr>
              <w:t>影响分析</w:t>
            </w:r>
          </w:p>
          <w:p>
            <w:pPr>
              <w:adjustRightInd w:val="0"/>
              <w:snapToGrid w:val="0"/>
              <w:spacing w:line="360" w:lineRule="auto"/>
              <w:ind w:firstLine="480" w:firstLineChars="200"/>
              <w:rPr>
                <w:sz w:val="24"/>
              </w:rPr>
            </w:pPr>
            <w:r>
              <w:rPr>
                <w:rFonts w:hint="eastAsia"/>
                <w:sz w:val="24"/>
              </w:rPr>
              <w:t>项目</w:t>
            </w:r>
            <w:r>
              <w:rPr>
                <w:sz w:val="24"/>
              </w:rPr>
              <w:t>施工阶段的噪声主要来自施工机械和运输车辆的运作，该类噪声虽然是暂时的，但是施工过程中采用的机械设备大部分具有噪声高、无规则等特点，且施工过程中往往是多种机械同时工作，各种噪声源相互叠加，噪声级将更高，影响范围也更大，所以施工过程中必须采取有效措施，减少其对环境的影响</w:t>
            </w:r>
            <w:r>
              <w:rPr>
                <w:rFonts w:hint="eastAsia"/>
                <w:sz w:val="24"/>
              </w:rPr>
              <w:t>。</w:t>
            </w:r>
          </w:p>
          <w:p>
            <w:pPr>
              <w:adjustRightInd w:val="0"/>
              <w:snapToGrid w:val="0"/>
              <w:spacing w:line="360" w:lineRule="auto"/>
              <w:ind w:firstLine="480" w:firstLineChars="200"/>
              <w:rPr>
                <w:sz w:val="24"/>
              </w:rPr>
            </w:pPr>
            <w:r>
              <w:rPr>
                <w:sz w:val="24"/>
              </w:rPr>
              <w:t>施工期需动用车辆及施工机具，噪声强度较大，在一定范围内会对周围声环境产生影响。主要施工机具噪声水平见</w:t>
            </w:r>
            <w:r>
              <w:rPr>
                <w:rFonts w:hint="eastAsia"/>
                <w:sz w:val="24"/>
              </w:rPr>
              <w:t>下</w:t>
            </w:r>
            <w:r>
              <w:rPr>
                <w:sz w:val="24"/>
              </w:rPr>
              <w:t>表</w:t>
            </w:r>
            <w:r>
              <w:rPr>
                <w:rFonts w:hint="eastAsia"/>
                <w:sz w:val="24"/>
              </w:rPr>
              <w:t>（</w:t>
            </w:r>
            <w:r>
              <w:rPr>
                <w:sz w:val="24"/>
              </w:rPr>
              <w:t>按HJ2034-2013给出的声压级范围，取平均值</w:t>
            </w:r>
            <w:r>
              <w:rPr>
                <w:rFonts w:hint="eastAsia"/>
                <w:sz w:val="24"/>
              </w:rPr>
              <w:t>）。</w:t>
            </w:r>
          </w:p>
          <w:p>
            <w:pPr>
              <w:adjustRightInd w:val="0"/>
              <w:snapToGrid w:val="0"/>
              <w:spacing w:before="120" w:beforeLines="50" w:line="360" w:lineRule="auto"/>
              <w:jc w:val="center"/>
              <w:rPr>
                <w:b/>
                <w:bCs/>
                <w:sz w:val="24"/>
              </w:rPr>
            </w:pPr>
            <w:r>
              <w:rPr>
                <w:rFonts w:hint="eastAsia"/>
                <w:b/>
                <w:bCs/>
                <w:sz w:val="24"/>
              </w:rPr>
              <w:t>表4-3    施工机械噪声源强</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2282"/>
              <w:gridCol w:w="1771"/>
              <w:gridCol w:w="2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0" w:type="pct"/>
                  <w:vAlign w:val="center"/>
                </w:tcPr>
                <w:p>
                  <w:pPr>
                    <w:jc w:val="center"/>
                    <w:rPr>
                      <w:b/>
                      <w:bCs/>
                      <w:szCs w:val="21"/>
                    </w:rPr>
                  </w:pPr>
                  <w:r>
                    <w:rPr>
                      <w:rFonts w:hint="eastAsia"/>
                      <w:b/>
                      <w:bCs/>
                      <w:szCs w:val="21"/>
                    </w:rPr>
                    <w:t>声源名称</w:t>
                  </w:r>
                </w:p>
              </w:tc>
              <w:tc>
                <w:tcPr>
                  <w:tcW w:w="1398" w:type="pct"/>
                  <w:vAlign w:val="center"/>
                </w:tcPr>
                <w:p>
                  <w:pPr>
                    <w:jc w:val="center"/>
                    <w:rPr>
                      <w:b/>
                      <w:bCs/>
                      <w:szCs w:val="21"/>
                    </w:rPr>
                  </w:pPr>
                  <w:r>
                    <w:rPr>
                      <w:rFonts w:hint="eastAsia"/>
                      <w:b/>
                      <w:bCs/>
                      <w:szCs w:val="21"/>
                    </w:rPr>
                    <w:t>噪声级dB(A)</w:t>
                  </w:r>
                </w:p>
                <w:p>
                  <w:pPr>
                    <w:jc w:val="center"/>
                    <w:rPr>
                      <w:b/>
                      <w:bCs/>
                      <w:szCs w:val="21"/>
                    </w:rPr>
                  </w:pPr>
                  <w:r>
                    <w:rPr>
                      <w:rFonts w:hint="eastAsia"/>
                      <w:b/>
                      <w:bCs/>
                      <w:szCs w:val="21"/>
                    </w:rPr>
                    <w:t>（距设备5m处）</w:t>
                  </w:r>
                </w:p>
              </w:tc>
              <w:tc>
                <w:tcPr>
                  <w:tcW w:w="1085" w:type="pct"/>
                  <w:vAlign w:val="center"/>
                </w:tcPr>
                <w:p>
                  <w:pPr>
                    <w:jc w:val="center"/>
                    <w:rPr>
                      <w:b/>
                      <w:bCs/>
                      <w:szCs w:val="21"/>
                    </w:rPr>
                  </w:pPr>
                  <w:r>
                    <w:rPr>
                      <w:rFonts w:hint="eastAsia"/>
                      <w:b/>
                      <w:bCs/>
                      <w:szCs w:val="21"/>
                    </w:rPr>
                    <w:t>声源名称</w:t>
                  </w:r>
                </w:p>
              </w:tc>
              <w:tc>
                <w:tcPr>
                  <w:tcW w:w="1415" w:type="pct"/>
                  <w:vAlign w:val="center"/>
                </w:tcPr>
                <w:p>
                  <w:pPr>
                    <w:jc w:val="center"/>
                    <w:rPr>
                      <w:b/>
                      <w:bCs/>
                      <w:szCs w:val="21"/>
                    </w:rPr>
                  </w:pPr>
                  <w:r>
                    <w:rPr>
                      <w:rFonts w:hint="eastAsia"/>
                      <w:b/>
                      <w:bCs/>
                      <w:szCs w:val="21"/>
                    </w:rPr>
                    <w:t>噪声级dB(A)</w:t>
                  </w:r>
                </w:p>
                <w:p>
                  <w:pPr>
                    <w:jc w:val="center"/>
                    <w:rPr>
                      <w:b/>
                      <w:bCs/>
                      <w:szCs w:val="21"/>
                    </w:rPr>
                  </w:pPr>
                  <w:r>
                    <w:rPr>
                      <w:rFonts w:hint="eastAsia"/>
                      <w:b/>
                      <w:bCs/>
                      <w:szCs w:val="21"/>
                    </w:rPr>
                    <w:t>（距设备5m处）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0" w:type="pct"/>
                  <w:vAlign w:val="center"/>
                </w:tcPr>
                <w:p>
                  <w:pPr>
                    <w:jc w:val="center"/>
                    <w:rPr>
                      <w:szCs w:val="21"/>
                    </w:rPr>
                  </w:pPr>
                  <w:r>
                    <w:rPr>
                      <w:rFonts w:hint="eastAsia"/>
                      <w:szCs w:val="21"/>
                    </w:rPr>
                    <w:t>轮胎式起重机</w:t>
                  </w:r>
                </w:p>
              </w:tc>
              <w:tc>
                <w:tcPr>
                  <w:tcW w:w="1398" w:type="pct"/>
                  <w:vAlign w:val="center"/>
                </w:tcPr>
                <w:p>
                  <w:pPr>
                    <w:jc w:val="center"/>
                    <w:rPr>
                      <w:szCs w:val="21"/>
                    </w:rPr>
                  </w:pPr>
                  <w:r>
                    <w:rPr>
                      <w:rFonts w:hint="eastAsia"/>
                      <w:szCs w:val="21"/>
                    </w:rPr>
                    <w:t>90</w:t>
                  </w:r>
                </w:p>
              </w:tc>
              <w:tc>
                <w:tcPr>
                  <w:tcW w:w="1085" w:type="pct"/>
                  <w:vAlign w:val="center"/>
                </w:tcPr>
                <w:p>
                  <w:pPr>
                    <w:jc w:val="center"/>
                    <w:rPr>
                      <w:szCs w:val="21"/>
                    </w:rPr>
                  </w:pPr>
                  <w:r>
                    <w:rPr>
                      <w:rFonts w:hint="eastAsia"/>
                      <w:szCs w:val="21"/>
                    </w:rPr>
                    <w:t>履带式推土机</w:t>
                  </w:r>
                </w:p>
              </w:tc>
              <w:tc>
                <w:tcPr>
                  <w:tcW w:w="1415" w:type="pct"/>
                  <w:vAlign w:val="center"/>
                </w:tcPr>
                <w:p>
                  <w:pPr>
                    <w:jc w:val="center"/>
                    <w:rPr>
                      <w:szCs w:val="21"/>
                    </w:rPr>
                  </w:pPr>
                  <w:r>
                    <w:rPr>
                      <w:rFonts w:hint="eastAsia"/>
                      <w:szCs w:val="21"/>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0" w:type="pct"/>
                  <w:vAlign w:val="center"/>
                </w:tcPr>
                <w:p>
                  <w:pPr>
                    <w:jc w:val="center"/>
                    <w:rPr>
                      <w:szCs w:val="21"/>
                    </w:rPr>
                  </w:pPr>
                  <w:r>
                    <w:rPr>
                      <w:rFonts w:hint="eastAsia"/>
                      <w:szCs w:val="21"/>
                    </w:rPr>
                    <w:t>反铲式挖掘机</w:t>
                  </w:r>
                </w:p>
              </w:tc>
              <w:tc>
                <w:tcPr>
                  <w:tcW w:w="1398" w:type="pct"/>
                  <w:vAlign w:val="center"/>
                </w:tcPr>
                <w:p>
                  <w:pPr>
                    <w:jc w:val="center"/>
                    <w:rPr>
                      <w:szCs w:val="21"/>
                    </w:rPr>
                  </w:pPr>
                  <w:r>
                    <w:rPr>
                      <w:rFonts w:hint="eastAsia"/>
                      <w:szCs w:val="21"/>
                    </w:rPr>
                    <w:t>88</w:t>
                  </w:r>
                </w:p>
              </w:tc>
              <w:tc>
                <w:tcPr>
                  <w:tcW w:w="1085" w:type="pct"/>
                  <w:vAlign w:val="center"/>
                </w:tcPr>
                <w:p>
                  <w:pPr>
                    <w:jc w:val="center"/>
                    <w:rPr>
                      <w:szCs w:val="21"/>
                    </w:rPr>
                  </w:pPr>
                  <w:r>
                    <w:rPr>
                      <w:rFonts w:hint="eastAsia"/>
                      <w:szCs w:val="21"/>
                    </w:rPr>
                    <w:t>电焊机</w:t>
                  </w:r>
                </w:p>
              </w:tc>
              <w:tc>
                <w:tcPr>
                  <w:tcW w:w="1415" w:type="pct"/>
                  <w:vAlign w:val="center"/>
                </w:tcPr>
                <w:p>
                  <w:pPr>
                    <w:jc w:val="center"/>
                    <w:rPr>
                      <w:szCs w:val="21"/>
                    </w:rPr>
                  </w:pPr>
                  <w:r>
                    <w:rPr>
                      <w:rFonts w:hint="eastAsia"/>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0" w:type="pct"/>
                  <w:vAlign w:val="center"/>
                </w:tcPr>
                <w:p>
                  <w:pPr>
                    <w:jc w:val="center"/>
                    <w:rPr>
                      <w:szCs w:val="21"/>
                    </w:rPr>
                  </w:pPr>
                  <w:r>
                    <w:rPr>
                      <w:rFonts w:hint="eastAsia"/>
                      <w:szCs w:val="21"/>
                    </w:rPr>
                    <w:t>自卸汽车</w:t>
                  </w:r>
                </w:p>
              </w:tc>
              <w:tc>
                <w:tcPr>
                  <w:tcW w:w="1398" w:type="pct"/>
                  <w:vAlign w:val="center"/>
                </w:tcPr>
                <w:p>
                  <w:pPr>
                    <w:jc w:val="center"/>
                    <w:rPr>
                      <w:szCs w:val="21"/>
                    </w:rPr>
                  </w:pPr>
                  <w:r>
                    <w:rPr>
                      <w:rFonts w:hint="eastAsia"/>
                      <w:szCs w:val="21"/>
                    </w:rPr>
                    <w:t>86</w:t>
                  </w:r>
                </w:p>
              </w:tc>
              <w:tc>
                <w:tcPr>
                  <w:tcW w:w="1085" w:type="pct"/>
                  <w:vAlign w:val="center"/>
                </w:tcPr>
                <w:p>
                  <w:pPr>
                    <w:jc w:val="center"/>
                    <w:rPr>
                      <w:szCs w:val="21"/>
                    </w:rPr>
                  </w:pPr>
                  <w:r>
                    <w:rPr>
                      <w:rFonts w:hint="eastAsia"/>
                      <w:szCs w:val="21"/>
                    </w:rPr>
                    <w:t>混凝土车</w:t>
                  </w:r>
                </w:p>
              </w:tc>
              <w:tc>
                <w:tcPr>
                  <w:tcW w:w="1415" w:type="pct"/>
                  <w:vAlign w:val="center"/>
                </w:tcPr>
                <w:p>
                  <w:pPr>
                    <w:jc w:val="center"/>
                    <w:rPr>
                      <w:szCs w:val="21"/>
                    </w:rPr>
                  </w:pPr>
                  <w:r>
                    <w:rPr>
                      <w:rFonts w:hint="eastAsia"/>
                      <w:szCs w:val="21"/>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0" w:type="pct"/>
                  <w:vAlign w:val="center"/>
                </w:tcPr>
                <w:p>
                  <w:pPr>
                    <w:jc w:val="center"/>
                    <w:rPr>
                      <w:szCs w:val="21"/>
                    </w:rPr>
                  </w:pPr>
                  <w:r>
                    <w:rPr>
                      <w:rFonts w:hint="eastAsia"/>
                      <w:szCs w:val="21"/>
                    </w:rPr>
                    <w:t>混凝土泵车</w:t>
                  </w:r>
                </w:p>
              </w:tc>
              <w:tc>
                <w:tcPr>
                  <w:tcW w:w="1398" w:type="pct"/>
                  <w:vAlign w:val="center"/>
                </w:tcPr>
                <w:p>
                  <w:pPr>
                    <w:jc w:val="center"/>
                    <w:rPr>
                      <w:szCs w:val="21"/>
                    </w:rPr>
                  </w:pPr>
                  <w:r>
                    <w:rPr>
                      <w:rFonts w:hint="eastAsia"/>
                      <w:szCs w:val="21"/>
                    </w:rPr>
                    <w:t>91</w:t>
                  </w:r>
                </w:p>
              </w:tc>
              <w:tc>
                <w:tcPr>
                  <w:tcW w:w="1085" w:type="pct"/>
                  <w:vAlign w:val="center"/>
                </w:tcPr>
                <w:p>
                  <w:pPr>
                    <w:jc w:val="center"/>
                    <w:rPr>
                      <w:szCs w:val="21"/>
                    </w:rPr>
                  </w:pPr>
                </w:p>
              </w:tc>
              <w:tc>
                <w:tcPr>
                  <w:tcW w:w="1415" w:type="pct"/>
                  <w:vAlign w:val="center"/>
                </w:tcPr>
                <w:p>
                  <w:pPr>
                    <w:jc w:val="center"/>
                    <w:rPr>
                      <w:szCs w:val="21"/>
                    </w:rPr>
                  </w:pPr>
                </w:p>
              </w:tc>
            </w:tr>
          </w:tbl>
          <w:p>
            <w:pPr>
              <w:adjustRightInd w:val="0"/>
              <w:snapToGrid w:val="0"/>
              <w:spacing w:before="120" w:beforeLines="50" w:line="360" w:lineRule="auto"/>
              <w:ind w:firstLine="476" w:firstLineChars="200"/>
              <w:rPr>
                <w:rFonts w:ascii="宋体" w:hAnsi="宋体" w:cs="宋体"/>
                <w:sz w:val="24"/>
              </w:rPr>
            </w:pPr>
            <w:r>
              <w:rPr>
                <w:rFonts w:ascii="宋体" w:hAnsi="宋体" w:cs="宋体"/>
                <w:spacing w:val="-1"/>
                <w:sz w:val="24"/>
              </w:rPr>
              <w:t>施工期声环境影响预测计算公式如下：</w:t>
            </w:r>
          </w:p>
          <w:p>
            <w:pPr>
              <w:spacing w:before="252" w:line="351" w:lineRule="exact"/>
              <w:ind w:firstLine="2722"/>
              <w:rPr>
                <w:rFonts w:eastAsia="Times New Roman"/>
                <w:sz w:val="15"/>
                <w:szCs w:val="15"/>
              </w:rPr>
            </w:pPr>
            <w:r>
              <mc:AlternateContent>
                <mc:Choice Requires="wps">
                  <w:drawing>
                    <wp:anchor distT="0" distB="0" distL="114300" distR="114300" simplePos="0" relativeHeight="251660288" behindDoc="0" locked="0" layoutInCell="1" allowOverlap="1">
                      <wp:simplePos x="0" y="0"/>
                      <wp:positionH relativeFrom="column">
                        <wp:posOffset>3196590</wp:posOffset>
                      </wp:positionH>
                      <wp:positionV relativeFrom="paragraph">
                        <wp:posOffset>141605</wp:posOffset>
                      </wp:positionV>
                      <wp:extent cx="89535" cy="137160"/>
                      <wp:effectExtent l="0" t="0" r="0" b="0"/>
                      <wp:wrapNone/>
                      <wp:docPr id="2" name="文本框 18"/>
                      <wp:cNvGraphicFramePr/>
                      <a:graphic xmlns:a="http://schemas.openxmlformats.org/drawingml/2006/main">
                        <a:graphicData uri="http://schemas.microsoft.com/office/word/2010/wordprocessingShape">
                          <wps:wsp>
                            <wps:cNvSpPr txBox="1"/>
                            <wps:spPr>
                              <a:xfrm>
                                <a:off x="0" y="0"/>
                                <a:ext cx="89535" cy="137160"/>
                              </a:xfrm>
                              <a:prstGeom prst="rect">
                                <a:avLst/>
                              </a:prstGeom>
                              <a:noFill/>
                              <a:ln>
                                <a:noFill/>
                              </a:ln>
                            </wps:spPr>
                            <wps:txbx>
                              <w:txbxContent>
                                <w:p>
                                  <w:pPr>
                                    <w:spacing w:before="20" w:line="175" w:lineRule="exact"/>
                                    <w:ind w:firstLine="20"/>
                                    <w:rPr>
                                      <w:rFonts w:eastAsia="Times New Roman"/>
                                      <w:sz w:val="26"/>
                                      <w:szCs w:val="26"/>
                                    </w:rPr>
                                  </w:pPr>
                                  <w:r>
                                    <w:rPr>
                                      <w:rFonts w:eastAsia="Times New Roman"/>
                                      <w:i/>
                                      <w:iCs/>
                                      <w:position w:val="-1"/>
                                      <w:sz w:val="26"/>
                                      <w:szCs w:val="26"/>
                                    </w:rPr>
                                    <w:t>r</w:t>
                                  </w:r>
                                </w:p>
                              </w:txbxContent>
                            </wps:txbx>
                            <wps:bodyPr wrap="square" lIns="0" tIns="0" rIns="0" bIns="0" upright="1"/>
                          </wps:wsp>
                        </a:graphicData>
                      </a:graphic>
                    </wp:anchor>
                  </w:drawing>
                </mc:Choice>
                <mc:Fallback>
                  <w:pict>
                    <v:shape id="文本框 18" o:spid="_x0000_s1026" o:spt="202" type="#_x0000_t202" style="position:absolute;left:0pt;margin-left:251.7pt;margin-top:11.15pt;height:10.8pt;width:7.05pt;z-index:251660288;mso-width-relative:page;mso-height-relative:page;" filled="f" stroked="f" coordsize="21600,21600" o:gfxdata="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RtJo2QAAAAkBAAAPAAAAAAAAAAEAIAAAACIAAABkcnMvZG93&#10;bnJldi54bWxQSwECFAAUAAAACACHTuJAkqJuacYBAAB/AwAADgAAAAAAAAABACAAAAAoAQAAZHJz&#10;L2Uyb0RvYy54bWxQSwUGAAAAAAYABgBZAQAAYAUAAAAA&#10;">
                      <v:fill on="f" focussize="0,0"/>
                      <v:stroke on="f"/>
                      <v:imagedata o:title=""/>
                      <o:lock v:ext="edit" aspectratio="f"/>
                      <v:textbox inset="0mm,0mm,0mm,0mm">
                        <w:txbxContent>
                          <w:p>
                            <w:pPr>
                              <w:spacing w:before="20" w:line="175" w:lineRule="exact"/>
                              <w:ind w:firstLine="20"/>
                              <w:rPr>
                                <w:rFonts w:eastAsia="Times New Roman"/>
                                <w:sz w:val="26"/>
                                <w:szCs w:val="26"/>
                              </w:rPr>
                            </w:pPr>
                            <w:r>
                              <w:rPr>
                                <w:rFonts w:eastAsia="Times New Roman"/>
                                <w:i/>
                                <w:iCs/>
                                <w:position w:val="-1"/>
                                <w:sz w:val="26"/>
                                <w:szCs w:val="26"/>
                              </w:rPr>
                              <w:t>r</w:t>
                            </w:r>
                          </w:p>
                        </w:txbxContent>
                      </v:textbox>
                    </v:shape>
                  </w:pict>
                </mc:Fallback>
              </mc:AlternateContent>
            </w:r>
            <w:r>
              <w:rPr>
                <w:rFonts w:eastAsia="Times New Roman"/>
                <w:i/>
                <w:iCs/>
                <w:spacing w:val="2"/>
                <w:position w:val="3"/>
                <w:sz w:val="26"/>
                <w:szCs w:val="26"/>
              </w:rPr>
              <w:t>L</w:t>
            </w:r>
            <w:r>
              <w:rPr>
                <w:rFonts w:eastAsia="Times New Roman"/>
                <w:spacing w:val="2"/>
                <w:position w:val="-3"/>
                <w:sz w:val="15"/>
                <w:szCs w:val="15"/>
              </w:rPr>
              <w:t>2</w:t>
            </w:r>
            <w:r>
              <w:rPr>
                <w:rFonts w:eastAsia="Times New Roman"/>
                <w:spacing w:val="6"/>
                <w:w w:val="101"/>
                <w:position w:val="-3"/>
                <w:sz w:val="15"/>
                <w:szCs w:val="15"/>
              </w:rPr>
              <w:t xml:space="preserve">   </w:t>
            </w:r>
            <w:r>
              <w:rPr>
                <w:position w:val="3"/>
                <w:sz w:val="15"/>
                <w:szCs w:val="15"/>
              </w:rPr>
              <w:drawing>
                <wp:inline distT="0" distB="0" distL="114300" distR="114300">
                  <wp:extent cx="84455" cy="62230"/>
                  <wp:effectExtent l="0" t="0" r="10795" b="13970"/>
                  <wp:docPr id="63" name="IM 38"/>
                  <wp:cNvGraphicFramePr/>
                  <a:graphic xmlns:a="http://schemas.openxmlformats.org/drawingml/2006/main">
                    <a:graphicData uri="http://schemas.openxmlformats.org/drawingml/2006/picture">
                      <pic:pic xmlns:pic="http://schemas.openxmlformats.org/drawingml/2006/picture">
                        <pic:nvPicPr>
                          <pic:cNvPr id="63" name="IM 38"/>
                          <pic:cNvPicPr/>
                        </pic:nvPicPr>
                        <pic:blipFill>
                          <a:blip r:embed="rId14"/>
                          <a:stretch>
                            <a:fillRect/>
                          </a:stretch>
                        </pic:blipFill>
                        <pic:spPr>
                          <a:xfrm>
                            <a:off x="0" y="0"/>
                            <a:ext cx="84455" cy="62230"/>
                          </a:xfrm>
                          <a:prstGeom prst="rect">
                            <a:avLst/>
                          </a:prstGeom>
                          <a:noFill/>
                          <a:ln>
                            <a:noFill/>
                          </a:ln>
                        </pic:spPr>
                      </pic:pic>
                    </a:graphicData>
                  </a:graphic>
                </wp:inline>
              </w:drawing>
            </w:r>
            <w:r>
              <w:rPr>
                <w:rFonts w:eastAsia="Times New Roman"/>
                <w:spacing w:val="17"/>
                <w:position w:val="-3"/>
                <w:sz w:val="15"/>
                <w:szCs w:val="15"/>
              </w:rPr>
              <w:t xml:space="preserve">  </w:t>
            </w:r>
            <w:r>
              <w:rPr>
                <w:rFonts w:eastAsia="Times New Roman"/>
                <w:i/>
                <w:iCs/>
                <w:spacing w:val="2"/>
                <w:position w:val="3"/>
                <w:sz w:val="26"/>
                <w:szCs w:val="26"/>
              </w:rPr>
              <w:t>L</w:t>
            </w:r>
            <w:r>
              <w:rPr>
                <w:rFonts w:eastAsia="Times New Roman"/>
                <w:spacing w:val="2"/>
                <w:position w:val="-3"/>
                <w:sz w:val="15"/>
                <w:szCs w:val="15"/>
              </w:rPr>
              <w:t>1</w:t>
            </w:r>
            <w:r>
              <w:rPr>
                <w:rFonts w:eastAsia="Times New Roman"/>
                <w:spacing w:val="12"/>
                <w:w w:val="102"/>
                <w:position w:val="-3"/>
                <w:sz w:val="15"/>
                <w:szCs w:val="15"/>
              </w:rPr>
              <w:t xml:space="preserve">  </w:t>
            </w:r>
            <w:r>
              <w:rPr>
                <w:position w:val="3"/>
                <w:sz w:val="15"/>
                <w:szCs w:val="15"/>
              </w:rPr>
              <w:drawing>
                <wp:inline distT="0" distB="0" distL="114300" distR="114300">
                  <wp:extent cx="84455" cy="46990"/>
                  <wp:effectExtent l="0" t="0" r="0" b="0"/>
                  <wp:docPr id="64" name="IM 39"/>
                  <wp:cNvGraphicFramePr/>
                  <a:graphic xmlns:a="http://schemas.openxmlformats.org/drawingml/2006/main">
                    <a:graphicData uri="http://schemas.openxmlformats.org/drawingml/2006/picture">
                      <pic:pic xmlns:pic="http://schemas.openxmlformats.org/drawingml/2006/picture">
                        <pic:nvPicPr>
                          <pic:cNvPr id="64" name="IM 39"/>
                          <pic:cNvPicPr/>
                        </pic:nvPicPr>
                        <pic:blipFill>
                          <a:blip r:embed="rId15"/>
                          <a:stretch>
                            <a:fillRect/>
                          </a:stretch>
                        </pic:blipFill>
                        <pic:spPr>
                          <a:xfrm>
                            <a:off x="0" y="0"/>
                            <a:ext cx="84455" cy="46990"/>
                          </a:xfrm>
                          <a:prstGeom prst="rect">
                            <a:avLst/>
                          </a:prstGeom>
                          <a:noFill/>
                          <a:ln>
                            <a:noFill/>
                          </a:ln>
                        </pic:spPr>
                      </pic:pic>
                    </a:graphicData>
                  </a:graphic>
                </wp:inline>
              </w:drawing>
            </w:r>
            <w:r>
              <w:rPr>
                <w:rFonts w:eastAsia="Times New Roman"/>
                <w:spacing w:val="10"/>
                <w:w w:val="102"/>
                <w:position w:val="-3"/>
                <w:sz w:val="15"/>
                <w:szCs w:val="15"/>
              </w:rPr>
              <w:t xml:space="preserve">  </w:t>
            </w:r>
            <w:r>
              <w:rPr>
                <w:rFonts w:eastAsia="Times New Roman"/>
                <w:spacing w:val="2"/>
                <w:position w:val="3"/>
                <w:sz w:val="26"/>
                <w:szCs w:val="26"/>
              </w:rPr>
              <w:t>20</w:t>
            </w:r>
            <w:r>
              <w:rPr>
                <w:rFonts w:eastAsia="Times New Roman"/>
                <w:spacing w:val="27"/>
                <w:position w:val="3"/>
                <w:sz w:val="26"/>
                <w:szCs w:val="26"/>
              </w:rPr>
              <w:t xml:space="preserve"> </w:t>
            </w:r>
            <w:r>
              <w:rPr>
                <w:rFonts w:eastAsia="Times New Roman"/>
                <w:spacing w:val="2"/>
                <w:position w:val="3"/>
                <w:sz w:val="26"/>
                <w:szCs w:val="26"/>
              </w:rPr>
              <w:t>lg</w:t>
            </w:r>
            <w:r>
              <w:rPr>
                <w:rFonts w:eastAsia="Times New Roman"/>
                <w:spacing w:val="4"/>
                <w:w w:val="101"/>
                <w:position w:val="3"/>
                <w:sz w:val="26"/>
                <w:szCs w:val="26"/>
                <w:u w:val="single"/>
              </w:rPr>
              <w:t xml:space="preserve">  </w:t>
            </w:r>
            <w:r>
              <w:rPr>
                <w:rFonts w:eastAsia="Times New Roman"/>
                <w:spacing w:val="2"/>
                <w:position w:val="12"/>
                <w:sz w:val="15"/>
                <w:szCs w:val="15"/>
                <w:u w:val="single"/>
              </w:rPr>
              <w:t>2</w:t>
            </w:r>
          </w:p>
          <w:p>
            <w:pPr>
              <w:spacing w:before="80" w:line="180" w:lineRule="auto"/>
              <w:ind w:firstLine="4660"/>
              <w:rPr>
                <w:rFonts w:eastAsia="Times New Roman"/>
                <w:sz w:val="15"/>
                <w:szCs w:val="15"/>
              </w:rPr>
            </w:pPr>
            <w:r>
              <mc:AlternateContent>
                <mc:Choice Requires="wps">
                  <w:drawing>
                    <wp:anchor distT="0" distB="0" distL="114300" distR="114300" simplePos="0" relativeHeight="251661312" behindDoc="0" locked="0" layoutInCell="1" allowOverlap="1">
                      <wp:simplePos x="0" y="0"/>
                      <wp:positionH relativeFrom="column">
                        <wp:posOffset>3206750</wp:posOffset>
                      </wp:positionH>
                      <wp:positionV relativeFrom="paragraph">
                        <wp:posOffset>5715</wp:posOffset>
                      </wp:positionV>
                      <wp:extent cx="89535" cy="137160"/>
                      <wp:effectExtent l="0" t="0" r="0" b="0"/>
                      <wp:wrapNone/>
                      <wp:docPr id="3" name="文本框 19"/>
                      <wp:cNvGraphicFramePr/>
                      <a:graphic xmlns:a="http://schemas.openxmlformats.org/drawingml/2006/main">
                        <a:graphicData uri="http://schemas.microsoft.com/office/word/2010/wordprocessingShape">
                          <wps:wsp>
                            <wps:cNvSpPr txBox="1"/>
                            <wps:spPr>
                              <a:xfrm>
                                <a:off x="0" y="0"/>
                                <a:ext cx="89535" cy="137160"/>
                              </a:xfrm>
                              <a:prstGeom prst="rect">
                                <a:avLst/>
                              </a:prstGeom>
                              <a:noFill/>
                              <a:ln>
                                <a:noFill/>
                              </a:ln>
                            </wps:spPr>
                            <wps:txbx>
                              <w:txbxContent>
                                <w:p>
                                  <w:pPr>
                                    <w:spacing w:before="20" w:line="175" w:lineRule="exact"/>
                                    <w:ind w:firstLine="20"/>
                                    <w:rPr>
                                      <w:rFonts w:eastAsia="Times New Roman"/>
                                      <w:sz w:val="26"/>
                                      <w:szCs w:val="26"/>
                                    </w:rPr>
                                  </w:pPr>
                                  <w:r>
                                    <w:rPr>
                                      <w:rFonts w:eastAsia="Times New Roman"/>
                                      <w:i/>
                                      <w:iCs/>
                                      <w:position w:val="-1"/>
                                      <w:sz w:val="26"/>
                                      <w:szCs w:val="26"/>
                                    </w:rPr>
                                    <w:t>r</w:t>
                                  </w:r>
                                </w:p>
                              </w:txbxContent>
                            </wps:txbx>
                            <wps:bodyPr wrap="square" lIns="0" tIns="0" rIns="0" bIns="0" upright="1"/>
                          </wps:wsp>
                        </a:graphicData>
                      </a:graphic>
                    </wp:anchor>
                  </w:drawing>
                </mc:Choice>
                <mc:Fallback>
                  <w:pict>
                    <v:shape id="文本框 19" o:spid="_x0000_s1026" o:spt="202" type="#_x0000_t202" style="position:absolute;left:0pt;margin-left:252.5pt;margin-top:0.45pt;height:10.8pt;width:7.05pt;z-index:251661312;mso-width-relative:page;mso-height-relative:page;" filled="f" stroked="f" coordsize="21600,21600" o:gfxdata="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hk+XD1gAAAAcBAAAPAAAAAAAAAAEAIAAAACIAAABkcnMvZG93bnJl&#10;di54bWxQSwECFAAUAAAACACHTuJA78Y8fsYBAAB/AwAADgAAAAAAAAABACAAAAAlAQAAZHJzL2Uy&#10;b0RvYy54bWxQSwUGAAAAAAYABgBZAQAAXQUAAAAA&#10;">
                      <v:fill on="f" focussize="0,0"/>
                      <v:stroke on="f"/>
                      <v:imagedata o:title=""/>
                      <o:lock v:ext="edit" aspectratio="f"/>
                      <v:textbox inset="0mm,0mm,0mm,0mm">
                        <w:txbxContent>
                          <w:p>
                            <w:pPr>
                              <w:spacing w:before="20" w:line="175" w:lineRule="exact"/>
                              <w:ind w:firstLine="20"/>
                              <w:rPr>
                                <w:rFonts w:eastAsia="Times New Roman"/>
                                <w:sz w:val="26"/>
                                <w:szCs w:val="26"/>
                              </w:rPr>
                            </w:pPr>
                            <w:r>
                              <w:rPr>
                                <w:rFonts w:eastAsia="Times New Roman"/>
                                <w:i/>
                                <w:iCs/>
                                <w:position w:val="-1"/>
                                <w:sz w:val="26"/>
                                <w:szCs w:val="26"/>
                              </w:rPr>
                              <w:t>r</w:t>
                            </w:r>
                          </w:p>
                        </w:txbxContent>
                      </v:textbox>
                    </v:shape>
                  </w:pict>
                </mc:Fallback>
              </mc:AlternateContent>
            </w:r>
            <w:r>
              <w:rPr>
                <w:rFonts w:hint="eastAsia"/>
                <w:sz w:val="15"/>
                <w:szCs w:val="15"/>
              </w:rPr>
              <w:t xml:space="preserve">       1</w:t>
            </w:r>
          </w:p>
          <w:p>
            <w:pPr>
              <w:adjustRightInd w:val="0"/>
              <w:snapToGrid w:val="0"/>
              <w:spacing w:line="360" w:lineRule="auto"/>
              <w:ind w:firstLine="448" w:firstLineChars="200"/>
              <w:rPr>
                <w:b/>
                <w:bCs/>
                <w:sz w:val="24"/>
              </w:rPr>
            </w:pPr>
            <w:r>
              <w:rPr>
                <w:rFonts w:ascii="宋体" w:hAnsi="宋体" w:cs="宋体"/>
                <w:spacing w:val="-8"/>
                <w:sz w:val="24"/>
              </w:rPr>
              <w:t>式中：</w:t>
            </w:r>
            <w:r>
              <w:rPr>
                <w:rFonts w:ascii="宋体" w:hAnsi="宋体" w:cs="宋体"/>
                <w:spacing w:val="52"/>
                <w:sz w:val="24"/>
              </w:rPr>
              <w:t xml:space="preserve"> </w:t>
            </w:r>
            <w:r>
              <w:rPr>
                <w:rFonts w:eastAsia="Times New Roman"/>
                <w:spacing w:val="-8"/>
                <w:sz w:val="24"/>
              </w:rPr>
              <w:t>L</w:t>
            </w:r>
            <w:r>
              <w:rPr>
                <w:rFonts w:eastAsia="Times New Roman"/>
                <w:spacing w:val="-8"/>
                <w:position w:val="-1"/>
                <w:sz w:val="16"/>
                <w:szCs w:val="16"/>
              </w:rPr>
              <w:t>1</w:t>
            </w:r>
            <w:r>
              <w:rPr>
                <w:rFonts w:eastAsia="Times New Roman"/>
                <w:spacing w:val="-12"/>
                <w:position w:val="-1"/>
                <w:sz w:val="16"/>
                <w:szCs w:val="16"/>
              </w:rPr>
              <w:t xml:space="preserve"> </w:t>
            </w:r>
            <w:r>
              <w:rPr>
                <w:rFonts w:ascii="宋体" w:hAnsi="宋体" w:cs="宋体"/>
                <w:spacing w:val="-8"/>
                <w:sz w:val="24"/>
              </w:rPr>
              <w:t>、</w:t>
            </w:r>
            <w:r>
              <w:rPr>
                <w:rFonts w:eastAsia="Times New Roman"/>
                <w:spacing w:val="-8"/>
                <w:sz w:val="24"/>
              </w:rPr>
              <w:t>L</w:t>
            </w:r>
            <w:r>
              <w:rPr>
                <w:rFonts w:eastAsia="Times New Roman"/>
                <w:spacing w:val="-8"/>
                <w:sz w:val="16"/>
                <w:szCs w:val="16"/>
              </w:rPr>
              <w:t>2</w:t>
            </w:r>
            <w:r>
              <w:rPr>
                <w:rFonts w:ascii="宋体" w:hAnsi="宋体" w:cs="宋体"/>
                <w:spacing w:val="-8"/>
                <w:sz w:val="24"/>
              </w:rPr>
              <w:t>—与声源相距</w:t>
            </w:r>
            <w:r>
              <w:rPr>
                <w:rFonts w:ascii="宋体" w:hAnsi="宋体" w:cs="宋体"/>
                <w:spacing w:val="-59"/>
                <w:sz w:val="24"/>
              </w:rPr>
              <w:t xml:space="preserve"> </w:t>
            </w:r>
            <w:r>
              <w:rPr>
                <w:rFonts w:eastAsia="Times New Roman"/>
                <w:spacing w:val="-8"/>
                <w:sz w:val="24"/>
              </w:rPr>
              <w:t>r</w:t>
            </w:r>
            <w:r>
              <w:rPr>
                <w:rFonts w:eastAsia="Times New Roman"/>
                <w:spacing w:val="-8"/>
                <w:sz w:val="16"/>
                <w:szCs w:val="16"/>
              </w:rPr>
              <w:t>1</w:t>
            </w:r>
            <w:r>
              <w:rPr>
                <w:rFonts w:eastAsia="Times New Roman"/>
                <w:spacing w:val="-15"/>
                <w:sz w:val="16"/>
                <w:szCs w:val="16"/>
              </w:rPr>
              <w:t xml:space="preserve"> </w:t>
            </w:r>
            <w:r>
              <w:rPr>
                <w:rFonts w:ascii="宋体" w:hAnsi="宋体" w:cs="宋体"/>
                <w:spacing w:val="-8"/>
                <w:sz w:val="24"/>
              </w:rPr>
              <w:t>、</w:t>
            </w:r>
            <w:r>
              <w:rPr>
                <w:rFonts w:eastAsia="Times New Roman"/>
                <w:spacing w:val="-8"/>
                <w:sz w:val="24"/>
              </w:rPr>
              <w:t>r</w:t>
            </w:r>
            <w:r>
              <w:rPr>
                <w:rFonts w:eastAsia="Times New Roman"/>
                <w:spacing w:val="-8"/>
                <w:sz w:val="16"/>
                <w:szCs w:val="16"/>
              </w:rPr>
              <w:t>2</w:t>
            </w:r>
            <w:r>
              <w:rPr>
                <w:rFonts w:eastAsia="Times New Roman"/>
                <w:spacing w:val="11"/>
                <w:w w:val="102"/>
                <w:sz w:val="16"/>
                <w:szCs w:val="16"/>
              </w:rPr>
              <w:t xml:space="preserve"> </w:t>
            </w:r>
            <w:r>
              <w:rPr>
                <w:rFonts w:ascii="宋体" w:hAnsi="宋体" w:cs="宋体"/>
                <w:spacing w:val="-8"/>
                <w:sz w:val="24"/>
              </w:rPr>
              <w:t>处的施工噪声级，</w:t>
            </w:r>
            <w:r>
              <w:rPr>
                <w:rFonts w:eastAsia="Times New Roman"/>
                <w:spacing w:val="-8"/>
                <w:sz w:val="24"/>
              </w:rPr>
              <w:t>dB(A)</w:t>
            </w:r>
            <w:r>
              <w:rPr>
                <w:rFonts w:ascii="宋体" w:hAnsi="宋体" w:cs="宋体"/>
                <w:spacing w:val="-8"/>
                <w:sz w:val="24"/>
              </w:rPr>
              <w:t>。</w:t>
            </w:r>
            <w:r>
              <w:rPr>
                <w:rFonts w:ascii="宋体" w:hAnsi="宋体" w:cs="宋体"/>
                <w:spacing w:val="5"/>
                <w:sz w:val="24"/>
              </w:rPr>
              <w:t>由此公式计算各类建筑施工机械在不同距离处的噪声预测值</w:t>
            </w:r>
            <w:r>
              <w:rPr>
                <w:rFonts w:ascii="宋体" w:hAnsi="宋体" w:cs="宋体"/>
                <w:spacing w:val="-3"/>
                <w:sz w:val="24"/>
              </w:rPr>
              <w:t>见</w:t>
            </w:r>
            <w:r>
              <w:rPr>
                <w:rFonts w:hint="eastAsia" w:ascii="宋体" w:hAnsi="宋体" w:cs="宋体"/>
                <w:spacing w:val="-3"/>
                <w:sz w:val="24"/>
              </w:rPr>
              <w:t>下表</w:t>
            </w:r>
            <w:r>
              <w:rPr>
                <w:rFonts w:ascii="宋体" w:hAnsi="宋体" w:cs="宋体"/>
                <w:spacing w:val="-3"/>
                <w:sz w:val="24"/>
              </w:rPr>
              <w:t>。</w:t>
            </w:r>
          </w:p>
          <w:p>
            <w:pPr>
              <w:adjustRightInd w:val="0"/>
              <w:snapToGrid w:val="0"/>
              <w:spacing w:before="120" w:beforeLines="50" w:line="360" w:lineRule="auto"/>
              <w:jc w:val="center"/>
              <w:rPr>
                <w:b/>
                <w:bCs/>
                <w:sz w:val="24"/>
              </w:rPr>
            </w:pPr>
            <w:r>
              <w:rPr>
                <w:rFonts w:hint="eastAsia"/>
                <w:b/>
                <w:bCs/>
                <w:sz w:val="24"/>
              </w:rPr>
              <w:t>表4-4    各类建筑施工机械在不同距离处的噪声预测值表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767"/>
              <w:gridCol w:w="767"/>
              <w:gridCol w:w="767"/>
              <w:gridCol w:w="767"/>
              <w:gridCol w:w="767"/>
              <w:gridCol w:w="901"/>
              <w:gridCol w:w="901"/>
              <w:gridCol w:w="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Merge w:val="restart"/>
                  <w:vAlign w:val="center"/>
                </w:tcPr>
                <w:p>
                  <w:pPr>
                    <w:jc w:val="center"/>
                    <w:rPr>
                      <w:b/>
                      <w:bCs/>
                      <w:szCs w:val="21"/>
                    </w:rPr>
                  </w:pPr>
                  <w:r>
                    <w:rPr>
                      <w:rFonts w:hint="eastAsia"/>
                      <w:b/>
                      <w:bCs/>
                      <w:szCs w:val="21"/>
                    </w:rPr>
                    <w:t>声源名称</w:t>
                  </w:r>
                </w:p>
              </w:tc>
              <w:tc>
                <w:tcPr>
                  <w:tcW w:w="4009" w:type="pct"/>
                  <w:gridSpan w:val="8"/>
                  <w:vAlign w:val="center"/>
                </w:tcPr>
                <w:p>
                  <w:pPr>
                    <w:jc w:val="center"/>
                    <w:rPr>
                      <w:b/>
                      <w:bCs/>
                      <w:szCs w:val="21"/>
                    </w:rPr>
                  </w:pPr>
                  <w:r>
                    <w:rPr>
                      <w:rFonts w:hint="eastAsia"/>
                      <w:b/>
                      <w:bCs/>
                      <w:szCs w:val="21"/>
                    </w:rPr>
                    <w:t>噪声预测值dB（A）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Merge w:val="continue"/>
                  <w:vAlign w:val="center"/>
                </w:tcPr>
                <w:p>
                  <w:pPr>
                    <w:jc w:val="center"/>
                    <w:rPr>
                      <w:b/>
                      <w:bCs/>
                      <w:szCs w:val="21"/>
                    </w:rPr>
                  </w:pPr>
                </w:p>
              </w:tc>
              <w:tc>
                <w:tcPr>
                  <w:tcW w:w="470" w:type="pct"/>
                  <w:vAlign w:val="center"/>
                </w:tcPr>
                <w:p>
                  <w:pPr>
                    <w:jc w:val="center"/>
                    <w:rPr>
                      <w:b/>
                      <w:bCs/>
                      <w:szCs w:val="21"/>
                    </w:rPr>
                  </w:pPr>
                  <w:r>
                    <w:rPr>
                      <w:rFonts w:hint="eastAsia"/>
                      <w:b/>
                      <w:bCs/>
                      <w:szCs w:val="21"/>
                    </w:rPr>
                    <w:t>10m</w:t>
                  </w:r>
                </w:p>
              </w:tc>
              <w:tc>
                <w:tcPr>
                  <w:tcW w:w="470" w:type="pct"/>
                  <w:vAlign w:val="center"/>
                </w:tcPr>
                <w:p>
                  <w:pPr>
                    <w:jc w:val="center"/>
                    <w:rPr>
                      <w:b/>
                      <w:bCs/>
                      <w:szCs w:val="21"/>
                    </w:rPr>
                  </w:pPr>
                  <w:r>
                    <w:rPr>
                      <w:rFonts w:hint="eastAsia"/>
                      <w:b/>
                      <w:bCs/>
                      <w:szCs w:val="21"/>
                    </w:rPr>
                    <w:t>20m</w:t>
                  </w:r>
                </w:p>
              </w:tc>
              <w:tc>
                <w:tcPr>
                  <w:tcW w:w="470" w:type="pct"/>
                  <w:vAlign w:val="center"/>
                </w:tcPr>
                <w:p>
                  <w:pPr>
                    <w:jc w:val="center"/>
                    <w:rPr>
                      <w:b/>
                      <w:bCs/>
                      <w:szCs w:val="21"/>
                    </w:rPr>
                  </w:pPr>
                  <w:r>
                    <w:rPr>
                      <w:rFonts w:hint="eastAsia"/>
                      <w:b/>
                      <w:bCs/>
                      <w:szCs w:val="21"/>
                    </w:rPr>
                    <w:t>40m</w:t>
                  </w:r>
                </w:p>
              </w:tc>
              <w:tc>
                <w:tcPr>
                  <w:tcW w:w="470" w:type="pct"/>
                  <w:vAlign w:val="center"/>
                </w:tcPr>
                <w:p>
                  <w:pPr>
                    <w:jc w:val="center"/>
                    <w:rPr>
                      <w:b/>
                      <w:bCs/>
                      <w:szCs w:val="21"/>
                    </w:rPr>
                  </w:pPr>
                  <w:r>
                    <w:rPr>
                      <w:rFonts w:hint="eastAsia"/>
                      <w:b/>
                      <w:bCs/>
                      <w:szCs w:val="21"/>
                    </w:rPr>
                    <w:t>60m</w:t>
                  </w:r>
                </w:p>
              </w:tc>
              <w:tc>
                <w:tcPr>
                  <w:tcW w:w="470" w:type="pct"/>
                  <w:vAlign w:val="center"/>
                </w:tcPr>
                <w:p>
                  <w:pPr>
                    <w:jc w:val="center"/>
                    <w:rPr>
                      <w:b/>
                      <w:bCs/>
                      <w:szCs w:val="21"/>
                    </w:rPr>
                  </w:pPr>
                  <w:r>
                    <w:rPr>
                      <w:rFonts w:hint="eastAsia"/>
                      <w:b/>
                      <w:bCs/>
                      <w:szCs w:val="21"/>
                    </w:rPr>
                    <w:t>80m</w:t>
                  </w:r>
                </w:p>
              </w:tc>
              <w:tc>
                <w:tcPr>
                  <w:tcW w:w="552" w:type="pct"/>
                  <w:vAlign w:val="center"/>
                </w:tcPr>
                <w:p>
                  <w:pPr>
                    <w:jc w:val="center"/>
                    <w:rPr>
                      <w:b/>
                      <w:bCs/>
                      <w:szCs w:val="21"/>
                    </w:rPr>
                  </w:pPr>
                  <w:r>
                    <w:rPr>
                      <w:rFonts w:hint="eastAsia"/>
                      <w:b/>
                      <w:bCs/>
                      <w:szCs w:val="21"/>
                    </w:rPr>
                    <w:t>100m</w:t>
                  </w:r>
                </w:p>
              </w:tc>
              <w:tc>
                <w:tcPr>
                  <w:tcW w:w="552" w:type="pct"/>
                  <w:vAlign w:val="center"/>
                </w:tcPr>
                <w:p>
                  <w:pPr>
                    <w:jc w:val="center"/>
                    <w:rPr>
                      <w:b/>
                      <w:bCs/>
                      <w:szCs w:val="21"/>
                    </w:rPr>
                  </w:pPr>
                  <w:r>
                    <w:rPr>
                      <w:rFonts w:hint="eastAsia"/>
                      <w:b/>
                      <w:bCs/>
                      <w:szCs w:val="21"/>
                    </w:rPr>
                    <w:t>150m</w:t>
                  </w:r>
                </w:p>
              </w:tc>
              <w:tc>
                <w:tcPr>
                  <w:tcW w:w="555" w:type="pct"/>
                  <w:vAlign w:val="center"/>
                </w:tcPr>
                <w:p>
                  <w:pPr>
                    <w:jc w:val="center"/>
                    <w:rPr>
                      <w:b/>
                      <w:bCs/>
                      <w:szCs w:val="21"/>
                    </w:rPr>
                  </w:pPr>
                  <w:r>
                    <w:rPr>
                      <w:rFonts w:hint="eastAsia"/>
                      <w:b/>
                      <w:bCs/>
                      <w:szCs w:val="21"/>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反铲式挖掘机</w:t>
                  </w:r>
                </w:p>
              </w:tc>
              <w:tc>
                <w:tcPr>
                  <w:tcW w:w="470" w:type="pct"/>
                  <w:vAlign w:val="center"/>
                </w:tcPr>
                <w:p>
                  <w:pPr>
                    <w:jc w:val="center"/>
                    <w:rPr>
                      <w:szCs w:val="21"/>
                    </w:rPr>
                  </w:pPr>
                  <w:r>
                    <w:rPr>
                      <w:rFonts w:hint="eastAsia"/>
                      <w:szCs w:val="21"/>
                    </w:rPr>
                    <w:t>82</w:t>
                  </w:r>
                </w:p>
              </w:tc>
              <w:tc>
                <w:tcPr>
                  <w:tcW w:w="470" w:type="pct"/>
                  <w:vAlign w:val="center"/>
                </w:tcPr>
                <w:p>
                  <w:pPr>
                    <w:jc w:val="center"/>
                    <w:rPr>
                      <w:szCs w:val="21"/>
                    </w:rPr>
                  </w:pPr>
                  <w:r>
                    <w:rPr>
                      <w:rFonts w:hint="eastAsia"/>
                      <w:szCs w:val="21"/>
                    </w:rPr>
                    <w:t>76</w:t>
                  </w:r>
                </w:p>
              </w:tc>
              <w:tc>
                <w:tcPr>
                  <w:tcW w:w="470" w:type="pct"/>
                  <w:vAlign w:val="center"/>
                </w:tcPr>
                <w:p>
                  <w:pPr>
                    <w:jc w:val="center"/>
                    <w:rPr>
                      <w:szCs w:val="21"/>
                    </w:rPr>
                  </w:pPr>
                  <w:r>
                    <w:rPr>
                      <w:rFonts w:hint="eastAsia"/>
                      <w:szCs w:val="21"/>
                    </w:rPr>
                    <w:t>70</w:t>
                  </w:r>
                </w:p>
              </w:tc>
              <w:tc>
                <w:tcPr>
                  <w:tcW w:w="470" w:type="pct"/>
                  <w:vAlign w:val="center"/>
                </w:tcPr>
                <w:p>
                  <w:pPr>
                    <w:jc w:val="center"/>
                    <w:rPr>
                      <w:szCs w:val="21"/>
                    </w:rPr>
                  </w:pPr>
                  <w:r>
                    <w:rPr>
                      <w:rFonts w:hint="eastAsia"/>
                      <w:szCs w:val="21"/>
                    </w:rPr>
                    <w:t>66</w:t>
                  </w:r>
                </w:p>
              </w:tc>
              <w:tc>
                <w:tcPr>
                  <w:tcW w:w="470" w:type="pct"/>
                  <w:vAlign w:val="center"/>
                </w:tcPr>
                <w:p>
                  <w:pPr>
                    <w:jc w:val="center"/>
                    <w:rPr>
                      <w:szCs w:val="21"/>
                    </w:rPr>
                  </w:pPr>
                  <w:r>
                    <w:rPr>
                      <w:rFonts w:hint="eastAsia"/>
                      <w:szCs w:val="21"/>
                    </w:rPr>
                    <w:t>64</w:t>
                  </w:r>
                </w:p>
              </w:tc>
              <w:tc>
                <w:tcPr>
                  <w:tcW w:w="552" w:type="pct"/>
                  <w:vAlign w:val="center"/>
                </w:tcPr>
                <w:p>
                  <w:pPr>
                    <w:jc w:val="center"/>
                    <w:rPr>
                      <w:szCs w:val="21"/>
                    </w:rPr>
                  </w:pPr>
                  <w:r>
                    <w:rPr>
                      <w:rFonts w:hint="eastAsia"/>
                      <w:szCs w:val="21"/>
                    </w:rPr>
                    <w:t>62</w:t>
                  </w:r>
                </w:p>
              </w:tc>
              <w:tc>
                <w:tcPr>
                  <w:tcW w:w="552" w:type="pct"/>
                  <w:vAlign w:val="center"/>
                </w:tcPr>
                <w:p>
                  <w:pPr>
                    <w:jc w:val="center"/>
                    <w:rPr>
                      <w:szCs w:val="21"/>
                    </w:rPr>
                  </w:pPr>
                  <w:r>
                    <w:rPr>
                      <w:rFonts w:hint="eastAsia"/>
                      <w:szCs w:val="21"/>
                    </w:rPr>
                    <w:t>58</w:t>
                  </w:r>
                </w:p>
              </w:tc>
              <w:tc>
                <w:tcPr>
                  <w:tcW w:w="555" w:type="pct"/>
                  <w:vAlign w:val="center"/>
                </w:tcPr>
                <w:p>
                  <w:pPr>
                    <w:jc w:val="center"/>
                    <w:rPr>
                      <w:szCs w:val="21"/>
                    </w:rPr>
                  </w:pPr>
                  <w:r>
                    <w:rPr>
                      <w:rFonts w:hint="eastAsia"/>
                      <w:szCs w:val="21"/>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轮胎式起重机</w:t>
                  </w:r>
                </w:p>
              </w:tc>
              <w:tc>
                <w:tcPr>
                  <w:tcW w:w="470" w:type="pct"/>
                  <w:vAlign w:val="center"/>
                </w:tcPr>
                <w:p>
                  <w:pPr>
                    <w:jc w:val="center"/>
                    <w:rPr>
                      <w:szCs w:val="21"/>
                    </w:rPr>
                  </w:pPr>
                  <w:r>
                    <w:rPr>
                      <w:rFonts w:hint="eastAsia"/>
                      <w:szCs w:val="21"/>
                    </w:rPr>
                    <w:t>84</w:t>
                  </w:r>
                </w:p>
              </w:tc>
              <w:tc>
                <w:tcPr>
                  <w:tcW w:w="470" w:type="pct"/>
                  <w:vAlign w:val="center"/>
                </w:tcPr>
                <w:p>
                  <w:pPr>
                    <w:jc w:val="center"/>
                    <w:rPr>
                      <w:szCs w:val="21"/>
                    </w:rPr>
                  </w:pPr>
                  <w:r>
                    <w:rPr>
                      <w:rFonts w:hint="eastAsia"/>
                      <w:szCs w:val="21"/>
                    </w:rPr>
                    <w:t>78</w:t>
                  </w:r>
                </w:p>
              </w:tc>
              <w:tc>
                <w:tcPr>
                  <w:tcW w:w="470" w:type="pct"/>
                  <w:vAlign w:val="center"/>
                </w:tcPr>
                <w:p>
                  <w:pPr>
                    <w:jc w:val="center"/>
                    <w:rPr>
                      <w:szCs w:val="21"/>
                    </w:rPr>
                  </w:pPr>
                  <w:r>
                    <w:rPr>
                      <w:rFonts w:hint="eastAsia"/>
                      <w:szCs w:val="21"/>
                    </w:rPr>
                    <w:t>72</w:t>
                  </w:r>
                </w:p>
              </w:tc>
              <w:tc>
                <w:tcPr>
                  <w:tcW w:w="470" w:type="pct"/>
                  <w:vAlign w:val="center"/>
                </w:tcPr>
                <w:p>
                  <w:pPr>
                    <w:jc w:val="center"/>
                    <w:rPr>
                      <w:szCs w:val="21"/>
                    </w:rPr>
                  </w:pPr>
                  <w:r>
                    <w:rPr>
                      <w:rFonts w:hint="eastAsia"/>
                      <w:szCs w:val="21"/>
                    </w:rPr>
                    <w:t>68</w:t>
                  </w:r>
                </w:p>
              </w:tc>
              <w:tc>
                <w:tcPr>
                  <w:tcW w:w="470" w:type="pct"/>
                  <w:vAlign w:val="center"/>
                </w:tcPr>
                <w:p>
                  <w:pPr>
                    <w:jc w:val="center"/>
                    <w:rPr>
                      <w:szCs w:val="21"/>
                    </w:rPr>
                  </w:pPr>
                  <w:r>
                    <w:rPr>
                      <w:rFonts w:hint="eastAsia"/>
                      <w:szCs w:val="21"/>
                    </w:rPr>
                    <w:t>66</w:t>
                  </w:r>
                </w:p>
              </w:tc>
              <w:tc>
                <w:tcPr>
                  <w:tcW w:w="552" w:type="pct"/>
                  <w:vAlign w:val="center"/>
                </w:tcPr>
                <w:p>
                  <w:pPr>
                    <w:jc w:val="center"/>
                    <w:rPr>
                      <w:szCs w:val="21"/>
                    </w:rPr>
                  </w:pPr>
                  <w:r>
                    <w:rPr>
                      <w:rFonts w:hint="eastAsia"/>
                      <w:szCs w:val="21"/>
                    </w:rPr>
                    <w:t>64</w:t>
                  </w:r>
                </w:p>
              </w:tc>
              <w:tc>
                <w:tcPr>
                  <w:tcW w:w="552" w:type="pct"/>
                  <w:vAlign w:val="center"/>
                </w:tcPr>
                <w:p>
                  <w:pPr>
                    <w:jc w:val="center"/>
                    <w:rPr>
                      <w:szCs w:val="21"/>
                    </w:rPr>
                  </w:pPr>
                  <w:r>
                    <w:rPr>
                      <w:rFonts w:hint="eastAsia"/>
                      <w:szCs w:val="21"/>
                    </w:rPr>
                    <w:t>60</w:t>
                  </w:r>
                </w:p>
              </w:tc>
              <w:tc>
                <w:tcPr>
                  <w:tcW w:w="555" w:type="pct"/>
                  <w:vAlign w:val="center"/>
                </w:tcPr>
                <w:p>
                  <w:pPr>
                    <w:jc w:val="center"/>
                    <w:rPr>
                      <w:szCs w:val="21"/>
                    </w:rPr>
                  </w:pPr>
                  <w:r>
                    <w:rPr>
                      <w:rFonts w:hint="eastAsia"/>
                      <w:szCs w:val="21"/>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履带式推土机</w:t>
                  </w:r>
                </w:p>
              </w:tc>
              <w:tc>
                <w:tcPr>
                  <w:tcW w:w="470" w:type="pct"/>
                  <w:vAlign w:val="center"/>
                </w:tcPr>
                <w:p>
                  <w:pPr>
                    <w:jc w:val="center"/>
                    <w:rPr>
                      <w:szCs w:val="21"/>
                    </w:rPr>
                  </w:pPr>
                  <w:r>
                    <w:rPr>
                      <w:rFonts w:hint="eastAsia"/>
                      <w:szCs w:val="21"/>
                    </w:rPr>
                    <w:t>79</w:t>
                  </w:r>
                </w:p>
              </w:tc>
              <w:tc>
                <w:tcPr>
                  <w:tcW w:w="470" w:type="pct"/>
                  <w:vAlign w:val="center"/>
                </w:tcPr>
                <w:p>
                  <w:pPr>
                    <w:jc w:val="center"/>
                    <w:rPr>
                      <w:szCs w:val="21"/>
                    </w:rPr>
                  </w:pPr>
                  <w:r>
                    <w:rPr>
                      <w:rFonts w:hint="eastAsia"/>
                      <w:szCs w:val="21"/>
                    </w:rPr>
                    <w:t>73</w:t>
                  </w:r>
                </w:p>
              </w:tc>
              <w:tc>
                <w:tcPr>
                  <w:tcW w:w="470" w:type="pct"/>
                  <w:vAlign w:val="center"/>
                </w:tcPr>
                <w:p>
                  <w:pPr>
                    <w:jc w:val="center"/>
                    <w:rPr>
                      <w:szCs w:val="21"/>
                    </w:rPr>
                  </w:pPr>
                  <w:r>
                    <w:rPr>
                      <w:rFonts w:hint="eastAsia"/>
                      <w:szCs w:val="21"/>
                    </w:rPr>
                    <w:t>67</w:t>
                  </w:r>
                </w:p>
              </w:tc>
              <w:tc>
                <w:tcPr>
                  <w:tcW w:w="470" w:type="pct"/>
                  <w:vAlign w:val="center"/>
                </w:tcPr>
                <w:p>
                  <w:pPr>
                    <w:jc w:val="center"/>
                    <w:rPr>
                      <w:szCs w:val="21"/>
                    </w:rPr>
                  </w:pPr>
                  <w:r>
                    <w:rPr>
                      <w:rFonts w:hint="eastAsia"/>
                      <w:szCs w:val="21"/>
                    </w:rPr>
                    <w:t>63</w:t>
                  </w:r>
                </w:p>
              </w:tc>
              <w:tc>
                <w:tcPr>
                  <w:tcW w:w="470" w:type="pct"/>
                  <w:vAlign w:val="center"/>
                </w:tcPr>
                <w:p>
                  <w:pPr>
                    <w:jc w:val="center"/>
                    <w:rPr>
                      <w:szCs w:val="21"/>
                    </w:rPr>
                  </w:pPr>
                  <w:r>
                    <w:rPr>
                      <w:rFonts w:hint="eastAsia"/>
                      <w:szCs w:val="21"/>
                    </w:rPr>
                    <w:t>61</w:t>
                  </w:r>
                </w:p>
              </w:tc>
              <w:tc>
                <w:tcPr>
                  <w:tcW w:w="552" w:type="pct"/>
                  <w:vAlign w:val="center"/>
                </w:tcPr>
                <w:p>
                  <w:pPr>
                    <w:jc w:val="center"/>
                    <w:rPr>
                      <w:szCs w:val="21"/>
                    </w:rPr>
                  </w:pPr>
                  <w:r>
                    <w:rPr>
                      <w:rFonts w:hint="eastAsia"/>
                      <w:szCs w:val="21"/>
                    </w:rPr>
                    <w:t>59</w:t>
                  </w:r>
                </w:p>
              </w:tc>
              <w:tc>
                <w:tcPr>
                  <w:tcW w:w="552" w:type="pct"/>
                  <w:vAlign w:val="center"/>
                </w:tcPr>
                <w:p>
                  <w:pPr>
                    <w:jc w:val="center"/>
                    <w:rPr>
                      <w:szCs w:val="21"/>
                    </w:rPr>
                  </w:pPr>
                  <w:r>
                    <w:rPr>
                      <w:rFonts w:hint="eastAsia"/>
                      <w:szCs w:val="21"/>
                    </w:rPr>
                    <w:t>55</w:t>
                  </w:r>
                </w:p>
              </w:tc>
              <w:tc>
                <w:tcPr>
                  <w:tcW w:w="555" w:type="pct"/>
                  <w:vAlign w:val="center"/>
                </w:tcPr>
                <w:p>
                  <w:pPr>
                    <w:jc w:val="center"/>
                    <w:rPr>
                      <w:szCs w:val="21"/>
                    </w:rPr>
                  </w:pPr>
                  <w:r>
                    <w:rPr>
                      <w:rFonts w:hint="eastAsia"/>
                      <w:szCs w:val="21"/>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电焊机</w:t>
                  </w:r>
                </w:p>
              </w:tc>
              <w:tc>
                <w:tcPr>
                  <w:tcW w:w="470" w:type="pct"/>
                  <w:vAlign w:val="center"/>
                </w:tcPr>
                <w:p>
                  <w:pPr>
                    <w:jc w:val="center"/>
                    <w:rPr>
                      <w:szCs w:val="21"/>
                    </w:rPr>
                  </w:pPr>
                  <w:r>
                    <w:rPr>
                      <w:rFonts w:hint="eastAsia"/>
                      <w:szCs w:val="21"/>
                    </w:rPr>
                    <w:t>89</w:t>
                  </w:r>
                </w:p>
              </w:tc>
              <w:tc>
                <w:tcPr>
                  <w:tcW w:w="470" w:type="pct"/>
                  <w:vAlign w:val="center"/>
                </w:tcPr>
                <w:p>
                  <w:pPr>
                    <w:jc w:val="center"/>
                    <w:rPr>
                      <w:szCs w:val="21"/>
                    </w:rPr>
                  </w:pPr>
                  <w:r>
                    <w:rPr>
                      <w:rFonts w:hint="eastAsia"/>
                      <w:szCs w:val="21"/>
                    </w:rPr>
                    <w:t>83</w:t>
                  </w:r>
                </w:p>
              </w:tc>
              <w:tc>
                <w:tcPr>
                  <w:tcW w:w="470" w:type="pct"/>
                  <w:vAlign w:val="center"/>
                </w:tcPr>
                <w:p>
                  <w:pPr>
                    <w:jc w:val="center"/>
                    <w:rPr>
                      <w:szCs w:val="21"/>
                    </w:rPr>
                  </w:pPr>
                  <w:r>
                    <w:rPr>
                      <w:rFonts w:hint="eastAsia"/>
                      <w:szCs w:val="21"/>
                    </w:rPr>
                    <w:t>77</w:t>
                  </w:r>
                </w:p>
              </w:tc>
              <w:tc>
                <w:tcPr>
                  <w:tcW w:w="470" w:type="pct"/>
                  <w:vAlign w:val="center"/>
                </w:tcPr>
                <w:p>
                  <w:pPr>
                    <w:jc w:val="center"/>
                    <w:rPr>
                      <w:szCs w:val="21"/>
                    </w:rPr>
                  </w:pPr>
                  <w:r>
                    <w:rPr>
                      <w:rFonts w:hint="eastAsia"/>
                      <w:szCs w:val="21"/>
                    </w:rPr>
                    <w:t>73</w:t>
                  </w:r>
                </w:p>
              </w:tc>
              <w:tc>
                <w:tcPr>
                  <w:tcW w:w="470" w:type="pct"/>
                  <w:vAlign w:val="center"/>
                </w:tcPr>
                <w:p>
                  <w:pPr>
                    <w:jc w:val="center"/>
                    <w:rPr>
                      <w:szCs w:val="21"/>
                    </w:rPr>
                  </w:pPr>
                  <w:r>
                    <w:rPr>
                      <w:rFonts w:hint="eastAsia"/>
                      <w:szCs w:val="21"/>
                    </w:rPr>
                    <w:t>71</w:t>
                  </w:r>
                </w:p>
              </w:tc>
              <w:tc>
                <w:tcPr>
                  <w:tcW w:w="552" w:type="pct"/>
                  <w:vAlign w:val="center"/>
                </w:tcPr>
                <w:p>
                  <w:pPr>
                    <w:jc w:val="center"/>
                    <w:rPr>
                      <w:szCs w:val="21"/>
                    </w:rPr>
                  </w:pPr>
                  <w:r>
                    <w:rPr>
                      <w:rFonts w:hint="eastAsia"/>
                      <w:szCs w:val="21"/>
                    </w:rPr>
                    <w:t>69</w:t>
                  </w:r>
                </w:p>
              </w:tc>
              <w:tc>
                <w:tcPr>
                  <w:tcW w:w="552" w:type="pct"/>
                  <w:vAlign w:val="center"/>
                </w:tcPr>
                <w:p>
                  <w:pPr>
                    <w:jc w:val="center"/>
                    <w:rPr>
                      <w:szCs w:val="21"/>
                    </w:rPr>
                  </w:pPr>
                  <w:r>
                    <w:rPr>
                      <w:rFonts w:hint="eastAsia"/>
                      <w:szCs w:val="21"/>
                    </w:rPr>
                    <w:t>65</w:t>
                  </w:r>
                </w:p>
              </w:tc>
              <w:tc>
                <w:tcPr>
                  <w:tcW w:w="555" w:type="pct"/>
                  <w:vAlign w:val="center"/>
                </w:tcPr>
                <w:p>
                  <w:pPr>
                    <w:jc w:val="center"/>
                    <w:rPr>
                      <w:szCs w:val="21"/>
                    </w:rPr>
                  </w:pPr>
                  <w:r>
                    <w:rPr>
                      <w:rFonts w:hint="eastAsia"/>
                      <w:szCs w:val="21"/>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自卸汽车</w:t>
                  </w:r>
                </w:p>
              </w:tc>
              <w:tc>
                <w:tcPr>
                  <w:tcW w:w="470" w:type="pct"/>
                  <w:vAlign w:val="center"/>
                </w:tcPr>
                <w:p>
                  <w:pPr>
                    <w:jc w:val="center"/>
                    <w:rPr>
                      <w:szCs w:val="21"/>
                    </w:rPr>
                  </w:pPr>
                  <w:r>
                    <w:rPr>
                      <w:rFonts w:hint="eastAsia"/>
                      <w:szCs w:val="21"/>
                    </w:rPr>
                    <w:t>80</w:t>
                  </w:r>
                </w:p>
              </w:tc>
              <w:tc>
                <w:tcPr>
                  <w:tcW w:w="470" w:type="pct"/>
                  <w:vAlign w:val="center"/>
                </w:tcPr>
                <w:p>
                  <w:pPr>
                    <w:jc w:val="center"/>
                    <w:rPr>
                      <w:szCs w:val="21"/>
                    </w:rPr>
                  </w:pPr>
                  <w:r>
                    <w:rPr>
                      <w:rFonts w:hint="eastAsia"/>
                      <w:szCs w:val="21"/>
                    </w:rPr>
                    <w:t>74</w:t>
                  </w:r>
                </w:p>
              </w:tc>
              <w:tc>
                <w:tcPr>
                  <w:tcW w:w="470" w:type="pct"/>
                  <w:vAlign w:val="center"/>
                </w:tcPr>
                <w:p>
                  <w:pPr>
                    <w:jc w:val="center"/>
                    <w:rPr>
                      <w:szCs w:val="21"/>
                    </w:rPr>
                  </w:pPr>
                  <w:r>
                    <w:rPr>
                      <w:rFonts w:hint="eastAsia"/>
                      <w:szCs w:val="21"/>
                    </w:rPr>
                    <w:t>68</w:t>
                  </w:r>
                </w:p>
              </w:tc>
              <w:tc>
                <w:tcPr>
                  <w:tcW w:w="470" w:type="pct"/>
                  <w:vAlign w:val="center"/>
                </w:tcPr>
                <w:p>
                  <w:pPr>
                    <w:jc w:val="center"/>
                    <w:rPr>
                      <w:szCs w:val="21"/>
                    </w:rPr>
                  </w:pPr>
                  <w:r>
                    <w:rPr>
                      <w:rFonts w:hint="eastAsia"/>
                      <w:szCs w:val="21"/>
                    </w:rPr>
                    <w:t>64</w:t>
                  </w:r>
                </w:p>
              </w:tc>
              <w:tc>
                <w:tcPr>
                  <w:tcW w:w="470" w:type="pct"/>
                  <w:vAlign w:val="center"/>
                </w:tcPr>
                <w:p>
                  <w:pPr>
                    <w:jc w:val="center"/>
                    <w:rPr>
                      <w:szCs w:val="21"/>
                    </w:rPr>
                  </w:pPr>
                  <w:r>
                    <w:rPr>
                      <w:rFonts w:hint="eastAsia"/>
                      <w:szCs w:val="21"/>
                    </w:rPr>
                    <w:t>62</w:t>
                  </w:r>
                </w:p>
              </w:tc>
              <w:tc>
                <w:tcPr>
                  <w:tcW w:w="552" w:type="pct"/>
                  <w:vAlign w:val="center"/>
                </w:tcPr>
                <w:p>
                  <w:pPr>
                    <w:jc w:val="center"/>
                    <w:rPr>
                      <w:szCs w:val="21"/>
                    </w:rPr>
                  </w:pPr>
                  <w:r>
                    <w:rPr>
                      <w:rFonts w:hint="eastAsia"/>
                      <w:szCs w:val="21"/>
                    </w:rPr>
                    <w:t>60</w:t>
                  </w:r>
                </w:p>
              </w:tc>
              <w:tc>
                <w:tcPr>
                  <w:tcW w:w="552" w:type="pct"/>
                  <w:vAlign w:val="center"/>
                </w:tcPr>
                <w:p>
                  <w:pPr>
                    <w:jc w:val="center"/>
                    <w:rPr>
                      <w:szCs w:val="21"/>
                    </w:rPr>
                  </w:pPr>
                  <w:r>
                    <w:rPr>
                      <w:rFonts w:hint="eastAsia"/>
                      <w:szCs w:val="21"/>
                    </w:rPr>
                    <w:t>56</w:t>
                  </w:r>
                </w:p>
              </w:tc>
              <w:tc>
                <w:tcPr>
                  <w:tcW w:w="555" w:type="pct"/>
                  <w:vAlign w:val="center"/>
                </w:tcPr>
                <w:p>
                  <w:pPr>
                    <w:jc w:val="center"/>
                    <w:rPr>
                      <w:szCs w:val="21"/>
                    </w:rPr>
                  </w:pPr>
                  <w:r>
                    <w:rPr>
                      <w:rFonts w:hint="eastAsia"/>
                      <w:szCs w:val="21"/>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混凝土车</w:t>
                  </w:r>
                </w:p>
              </w:tc>
              <w:tc>
                <w:tcPr>
                  <w:tcW w:w="470" w:type="pct"/>
                  <w:vAlign w:val="center"/>
                </w:tcPr>
                <w:p>
                  <w:pPr>
                    <w:jc w:val="center"/>
                    <w:rPr>
                      <w:szCs w:val="21"/>
                    </w:rPr>
                  </w:pPr>
                  <w:r>
                    <w:rPr>
                      <w:rFonts w:hint="eastAsia"/>
                      <w:szCs w:val="21"/>
                    </w:rPr>
                    <w:t>86</w:t>
                  </w:r>
                </w:p>
              </w:tc>
              <w:tc>
                <w:tcPr>
                  <w:tcW w:w="470" w:type="pct"/>
                  <w:vAlign w:val="center"/>
                </w:tcPr>
                <w:p>
                  <w:pPr>
                    <w:jc w:val="center"/>
                    <w:rPr>
                      <w:szCs w:val="21"/>
                    </w:rPr>
                  </w:pPr>
                  <w:r>
                    <w:rPr>
                      <w:rFonts w:hint="eastAsia"/>
                      <w:szCs w:val="21"/>
                    </w:rPr>
                    <w:t>80</w:t>
                  </w:r>
                </w:p>
              </w:tc>
              <w:tc>
                <w:tcPr>
                  <w:tcW w:w="470" w:type="pct"/>
                  <w:vAlign w:val="center"/>
                </w:tcPr>
                <w:p>
                  <w:pPr>
                    <w:jc w:val="center"/>
                    <w:rPr>
                      <w:szCs w:val="21"/>
                    </w:rPr>
                  </w:pPr>
                  <w:r>
                    <w:rPr>
                      <w:rFonts w:hint="eastAsia"/>
                      <w:szCs w:val="21"/>
                    </w:rPr>
                    <w:t>74</w:t>
                  </w:r>
                </w:p>
              </w:tc>
              <w:tc>
                <w:tcPr>
                  <w:tcW w:w="470" w:type="pct"/>
                  <w:vAlign w:val="center"/>
                </w:tcPr>
                <w:p>
                  <w:pPr>
                    <w:jc w:val="center"/>
                    <w:rPr>
                      <w:szCs w:val="21"/>
                    </w:rPr>
                  </w:pPr>
                  <w:r>
                    <w:rPr>
                      <w:rFonts w:hint="eastAsia"/>
                      <w:szCs w:val="21"/>
                    </w:rPr>
                    <w:t>70</w:t>
                  </w:r>
                </w:p>
              </w:tc>
              <w:tc>
                <w:tcPr>
                  <w:tcW w:w="470" w:type="pct"/>
                  <w:vAlign w:val="center"/>
                </w:tcPr>
                <w:p>
                  <w:pPr>
                    <w:jc w:val="center"/>
                    <w:rPr>
                      <w:szCs w:val="21"/>
                    </w:rPr>
                  </w:pPr>
                  <w:r>
                    <w:rPr>
                      <w:rFonts w:hint="eastAsia"/>
                      <w:szCs w:val="21"/>
                    </w:rPr>
                    <w:t>68</w:t>
                  </w:r>
                </w:p>
              </w:tc>
              <w:tc>
                <w:tcPr>
                  <w:tcW w:w="552" w:type="pct"/>
                  <w:vAlign w:val="center"/>
                </w:tcPr>
                <w:p>
                  <w:pPr>
                    <w:jc w:val="center"/>
                    <w:rPr>
                      <w:szCs w:val="21"/>
                    </w:rPr>
                  </w:pPr>
                  <w:r>
                    <w:rPr>
                      <w:rFonts w:hint="eastAsia"/>
                      <w:szCs w:val="21"/>
                    </w:rPr>
                    <w:t>66</w:t>
                  </w:r>
                </w:p>
              </w:tc>
              <w:tc>
                <w:tcPr>
                  <w:tcW w:w="552" w:type="pct"/>
                  <w:vAlign w:val="center"/>
                </w:tcPr>
                <w:p>
                  <w:pPr>
                    <w:jc w:val="center"/>
                    <w:rPr>
                      <w:szCs w:val="21"/>
                    </w:rPr>
                  </w:pPr>
                  <w:r>
                    <w:rPr>
                      <w:rFonts w:hint="eastAsia"/>
                      <w:szCs w:val="21"/>
                    </w:rPr>
                    <w:t>62</w:t>
                  </w:r>
                </w:p>
              </w:tc>
              <w:tc>
                <w:tcPr>
                  <w:tcW w:w="555" w:type="pct"/>
                  <w:vAlign w:val="center"/>
                </w:tcPr>
                <w:p>
                  <w:pPr>
                    <w:jc w:val="center"/>
                    <w:rPr>
                      <w:szCs w:val="21"/>
                    </w:rPr>
                  </w:pPr>
                  <w:r>
                    <w:rPr>
                      <w:rFonts w:hint="eastAsia"/>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0" w:type="pct"/>
                  <w:vAlign w:val="center"/>
                </w:tcPr>
                <w:p>
                  <w:pPr>
                    <w:jc w:val="center"/>
                    <w:rPr>
                      <w:szCs w:val="21"/>
                    </w:rPr>
                  </w:pPr>
                  <w:r>
                    <w:rPr>
                      <w:rFonts w:hint="eastAsia"/>
                      <w:szCs w:val="21"/>
                    </w:rPr>
                    <w:t>混凝土泵车</w:t>
                  </w:r>
                </w:p>
              </w:tc>
              <w:tc>
                <w:tcPr>
                  <w:tcW w:w="470" w:type="pct"/>
                  <w:vAlign w:val="center"/>
                </w:tcPr>
                <w:p>
                  <w:pPr>
                    <w:jc w:val="center"/>
                    <w:rPr>
                      <w:szCs w:val="21"/>
                    </w:rPr>
                  </w:pPr>
                  <w:r>
                    <w:rPr>
                      <w:rFonts w:hint="eastAsia"/>
                      <w:szCs w:val="21"/>
                    </w:rPr>
                    <w:t>85</w:t>
                  </w:r>
                </w:p>
              </w:tc>
              <w:tc>
                <w:tcPr>
                  <w:tcW w:w="470" w:type="pct"/>
                  <w:vAlign w:val="center"/>
                </w:tcPr>
                <w:p>
                  <w:pPr>
                    <w:jc w:val="center"/>
                    <w:rPr>
                      <w:szCs w:val="21"/>
                    </w:rPr>
                  </w:pPr>
                  <w:r>
                    <w:rPr>
                      <w:rFonts w:hint="eastAsia"/>
                      <w:szCs w:val="21"/>
                    </w:rPr>
                    <w:t>79</w:t>
                  </w:r>
                </w:p>
              </w:tc>
              <w:tc>
                <w:tcPr>
                  <w:tcW w:w="470" w:type="pct"/>
                  <w:vAlign w:val="center"/>
                </w:tcPr>
                <w:p>
                  <w:pPr>
                    <w:jc w:val="center"/>
                    <w:rPr>
                      <w:szCs w:val="21"/>
                    </w:rPr>
                  </w:pPr>
                  <w:r>
                    <w:rPr>
                      <w:rFonts w:hint="eastAsia"/>
                      <w:szCs w:val="21"/>
                    </w:rPr>
                    <w:t>73</w:t>
                  </w:r>
                </w:p>
              </w:tc>
              <w:tc>
                <w:tcPr>
                  <w:tcW w:w="470" w:type="pct"/>
                  <w:vAlign w:val="center"/>
                </w:tcPr>
                <w:p>
                  <w:pPr>
                    <w:jc w:val="center"/>
                    <w:rPr>
                      <w:szCs w:val="21"/>
                    </w:rPr>
                  </w:pPr>
                  <w:r>
                    <w:rPr>
                      <w:rFonts w:hint="eastAsia"/>
                      <w:szCs w:val="21"/>
                    </w:rPr>
                    <w:t>69</w:t>
                  </w:r>
                </w:p>
              </w:tc>
              <w:tc>
                <w:tcPr>
                  <w:tcW w:w="470" w:type="pct"/>
                  <w:vAlign w:val="center"/>
                </w:tcPr>
                <w:p>
                  <w:pPr>
                    <w:jc w:val="center"/>
                    <w:rPr>
                      <w:szCs w:val="21"/>
                    </w:rPr>
                  </w:pPr>
                  <w:r>
                    <w:rPr>
                      <w:rFonts w:hint="eastAsia"/>
                      <w:szCs w:val="21"/>
                    </w:rPr>
                    <w:t>67</w:t>
                  </w:r>
                </w:p>
              </w:tc>
              <w:tc>
                <w:tcPr>
                  <w:tcW w:w="552" w:type="pct"/>
                  <w:vAlign w:val="center"/>
                </w:tcPr>
                <w:p>
                  <w:pPr>
                    <w:jc w:val="center"/>
                    <w:rPr>
                      <w:szCs w:val="21"/>
                    </w:rPr>
                  </w:pPr>
                  <w:r>
                    <w:rPr>
                      <w:rFonts w:hint="eastAsia"/>
                      <w:szCs w:val="21"/>
                    </w:rPr>
                    <w:t>65</w:t>
                  </w:r>
                </w:p>
              </w:tc>
              <w:tc>
                <w:tcPr>
                  <w:tcW w:w="552" w:type="pct"/>
                  <w:vAlign w:val="center"/>
                </w:tcPr>
                <w:p>
                  <w:pPr>
                    <w:jc w:val="center"/>
                    <w:rPr>
                      <w:szCs w:val="21"/>
                    </w:rPr>
                  </w:pPr>
                  <w:r>
                    <w:rPr>
                      <w:rFonts w:hint="eastAsia"/>
                      <w:szCs w:val="21"/>
                    </w:rPr>
                    <w:t>61</w:t>
                  </w:r>
                </w:p>
              </w:tc>
              <w:tc>
                <w:tcPr>
                  <w:tcW w:w="555" w:type="pct"/>
                  <w:vAlign w:val="center"/>
                </w:tcPr>
                <w:p>
                  <w:pPr>
                    <w:jc w:val="center"/>
                    <w:rPr>
                      <w:szCs w:val="21"/>
                    </w:rPr>
                  </w:pPr>
                  <w:r>
                    <w:rPr>
                      <w:rFonts w:hint="eastAsia"/>
                      <w:szCs w:val="21"/>
                    </w:rPr>
                    <w:t>59</w:t>
                  </w:r>
                </w:p>
              </w:tc>
            </w:tr>
          </w:tbl>
          <w:p>
            <w:pPr>
              <w:adjustRightInd w:val="0"/>
              <w:snapToGrid w:val="0"/>
              <w:spacing w:before="120" w:beforeLines="50" w:line="360" w:lineRule="auto"/>
              <w:ind w:firstLine="480" w:firstLineChars="200"/>
              <w:rPr>
                <w:sz w:val="24"/>
              </w:rPr>
            </w:pPr>
            <w:r>
              <w:rPr>
                <w:sz w:val="24"/>
              </w:rPr>
              <w:t>根据计算，产生较大噪声的</w:t>
            </w:r>
            <w:r>
              <w:rPr>
                <w:rFonts w:hint="eastAsia"/>
                <w:sz w:val="24"/>
              </w:rPr>
              <w:t>电焊机</w:t>
            </w:r>
            <w:r>
              <w:rPr>
                <w:sz w:val="24"/>
              </w:rPr>
              <w:t>，其噪声在100m外可衰减至70dB(A</w:t>
            </w:r>
            <w:r>
              <w:rPr>
                <w:rFonts w:hint="eastAsia"/>
                <w:sz w:val="24"/>
              </w:rPr>
              <w:t>）</w:t>
            </w:r>
            <w:r>
              <w:rPr>
                <w:sz w:val="24"/>
              </w:rPr>
              <w:t>以下。</w:t>
            </w:r>
            <w:r>
              <w:rPr>
                <w:rFonts w:hint="eastAsia"/>
                <w:sz w:val="24"/>
              </w:rPr>
              <w:t>站址</w:t>
            </w:r>
            <w:r>
              <w:rPr>
                <w:sz w:val="24"/>
              </w:rPr>
              <w:t>周围</w:t>
            </w:r>
            <w:r>
              <w:rPr>
                <w:rFonts w:hint="eastAsia"/>
                <w:sz w:val="24"/>
              </w:rPr>
              <w:t>50</w:t>
            </w:r>
            <w:r>
              <w:rPr>
                <w:sz w:val="24"/>
              </w:rPr>
              <w:t>m噪声评价范围内无噪声敏感点分布，昼间能够满足《建筑施工场界环境噪声排放标准》(GB12523-2011)，对于声源设备较大的机械禁止夜间施工，夜间也能够满足《建筑施工场界环境噪声排放标准》(GB12523-2011)。</w:t>
            </w:r>
          </w:p>
          <w:p>
            <w:pPr>
              <w:adjustRightInd w:val="0"/>
              <w:snapToGrid w:val="0"/>
              <w:spacing w:line="360" w:lineRule="auto"/>
              <w:ind w:firstLine="480" w:firstLineChars="200"/>
              <w:rPr>
                <w:sz w:val="24"/>
              </w:rPr>
            </w:pPr>
            <w:r>
              <w:rPr>
                <w:sz w:val="24"/>
              </w:rPr>
              <w:t>施工期采取如下环保措施：</w:t>
            </w:r>
          </w:p>
          <w:p>
            <w:pPr>
              <w:adjustRightInd w:val="0"/>
              <w:snapToGrid w:val="0"/>
              <w:spacing w:line="360" w:lineRule="auto"/>
              <w:ind w:firstLine="480" w:firstLineChars="200"/>
              <w:rPr>
                <w:sz w:val="24"/>
              </w:rPr>
            </w:pPr>
            <w:r>
              <w:rPr>
                <w:sz w:val="24"/>
              </w:rPr>
              <w:t>施工单位采用满足国家相应噪声标准的施工机械设备，加强对施工机械的维护保养。将高噪声设备错开施工、并且夜间必须禁止高噪声设备施工。</w:t>
            </w:r>
          </w:p>
          <w:p>
            <w:pPr>
              <w:adjustRightInd w:val="0"/>
              <w:snapToGrid w:val="0"/>
              <w:spacing w:line="360" w:lineRule="auto"/>
              <w:ind w:firstLine="480" w:firstLineChars="200"/>
              <w:rPr>
                <w:sz w:val="24"/>
              </w:rPr>
            </w:pPr>
            <w:r>
              <w:rPr>
                <w:rFonts w:hint="eastAsia"/>
                <w:sz w:val="24"/>
              </w:rPr>
              <w:t>输电线路仅0.35km，施工距离短、时间短、范围小，因此，噪声排放影响不大。</w:t>
            </w:r>
          </w:p>
          <w:p>
            <w:pPr>
              <w:adjustRightInd w:val="0"/>
              <w:snapToGrid w:val="0"/>
              <w:spacing w:line="360" w:lineRule="auto"/>
              <w:ind w:firstLine="480" w:firstLineChars="200"/>
              <w:rPr>
                <w:sz w:val="24"/>
              </w:rPr>
            </w:pPr>
            <w:r>
              <w:rPr>
                <w:rFonts w:hint="eastAsia"/>
                <w:sz w:val="24"/>
              </w:rPr>
              <w:t>间隔扩建工程仅扩建1回间隔，同样施工周期很短，噪声排放随施工结束而消失，影响不大。</w:t>
            </w:r>
          </w:p>
          <w:p>
            <w:pPr>
              <w:adjustRightInd w:val="0"/>
              <w:snapToGrid w:val="0"/>
              <w:spacing w:line="360" w:lineRule="auto"/>
              <w:ind w:firstLine="480" w:firstLineChars="200"/>
              <w:rPr>
                <w:sz w:val="24"/>
              </w:rPr>
            </w:pPr>
            <w:r>
              <w:rPr>
                <w:sz w:val="24"/>
              </w:rPr>
              <w:t>通过以上分析，在采取上述措施后，本</w:t>
            </w:r>
            <w:r>
              <w:rPr>
                <w:rFonts w:hint="eastAsia"/>
                <w:sz w:val="24"/>
              </w:rPr>
              <w:t>项目</w:t>
            </w:r>
            <w:r>
              <w:rPr>
                <w:sz w:val="24"/>
              </w:rPr>
              <w:t>施工期的噪声对周围声环境的影响有限，随着施工期的结束其对周围的影响也随之消失。</w:t>
            </w:r>
          </w:p>
          <w:p>
            <w:pPr>
              <w:adjustRightInd w:val="0"/>
              <w:snapToGrid w:val="0"/>
              <w:spacing w:before="120" w:beforeLines="50" w:after="120" w:afterLines="50" w:line="360" w:lineRule="auto"/>
              <w:rPr>
                <w:b/>
                <w:bCs/>
                <w:sz w:val="24"/>
              </w:rPr>
            </w:pPr>
            <w:r>
              <w:rPr>
                <w:rFonts w:hint="eastAsia"/>
                <w:b/>
                <w:bCs/>
                <w:sz w:val="24"/>
              </w:rPr>
              <w:t>4.1.</w:t>
            </w:r>
            <w:r>
              <w:rPr>
                <w:b/>
                <w:bCs/>
                <w:sz w:val="24"/>
              </w:rPr>
              <w:t>4固体废物环境</w:t>
            </w:r>
            <w:r>
              <w:rPr>
                <w:rFonts w:hint="eastAsia"/>
                <w:b/>
                <w:bCs/>
                <w:sz w:val="24"/>
              </w:rPr>
              <w:t>影响分析</w:t>
            </w:r>
          </w:p>
          <w:p>
            <w:pPr>
              <w:adjustRightInd w:val="0"/>
              <w:snapToGrid w:val="0"/>
              <w:spacing w:line="360" w:lineRule="auto"/>
              <w:ind w:firstLine="480" w:firstLineChars="200"/>
              <w:rPr>
                <w:sz w:val="24"/>
              </w:rPr>
            </w:pPr>
            <w:r>
              <w:rPr>
                <w:sz w:val="24"/>
              </w:rPr>
              <w:t>本项目施工过程中产生的固体废物主要是生活垃圾和建筑垃圾。</w:t>
            </w:r>
          </w:p>
          <w:p>
            <w:pPr>
              <w:adjustRightInd w:val="0"/>
              <w:snapToGrid w:val="0"/>
              <w:spacing w:line="360" w:lineRule="auto"/>
              <w:ind w:firstLine="480" w:firstLineChars="200"/>
              <w:rPr>
                <w:sz w:val="24"/>
                <w:highlight w:val="yellow"/>
              </w:rPr>
            </w:pPr>
            <w:r>
              <w:rPr>
                <w:color w:val="FF0000"/>
                <w:sz w:val="24"/>
              </w:rPr>
              <w:t>施工高峰期人数约</w:t>
            </w:r>
            <w:r>
              <w:rPr>
                <w:rFonts w:hint="eastAsia"/>
                <w:color w:val="FF0000"/>
                <w:sz w:val="24"/>
              </w:rPr>
              <w:t>90</w:t>
            </w:r>
            <w:r>
              <w:rPr>
                <w:color w:val="FF0000"/>
                <w:sz w:val="24"/>
              </w:rPr>
              <w:t>人，施工人员</w:t>
            </w:r>
            <w:r>
              <w:rPr>
                <w:rFonts w:hint="eastAsia"/>
                <w:color w:val="FF0000"/>
                <w:sz w:val="24"/>
              </w:rPr>
              <w:t>多为电气安装专业技术人员</w:t>
            </w:r>
            <w:r>
              <w:rPr>
                <w:color w:val="FF0000"/>
                <w:sz w:val="24"/>
              </w:rPr>
              <w:t>，</w:t>
            </w:r>
            <w:r>
              <w:rPr>
                <w:rFonts w:hint="eastAsia"/>
                <w:color w:val="FF0000"/>
                <w:sz w:val="24"/>
              </w:rPr>
              <w:t>租用六坝镇民房，不在施工现场食宿，施工现场仅设置2~3个看护人员留守</w:t>
            </w:r>
            <w:r>
              <w:rPr>
                <w:sz w:val="24"/>
              </w:rPr>
              <w:t>；</w:t>
            </w:r>
            <w:r>
              <w:rPr>
                <w:color w:val="FF0000"/>
                <w:sz w:val="24"/>
              </w:rPr>
              <w:t>施工管理室、值班室（</w:t>
            </w:r>
            <w:r>
              <w:rPr>
                <w:rFonts w:hint="eastAsia"/>
                <w:color w:val="FF0000"/>
                <w:sz w:val="24"/>
              </w:rPr>
              <w:t>3</w:t>
            </w:r>
            <w:r>
              <w:rPr>
                <w:color w:val="FF0000"/>
                <w:sz w:val="24"/>
              </w:rPr>
              <w:t>人）产生的生活垃圾约为</w:t>
            </w:r>
            <w:r>
              <w:rPr>
                <w:rFonts w:hint="eastAsia"/>
                <w:color w:val="FF0000"/>
                <w:sz w:val="24"/>
              </w:rPr>
              <w:t>1</w:t>
            </w:r>
            <w:r>
              <w:rPr>
                <w:color w:val="FF0000"/>
                <w:sz w:val="24"/>
              </w:rPr>
              <w:t>.5kg/d，集中收集后定期外运至环卫部门指定处置地点</w:t>
            </w:r>
            <w:r>
              <w:rPr>
                <w:sz w:val="24"/>
              </w:rPr>
              <w:t>；</w:t>
            </w:r>
          </w:p>
          <w:p>
            <w:pPr>
              <w:adjustRightInd w:val="0"/>
              <w:snapToGrid w:val="0"/>
              <w:spacing w:line="360" w:lineRule="auto"/>
              <w:ind w:firstLine="480" w:firstLineChars="200"/>
              <w:rPr>
                <w:sz w:val="24"/>
              </w:rPr>
            </w:pPr>
            <w:r>
              <w:rPr>
                <w:sz w:val="24"/>
              </w:rPr>
              <w:t>项目建筑面积约为</w:t>
            </w:r>
            <w:r>
              <w:rPr>
                <w:rFonts w:hint="eastAsia"/>
                <w:sz w:val="24"/>
              </w:rPr>
              <w:t>2270</w:t>
            </w:r>
            <w:r>
              <w:rPr>
                <w:sz w:val="24"/>
              </w:rPr>
              <w:t>m</w:t>
            </w:r>
            <w:r>
              <w:rPr>
                <w:sz w:val="24"/>
                <w:vertAlign w:val="superscript"/>
              </w:rPr>
              <w:t>2</w:t>
            </w:r>
            <w:r>
              <w:rPr>
                <w:sz w:val="24"/>
              </w:rPr>
              <w:t>，</w:t>
            </w:r>
            <w:r>
              <w:rPr>
                <w:rFonts w:hint="eastAsia"/>
                <w:sz w:val="24"/>
              </w:rPr>
              <w:t>根据《建筑垃圾处理技术标准》（CJJ/T 134-2019），建筑工程垃圾产生量基数为0.03t/m</w:t>
            </w:r>
            <w:r>
              <w:rPr>
                <w:rFonts w:hint="eastAsia"/>
                <w:sz w:val="24"/>
                <w:vertAlign w:val="superscript"/>
              </w:rPr>
              <w:t>2</w:t>
            </w:r>
            <w:r>
              <w:rPr>
                <w:rFonts w:hint="eastAsia"/>
                <w:sz w:val="24"/>
              </w:rPr>
              <w:t>（300t/10</w:t>
            </w:r>
            <w:r>
              <w:rPr>
                <w:rFonts w:hint="eastAsia"/>
                <w:sz w:val="24"/>
                <w:vertAlign w:val="superscript"/>
              </w:rPr>
              <w:t>4</w:t>
            </w:r>
            <w:r>
              <w:rPr>
                <w:rFonts w:hint="eastAsia"/>
                <w:sz w:val="24"/>
              </w:rPr>
              <w:t>m</w:t>
            </w:r>
            <w:r>
              <w:rPr>
                <w:rFonts w:hint="eastAsia"/>
                <w:sz w:val="24"/>
                <w:vertAlign w:val="superscript"/>
              </w:rPr>
              <w:t>2</w:t>
            </w:r>
            <w:r>
              <w:rPr>
                <w:rFonts w:hint="eastAsia"/>
                <w:sz w:val="24"/>
              </w:rPr>
              <w:t>），</w:t>
            </w:r>
            <w:r>
              <w:rPr>
                <w:sz w:val="24"/>
              </w:rPr>
              <w:t>施工建筑垃圾产生量约为</w:t>
            </w:r>
            <w:r>
              <w:rPr>
                <w:rFonts w:hint="eastAsia"/>
                <w:sz w:val="24"/>
              </w:rPr>
              <w:t>68.1</w:t>
            </w:r>
            <w:r>
              <w:rPr>
                <w:sz w:val="24"/>
              </w:rPr>
              <w:t>t，由施工单位统一收集后，运至</w:t>
            </w:r>
            <w:r>
              <w:rPr>
                <w:rFonts w:hint="eastAsia"/>
                <w:sz w:val="24"/>
              </w:rPr>
              <w:t>住建部门</w:t>
            </w:r>
            <w:r>
              <w:rPr>
                <w:sz w:val="24"/>
              </w:rPr>
              <w:t>指定的建筑垃圾填埋场处置，不得随意乱弃。</w:t>
            </w:r>
          </w:p>
          <w:p>
            <w:pPr>
              <w:adjustRightInd w:val="0"/>
              <w:snapToGrid w:val="0"/>
              <w:spacing w:line="360" w:lineRule="auto"/>
              <w:ind w:firstLine="480" w:firstLineChars="200"/>
              <w:rPr>
                <w:sz w:val="24"/>
              </w:rPr>
            </w:pPr>
            <w:r>
              <w:rPr>
                <w:sz w:val="24"/>
              </w:rPr>
              <w:t>根据前文土石方平衡核算，项目施工过程中可以做到土石方平衡，无弃方；对施工临时堆土，集中、合理堆放，予以苫盖，遇干燥天气时进行洒水。</w:t>
            </w:r>
          </w:p>
          <w:p>
            <w:pPr>
              <w:adjustRightInd w:val="0"/>
              <w:snapToGrid w:val="0"/>
              <w:spacing w:line="360" w:lineRule="auto"/>
              <w:ind w:firstLine="480" w:firstLineChars="200"/>
              <w:rPr>
                <w:sz w:val="24"/>
              </w:rPr>
            </w:pPr>
            <w:r>
              <w:rPr>
                <w:rFonts w:hint="eastAsia"/>
                <w:sz w:val="24"/>
              </w:rPr>
              <w:t>输电线路仅0.35km，共2基铁塔，</w:t>
            </w:r>
            <w:r>
              <w:rPr>
                <w:rFonts w:hint="eastAsia"/>
                <w:color w:val="FF0000"/>
                <w:sz w:val="24"/>
              </w:rPr>
              <w:t>挖方量为260m</w:t>
            </w:r>
            <w:r>
              <w:rPr>
                <w:rFonts w:hint="eastAsia"/>
                <w:color w:val="FF0000"/>
                <w:sz w:val="24"/>
                <w:vertAlign w:val="superscript"/>
              </w:rPr>
              <w:t>3</w:t>
            </w:r>
            <w:r>
              <w:rPr>
                <w:rFonts w:hint="eastAsia"/>
                <w:color w:val="FF0000"/>
                <w:sz w:val="24"/>
              </w:rPr>
              <w:t>，除回填利用外，其余土方用于塔基周围的土地平整，无废弃土石方等</w:t>
            </w:r>
            <w:r>
              <w:rPr>
                <w:rFonts w:hint="eastAsia"/>
                <w:sz w:val="24"/>
              </w:rPr>
              <w:t>。</w:t>
            </w:r>
          </w:p>
          <w:p>
            <w:pPr>
              <w:adjustRightInd w:val="0"/>
              <w:snapToGrid w:val="0"/>
              <w:spacing w:line="360" w:lineRule="auto"/>
              <w:ind w:firstLine="480" w:firstLineChars="200"/>
              <w:rPr>
                <w:sz w:val="24"/>
              </w:rPr>
            </w:pPr>
            <w:r>
              <w:rPr>
                <w:rFonts w:hint="eastAsia"/>
                <w:sz w:val="24"/>
              </w:rPr>
              <w:t>间隔扩建工程主要扩建设备及其基础，工程量很小，在加强施工管理的前提下无建筑垃圾及废弃土石方产生。</w:t>
            </w:r>
          </w:p>
          <w:p>
            <w:pPr>
              <w:adjustRightInd w:val="0"/>
              <w:snapToGrid w:val="0"/>
              <w:spacing w:line="360" w:lineRule="auto"/>
              <w:ind w:firstLine="480" w:firstLineChars="200"/>
              <w:rPr>
                <w:sz w:val="24"/>
              </w:rPr>
            </w:pPr>
            <w:r>
              <w:rPr>
                <w:sz w:val="24"/>
              </w:rPr>
              <w:t>采取上述措施后，施工期固体废物对当地环境影响不大。</w:t>
            </w:r>
          </w:p>
          <w:p>
            <w:pPr>
              <w:adjustRightInd w:val="0"/>
              <w:snapToGrid w:val="0"/>
              <w:spacing w:before="120" w:beforeLines="50" w:after="120" w:afterLines="50" w:line="360" w:lineRule="auto"/>
              <w:rPr>
                <w:b/>
                <w:bCs/>
                <w:sz w:val="24"/>
              </w:rPr>
            </w:pPr>
            <w:r>
              <w:rPr>
                <w:rFonts w:hint="eastAsia"/>
                <w:b/>
                <w:bCs/>
                <w:sz w:val="24"/>
              </w:rPr>
              <w:t>4.1.</w:t>
            </w:r>
            <w:r>
              <w:rPr>
                <w:b/>
                <w:bCs/>
                <w:sz w:val="24"/>
              </w:rPr>
              <w:t>5生态环境</w:t>
            </w:r>
            <w:r>
              <w:rPr>
                <w:rFonts w:hint="eastAsia"/>
                <w:b/>
                <w:bCs/>
                <w:sz w:val="24"/>
              </w:rPr>
              <w:t>影响分析</w:t>
            </w:r>
          </w:p>
          <w:p>
            <w:pPr>
              <w:adjustRightInd w:val="0"/>
              <w:snapToGrid w:val="0"/>
              <w:spacing w:line="360" w:lineRule="auto"/>
              <w:ind w:firstLine="480" w:firstLineChars="200"/>
              <w:rPr>
                <w:color w:val="FF0000"/>
                <w:sz w:val="24"/>
              </w:rPr>
            </w:pPr>
            <w:r>
              <w:rPr>
                <w:rFonts w:hint="eastAsia"/>
                <w:color w:val="FF0000"/>
                <w:sz w:val="24"/>
              </w:rPr>
              <w:t>项目建设过程中，输电线路与储能电站的建设等活动，可能会带来永久与临时占地的占用，从而使场地植被及区域地表状态发生改变，对区域生态环境造成不同程度的影响。</w:t>
            </w:r>
          </w:p>
          <w:p>
            <w:pPr>
              <w:adjustRightInd w:val="0"/>
              <w:snapToGrid w:val="0"/>
              <w:spacing w:line="360" w:lineRule="auto"/>
              <w:ind w:firstLine="482" w:firstLineChars="200"/>
              <w:rPr>
                <w:b/>
                <w:bCs/>
                <w:color w:val="FF0000"/>
                <w:sz w:val="24"/>
              </w:rPr>
            </w:pPr>
            <w:r>
              <w:rPr>
                <w:rFonts w:hint="eastAsia"/>
                <w:b/>
                <w:bCs/>
                <w:color w:val="FF0000"/>
                <w:sz w:val="24"/>
              </w:rPr>
              <w:t>4.1.5.1</w:t>
            </w:r>
            <w:r>
              <w:rPr>
                <w:b/>
                <w:bCs/>
                <w:color w:val="FF0000"/>
                <w:sz w:val="24"/>
              </w:rPr>
              <w:t>对土地利用的影响</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（1）储能电站</w:t>
            </w:r>
          </w:p>
          <w:p>
            <w:pPr>
              <w:adjustRightInd w:val="0"/>
              <w:snapToGrid w:val="0"/>
              <w:spacing w:line="360" w:lineRule="auto"/>
              <w:ind w:firstLine="480" w:firstLineChars="200"/>
              <w:rPr>
                <w:snapToGrid w:val="0"/>
                <w:color w:val="FF0000"/>
                <w:kern w:val="24"/>
                <w:sz w:val="24"/>
              </w:rPr>
            </w:pPr>
            <w:r>
              <w:rPr>
                <w:snapToGrid w:val="0"/>
                <w:color w:val="FF0000"/>
                <w:kern w:val="24"/>
                <w:sz w:val="24"/>
              </w:rPr>
              <w:t>本</w:t>
            </w:r>
            <w:r>
              <w:rPr>
                <w:color w:val="FF0000"/>
                <w:sz w:val="24"/>
              </w:rPr>
              <w:t>项目</w:t>
            </w:r>
            <w:r>
              <w:rPr>
                <w:rFonts w:hint="eastAsia"/>
                <w:snapToGrid w:val="0"/>
                <w:color w:val="FF0000"/>
                <w:kern w:val="24"/>
                <w:sz w:val="24"/>
              </w:rPr>
              <w:t>储能电站</w:t>
            </w:r>
            <w:r>
              <w:rPr>
                <w:snapToGrid w:val="0"/>
                <w:color w:val="FF0000"/>
                <w:kern w:val="24"/>
                <w:sz w:val="24"/>
              </w:rPr>
              <w:t>永久占地为</w:t>
            </w:r>
            <w:r>
              <w:rPr>
                <w:rFonts w:hint="eastAsia"/>
                <w:snapToGrid w:val="0"/>
                <w:color w:val="FF0000"/>
                <w:kern w:val="24"/>
                <w:sz w:val="24"/>
              </w:rPr>
              <w:t>104000</w:t>
            </w:r>
            <w:r>
              <w:rPr>
                <w:snapToGrid w:val="0"/>
                <w:color w:val="FF0000"/>
                <w:kern w:val="24"/>
                <w:sz w:val="24"/>
              </w:rPr>
              <w:t>m</w:t>
            </w:r>
            <w:r>
              <w:rPr>
                <w:snapToGrid w:val="0"/>
                <w:color w:val="FF0000"/>
                <w:kern w:val="24"/>
                <w:sz w:val="24"/>
                <w:vertAlign w:val="superscript"/>
              </w:rPr>
              <w:t>2</w:t>
            </w:r>
            <w:r>
              <w:rPr>
                <w:snapToGrid w:val="0"/>
                <w:color w:val="FF0000"/>
                <w:kern w:val="24"/>
                <w:sz w:val="24"/>
              </w:rPr>
              <w:t>，占地为</w:t>
            </w:r>
            <w:r>
              <w:rPr>
                <w:rFonts w:hint="eastAsia"/>
                <w:color w:val="FF0000"/>
                <w:sz w:val="24"/>
              </w:rPr>
              <w:t>未利用地和农用地</w:t>
            </w:r>
            <w:r>
              <w:rPr>
                <w:snapToGrid w:val="0"/>
                <w:color w:val="FF0000"/>
                <w:kern w:val="24"/>
                <w:sz w:val="24"/>
              </w:rPr>
              <w:t>。项目建设会永久性占用一定面积的土地，使评价范围内的土地利用性质发生变化，对区域内土地利用结构产生一定影响。</w:t>
            </w:r>
          </w:p>
          <w:p>
            <w:pPr>
              <w:pStyle w:val="19"/>
              <w:adjustRightInd w:val="0"/>
              <w:snapToGrid w:val="0"/>
              <w:spacing w:line="360" w:lineRule="auto"/>
              <w:ind w:left="0" w:leftChars="0" w:firstLine="480" w:firstLineChars="200"/>
              <w:rPr>
                <w:snapToGrid w:val="0"/>
                <w:color w:val="FF0000"/>
                <w:kern w:val="24"/>
                <w:sz w:val="24"/>
              </w:rPr>
            </w:pPr>
            <w:r>
              <w:rPr>
                <w:snapToGrid w:val="0"/>
                <w:color w:val="FF0000"/>
                <w:kern w:val="24"/>
                <w:sz w:val="24"/>
              </w:rPr>
              <w:t>施工期需临时占用一些土地，主要是施工生产生活区及临时堆土区等，由于这些土地的临时占用，临时改变了这些土地的利用形式，暂时影响了这些土地的功能，但是随着施工的结束，这些临时用地进行</w:t>
            </w:r>
            <w:r>
              <w:rPr>
                <w:rFonts w:hint="eastAsia"/>
                <w:snapToGrid w:val="0"/>
                <w:color w:val="FF0000"/>
                <w:kern w:val="24"/>
                <w:sz w:val="24"/>
              </w:rPr>
              <w:t>原貌</w:t>
            </w:r>
            <w:r>
              <w:rPr>
                <w:snapToGrid w:val="0"/>
                <w:color w:val="FF0000"/>
                <w:kern w:val="24"/>
                <w:sz w:val="24"/>
              </w:rPr>
              <w:t>恢复后，将恢复原有的土地功能。因此，临时占地对土地利用性质的影响是暂时的。</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（2）输电线路</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输电线路工程建设会临时和永久地占用一定面积的土地，使评价区范围内的各种土地现状面积发生变化，对区域内土地利用结构产生一定影响。</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本项目永久占地主要是输电线路塔基区占地等，临时占地包括塔基材料堆放及施工作业面、塔基临时堆土占地、牵张场、施工便道等。本项目输电线路施工占地性质以临时占地为主，输电线路不存在集中大量占用土地的情况。</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输电线路设计时，一方面优化塔基选型及塔位布置，减少塔基区永久占地，严格按照规划的电力走廊走线；另外一方面尽量靠近现有道路架设线路，最大限度减少施工便道等临时用地，线路经过地区地形均为平地。塔基选择时，应充分利用现有道路及已建线路的检修道路，尽量减少修建临时施工便道。施工结束后，除塔基四个支撑脚占地外，其余均采取土地整治，并积极恢复原有地貌。采取上述措施后，输电线路工程不会明显改变工程沿线土地利用结构，对工程沿线土地利用影响轻微，不会造成新的水土流失和土地生产力下降。</w:t>
            </w:r>
          </w:p>
          <w:p>
            <w:pPr>
              <w:adjustRightInd w:val="0"/>
              <w:snapToGrid w:val="0"/>
              <w:spacing w:line="360" w:lineRule="auto"/>
              <w:ind w:firstLine="482" w:firstLineChars="200"/>
              <w:rPr>
                <w:b/>
                <w:bCs/>
                <w:snapToGrid w:val="0"/>
                <w:color w:val="FF0000"/>
                <w:kern w:val="24"/>
                <w:sz w:val="24"/>
              </w:rPr>
            </w:pPr>
            <w:r>
              <w:rPr>
                <w:rFonts w:hint="eastAsia"/>
                <w:b/>
                <w:bCs/>
                <w:snapToGrid w:val="0"/>
                <w:color w:val="FF0000"/>
                <w:kern w:val="24"/>
                <w:sz w:val="24"/>
              </w:rPr>
              <w:t>4.1.5.2</w:t>
            </w:r>
            <w:r>
              <w:rPr>
                <w:b/>
                <w:bCs/>
                <w:snapToGrid w:val="0"/>
                <w:color w:val="FF0000"/>
                <w:kern w:val="24"/>
                <w:sz w:val="24"/>
              </w:rPr>
              <w:t>对植被的影响</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（1）储能电站</w:t>
            </w:r>
          </w:p>
          <w:p>
            <w:pPr>
              <w:adjustRightInd w:val="0"/>
              <w:snapToGrid w:val="0"/>
              <w:spacing w:line="360" w:lineRule="auto"/>
              <w:ind w:firstLine="480" w:firstLineChars="200"/>
              <w:rPr>
                <w:snapToGrid w:val="0"/>
                <w:color w:val="FF0000"/>
                <w:kern w:val="24"/>
                <w:sz w:val="24"/>
              </w:rPr>
            </w:pPr>
            <w:r>
              <w:rPr>
                <w:snapToGrid w:val="0"/>
                <w:color w:val="FF0000"/>
                <w:kern w:val="24"/>
                <w:sz w:val="24"/>
              </w:rPr>
              <w:t>本</w:t>
            </w:r>
            <w:r>
              <w:rPr>
                <w:color w:val="FF0000"/>
                <w:sz w:val="24"/>
              </w:rPr>
              <w:t>项目</w:t>
            </w:r>
            <w:r>
              <w:rPr>
                <w:snapToGrid w:val="0"/>
                <w:color w:val="FF0000"/>
                <w:kern w:val="24"/>
                <w:sz w:val="24"/>
              </w:rPr>
              <w:t>区域</w:t>
            </w:r>
            <w:r>
              <w:rPr>
                <w:rFonts w:hint="eastAsia"/>
                <w:snapToGrid w:val="0"/>
                <w:color w:val="FF0000"/>
                <w:kern w:val="24"/>
                <w:sz w:val="24"/>
              </w:rPr>
              <w:t>占地</w:t>
            </w:r>
            <w:r>
              <w:rPr>
                <w:snapToGrid w:val="0"/>
                <w:color w:val="FF0000"/>
                <w:kern w:val="24"/>
                <w:sz w:val="24"/>
              </w:rPr>
              <w:t>为</w:t>
            </w:r>
            <w:r>
              <w:rPr>
                <w:rFonts w:hint="eastAsia"/>
                <w:snapToGrid w:val="0"/>
                <w:color w:val="FF0000"/>
                <w:kern w:val="24"/>
                <w:sz w:val="24"/>
              </w:rPr>
              <w:t>未利用地和农用地</w:t>
            </w:r>
            <w:r>
              <w:rPr>
                <w:snapToGrid w:val="0"/>
                <w:color w:val="FF0000"/>
                <w:kern w:val="24"/>
                <w:sz w:val="24"/>
              </w:rPr>
              <w:t>，施工期不可避免地会对土壤产生扰动，对植被产生破坏。</w:t>
            </w:r>
            <w:r>
              <w:rPr>
                <w:rFonts w:hint="eastAsia"/>
                <w:snapToGrid w:val="0"/>
                <w:color w:val="FF0000"/>
                <w:kern w:val="24"/>
                <w:sz w:val="24"/>
              </w:rPr>
              <w:t>区域</w:t>
            </w:r>
            <w:r>
              <w:rPr>
                <w:snapToGrid w:val="0"/>
                <w:color w:val="FF0000"/>
                <w:kern w:val="24"/>
                <w:sz w:val="24"/>
              </w:rPr>
              <w:t>植被</w:t>
            </w:r>
            <w:r>
              <w:rPr>
                <w:rFonts w:hint="eastAsia"/>
                <w:snapToGrid w:val="0"/>
                <w:color w:val="FF0000"/>
                <w:kern w:val="24"/>
                <w:sz w:val="24"/>
              </w:rPr>
              <w:t>以</w:t>
            </w:r>
            <w:r>
              <w:rPr>
                <w:color w:val="FF0000"/>
                <w:sz w:val="24"/>
              </w:rPr>
              <w:t>杂类草、荒漠草</w:t>
            </w:r>
            <w:r>
              <w:rPr>
                <w:rFonts w:hint="eastAsia"/>
                <w:color w:val="FF0000"/>
                <w:sz w:val="24"/>
              </w:rPr>
              <w:t>及农作物</w:t>
            </w:r>
            <w:r>
              <w:rPr>
                <w:color w:val="FF0000"/>
                <w:sz w:val="24"/>
              </w:rPr>
              <w:t>为主</w:t>
            </w:r>
            <w:r>
              <w:rPr>
                <w:rFonts w:hint="eastAsia"/>
                <w:color w:val="FF0000"/>
                <w:sz w:val="24"/>
              </w:rPr>
              <w:t>，</w:t>
            </w:r>
            <w:r>
              <w:rPr>
                <w:snapToGrid w:val="0"/>
                <w:color w:val="FF0000"/>
                <w:kern w:val="24"/>
                <w:sz w:val="24"/>
              </w:rPr>
              <w:t>较为敏感与脆弱，生产力较小，但其作为生态系统的重要组成，可为动物群提供食物和庇护，参与生态系统的能量转化和物质循环，并在防止风蚀和</w:t>
            </w:r>
            <w:r>
              <w:rPr>
                <w:rFonts w:hint="eastAsia"/>
                <w:snapToGrid w:val="0"/>
                <w:color w:val="FF0000"/>
                <w:kern w:val="24"/>
                <w:sz w:val="24"/>
              </w:rPr>
              <w:t>预防水土流失</w:t>
            </w:r>
            <w:r>
              <w:rPr>
                <w:snapToGrid w:val="0"/>
                <w:color w:val="FF0000"/>
                <w:kern w:val="24"/>
                <w:sz w:val="24"/>
              </w:rPr>
              <w:t>等方面具有重要作用。</w:t>
            </w:r>
          </w:p>
          <w:p>
            <w:pPr>
              <w:adjustRightInd w:val="0"/>
              <w:snapToGrid w:val="0"/>
              <w:spacing w:line="360" w:lineRule="auto"/>
              <w:ind w:firstLine="480" w:firstLineChars="200"/>
              <w:rPr>
                <w:snapToGrid w:val="0"/>
                <w:color w:val="FF0000"/>
                <w:kern w:val="24"/>
                <w:sz w:val="24"/>
              </w:rPr>
            </w:pPr>
            <w:r>
              <w:rPr>
                <w:snapToGrid w:val="0"/>
                <w:color w:val="FF0000"/>
                <w:kern w:val="24"/>
                <w:sz w:val="24"/>
              </w:rPr>
              <w:t>本</w:t>
            </w:r>
            <w:r>
              <w:rPr>
                <w:color w:val="FF0000"/>
                <w:sz w:val="24"/>
              </w:rPr>
              <w:t>项目</w:t>
            </w:r>
            <w:r>
              <w:rPr>
                <w:rFonts w:hint="eastAsia"/>
                <w:snapToGrid w:val="0"/>
                <w:color w:val="FF0000"/>
                <w:kern w:val="24"/>
                <w:sz w:val="24"/>
              </w:rPr>
              <w:t>应</w:t>
            </w:r>
            <w:r>
              <w:rPr>
                <w:snapToGrid w:val="0"/>
                <w:color w:val="FF0000"/>
                <w:kern w:val="24"/>
                <w:sz w:val="24"/>
              </w:rPr>
              <w:t>继续优化设计，减少占地面积，并合理设计临时占地，施工临时占地尽量利用植被少的空旷地，少占有原始植被的土地，不得不占用时，应保存好表土层，最大程度减小对植被的破坏，在施工后期对扰动地段采用土地整治、洒水结皮、覆压砾石等措施，采取上述措施后，</w:t>
            </w:r>
            <w:r>
              <w:rPr>
                <w:rFonts w:hint="eastAsia"/>
                <w:snapToGrid w:val="0"/>
                <w:color w:val="FF0000"/>
                <w:kern w:val="24"/>
                <w:sz w:val="24"/>
              </w:rPr>
              <w:t>项目</w:t>
            </w:r>
            <w:r>
              <w:rPr>
                <w:snapToGrid w:val="0"/>
                <w:color w:val="FF0000"/>
                <w:kern w:val="24"/>
                <w:sz w:val="24"/>
              </w:rPr>
              <w:t>施工过程中对植被损坏的数量有限，施工对区域植被的影响不大。</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储能电站需要占用部分耕地（耕地为旱地，不属于基本农田）。农田植被为人工栽植植被类型之一，其群落结构与生物多样性多是由人工控制，因而对农田植被的影响，主要体现在对农田植被光合作用的影响，农田面积的影响，以及由此造成的生物量与生产力损失。项目占地有限，占用旱地面积为18062m</w:t>
            </w:r>
            <w:r>
              <w:rPr>
                <w:rFonts w:hint="eastAsia"/>
                <w:snapToGrid w:val="0"/>
                <w:color w:val="FF0000"/>
                <w:kern w:val="24"/>
                <w:sz w:val="24"/>
                <w:vertAlign w:val="superscript"/>
              </w:rPr>
              <w:t>2</w:t>
            </w:r>
            <w:r>
              <w:rPr>
                <w:rFonts w:hint="eastAsia"/>
                <w:snapToGrid w:val="0"/>
                <w:color w:val="FF0000"/>
                <w:kern w:val="24"/>
                <w:sz w:val="24"/>
              </w:rPr>
              <w:t>，对农业区占地应按国家标准予以补偿。农田植被的占用，不会对地方粮食生产带来较大的影响，更不会对农业生态系统产生大的影响。项目占地会对农田的收成带来影响，但这种影响相对较小，且建设方也对受影响农民实现了补偿。通过后期的管理与恢复，影响极其轻微。</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（2）输电线路</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①输电线路对植被类型的影响分析</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本项目输电线路经过的主要植被类型为</w:t>
            </w:r>
            <w:r>
              <w:rPr>
                <w:color w:val="FF0000"/>
                <w:sz w:val="24"/>
              </w:rPr>
              <w:t>杂类草</w:t>
            </w:r>
            <w:r>
              <w:rPr>
                <w:rFonts w:hint="eastAsia"/>
                <w:color w:val="FF0000"/>
                <w:sz w:val="24"/>
              </w:rPr>
              <w:t>群落及</w:t>
            </w:r>
            <w:r>
              <w:rPr>
                <w:color w:val="FF0000"/>
                <w:sz w:val="24"/>
              </w:rPr>
              <w:t>荒漠草</w:t>
            </w:r>
            <w:r>
              <w:rPr>
                <w:rFonts w:hint="eastAsia"/>
                <w:color w:val="FF0000"/>
                <w:sz w:val="24"/>
              </w:rPr>
              <w:t>群落</w:t>
            </w:r>
            <w:r>
              <w:rPr>
                <w:rFonts w:hint="eastAsia"/>
                <w:snapToGrid w:val="0"/>
                <w:color w:val="FF0000"/>
                <w:kern w:val="24"/>
                <w:sz w:val="24"/>
              </w:rPr>
              <w:t>，输电线路建设对主要植被类型的影响分析如下。</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植被多存在于立地条件稍好的区域，施工有可能对原有植被面积及结构产生一定的影响，项目塔基占地为四个支撑脚点状占地，塔基施工结束后对塔基下其余占地进行生态恢复，使其恢复至原有地貌。塔基占地及施工对植被中某一物种产生破坏，会导致小尺度群落结构的轻微破坏和部分功能的暂时性丧失，但对整体群落而言，影响极其有限。</w:t>
            </w:r>
          </w:p>
          <w:p>
            <w:pPr>
              <w:adjustRightInd w:val="0"/>
              <w:snapToGrid w:val="0"/>
              <w:spacing w:line="360" w:lineRule="auto"/>
              <w:ind w:firstLine="480" w:firstLineChars="200"/>
              <w:rPr>
                <w:snapToGrid w:val="0"/>
                <w:color w:val="FF0000"/>
                <w:kern w:val="24"/>
                <w:sz w:val="24"/>
              </w:rPr>
            </w:pPr>
            <w:r>
              <w:rPr>
                <w:snapToGrid w:val="0"/>
                <w:color w:val="FF0000"/>
                <w:kern w:val="24"/>
                <w:sz w:val="24"/>
              </w:rPr>
              <w:t>②</w:t>
            </w:r>
            <w:r>
              <w:rPr>
                <w:rFonts w:hint="eastAsia"/>
                <w:snapToGrid w:val="0"/>
                <w:color w:val="FF0000"/>
                <w:kern w:val="24"/>
                <w:sz w:val="24"/>
              </w:rPr>
              <w:t>对群落多样性及系统稳定性影响分析</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根据实地调查与相关设计要求，塔基永久性占地尽可能多占用荒地，仅塔基支撑脚会永久性占用土地，破坏地表植被，这类植被在当地分布相对较多，群落内都为常见的植物物种，项目建设会造成的植物数量减少，但对于植物群落的多样性影响有限，不会造成评价区内植物多样性及植被多样性的明显减少。</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据资料收集及实地调查，结合设计要求，评价区内永久占地部分无国家级及省级重点保护野生植物，不存在对特殊保护植物的影响。</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由于塔基占地面积极小，丧失的植被不会影响到植被群落整体的结构和功能，也不会影响沿线生态系统的稳定性。</w:t>
            </w:r>
          </w:p>
          <w:p>
            <w:pPr>
              <w:adjustRightInd w:val="0"/>
              <w:snapToGrid w:val="0"/>
              <w:spacing w:line="360" w:lineRule="auto"/>
              <w:ind w:firstLine="480" w:firstLineChars="200"/>
              <w:rPr>
                <w:snapToGrid w:val="0"/>
                <w:color w:val="FF0000"/>
                <w:kern w:val="24"/>
                <w:sz w:val="24"/>
              </w:rPr>
            </w:pPr>
            <w:r>
              <w:rPr>
                <w:snapToGrid w:val="0"/>
                <w:color w:val="FF0000"/>
                <w:kern w:val="24"/>
                <w:sz w:val="24"/>
              </w:rPr>
              <w:t>③</w:t>
            </w:r>
            <w:r>
              <w:rPr>
                <w:rFonts w:hint="eastAsia"/>
                <w:snapToGrid w:val="0"/>
                <w:color w:val="FF0000"/>
                <w:kern w:val="24"/>
                <w:sz w:val="24"/>
              </w:rPr>
              <w:t>外来物种对当地植被群落的影响分析</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项目建设期，工程人员及各种运输设施进入评价范围，有可能有意无意将外来物种带入该区域。带有入侵性的外来物种具有生态适应能力强，繁殖能力强，传播能力强等特点，可能对本地植被群落造成一定的影响。</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评价区内线路影响地区</w:t>
            </w:r>
            <w:r>
              <w:rPr>
                <w:rFonts w:hint="eastAsia"/>
                <w:color w:val="FF0000"/>
                <w:sz w:val="24"/>
              </w:rPr>
              <w:t>珍珠猪毛菜、醉马草+骆驼蓬群落及针茅+冷蒿群落</w:t>
            </w:r>
            <w:r>
              <w:rPr>
                <w:rFonts w:hint="eastAsia"/>
                <w:snapToGrid w:val="0"/>
                <w:color w:val="FF0000"/>
                <w:kern w:val="24"/>
                <w:sz w:val="24"/>
              </w:rPr>
              <w:t>所占比例较高，上述群落多为本地区的先锋植被，有生长快，抗性强等特点，具有一定占领本地生态系统优势位的实力；而对于农田植被来讲，其人为扰动较强，对于外来物种具有较高的控制能力。因此，外来物种对当地的植被群落影响不大。</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若项目临时占地未能及时恢复本土植被，这些裸地便可能为外来物种的发展提供条件，逐步形成外来物种为优势种的群落，排斥本土物种，最终影响本区原生植物群落的自然演替，降低区域的生物多样性。因此，建设后期要加强本土植被的恢复。</w:t>
            </w:r>
          </w:p>
          <w:p>
            <w:pPr>
              <w:adjustRightInd w:val="0"/>
              <w:snapToGrid w:val="0"/>
              <w:spacing w:line="360" w:lineRule="auto"/>
              <w:ind w:firstLine="482" w:firstLineChars="200"/>
              <w:rPr>
                <w:b/>
                <w:bCs/>
                <w:snapToGrid w:val="0"/>
                <w:color w:val="FF0000"/>
                <w:kern w:val="24"/>
                <w:sz w:val="24"/>
              </w:rPr>
            </w:pPr>
            <w:r>
              <w:rPr>
                <w:rFonts w:hint="eastAsia"/>
                <w:b/>
                <w:bCs/>
                <w:snapToGrid w:val="0"/>
                <w:color w:val="FF0000"/>
                <w:kern w:val="24"/>
                <w:sz w:val="24"/>
              </w:rPr>
              <w:t>4.1.5.3对</w:t>
            </w:r>
            <w:r>
              <w:rPr>
                <w:b/>
                <w:bCs/>
                <w:snapToGrid w:val="0"/>
                <w:color w:val="FF0000"/>
                <w:kern w:val="24"/>
                <w:sz w:val="24"/>
              </w:rPr>
              <w:t>野生动物的影响</w:t>
            </w:r>
          </w:p>
          <w:p>
            <w:pPr>
              <w:adjustRightInd w:val="0"/>
              <w:snapToGrid w:val="0"/>
              <w:spacing w:line="360" w:lineRule="auto"/>
              <w:ind w:firstLine="480" w:firstLineChars="200"/>
              <w:rPr>
                <w:snapToGrid w:val="0"/>
                <w:color w:val="FF0000"/>
                <w:kern w:val="24"/>
                <w:sz w:val="24"/>
              </w:rPr>
            </w:pPr>
            <w:r>
              <w:rPr>
                <w:snapToGrid w:val="0"/>
                <w:color w:val="FF0000"/>
                <w:kern w:val="24"/>
                <w:sz w:val="24"/>
              </w:rPr>
              <w:t>经资料收集及实地踏勘问询，本项目评价范围内无国家或地方重点保护野生动物的栖息地和繁殖地。</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（1）储能电站</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项目所在区域人类活动历史悠久，评价区内基本没有大型野生哺乳动物存在，只有啮齿类动物等小型哺乳动物以及少许鸟类。因此，本项目储能电站对周围野生动物影响不大。</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（2）输电线路</w:t>
            </w:r>
          </w:p>
          <w:p>
            <w:pPr>
              <w:adjustRightInd w:val="0"/>
              <w:snapToGrid w:val="0"/>
              <w:spacing w:line="360" w:lineRule="auto"/>
              <w:ind w:firstLine="480" w:firstLineChars="200"/>
              <w:rPr>
                <w:snapToGrid w:val="0"/>
                <w:color w:val="FF0000"/>
                <w:kern w:val="24"/>
                <w:sz w:val="24"/>
              </w:rPr>
            </w:pPr>
            <w:r>
              <w:rPr>
                <w:rFonts w:hint="eastAsia"/>
                <w:snapToGrid w:val="0"/>
                <w:color w:val="FF0000"/>
                <w:kern w:val="24"/>
                <w:sz w:val="24"/>
              </w:rPr>
              <w:t>本项目施工线路沿线人类活动历史悠久，评价区内基本没有大型野生哺乳动物存在，输电线路仅350m，只有啮齿类动物等小型哺乳动物以及少许鸟类。一般动物可能在施工期间受到影响，但由于工程量小，施工期短而且集中，施工单位通过加强对施工人员保护野生动物的宣传教育，提高施工人员自觉保护野生动物的意识，不会对周边野生动物产生明显影响。综上所述，本项目施工期对区域生态环境影响是短暂的、可逆的，随着施工期的结束，野生动物仍可回到原栖息地栖息，对环境的影响不大。</w:t>
            </w:r>
          </w:p>
          <w:p>
            <w:pPr>
              <w:adjustRightInd w:val="0"/>
              <w:snapToGrid w:val="0"/>
              <w:spacing w:line="360" w:lineRule="auto"/>
              <w:ind w:firstLine="482" w:firstLineChars="200"/>
              <w:rPr>
                <w:b/>
                <w:bCs/>
                <w:snapToGrid w:val="0"/>
                <w:color w:val="FF0000"/>
                <w:kern w:val="24"/>
                <w:sz w:val="24"/>
              </w:rPr>
            </w:pPr>
            <w:r>
              <w:rPr>
                <w:rFonts w:hint="eastAsia"/>
                <w:b/>
                <w:bCs/>
                <w:snapToGrid w:val="0"/>
                <w:color w:val="FF0000"/>
                <w:kern w:val="24"/>
                <w:sz w:val="24"/>
              </w:rPr>
              <w:t>4.1.5.4对景观的影响分析</w:t>
            </w:r>
          </w:p>
          <w:p>
            <w:pPr>
              <w:pStyle w:val="31"/>
              <w:ind w:firstLine="480" w:firstLineChars="200"/>
              <w:rPr>
                <w:rFonts w:ascii="Times New Roman" w:cs="Times New Roman"/>
                <w:snapToGrid w:val="0"/>
                <w:color w:val="FF0000"/>
                <w:kern w:val="24"/>
              </w:rPr>
            </w:pPr>
            <w:r>
              <w:rPr>
                <w:rFonts w:hint="eastAsia" w:ascii="Times New Roman" w:cs="Times New Roman"/>
                <w:snapToGrid w:val="0"/>
                <w:color w:val="FF0000"/>
                <w:kern w:val="24"/>
              </w:rPr>
              <w:t>本项目输电线路沿线无自然保护区、风景名胜区等生态敏感性区域，输电线路仅350m，由于铁塔本身较为高大，易被察觉，该地区主要为村庄、公路、工业企业等景观，背景景观域值较高，因而不会产生明显影响。此外，工程沿线无重要跨越、交叉</w:t>
            </w:r>
            <w:r>
              <w:rPr>
                <w:rFonts w:ascii="Times New Roman" w:cs="Times New Roman"/>
                <w:snapToGrid w:val="0"/>
                <w:color w:val="FF0000"/>
                <w:kern w:val="24"/>
              </w:rPr>
              <w:t>等，</w:t>
            </w:r>
            <w:r>
              <w:rPr>
                <w:rFonts w:hint="eastAsia" w:ascii="Times New Roman" w:cs="Times New Roman"/>
                <w:snapToGrid w:val="0"/>
                <w:color w:val="FF0000"/>
                <w:kern w:val="24"/>
              </w:rPr>
              <w:t>东北侧300m处有顺化330kV变电站，周边已布置有变电站、铁塔等景观，项目新建铁塔并不突兀</w:t>
            </w:r>
            <w:r>
              <w:rPr>
                <w:rFonts w:ascii="Times New Roman" w:cs="Times New Roman"/>
                <w:snapToGrid w:val="0"/>
                <w:color w:val="FF0000"/>
                <w:kern w:val="24"/>
              </w:rPr>
              <w:t>，对视觉冲击较小。因此，本</w:t>
            </w:r>
            <w:r>
              <w:rPr>
                <w:rFonts w:hint="eastAsia" w:ascii="Times New Roman" w:cs="Times New Roman"/>
                <w:snapToGrid w:val="0"/>
                <w:color w:val="FF0000"/>
                <w:kern w:val="24"/>
              </w:rPr>
              <w:t>项目</w:t>
            </w:r>
            <w:r>
              <w:rPr>
                <w:rFonts w:ascii="Times New Roman" w:cs="Times New Roman"/>
                <w:snapToGrid w:val="0"/>
                <w:color w:val="FF0000"/>
                <w:kern w:val="24"/>
              </w:rPr>
              <w:t>输电线路和铁塔架设对当地居民产生的视觉冲击是可以接受的</w:t>
            </w:r>
            <w:r>
              <w:rPr>
                <w:rFonts w:hint="eastAsia" w:ascii="Times New Roman" w:cs="Times New Roman"/>
                <w:snapToGrid w:val="0"/>
                <w:color w:val="FF0000"/>
                <w:kern w:val="24"/>
              </w:rPr>
              <w:t>。项目建设</w:t>
            </w:r>
            <w:r>
              <w:rPr>
                <w:rFonts w:hint="eastAsia" w:ascii="Times New Roman"/>
                <w:color w:val="FF0000"/>
              </w:rPr>
              <w:t>对植被的破坏会造成土地裸露，影响了原有地表自然形态，破坏了自然景观，使现有局部景观破碎，增加裸露斑块。项目建设过程应采取严格的生态保护措施，制定生态环境保护制度，划定施工范围，以遏制人为破坏；施工过程中，按照“避让、减缓、补偿、重建”的顺序，促进区内植被的自然恢复和地表结皮的形成，保护生态环境，最终使区域生态系统得以改善。</w:t>
            </w:r>
          </w:p>
          <w:p>
            <w:pPr>
              <w:adjustRightInd w:val="0"/>
              <w:snapToGrid w:val="0"/>
              <w:spacing w:line="360" w:lineRule="auto"/>
              <w:ind w:firstLine="480" w:firstLineChars="200"/>
              <w:rPr>
                <w:snapToGrid w:val="0"/>
                <w:color w:val="FF0000"/>
                <w:kern w:val="24"/>
                <w:sz w:val="24"/>
              </w:rPr>
            </w:pPr>
            <w:r>
              <w:rPr>
                <w:snapToGrid w:val="0"/>
                <w:color w:val="FF0000"/>
                <w:kern w:val="24"/>
                <w:sz w:val="24"/>
              </w:rPr>
              <w:t>本</w:t>
            </w:r>
            <w:r>
              <w:rPr>
                <w:rFonts w:hint="eastAsia"/>
                <w:snapToGrid w:val="0"/>
                <w:color w:val="FF0000"/>
                <w:kern w:val="24"/>
                <w:sz w:val="24"/>
              </w:rPr>
              <w:t>项目</w:t>
            </w:r>
            <w:r>
              <w:rPr>
                <w:snapToGrid w:val="0"/>
                <w:color w:val="FF0000"/>
                <w:kern w:val="24"/>
                <w:sz w:val="24"/>
              </w:rPr>
              <w:t>通过逐步落实本次环评提出的各项生态恢复措施，可有效改善区域生态环境现状。</w:t>
            </w:r>
          </w:p>
          <w:p>
            <w:pPr>
              <w:adjustRightInd w:val="0"/>
              <w:snapToGrid w:val="0"/>
              <w:spacing w:line="360" w:lineRule="auto"/>
              <w:ind w:firstLine="480" w:firstLineChars="200"/>
              <w:rPr>
                <w:rFonts w:ascii="宋体" w:hAnsi="宋体" w:cs="宋体"/>
                <w:bCs/>
                <w:szCs w:val="21"/>
              </w:rPr>
            </w:pPr>
            <w:r>
              <w:rPr>
                <w:color w:val="FF0000"/>
                <w:sz w:val="24"/>
              </w:rPr>
              <w:t>综上所述，本项目施工期对环境的影响主要表现在建设中施工扬尘、机械噪声、施工废水等对周边环境的影响，但通过采取适当的环境保护措施，项目施工对环境影响</w:t>
            </w:r>
            <w:r>
              <w:rPr>
                <w:rFonts w:hint="eastAsia"/>
                <w:color w:val="FF0000"/>
                <w:sz w:val="24"/>
              </w:rPr>
              <w:t>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9" w:type="dxa"/>
            <w:tcMar>
              <w:left w:w="28" w:type="dxa"/>
              <w:right w:w="28" w:type="dxa"/>
            </w:tcMar>
            <w:vAlign w:val="center"/>
          </w:tcPr>
          <w:p>
            <w:pPr>
              <w:pStyle w:val="20"/>
              <w:adjustRightInd w:val="0"/>
              <w:snapToGrid w:val="0"/>
              <w:spacing w:before="0" w:beforeAutospacing="0" w:after="0" w:afterAutospacing="0"/>
              <w:jc w:val="center"/>
              <w:rPr>
                <w:rFonts w:cs="宋体"/>
                <w:bCs/>
                <w:kern w:val="2"/>
                <w:sz w:val="21"/>
                <w:szCs w:val="21"/>
              </w:rPr>
            </w:pPr>
            <w:r>
              <w:rPr>
                <w:rFonts w:hint="eastAsia" w:cs="宋体"/>
                <w:bCs/>
                <w:spacing w:val="10"/>
                <w:kern w:val="2"/>
                <w:sz w:val="21"/>
                <w:szCs w:val="21"/>
              </w:rPr>
              <w:t>运营期生态环境影响分析</w:t>
            </w:r>
          </w:p>
        </w:tc>
        <w:tc>
          <w:tcPr>
            <w:tcW w:w="8363" w:type="dxa"/>
          </w:tcPr>
          <w:p>
            <w:pPr>
              <w:adjustRightInd w:val="0"/>
              <w:snapToGrid w:val="0"/>
              <w:spacing w:before="120" w:beforeLines="50" w:after="120" w:afterLines="50" w:line="360" w:lineRule="auto"/>
              <w:rPr>
                <w:b/>
                <w:bCs/>
                <w:sz w:val="24"/>
              </w:rPr>
            </w:pPr>
            <w:r>
              <w:rPr>
                <w:rFonts w:hint="eastAsia"/>
                <w:b/>
                <w:bCs/>
                <w:sz w:val="24"/>
              </w:rPr>
              <w:t>4.2运营期生态环境影响分析</w:t>
            </w:r>
          </w:p>
          <w:p>
            <w:pPr>
              <w:adjustRightInd w:val="0"/>
              <w:snapToGrid w:val="0"/>
              <w:spacing w:line="360" w:lineRule="auto"/>
              <w:ind w:firstLine="480" w:firstLineChars="200"/>
              <w:rPr>
                <w:sz w:val="24"/>
              </w:rPr>
            </w:pPr>
            <w:r>
              <w:rPr>
                <w:rFonts w:hint="eastAsia"/>
                <w:sz w:val="24"/>
              </w:rPr>
              <w:t>本</w:t>
            </w:r>
            <w:r>
              <w:rPr>
                <w:sz w:val="24"/>
              </w:rPr>
              <w:t>项目</w:t>
            </w:r>
            <w:r>
              <w:rPr>
                <w:rFonts w:hint="eastAsia"/>
                <w:sz w:val="24"/>
              </w:rPr>
              <w:t>运行期对环境的影响主要有工频电场、工频磁场、噪声、废水、固体废物和环境风险等。</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adjustRightInd w:val="0"/>
              <w:snapToGrid w:val="0"/>
              <w:spacing w:before="120" w:beforeLines="50" w:after="120" w:afterLines="50" w:line="360" w:lineRule="auto"/>
              <w:jc w:val="center"/>
              <w:rPr>
                <w:b/>
                <w:bCs/>
                <w:sz w:val="24"/>
              </w:rPr>
            </w:pPr>
            <w:r>
              <w:rPr>
                <w:sz w:val="24"/>
              </w:rPr>
              <w:drawing>
                <wp:inline distT="0" distB="0" distL="114300" distR="114300">
                  <wp:extent cx="5161280" cy="3180080"/>
                  <wp:effectExtent l="0" t="0" r="0" b="0"/>
                  <wp:docPr id="19" name="ECB019B1-382A-4266-B25C-5B523AA43C14-2" descr="C:/Users/Administrator/AppData/Local/Temp/wps.yysBe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2" descr="C:/Users/Administrator/AppData/Local/Temp/wps.yysBebwps"/>
                          <pic:cNvPicPr>
                            <a:picLocks noChangeAspect="1"/>
                          </pic:cNvPicPr>
                        </pic:nvPicPr>
                        <pic:blipFill>
                          <a:blip r:embed="rId16"/>
                          <a:stretch>
                            <a:fillRect/>
                          </a:stretch>
                        </pic:blipFill>
                        <pic:spPr>
                          <a:xfrm>
                            <a:off x="0" y="0"/>
                            <a:ext cx="5161280" cy="3180080"/>
                          </a:xfrm>
                          <a:prstGeom prst="rect">
                            <a:avLst/>
                          </a:prstGeom>
                        </pic:spPr>
                      </pic:pic>
                    </a:graphicData>
                  </a:graphic>
                </wp:inline>
              </w:drawing>
            </w:r>
          </w:p>
          <w:p>
            <w:pPr>
              <w:adjustRightInd w:val="0"/>
              <w:snapToGrid w:val="0"/>
              <w:spacing w:before="120" w:beforeLines="50" w:line="360" w:lineRule="auto"/>
              <w:jc w:val="center"/>
              <w:rPr>
                <w:b/>
                <w:bCs/>
                <w:sz w:val="24"/>
              </w:rPr>
            </w:pPr>
            <w:r>
              <w:rPr>
                <w:rFonts w:hint="eastAsia"/>
                <w:b/>
                <w:bCs/>
                <w:sz w:val="24"/>
              </w:rPr>
              <w:t>图4-1   运营期工艺流程及产污环节示意图</w:t>
            </w:r>
          </w:p>
          <w:p>
            <w:pPr>
              <w:pStyle w:val="49"/>
              <w:adjustRightInd w:val="0"/>
              <w:snapToGrid w:val="0"/>
              <w:spacing w:line="360" w:lineRule="auto"/>
              <w:ind w:left="0" w:firstLine="480" w:firstLineChars="200"/>
              <w:jc w:val="both"/>
              <w:rPr>
                <w:rFonts w:ascii="Times New Roman" w:hAnsi="Times New Roman" w:eastAsia="宋体"/>
                <w:b/>
                <w:bCs/>
              </w:rPr>
            </w:pPr>
            <w:r>
              <w:rPr>
                <w:rFonts w:ascii="Times New Roman" w:hAnsi="Times New Roman" w:eastAsia="宋体"/>
              </w:rPr>
              <w:t>运行期污染因子详见下表：</w:t>
            </w:r>
          </w:p>
          <w:p>
            <w:pPr>
              <w:pStyle w:val="49"/>
              <w:adjustRightInd w:val="0"/>
              <w:snapToGrid w:val="0"/>
              <w:spacing w:before="120" w:beforeLines="50" w:line="360" w:lineRule="auto"/>
              <w:ind w:left="0" w:firstLine="0" w:firstLineChars="0"/>
              <w:jc w:val="center"/>
              <w:rPr>
                <w:rFonts w:ascii="Times New Roman" w:hAnsi="Times New Roman" w:eastAsia="宋体"/>
                <w:b/>
                <w:bCs/>
              </w:rPr>
            </w:pPr>
            <w:r>
              <w:rPr>
                <w:rFonts w:ascii="Times New Roman" w:hAnsi="Times New Roman" w:eastAsia="宋体"/>
                <w:b/>
                <w:bCs/>
              </w:rPr>
              <w:t>表4-</w:t>
            </w:r>
            <w:r>
              <w:rPr>
                <w:rFonts w:hint="eastAsia" w:ascii="Times New Roman" w:hAnsi="Times New Roman" w:eastAsia="宋体"/>
                <w:b/>
                <w:bCs/>
              </w:rPr>
              <w:t>5</w:t>
            </w:r>
            <w:r>
              <w:rPr>
                <w:rFonts w:ascii="Times New Roman" w:hAnsi="Times New Roman" w:eastAsia="宋体"/>
                <w:b/>
                <w:bCs/>
              </w:rPr>
              <w:t xml:space="preserve"> </w:t>
            </w:r>
            <w:r>
              <w:rPr>
                <w:rFonts w:hint="eastAsia" w:ascii="Times New Roman" w:hAnsi="Times New Roman" w:eastAsia="宋体"/>
                <w:b/>
                <w:bCs/>
              </w:rPr>
              <w:t xml:space="preserve">  </w:t>
            </w:r>
            <w:r>
              <w:rPr>
                <w:rFonts w:ascii="Times New Roman" w:hAnsi="Times New Roman" w:eastAsia="宋体"/>
                <w:b/>
                <w:bCs/>
              </w:rPr>
              <w:t>运行期环境影响因子识别一览表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775"/>
              <w:gridCol w:w="1942"/>
              <w:gridCol w:w="1826"/>
              <w:gridCol w:w="2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l2br w:val="nil"/>
                    <w:tr2bl w:val="nil"/>
                  </w:tcBorders>
                  <w:vAlign w:val="center"/>
                </w:tcPr>
                <w:p>
                  <w:pPr>
                    <w:pStyle w:val="46"/>
                    <w:spacing w:before="24" w:after="24"/>
                    <w:rPr>
                      <w:rFonts w:ascii="Times New Roman"/>
                      <w:sz w:val="21"/>
                    </w:rPr>
                  </w:pPr>
                  <w:r>
                    <w:rPr>
                      <w:rFonts w:ascii="Times New Roman"/>
                      <w:sz w:val="21"/>
                    </w:rPr>
                    <w:t>序号</w:t>
                  </w:r>
                </w:p>
              </w:tc>
              <w:tc>
                <w:tcPr>
                  <w:tcW w:w="475" w:type="pct"/>
                  <w:tcBorders>
                    <w:tl2br w:val="nil"/>
                    <w:tr2bl w:val="nil"/>
                  </w:tcBorders>
                  <w:vAlign w:val="center"/>
                </w:tcPr>
                <w:p>
                  <w:pPr>
                    <w:pStyle w:val="46"/>
                    <w:spacing w:before="24" w:after="24"/>
                    <w:rPr>
                      <w:rFonts w:ascii="Times New Roman"/>
                      <w:sz w:val="21"/>
                    </w:rPr>
                  </w:pPr>
                  <w:r>
                    <w:rPr>
                      <w:rFonts w:ascii="Times New Roman"/>
                      <w:sz w:val="21"/>
                    </w:rPr>
                    <w:t>项目</w:t>
                  </w:r>
                </w:p>
              </w:tc>
              <w:tc>
                <w:tcPr>
                  <w:tcW w:w="1190" w:type="pct"/>
                  <w:tcBorders>
                    <w:tl2br w:val="nil"/>
                    <w:tr2bl w:val="nil"/>
                  </w:tcBorders>
                  <w:vAlign w:val="center"/>
                </w:tcPr>
                <w:p>
                  <w:pPr>
                    <w:pStyle w:val="46"/>
                    <w:spacing w:before="24" w:after="24"/>
                    <w:rPr>
                      <w:rFonts w:ascii="Times New Roman"/>
                      <w:sz w:val="21"/>
                    </w:rPr>
                  </w:pPr>
                  <w:r>
                    <w:rPr>
                      <w:rFonts w:ascii="Times New Roman"/>
                      <w:sz w:val="21"/>
                    </w:rPr>
                    <w:t>污染源</w:t>
                  </w:r>
                </w:p>
              </w:tc>
              <w:tc>
                <w:tcPr>
                  <w:tcW w:w="1119" w:type="pct"/>
                  <w:tcBorders>
                    <w:tl2br w:val="nil"/>
                    <w:tr2bl w:val="nil"/>
                  </w:tcBorders>
                  <w:vAlign w:val="center"/>
                </w:tcPr>
                <w:p>
                  <w:pPr>
                    <w:pStyle w:val="46"/>
                    <w:spacing w:before="24" w:after="24"/>
                    <w:rPr>
                      <w:rFonts w:ascii="Times New Roman"/>
                      <w:sz w:val="21"/>
                    </w:rPr>
                  </w:pPr>
                  <w:r>
                    <w:rPr>
                      <w:rFonts w:ascii="Times New Roman"/>
                      <w:sz w:val="21"/>
                    </w:rPr>
                    <w:t>污染物类型</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l2br w:val="nil"/>
                    <w:tr2bl w:val="nil"/>
                  </w:tcBorders>
                  <w:vAlign w:val="center"/>
                </w:tcPr>
                <w:p>
                  <w:pPr>
                    <w:pStyle w:val="46"/>
                    <w:spacing w:before="24" w:after="24"/>
                    <w:rPr>
                      <w:rFonts w:ascii="Times New Roman"/>
                      <w:sz w:val="21"/>
                    </w:rPr>
                  </w:pPr>
                  <w:r>
                    <w:rPr>
                      <w:rFonts w:ascii="Times New Roman"/>
                      <w:sz w:val="21"/>
                    </w:rPr>
                    <w:t>1</w:t>
                  </w:r>
                </w:p>
              </w:tc>
              <w:tc>
                <w:tcPr>
                  <w:tcW w:w="475" w:type="pct"/>
                  <w:tcBorders>
                    <w:tl2br w:val="nil"/>
                    <w:tr2bl w:val="nil"/>
                  </w:tcBorders>
                  <w:vAlign w:val="center"/>
                </w:tcPr>
                <w:p>
                  <w:pPr>
                    <w:pStyle w:val="46"/>
                    <w:spacing w:before="24" w:after="24"/>
                    <w:rPr>
                      <w:rFonts w:ascii="Times New Roman"/>
                      <w:sz w:val="21"/>
                    </w:rPr>
                  </w:pPr>
                  <w:r>
                    <w:rPr>
                      <w:rFonts w:ascii="Times New Roman"/>
                      <w:sz w:val="21"/>
                    </w:rPr>
                    <w:t>废水</w:t>
                  </w:r>
                </w:p>
              </w:tc>
              <w:tc>
                <w:tcPr>
                  <w:tcW w:w="1190" w:type="pct"/>
                  <w:tcBorders>
                    <w:tl2br w:val="nil"/>
                    <w:tr2bl w:val="nil"/>
                  </w:tcBorders>
                  <w:vAlign w:val="center"/>
                </w:tcPr>
                <w:p>
                  <w:pPr>
                    <w:pStyle w:val="46"/>
                    <w:spacing w:before="24" w:after="24"/>
                    <w:rPr>
                      <w:rFonts w:ascii="Times New Roman"/>
                      <w:sz w:val="21"/>
                    </w:rPr>
                  </w:pPr>
                  <w:r>
                    <w:rPr>
                      <w:rFonts w:hint="eastAsia" w:ascii="Times New Roman"/>
                      <w:sz w:val="21"/>
                    </w:rPr>
                    <w:t>办公生活</w:t>
                  </w:r>
                </w:p>
              </w:tc>
              <w:tc>
                <w:tcPr>
                  <w:tcW w:w="1119" w:type="pct"/>
                  <w:tcBorders>
                    <w:tl2br w:val="nil"/>
                    <w:tr2bl w:val="nil"/>
                  </w:tcBorders>
                  <w:vAlign w:val="center"/>
                </w:tcPr>
                <w:p>
                  <w:pPr>
                    <w:pStyle w:val="46"/>
                    <w:spacing w:before="24" w:after="24"/>
                    <w:rPr>
                      <w:rFonts w:ascii="Times New Roman"/>
                      <w:sz w:val="21"/>
                    </w:rPr>
                  </w:pPr>
                  <w:r>
                    <w:rPr>
                      <w:rFonts w:ascii="Times New Roman"/>
                      <w:sz w:val="21"/>
                    </w:rPr>
                    <w:t>生活废水</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pH、COD、BOD</w:t>
                  </w:r>
                  <w:r>
                    <w:rPr>
                      <w:rFonts w:ascii="Times New Roman"/>
                      <w:sz w:val="21"/>
                      <w:vertAlign w:val="subscript"/>
                    </w:rPr>
                    <w:t>5</w:t>
                  </w:r>
                  <w:r>
                    <w:rPr>
                      <w:rFonts w:ascii="Times New Roman"/>
                      <w:sz w:val="21"/>
                    </w:rPr>
                    <w:t>、氨氮、SS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0" w:type="pct"/>
                  <w:tcBorders>
                    <w:tl2br w:val="nil"/>
                    <w:tr2bl w:val="nil"/>
                  </w:tcBorders>
                  <w:vAlign w:val="center"/>
                </w:tcPr>
                <w:p>
                  <w:pPr>
                    <w:pStyle w:val="46"/>
                    <w:spacing w:before="24" w:after="24"/>
                    <w:rPr>
                      <w:rFonts w:ascii="Times New Roman"/>
                      <w:sz w:val="21"/>
                    </w:rPr>
                  </w:pPr>
                  <w:r>
                    <w:rPr>
                      <w:rFonts w:ascii="Times New Roman"/>
                      <w:sz w:val="21"/>
                    </w:rPr>
                    <w:t>2</w:t>
                  </w:r>
                </w:p>
              </w:tc>
              <w:tc>
                <w:tcPr>
                  <w:tcW w:w="475" w:type="pct"/>
                  <w:tcBorders>
                    <w:tl2br w:val="nil"/>
                    <w:tr2bl w:val="nil"/>
                  </w:tcBorders>
                  <w:vAlign w:val="center"/>
                </w:tcPr>
                <w:p>
                  <w:pPr>
                    <w:pStyle w:val="46"/>
                    <w:spacing w:before="24" w:after="24"/>
                    <w:rPr>
                      <w:rFonts w:ascii="Times New Roman"/>
                      <w:sz w:val="21"/>
                    </w:rPr>
                  </w:pPr>
                  <w:r>
                    <w:rPr>
                      <w:rFonts w:ascii="Times New Roman"/>
                      <w:sz w:val="21"/>
                    </w:rPr>
                    <w:t>噪声</w:t>
                  </w:r>
                </w:p>
              </w:tc>
              <w:tc>
                <w:tcPr>
                  <w:tcW w:w="1190" w:type="pct"/>
                  <w:tcBorders>
                    <w:tl2br w:val="nil"/>
                    <w:tr2bl w:val="nil"/>
                  </w:tcBorders>
                  <w:vAlign w:val="center"/>
                </w:tcPr>
                <w:p>
                  <w:pPr>
                    <w:pStyle w:val="46"/>
                    <w:spacing w:before="24" w:after="24"/>
                    <w:rPr>
                      <w:rFonts w:ascii="Times New Roman"/>
                      <w:sz w:val="21"/>
                    </w:rPr>
                  </w:pPr>
                  <w:r>
                    <w:rPr>
                      <w:rFonts w:hint="eastAsia" w:ascii="Times New Roman"/>
                      <w:sz w:val="21"/>
                    </w:rPr>
                    <w:t>输电线路、</w:t>
                  </w:r>
                  <w:r>
                    <w:rPr>
                      <w:rFonts w:ascii="Times New Roman"/>
                      <w:sz w:val="21"/>
                    </w:rPr>
                    <w:t>变压器</w:t>
                  </w:r>
                  <w:r>
                    <w:rPr>
                      <w:rFonts w:hint="eastAsia" w:ascii="Times New Roman"/>
                      <w:color w:val="FF0000"/>
                      <w:sz w:val="21"/>
                    </w:rPr>
                    <w:t>储能舱液冷机组、空调</w:t>
                  </w:r>
                  <w:r>
                    <w:rPr>
                      <w:rFonts w:ascii="Times New Roman"/>
                      <w:color w:val="FF0000"/>
                      <w:sz w:val="21"/>
                    </w:rPr>
                    <w:t>等设备运行</w:t>
                  </w:r>
                </w:p>
              </w:tc>
              <w:tc>
                <w:tcPr>
                  <w:tcW w:w="1119" w:type="pct"/>
                  <w:tcBorders>
                    <w:tl2br w:val="nil"/>
                    <w:tr2bl w:val="nil"/>
                  </w:tcBorders>
                  <w:vAlign w:val="center"/>
                </w:tcPr>
                <w:p>
                  <w:pPr>
                    <w:pStyle w:val="46"/>
                    <w:spacing w:before="24" w:after="24"/>
                    <w:rPr>
                      <w:rFonts w:ascii="Times New Roman"/>
                      <w:sz w:val="21"/>
                    </w:rPr>
                  </w:pPr>
                  <w:r>
                    <w:rPr>
                      <w:rFonts w:ascii="Times New Roman"/>
                      <w:sz w:val="21"/>
                    </w:rPr>
                    <w:t>噪声</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连续等效A声级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0" w:type="pct"/>
                  <w:tcBorders>
                    <w:tl2br w:val="nil"/>
                    <w:tr2bl w:val="nil"/>
                  </w:tcBorders>
                  <w:vAlign w:val="center"/>
                </w:tcPr>
                <w:p>
                  <w:pPr>
                    <w:pStyle w:val="46"/>
                    <w:spacing w:before="24" w:after="24"/>
                    <w:rPr>
                      <w:rFonts w:ascii="Times New Roman"/>
                      <w:sz w:val="21"/>
                    </w:rPr>
                  </w:pPr>
                  <w:r>
                    <w:rPr>
                      <w:rFonts w:hint="eastAsia" w:ascii="Times New Roman"/>
                      <w:sz w:val="21"/>
                    </w:rPr>
                    <w:t>3</w:t>
                  </w:r>
                </w:p>
              </w:tc>
              <w:tc>
                <w:tcPr>
                  <w:tcW w:w="475" w:type="pct"/>
                  <w:tcBorders>
                    <w:tl2br w:val="nil"/>
                    <w:tr2bl w:val="nil"/>
                  </w:tcBorders>
                  <w:vAlign w:val="center"/>
                </w:tcPr>
                <w:p>
                  <w:pPr>
                    <w:pStyle w:val="46"/>
                    <w:spacing w:before="24" w:after="24"/>
                    <w:rPr>
                      <w:rFonts w:ascii="Times New Roman"/>
                      <w:sz w:val="21"/>
                    </w:rPr>
                  </w:pPr>
                  <w:r>
                    <w:rPr>
                      <w:rFonts w:ascii="Times New Roman"/>
                      <w:sz w:val="21"/>
                    </w:rPr>
                    <w:t>电磁环境</w:t>
                  </w:r>
                </w:p>
              </w:tc>
              <w:tc>
                <w:tcPr>
                  <w:tcW w:w="1190" w:type="pct"/>
                  <w:tcBorders>
                    <w:tl2br w:val="nil"/>
                    <w:tr2bl w:val="nil"/>
                  </w:tcBorders>
                  <w:vAlign w:val="center"/>
                </w:tcPr>
                <w:p>
                  <w:pPr>
                    <w:pStyle w:val="46"/>
                    <w:spacing w:before="24" w:after="24"/>
                    <w:rPr>
                      <w:rFonts w:ascii="Times New Roman"/>
                      <w:sz w:val="21"/>
                    </w:rPr>
                  </w:pPr>
                  <w:r>
                    <w:rPr>
                      <w:rFonts w:ascii="Times New Roman"/>
                      <w:sz w:val="21"/>
                    </w:rPr>
                    <w:t>变压器、配电装置</w:t>
                  </w:r>
                  <w:r>
                    <w:rPr>
                      <w:rFonts w:hint="eastAsia" w:ascii="Times New Roman"/>
                      <w:sz w:val="21"/>
                    </w:rPr>
                    <w:t>、输电线路</w:t>
                  </w:r>
                </w:p>
              </w:tc>
              <w:tc>
                <w:tcPr>
                  <w:tcW w:w="1119" w:type="pct"/>
                  <w:tcBorders>
                    <w:tl2br w:val="nil"/>
                    <w:tr2bl w:val="nil"/>
                  </w:tcBorders>
                  <w:vAlign w:val="center"/>
                </w:tcPr>
                <w:p>
                  <w:pPr>
                    <w:pStyle w:val="46"/>
                    <w:spacing w:before="24" w:after="24"/>
                    <w:rPr>
                      <w:rFonts w:ascii="Times New Roman"/>
                      <w:sz w:val="21"/>
                    </w:rPr>
                  </w:pPr>
                  <w:r>
                    <w:rPr>
                      <w:rFonts w:ascii="Times New Roman"/>
                      <w:sz w:val="21"/>
                    </w:rPr>
                    <w:t>电磁场</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工频电场、工频磁感应强度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restart"/>
                  <w:tcBorders>
                    <w:tl2br w:val="nil"/>
                    <w:tr2bl w:val="nil"/>
                  </w:tcBorders>
                  <w:vAlign w:val="center"/>
                </w:tcPr>
                <w:p>
                  <w:pPr>
                    <w:pStyle w:val="46"/>
                    <w:spacing w:before="24" w:after="24"/>
                    <w:rPr>
                      <w:rFonts w:ascii="Times New Roman"/>
                      <w:sz w:val="21"/>
                    </w:rPr>
                  </w:pPr>
                  <w:r>
                    <w:rPr>
                      <w:rFonts w:hint="eastAsia" w:ascii="Times New Roman"/>
                      <w:sz w:val="21"/>
                    </w:rPr>
                    <w:t>4</w:t>
                  </w:r>
                </w:p>
              </w:tc>
              <w:tc>
                <w:tcPr>
                  <w:tcW w:w="475" w:type="pct"/>
                  <w:vMerge w:val="restart"/>
                  <w:tcBorders>
                    <w:tl2br w:val="nil"/>
                    <w:tr2bl w:val="nil"/>
                  </w:tcBorders>
                  <w:vAlign w:val="center"/>
                </w:tcPr>
                <w:p>
                  <w:pPr>
                    <w:pStyle w:val="46"/>
                    <w:spacing w:before="24" w:after="24"/>
                    <w:rPr>
                      <w:rFonts w:ascii="Times New Roman"/>
                      <w:sz w:val="21"/>
                    </w:rPr>
                  </w:pPr>
                  <w:r>
                    <w:rPr>
                      <w:rFonts w:ascii="Times New Roman"/>
                      <w:sz w:val="21"/>
                    </w:rPr>
                    <w:t>固体废物</w:t>
                  </w:r>
                </w:p>
              </w:tc>
              <w:tc>
                <w:tcPr>
                  <w:tcW w:w="1190" w:type="pct"/>
                  <w:tcBorders>
                    <w:tl2br w:val="nil"/>
                    <w:tr2bl w:val="nil"/>
                  </w:tcBorders>
                  <w:vAlign w:val="center"/>
                </w:tcPr>
                <w:p>
                  <w:pPr>
                    <w:pStyle w:val="46"/>
                    <w:spacing w:before="24" w:after="24"/>
                    <w:rPr>
                      <w:rFonts w:ascii="Times New Roman"/>
                      <w:sz w:val="21"/>
                    </w:rPr>
                  </w:pPr>
                  <w:r>
                    <w:rPr>
                      <w:rFonts w:hint="eastAsia" w:ascii="Times New Roman"/>
                      <w:sz w:val="21"/>
                    </w:rPr>
                    <w:t>办公生活</w:t>
                  </w:r>
                </w:p>
              </w:tc>
              <w:tc>
                <w:tcPr>
                  <w:tcW w:w="1119" w:type="pct"/>
                  <w:tcBorders>
                    <w:tl2br w:val="nil"/>
                    <w:tr2bl w:val="nil"/>
                  </w:tcBorders>
                  <w:vAlign w:val="center"/>
                </w:tcPr>
                <w:p>
                  <w:pPr>
                    <w:pStyle w:val="46"/>
                    <w:spacing w:before="24" w:after="24"/>
                    <w:rPr>
                      <w:rFonts w:ascii="Times New Roman"/>
                      <w:sz w:val="21"/>
                    </w:rPr>
                  </w:pPr>
                  <w:r>
                    <w:rPr>
                      <w:rFonts w:ascii="Times New Roman"/>
                      <w:sz w:val="21"/>
                    </w:rPr>
                    <w:t>生活垃圾</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生活垃圾、</w:t>
                  </w:r>
                  <w:r>
                    <w:rPr>
                      <w:rFonts w:hint="eastAsia" w:ascii="Times New Roman"/>
                      <w:sz w:val="21"/>
                    </w:rPr>
                    <w:t>化粪池</w:t>
                  </w:r>
                  <w:r>
                    <w:rPr>
                      <w:rFonts w:ascii="Times New Roman"/>
                      <w:sz w:val="21"/>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vAlign w:val="center"/>
                </w:tcPr>
                <w:p>
                  <w:pPr>
                    <w:pStyle w:val="46"/>
                    <w:spacing w:before="24" w:after="24"/>
                    <w:rPr>
                      <w:rFonts w:ascii="Times New Roman"/>
                      <w:sz w:val="21"/>
                    </w:rPr>
                  </w:pPr>
                </w:p>
              </w:tc>
              <w:tc>
                <w:tcPr>
                  <w:tcW w:w="475" w:type="pct"/>
                  <w:vMerge w:val="continue"/>
                  <w:tcBorders>
                    <w:tl2br w:val="nil"/>
                    <w:tr2bl w:val="nil"/>
                  </w:tcBorders>
                  <w:vAlign w:val="center"/>
                </w:tcPr>
                <w:p>
                  <w:pPr>
                    <w:pStyle w:val="46"/>
                    <w:spacing w:before="24" w:after="24"/>
                    <w:rPr>
                      <w:rFonts w:ascii="Times New Roman"/>
                      <w:sz w:val="21"/>
                    </w:rPr>
                  </w:pPr>
                </w:p>
              </w:tc>
              <w:tc>
                <w:tcPr>
                  <w:tcW w:w="1190" w:type="pct"/>
                  <w:tcBorders>
                    <w:tl2br w:val="nil"/>
                    <w:tr2bl w:val="nil"/>
                  </w:tcBorders>
                  <w:vAlign w:val="center"/>
                </w:tcPr>
                <w:p>
                  <w:pPr>
                    <w:pStyle w:val="46"/>
                    <w:spacing w:before="24" w:after="24"/>
                    <w:rPr>
                      <w:rFonts w:ascii="Times New Roman"/>
                      <w:sz w:val="21"/>
                    </w:rPr>
                  </w:pPr>
                  <w:r>
                    <w:rPr>
                      <w:rFonts w:hint="eastAsia" w:ascii="Times New Roman"/>
                      <w:sz w:val="21"/>
                    </w:rPr>
                    <w:t>储能电站运行</w:t>
                  </w:r>
                </w:p>
              </w:tc>
              <w:tc>
                <w:tcPr>
                  <w:tcW w:w="1119" w:type="pct"/>
                  <w:tcBorders>
                    <w:tl2br w:val="nil"/>
                    <w:tr2bl w:val="nil"/>
                  </w:tcBorders>
                  <w:vAlign w:val="center"/>
                </w:tcPr>
                <w:p>
                  <w:pPr>
                    <w:pStyle w:val="46"/>
                    <w:spacing w:before="24" w:after="24"/>
                    <w:rPr>
                      <w:rFonts w:ascii="Times New Roman"/>
                      <w:sz w:val="21"/>
                    </w:rPr>
                  </w:pPr>
                  <w:r>
                    <w:rPr>
                      <w:rFonts w:hint="eastAsia" w:ascii="Times New Roman"/>
                      <w:sz w:val="21"/>
                    </w:rPr>
                    <w:t>废锂电池</w:t>
                  </w:r>
                </w:p>
              </w:tc>
              <w:tc>
                <w:tcPr>
                  <w:tcW w:w="1774" w:type="pct"/>
                  <w:tcBorders>
                    <w:tl2br w:val="nil"/>
                    <w:tr2bl w:val="nil"/>
                  </w:tcBorders>
                  <w:vAlign w:val="center"/>
                </w:tcPr>
                <w:p>
                  <w:pPr>
                    <w:pStyle w:val="46"/>
                    <w:spacing w:before="24" w:after="24"/>
                    <w:rPr>
                      <w:rFonts w:ascii="Times New Roman"/>
                      <w:sz w:val="21"/>
                    </w:rPr>
                  </w:pPr>
                  <w:r>
                    <w:rPr>
                      <w:rFonts w:hint="eastAsia" w:ascii="Times New Roman"/>
                      <w:sz w:val="21"/>
                    </w:rPr>
                    <w:t>一般工业固废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40" w:type="pct"/>
                  <w:vMerge w:val="continue"/>
                  <w:tcBorders>
                    <w:tl2br w:val="nil"/>
                    <w:tr2bl w:val="nil"/>
                  </w:tcBorders>
                  <w:vAlign w:val="center"/>
                </w:tcPr>
                <w:p>
                  <w:pPr>
                    <w:pStyle w:val="46"/>
                    <w:spacing w:before="24" w:after="24"/>
                    <w:rPr>
                      <w:rFonts w:ascii="Times New Roman"/>
                      <w:sz w:val="21"/>
                    </w:rPr>
                  </w:pPr>
                </w:p>
              </w:tc>
              <w:tc>
                <w:tcPr>
                  <w:tcW w:w="475" w:type="pct"/>
                  <w:vMerge w:val="continue"/>
                  <w:tcBorders>
                    <w:tl2br w:val="nil"/>
                    <w:tr2bl w:val="nil"/>
                  </w:tcBorders>
                  <w:vAlign w:val="center"/>
                </w:tcPr>
                <w:p>
                  <w:pPr>
                    <w:pStyle w:val="46"/>
                    <w:spacing w:before="24" w:after="24"/>
                    <w:rPr>
                      <w:rFonts w:ascii="Times New Roman"/>
                      <w:sz w:val="21"/>
                    </w:rPr>
                  </w:pPr>
                </w:p>
              </w:tc>
              <w:tc>
                <w:tcPr>
                  <w:tcW w:w="1190" w:type="pct"/>
                  <w:vMerge w:val="restart"/>
                  <w:tcBorders>
                    <w:tl2br w:val="nil"/>
                    <w:tr2bl w:val="nil"/>
                  </w:tcBorders>
                  <w:vAlign w:val="center"/>
                </w:tcPr>
                <w:p>
                  <w:pPr>
                    <w:pStyle w:val="46"/>
                    <w:spacing w:before="24" w:after="24"/>
                    <w:rPr>
                      <w:rFonts w:ascii="Times New Roman"/>
                      <w:sz w:val="21"/>
                    </w:rPr>
                  </w:pPr>
                  <w:r>
                    <w:rPr>
                      <w:rFonts w:hint="eastAsia" w:ascii="Times New Roman"/>
                      <w:sz w:val="21"/>
                    </w:rPr>
                    <w:t>升压站</w:t>
                  </w:r>
                  <w:r>
                    <w:rPr>
                      <w:rFonts w:ascii="Times New Roman"/>
                      <w:sz w:val="21"/>
                    </w:rPr>
                    <w:t>运行</w:t>
                  </w:r>
                </w:p>
              </w:tc>
              <w:tc>
                <w:tcPr>
                  <w:tcW w:w="1119" w:type="pct"/>
                  <w:tcBorders>
                    <w:tl2br w:val="nil"/>
                    <w:tr2bl w:val="nil"/>
                  </w:tcBorders>
                  <w:vAlign w:val="center"/>
                </w:tcPr>
                <w:p>
                  <w:pPr>
                    <w:pStyle w:val="46"/>
                    <w:spacing w:before="24" w:after="24"/>
                    <w:rPr>
                      <w:rFonts w:ascii="Times New Roman"/>
                      <w:sz w:val="21"/>
                    </w:rPr>
                  </w:pPr>
                  <w:r>
                    <w:rPr>
                      <w:rFonts w:ascii="Times New Roman"/>
                      <w:sz w:val="21"/>
                    </w:rPr>
                    <w:t>废旧铅酸蓄电池</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vAlign w:val="center"/>
                </w:tcPr>
                <w:p>
                  <w:pPr>
                    <w:pStyle w:val="46"/>
                    <w:spacing w:before="24" w:after="24"/>
                    <w:rPr>
                      <w:rFonts w:ascii="Times New Roman"/>
                      <w:sz w:val="21"/>
                    </w:rPr>
                  </w:pPr>
                </w:p>
              </w:tc>
              <w:tc>
                <w:tcPr>
                  <w:tcW w:w="475" w:type="pct"/>
                  <w:vMerge w:val="continue"/>
                  <w:tcBorders>
                    <w:tl2br w:val="nil"/>
                    <w:tr2bl w:val="nil"/>
                  </w:tcBorders>
                  <w:vAlign w:val="center"/>
                </w:tcPr>
                <w:p>
                  <w:pPr>
                    <w:pStyle w:val="46"/>
                    <w:spacing w:before="24" w:after="24"/>
                    <w:rPr>
                      <w:rFonts w:ascii="Times New Roman"/>
                      <w:sz w:val="21"/>
                    </w:rPr>
                  </w:pPr>
                </w:p>
              </w:tc>
              <w:tc>
                <w:tcPr>
                  <w:tcW w:w="1190" w:type="pct"/>
                  <w:vMerge w:val="continue"/>
                  <w:tcBorders>
                    <w:tl2br w:val="nil"/>
                    <w:tr2bl w:val="nil"/>
                  </w:tcBorders>
                  <w:vAlign w:val="center"/>
                </w:tcPr>
                <w:p>
                  <w:pPr>
                    <w:pStyle w:val="46"/>
                    <w:spacing w:before="24" w:after="24"/>
                    <w:rPr>
                      <w:rFonts w:ascii="Times New Roman"/>
                      <w:sz w:val="21"/>
                    </w:rPr>
                  </w:pPr>
                </w:p>
              </w:tc>
              <w:tc>
                <w:tcPr>
                  <w:tcW w:w="1119" w:type="pct"/>
                  <w:tcBorders>
                    <w:tl2br w:val="nil"/>
                    <w:tr2bl w:val="nil"/>
                  </w:tcBorders>
                  <w:vAlign w:val="center"/>
                </w:tcPr>
                <w:p>
                  <w:pPr>
                    <w:pStyle w:val="46"/>
                    <w:spacing w:before="24" w:after="24"/>
                    <w:rPr>
                      <w:rFonts w:ascii="Times New Roman"/>
                      <w:sz w:val="21"/>
                    </w:rPr>
                  </w:pPr>
                  <w:r>
                    <w:rPr>
                      <w:rFonts w:hint="eastAsia" w:ascii="Times New Roman"/>
                      <w:sz w:val="21"/>
                    </w:rPr>
                    <w:t>变压器废油</w:t>
                  </w:r>
                  <w:r>
                    <w:rPr>
                      <w:rFonts w:ascii="Times New Roman"/>
                      <w:sz w:val="21"/>
                    </w:rPr>
                    <w:t>及其容器、油抹布</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l2br w:val="nil"/>
                    <w:tr2bl w:val="nil"/>
                  </w:tcBorders>
                  <w:vAlign w:val="center"/>
                </w:tcPr>
                <w:p>
                  <w:pPr>
                    <w:pStyle w:val="46"/>
                    <w:spacing w:before="24" w:after="24"/>
                    <w:rPr>
                      <w:rFonts w:ascii="Times New Roman"/>
                      <w:sz w:val="21"/>
                    </w:rPr>
                  </w:pPr>
                  <w:r>
                    <w:rPr>
                      <w:rFonts w:hint="eastAsia" w:ascii="Times New Roman"/>
                      <w:sz w:val="21"/>
                    </w:rPr>
                    <w:t>5</w:t>
                  </w:r>
                </w:p>
              </w:tc>
              <w:tc>
                <w:tcPr>
                  <w:tcW w:w="475" w:type="pct"/>
                  <w:tcBorders>
                    <w:tl2br w:val="nil"/>
                    <w:tr2bl w:val="nil"/>
                  </w:tcBorders>
                  <w:vAlign w:val="center"/>
                </w:tcPr>
                <w:p>
                  <w:pPr>
                    <w:pStyle w:val="46"/>
                    <w:spacing w:before="24" w:after="24"/>
                    <w:rPr>
                      <w:rFonts w:ascii="Times New Roman"/>
                      <w:sz w:val="21"/>
                    </w:rPr>
                  </w:pPr>
                  <w:r>
                    <w:rPr>
                      <w:rFonts w:hint="eastAsia" w:ascii="Times New Roman"/>
                      <w:sz w:val="21"/>
                    </w:rPr>
                    <w:t>环境风险</w:t>
                  </w:r>
                </w:p>
              </w:tc>
              <w:tc>
                <w:tcPr>
                  <w:tcW w:w="1190" w:type="pct"/>
                  <w:tcBorders>
                    <w:tl2br w:val="nil"/>
                    <w:tr2bl w:val="nil"/>
                  </w:tcBorders>
                  <w:vAlign w:val="center"/>
                </w:tcPr>
                <w:p>
                  <w:pPr>
                    <w:pStyle w:val="46"/>
                    <w:spacing w:before="24" w:after="24"/>
                    <w:rPr>
                      <w:rFonts w:ascii="Times New Roman"/>
                      <w:sz w:val="21"/>
                    </w:rPr>
                  </w:pPr>
                  <w:r>
                    <w:rPr>
                      <w:rFonts w:hint="eastAsia" w:ascii="Times New Roman"/>
                      <w:sz w:val="21"/>
                    </w:rPr>
                    <w:t>变压器事故排油</w:t>
                  </w:r>
                </w:p>
              </w:tc>
              <w:tc>
                <w:tcPr>
                  <w:tcW w:w="1119" w:type="pct"/>
                  <w:tcBorders>
                    <w:tl2br w:val="nil"/>
                    <w:tr2bl w:val="nil"/>
                  </w:tcBorders>
                  <w:vAlign w:val="center"/>
                </w:tcPr>
                <w:p>
                  <w:pPr>
                    <w:pStyle w:val="46"/>
                    <w:spacing w:before="24" w:after="24"/>
                    <w:rPr>
                      <w:rFonts w:ascii="Times New Roman"/>
                      <w:sz w:val="21"/>
                    </w:rPr>
                  </w:pPr>
                  <w:r>
                    <w:rPr>
                      <w:rFonts w:hint="eastAsia" w:ascii="Times New Roman"/>
                      <w:sz w:val="21"/>
                    </w:rPr>
                    <w:t>事故油</w:t>
                  </w:r>
                </w:p>
              </w:tc>
              <w:tc>
                <w:tcPr>
                  <w:tcW w:w="1774" w:type="pct"/>
                  <w:tcBorders>
                    <w:tl2br w:val="nil"/>
                    <w:tr2bl w:val="nil"/>
                  </w:tcBorders>
                  <w:vAlign w:val="center"/>
                </w:tcPr>
                <w:p>
                  <w:pPr>
                    <w:pStyle w:val="46"/>
                    <w:spacing w:before="24" w:after="24"/>
                    <w:rPr>
                      <w:rFonts w:ascii="Times New Roman"/>
                      <w:sz w:val="21"/>
                    </w:rPr>
                  </w:pPr>
                  <w:r>
                    <w:rPr>
                      <w:rFonts w:ascii="Times New Roman"/>
                      <w:sz w:val="21"/>
                    </w:rPr>
                    <w:t>危险废物</w:t>
                  </w:r>
                </w:p>
              </w:tc>
            </w:tr>
          </w:tbl>
          <w:p>
            <w:pPr>
              <w:adjustRightInd w:val="0"/>
              <w:snapToGrid w:val="0"/>
              <w:spacing w:before="120" w:beforeLines="50" w:after="120" w:afterLines="50" w:line="360" w:lineRule="auto"/>
              <w:rPr>
                <w:sz w:val="24"/>
              </w:rPr>
            </w:pPr>
            <w:r>
              <w:rPr>
                <w:rFonts w:hint="eastAsia"/>
                <w:b/>
                <w:bCs/>
                <w:sz w:val="24"/>
              </w:rPr>
              <w:t>4.2.1</w:t>
            </w:r>
            <w:r>
              <w:rPr>
                <w:b/>
                <w:bCs/>
                <w:sz w:val="24"/>
              </w:rPr>
              <w:t>大气环境</w:t>
            </w:r>
            <w:r>
              <w:rPr>
                <w:rFonts w:hint="eastAsia"/>
                <w:b/>
                <w:bCs/>
                <w:sz w:val="24"/>
              </w:rPr>
              <w:t>影响分析</w:t>
            </w:r>
          </w:p>
          <w:p>
            <w:pPr>
              <w:pStyle w:val="21"/>
              <w:spacing w:before="0" w:after="0" w:line="360" w:lineRule="auto"/>
              <w:ind w:firstLine="480" w:firstLineChars="200"/>
              <w:jc w:val="both"/>
              <w:outlineLvl w:val="9"/>
              <w:rPr>
                <w:rFonts w:ascii="Times New Roman" w:hAnsi="Times New Roman" w:cs="Times New Roman"/>
                <w:sz w:val="24"/>
                <w:szCs w:val="24"/>
                <w:lang w:eastAsia="zh-CN"/>
              </w:rPr>
            </w:pPr>
            <w:bookmarkStart w:id="108" w:name="_Toc20244"/>
            <w:r>
              <w:rPr>
                <w:rFonts w:ascii="Times New Roman" w:hAnsi="Times New Roman" w:cs="Times New Roman"/>
                <w:b w:val="0"/>
                <w:bCs w:val="0"/>
                <w:sz w:val="24"/>
                <w:szCs w:val="24"/>
                <w:lang w:eastAsia="zh-CN"/>
              </w:rPr>
              <w:t>本项目运行过程中</w:t>
            </w:r>
            <w:r>
              <w:rPr>
                <w:rFonts w:hint="eastAsia" w:ascii="Times New Roman" w:hAnsi="Times New Roman" w:cs="Times New Roman"/>
                <w:b w:val="0"/>
                <w:bCs w:val="0"/>
                <w:sz w:val="24"/>
                <w:szCs w:val="24"/>
                <w:lang w:eastAsia="zh-CN"/>
              </w:rPr>
              <w:t>不设置食堂，</w:t>
            </w:r>
            <w:r>
              <w:rPr>
                <w:rFonts w:ascii="Times New Roman" w:hAnsi="Times New Roman" w:cs="Times New Roman"/>
                <w:b w:val="0"/>
                <w:bCs w:val="0"/>
                <w:sz w:val="24"/>
                <w:szCs w:val="24"/>
                <w:lang w:eastAsia="zh-CN"/>
              </w:rPr>
              <w:t>不产生废气和扬尘，因此对周边空气</w:t>
            </w:r>
            <w:r>
              <w:rPr>
                <w:rFonts w:hint="eastAsia" w:ascii="Times New Roman" w:hAnsi="Times New Roman" w:cs="Times New Roman"/>
                <w:b w:val="0"/>
                <w:bCs w:val="0"/>
                <w:sz w:val="24"/>
                <w:szCs w:val="24"/>
                <w:lang w:eastAsia="zh-CN"/>
              </w:rPr>
              <w:t>环境</w:t>
            </w:r>
            <w:r>
              <w:rPr>
                <w:rFonts w:ascii="Times New Roman" w:hAnsi="Times New Roman" w:cs="Times New Roman"/>
                <w:b w:val="0"/>
                <w:bCs w:val="0"/>
                <w:sz w:val="24"/>
                <w:szCs w:val="24"/>
                <w:lang w:eastAsia="zh-CN"/>
              </w:rPr>
              <w:t>没有影响</w:t>
            </w:r>
            <w:r>
              <w:rPr>
                <w:rFonts w:hint="eastAsia" w:ascii="Times New Roman" w:hAnsi="Times New Roman" w:cs="Times New Roman"/>
                <w:b w:val="0"/>
                <w:bCs w:val="0"/>
                <w:sz w:val="24"/>
                <w:szCs w:val="24"/>
                <w:lang w:eastAsia="zh-CN"/>
              </w:rPr>
              <w:t>。</w:t>
            </w:r>
            <w:bookmarkEnd w:id="108"/>
          </w:p>
          <w:p>
            <w:pPr>
              <w:adjustRightInd w:val="0"/>
              <w:snapToGrid w:val="0"/>
              <w:spacing w:before="120" w:beforeLines="50" w:after="120" w:afterLines="50" w:line="360" w:lineRule="auto"/>
              <w:rPr>
                <w:b/>
                <w:bCs/>
                <w:sz w:val="24"/>
              </w:rPr>
            </w:pPr>
            <w:r>
              <w:rPr>
                <w:rFonts w:hint="eastAsia"/>
                <w:b/>
                <w:bCs/>
                <w:sz w:val="24"/>
              </w:rPr>
              <w:t>4.2.</w:t>
            </w:r>
            <w:r>
              <w:rPr>
                <w:b/>
                <w:bCs/>
                <w:sz w:val="24"/>
              </w:rPr>
              <w:t>2</w:t>
            </w:r>
            <w:r>
              <w:rPr>
                <w:rFonts w:hint="eastAsia"/>
                <w:b/>
                <w:bCs/>
                <w:sz w:val="24"/>
              </w:rPr>
              <w:t>电磁环境影响分析</w:t>
            </w:r>
          </w:p>
          <w:p>
            <w:pPr>
              <w:pStyle w:val="21"/>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09" w:name="_Toc26040"/>
            <w:r>
              <w:rPr>
                <w:rFonts w:hint="eastAsia" w:ascii="Times New Roman" w:hAnsi="Times New Roman" w:cs="Times New Roman"/>
                <w:b w:val="0"/>
                <w:bCs w:val="0"/>
                <w:sz w:val="24"/>
                <w:szCs w:val="24"/>
                <w:lang w:eastAsia="zh-CN"/>
              </w:rPr>
              <w:t>详见电磁环境影响评价专篇。</w:t>
            </w:r>
            <w:bookmarkEnd w:id="109"/>
          </w:p>
          <w:p>
            <w:pPr>
              <w:adjustRightInd w:val="0"/>
              <w:snapToGrid w:val="0"/>
              <w:spacing w:before="120" w:beforeLines="50" w:after="120" w:afterLines="50" w:line="360" w:lineRule="auto"/>
              <w:rPr>
                <w:b/>
                <w:bCs/>
                <w:sz w:val="24"/>
              </w:rPr>
            </w:pPr>
            <w:r>
              <w:rPr>
                <w:rFonts w:hint="eastAsia"/>
                <w:b/>
                <w:bCs/>
                <w:sz w:val="24"/>
              </w:rPr>
              <w:t>4.2.3</w:t>
            </w:r>
            <w:r>
              <w:rPr>
                <w:b/>
                <w:bCs/>
                <w:sz w:val="24"/>
              </w:rPr>
              <w:t>地表水</w:t>
            </w:r>
            <w:r>
              <w:rPr>
                <w:rFonts w:hint="eastAsia"/>
                <w:b/>
                <w:bCs/>
                <w:sz w:val="24"/>
              </w:rPr>
              <w:t>环境影响分析</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储能电站</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按无人值守设计</w:t>
            </w:r>
            <w:r>
              <w:rPr>
                <w:rFonts w:ascii="Times New Roman" w:hAnsi="Times New Roman"/>
                <w:sz w:val="24"/>
              </w:rPr>
              <w:t>，</w:t>
            </w:r>
            <w:r>
              <w:rPr>
                <w:rFonts w:hint="eastAsia" w:ascii="Times New Roman" w:hAnsi="Times New Roman"/>
                <w:sz w:val="24"/>
              </w:rPr>
              <w:t>运营期巡检人员</w:t>
            </w:r>
            <w:r>
              <w:rPr>
                <w:rFonts w:ascii="Times New Roman" w:hAnsi="Times New Roman"/>
                <w:sz w:val="24"/>
              </w:rPr>
              <w:t>5人，</w:t>
            </w:r>
            <w:r>
              <w:rPr>
                <w:rFonts w:hint="eastAsia" w:ascii="Times New Roman" w:hAnsi="Times New Roman"/>
                <w:sz w:val="24"/>
              </w:rPr>
              <w:t>每周巡检2次，</w:t>
            </w:r>
            <w:r>
              <w:rPr>
                <w:rFonts w:ascii="Times New Roman" w:hAnsi="Times New Roman"/>
                <w:sz w:val="24"/>
              </w:rPr>
              <w:t>站</w:t>
            </w:r>
            <w:r>
              <w:rPr>
                <w:rFonts w:hint="eastAsia" w:ascii="Times New Roman" w:hAnsi="Times New Roman"/>
                <w:sz w:val="24"/>
              </w:rPr>
              <w:t>内设有办公室、资料室及休息室等</w:t>
            </w:r>
            <w:r>
              <w:rPr>
                <w:rFonts w:ascii="Times New Roman" w:hAnsi="Times New Roman"/>
                <w:sz w:val="24"/>
              </w:rPr>
              <w:t>，生活污水产生量约0.</w:t>
            </w:r>
            <w:r>
              <w:rPr>
                <w:rFonts w:hint="eastAsia" w:ascii="Times New Roman" w:hAnsi="Times New Roman"/>
                <w:sz w:val="24"/>
              </w:rPr>
              <w:t>1</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hint="eastAsia" w:ascii="Times New Roman" w:hAnsi="Times New Roman"/>
                <w:sz w:val="24"/>
              </w:rPr>
              <w:t>20.8</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/a），主要污染物产生浓度为：COD为400mg/L、BOD</w:t>
            </w:r>
            <w:r>
              <w:rPr>
                <w:rFonts w:ascii="Times New Roman" w:hAnsi="Times New Roman"/>
                <w:sz w:val="24"/>
                <w:vertAlign w:val="subscript"/>
              </w:rPr>
              <w:t>5</w:t>
            </w:r>
            <w:r>
              <w:rPr>
                <w:rFonts w:ascii="Times New Roman" w:hAnsi="Times New Roman"/>
                <w:sz w:val="24"/>
              </w:rPr>
              <w:t>为250mg/L、SS为250mg/L、氨氮为30mg/L。</w:t>
            </w:r>
          </w:p>
          <w:p>
            <w:pPr>
              <w:adjustRightInd w:val="0"/>
              <w:snapToGrid w:val="0"/>
              <w:spacing w:line="360" w:lineRule="auto"/>
              <w:ind w:firstLine="480" w:firstLineChars="200"/>
              <w:rPr>
                <w:sz w:val="24"/>
              </w:rPr>
            </w:pPr>
            <w:r>
              <w:rPr>
                <w:sz w:val="24"/>
              </w:rPr>
              <w:t>项目</w:t>
            </w:r>
            <w:r>
              <w:rPr>
                <w:rFonts w:hint="eastAsia"/>
                <w:sz w:val="24"/>
              </w:rPr>
              <w:t>生活污水经站内污水管网收集至化粪池（5m</w:t>
            </w:r>
            <w:r>
              <w:rPr>
                <w:rFonts w:hint="eastAsia"/>
                <w:sz w:val="24"/>
                <w:vertAlign w:val="superscript"/>
              </w:rPr>
              <w:t>3</w:t>
            </w:r>
            <w:r>
              <w:rPr>
                <w:rFonts w:hint="eastAsia"/>
                <w:sz w:val="24"/>
              </w:rPr>
              <w:t>）</w:t>
            </w:r>
            <w:r>
              <w:rPr>
                <w:sz w:val="24"/>
              </w:rPr>
              <w:t>，</w:t>
            </w:r>
            <w:r>
              <w:rPr>
                <w:rFonts w:hint="eastAsia"/>
                <w:sz w:val="24"/>
              </w:rPr>
              <w:t>经化粪池预处理后采用吸污车清运至民乐生态工业园区第一污水处理厂处理。</w:t>
            </w:r>
          </w:p>
          <w:p>
            <w:pPr>
              <w:adjustRightInd w:val="0"/>
              <w:snapToGrid w:val="0"/>
              <w:spacing w:line="360" w:lineRule="auto"/>
              <w:ind w:firstLine="480" w:firstLineChars="200"/>
              <w:rPr>
                <w:sz w:val="24"/>
              </w:rPr>
            </w:pPr>
            <w:r>
              <w:rPr>
                <w:rFonts w:hint="eastAsia"/>
                <w:sz w:val="24"/>
              </w:rPr>
              <w:t>（2）输电线路及间隔扩建</w:t>
            </w:r>
          </w:p>
          <w:p>
            <w:pPr>
              <w:adjustRightInd w:val="0"/>
              <w:snapToGrid w:val="0"/>
              <w:spacing w:line="360" w:lineRule="auto"/>
              <w:ind w:firstLine="480" w:firstLineChars="200"/>
              <w:rPr>
                <w:sz w:val="24"/>
              </w:rPr>
            </w:pPr>
            <w:r>
              <w:rPr>
                <w:rFonts w:hint="eastAsia"/>
                <w:sz w:val="24"/>
              </w:rPr>
              <w:t>输电线路运行期无废污水产生。</w:t>
            </w:r>
          </w:p>
          <w:p>
            <w:pPr>
              <w:adjustRightInd w:val="0"/>
              <w:snapToGrid w:val="0"/>
              <w:spacing w:line="360" w:lineRule="auto"/>
              <w:ind w:firstLine="480" w:firstLineChars="200"/>
              <w:rPr>
                <w:sz w:val="24"/>
              </w:rPr>
            </w:pPr>
            <w:r>
              <w:rPr>
                <w:rFonts w:hint="eastAsia"/>
                <w:sz w:val="24"/>
              </w:rPr>
              <w:t>顺化330kV变电站运行维护依托于现有的环保设施，仅间隔扩建，不增加运行人员，不增加生活污水量，不会对原有水环境产生影响。</w:t>
            </w:r>
          </w:p>
          <w:p>
            <w:pPr>
              <w:adjustRightInd w:val="0"/>
              <w:snapToGrid w:val="0"/>
              <w:spacing w:before="120" w:beforeLines="50" w:after="120" w:afterLines="50" w:line="360" w:lineRule="auto"/>
              <w:rPr>
                <w:sz w:val="24"/>
              </w:rPr>
            </w:pPr>
            <w:r>
              <w:rPr>
                <w:rFonts w:hint="eastAsia"/>
                <w:b/>
                <w:bCs/>
                <w:sz w:val="24"/>
              </w:rPr>
              <w:t>4.2.4</w:t>
            </w:r>
            <w:r>
              <w:rPr>
                <w:b/>
                <w:bCs/>
                <w:sz w:val="24"/>
              </w:rPr>
              <w:t>声环境</w:t>
            </w:r>
            <w:r>
              <w:rPr>
                <w:rFonts w:hint="eastAsia"/>
                <w:b/>
                <w:bCs/>
                <w:sz w:val="24"/>
              </w:rPr>
              <w:t>影响预测与分析</w:t>
            </w:r>
          </w:p>
          <w:p>
            <w:pPr>
              <w:adjustRightInd w:val="0"/>
              <w:snapToGrid w:val="0"/>
              <w:spacing w:line="360" w:lineRule="auto"/>
              <w:ind w:firstLine="482" w:firstLineChars="200"/>
              <w:rPr>
                <w:b/>
                <w:bCs/>
                <w:sz w:val="24"/>
              </w:rPr>
            </w:pPr>
            <w:r>
              <w:rPr>
                <w:rFonts w:hint="eastAsia"/>
                <w:b/>
                <w:bCs/>
                <w:sz w:val="24"/>
              </w:rPr>
              <w:t>4.2.4.1 储能电站</w:t>
            </w:r>
          </w:p>
          <w:p>
            <w:pPr>
              <w:adjustRightInd w:val="0"/>
              <w:snapToGrid w:val="0"/>
              <w:spacing w:line="360" w:lineRule="auto"/>
              <w:ind w:firstLine="480" w:firstLineChars="200"/>
              <w:rPr>
                <w:sz w:val="24"/>
              </w:rPr>
            </w:pPr>
            <w:r>
              <w:rPr>
                <w:sz w:val="24"/>
              </w:rPr>
              <w:t>（1）预测模式</w:t>
            </w:r>
          </w:p>
          <w:p>
            <w:pPr>
              <w:adjustRightInd w:val="0"/>
              <w:snapToGrid w:val="0"/>
              <w:spacing w:line="360" w:lineRule="auto"/>
              <w:ind w:firstLine="480" w:firstLineChars="200"/>
              <w:rPr>
                <w:sz w:val="24"/>
              </w:rPr>
            </w:pPr>
            <w:r>
              <w:rPr>
                <w:sz w:val="24"/>
              </w:rPr>
              <w:t>本项目根据《环境影响评价技术导则 声环境》(HJ2.4-2009</w:t>
            </w:r>
            <w:r>
              <w:rPr>
                <w:rFonts w:hint="eastAsia"/>
                <w:sz w:val="24"/>
              </w:rPr>
              <w:t>）</w:t>
            </w:r>
            <w:r>
              <w:rPr>
                <w:sz w:val="24"/>
              </w:rPr>
              <w:t>中规定的工业噪声预测模式，采用环安科技NoiseSystem3.3环境噪声模拟软件，预测</w:t>
            </w:r>
            <w:r>
              <w:rPr>
                <w:rFonts w:hint="eastAsia"/>
                <w:sz w:val="24"/>
              </w:rPr>
              <w:t>储能电站</w:t>
            </w:r>
            <w:r>
              <w:rPr>
                <w:sz w:val="24"/>
              </w:rPr>
              <w:t>主要噪声源的噪声贡献值，然后与环境标准对比进行评价。</w:t>
            </w:r>
          </w:p>
          <w:p>
            <w:pPr>
              <w:adjustRightInd w:val="0"/>
              <w:snapToGrid w:val="0"/>
              <w:spacing w:line="360" w:lineRule="auto"/>
              <w:ind w:firstLine="480" w:firstLineChars="200"/>
              <w:rPr>
                <w:sz w:val="24"/>
              </w:rPr>
            </w:pPr>
            <w:r>
              <w:rPr>
                <w:sz w:val="24"/>
              </w:rPr>
              <w:t>（2）计算条件</w:t>
            </w:r>
          </w:p>
          <w:p>
            <w:pPr>
              <w:adjustRightInd w:val="0"/>
              <w:snapToGrid w:val="0"/>
              <w:spacing w:line="360" w:lineRule="auto"/>
              <w:ind w:firstLine="480" w:firstLineChars="200"/>
              <w:rPr>
                <w:sz w:val="24"/>
              </w:rPr>
            </w:pPr>
            <w:r>
              <w:rPr>
                <w:rFonts w:hint="eastAsia"/>
                <w:sz w:val="24"/>
              </w:rPr>
              <w:t>①预测时段</w:t>
            </w:r>
          </w:p>
          <w:p>
            <w:pPr>
              <w:adjustRightInd w:val="0"/>
              <w:snapToGrid w:val="0"/>
              <w:spacing w:line="360" w:lineRule="auto"/>
              <w:ind w:firstLine="480" w:firstLineChars="200"/>
              <w:rPr>
                <w:sz w:val="24"/>
              </w:rPr>
            </w:pPr>
            <w:r>
              <w:rPr>
                <w:rFonts w:hint="eastAsia"/>
                <w:sz w:val="24"/>
              </w:rPr>
              <w:t>储能电站24h连续运行，噪声源稳定，对周围声环境的贡献值昼夜基本相同。故本次评价重点对运行期的噪声进行预测。</w:t>
            </w:r>
          </w:p>
          <w:p>
            <w:pPr>
              <w:adjustRightInd w:val="0"/>
              <w:snapToGrid w:val="0"/>
              <w:spacing w:line="360" w:lineRule="auto"/>
              <w:ind w:firstLine="480" w:firstLineChars="200"/>
              <w:rPr>
                <w:sz w:val="24"/>
              </w:rPr>
            </w:pPr>
            <w:r>
              <w:rPr>
                <w:rFonts w:hint="eastAsia"/>
                <w:sz w:val="24"/>
              </w:rPr>
              <w:t>②衰减因素选取</w:t>
            </w:r>
          </w:p>
          <w:p>
            <w:pPr>
              <w:adjustRightInd w:val="0"/>
              <w:snapToGrid w:val="0"/>
              <w:spacing w:line="360" w:lineRule="auto"/>
              <w:ind w:firstLine="480" w:firstLineChars="200"/>
              <w:rPr>
                <w:sz w:val="24"/>
              </w:rPr>
            </w:pPr>
            <w:r>
              <w:rPr>
                <w:rFonts w:hint="eastAsia"/>
                <w:sz w:val="24"/>
              </w:rPr>
              <w:t>预测计算时，在满足</w:t>
            </w:r>
            <w:r>
              <w:rPr>
                <w:sz w:val="24"/>
              </w:rPr>
              <w:t>项目</w:t>
            </w:r>
            <w:r>
              <w:rPr>
                <w:rFonts w:hint="eastAsia"/>
                <w:sz w:val="24"/>
              </w:rPr>
              <w:t>所需精度的前提下，采用了较为保守的考虑，在噪声衰减时考虑了预制舱、围墙等的遮挡屏蔽效应。</w:t>
            </w:r>
          </w:p>
          <w:p>
            <w:pPr>
              <w:adjustRightInd w:val="0"/>
              <w:snapToGrid w:val="0"/>
              <w:spacing w:line="360" w:lineRule="auto"/>
              <w:ind w:firstLine="480" w:firstLineChars="200"/>
              <w:rPr>
                <w:sz w:val="24"/>
              </w:rPr>
            </w:pPr>
            <w:r>
              <w:rPr>
                <w:rFonts w:hint="eastAsia"/>
                <w:sz w:val="24"/>
              </w:rPr>
              <w:t>③站址周围环境及地势</w:t>
            </w:r>
          </w:p>
          <w:p>
            <w:pPr>
              <w:adjustRightInd w:val="0"/>
              <w:snapToGrid w:val="0"/>
              <w:spacing w:line="360" w:lineRule="auto"/>
              <w:ind w:firstLine="480" w:firstLineChars="200"/>
              <w:rPr>
                <w:sz w:val="24"/>
              </w:rPr>
            </w:pPr>
            <w:r>
              <w:rPr>
                <w:rFonts w:hint="eastAsia"/>
                <w:sz w:val="24"/>
              </w:rPr>
              <w:t>站址地形平坦，地势开阔，站界围墙外200m噪声评价范围内无敏感点分布。</w:t>
            </w:r>
          </w:p>
          <w:p>
            <w:pPr>
              <w:adjustRightInd w:val="0"/>
              <w:snapToGrid w:val="0"/>
              <w:spacing w:line="360" w:lineRule="auto"/>
              <w:ind w:firstLine="480" w:firstLineChars="200"/>
              <w:rPr>
                <w:sz w:val="24"/>
              </w:rPr>
            </w:pPr>
            <w:r>
              <w:rPr>
                <w:rFonts w:hint="eastAsia"/>
                <w:sz w:val="24"/>
              </w:rPr>
              <w:t>④预测软件及参数</w:t>
            </w:r>
          </w:p>
          <w:p>
            <w:pPr>
              <w:adjustRightInd w:val="0"/>
              <w:snapToGrid w:val="0"/>
              <w:spacing w:line="360" w:lineRule="auto"/>
              <w:ind w:firstLine="480" w:firstLineChars="200"/>
              <w:rPr>
                <w:sz w:val="24"/>
              </w:rPr>
            </w:pPr>
            <w:r>
              <w:rPr>
                <w:rFonts w:hint="eastAsia"/>
                <w:sz w:val="24"/>
              </w:rPr>
              <w:t>本次噪声预测采用环安科技Noise System 3.3环境噪声模拟软件，该软件通过了国家环境保护总局环境评估中心鉴定。</w:t>
            </w:r>
          </w:p>
          <w:p>
            <w:pPr>
              <w:adjustRightInd w:val="0"/>
              <w:snapToGrid w:val="0"/>
              <w:spacing w:line="360" w:lineRule="auto"/>
              <w:ind w:firstLine="480" w:firstLineChars="200"/>
              <w:rPr>
                <w:sz w:val="24"/>
              </w:rPr>
            </w:pPr>
            <w:r>
              <w:rPr>
                <w:rFonts w:hint="eastAsia"/>
                <w:sz w:val="24"/>
              </w:rPr>
              <w:t>本</w:t>
            </w:r>
            <w:r>
              <w:rPr>
                <w:sz w:val="24"/>
              </w:rPr>
              <w:t>项目</w:t>
            </w:r>
            <w:r>
              <w:rPr>
                <w:rFonts w:hint="eastAsia"/>
                <w:sz w:val="24"/>
              </w:rPr>
              <w:t>主变压器噪声源强参照同电压等级噪声实测结果取值；</w:t>
            </w:r>
          </w:p>
          <w:p>
            <w:pPr>
              <w:adjustRightInd w:val="0"/>
              <w:snapToGrid w:val="0"/>
              <w:spacing w:line="360" w:lineRule="auto"/>
              <w:ind w:firstLine="480" w:firstLineChars="200"/>
              <w:rPr>
                <w:color w:val="FF0000"/>
                <w:sz w:val="24"/>
              </w:rPr>
            </w:pPr>
            <w:r>
              <w:rPr>
                <w:rFonts w:hint="eastAsia"/>
                <w:color w:val="FF0000"/>
                <w:sz w:val="24"/>
              </w:rPr>
              <w:t>项目储能电站储能电池舱散热采用空调配套液冷机组系统，每舱安装1台空调、4组液冷机组。单台储能舱空调和液冷机组采取基座减振、建筑隔声等措施后，其等效声级约为50dB（A）。项目噪声源强详见下表。</w:t>
            </w:r>
          </w:p>
          <w:p>
            <w:pPr>
              <w:adjustRightInd w:val="0"/>
              <w:snapToGrid w:val="0"/>
              <w:spacing w:before="120" w:beforeLines="50" w:line="360" w:lineRule="auto"/>
              <w:jc w:val="center"/>
              <w:rPr>
                <w:b/>
                <w:bCs/>
                <w:color w:val="FF0000"/>
                <w:sz w:val="24"/>
              </w:rPr>
            </w:pPr>
            <w:r>
              <w:rPr>
                <w:rFonts w:hint="eastAsia"/>
                <w:b/>
                <w:bCs/>
                <w:color w:val="FF0000"/>
                <w:sz w:val="24"/>
              </w:rPr>
              <w:t>表4-7    噪声源强一览表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100"/>
              <w:gridCol w:w="2206"/>
              <w:gridCol w:w="1518"/>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tcBorders>
                    <w:tl2br w:val="nil"/>
                    <w:tr2bl w:val="nil"/>
                  </w:tcBorders>
                  <w:vAlign w:val="center"/>
                </w:tcPr>
                <w:p>
                  <w:pPr>
                    <w:jc w:val="center"/>
                    <w:rPr>
                      <w:color w:val="FF0000"/>
                      <w:szCs w:val="21"/>
                    </w:rPr>
                  </w:pPr>
                  <w:r>
                    <w:rPr>
                      <w:rFonts w:hint="eastAsia"/>
                      <w:color w:val="FF0000"/>
                      <w:szCs w:val="21"/>
                    </w:rPr>
                    <w:t>一</w:t>
                  </w:r>
                </w:p>
              </w:tc>
              <w:tc>
                <w:tcPr>
                  <w:tcW w:w="3805" w:type="pct"/>
                  <w:gridSpan w:val="4"/>
                  <w:tcBorders>
                    <w:tl2br w:val="nil"/>
                    <w:tr2bl w:val="nil"/>
                  </w:tcBorders>
                  <w:vAlign w:val="center"/>
                </w:tcPr>
                <w:p>
                  <w:pPr>
                    <w:jc w:val="center"/>
                    <w:rPr>
                      <w:color w:val="FF0000"/>
                      <w:szCs w:val="21"/>
                    </w:rPr>
                  </w:pPr>
                  <w:r>
                    <w:rPr>
                      <w:rFonts w:hint="eastAsia"/>
                      <w:color w:val="FF0000"/>
                      <w:szCs w:val="21"/>
                    </w:rPr>
                    <w:t>330kV升压站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vMerge w:val="restart"/>
                  <w:tcBorders>
                    <w:tl2br w:val="nil"/>
                    <w:tr2bl w:val="nil"/>
                  </w:tcBorders>
                  <w:vAlign w:val="center"/>
                </w:tcPr>
                <w:p>
                  <w:pPr>
                    <w:jc w:val="center"/>
                    <w:rPr>
                      <w:color w:val="FF0000"/>
                      <w:szCs w:val="21"/>
                    </w:rPr>
                  </w:pPr>
                  <w:r>
                    <w:rPr>
                      <w:rFonts w:hint="eastAsia"/>
                      <w:color w:val="FF0000"/>
                      <w:szCs w:val="21"/>
                    </w:rPr>
                    <w:t>项目</w:t>
                  </w:r>
                </w:p>
              </w:tc>
              <w:tc>
                <w:tcPr>
                  <w:tcW w:w="2026" w:type="pct"/>
                  <w:gridSpan w:val="2"/>
                  <w:tcBorders>
                    <w:tl2br w:val="nil"/>
                    <w:tr2bl w:val="nil"/>
                  </w:tcBorders>
                  <w:vAlign w:val="center"/>
                </w:tcPr>
                <w:p>
                  <w:pPr>
                    <w:jc w:val="center"/>
                    <w:rPr>
                      <w:color w:val="FF0000"/>
                      <w:szCs w:val="21"/>
                    </w:rPr>
                  </w:pPr>
                  <w:r>
                    <w:rPr>
                      <w:rFonts w:hint="eastAsia"/>
                      <w:color w:val="FF0000"/>
                      <w:szCs w:val="21"/>
                    </w:rPr>
                    <w:t>主要声源及设备源强dB（A）</w:t>
                  </w:r>
                </w:p>
              </w:tc>
              <w:tc>
                <w:tcPr>
                  <w:tcW w:w="1779" w:type="pct"/>
                  <w:gridSpan w:val="2"/>
                  <w:tcBorders>
                    <w:tl2br w:val="nil"/>
                    <w:tr2bl w:val="nil"/>
                  </w:tcBorders>
                  <w:vAlign w:val="center"/>
                </w:tcPr>
                <w:p>
                  <w:pPr>
                    <w:jc w:val="center"/>
                    <w:rPr>
                      <w:color w:val="FF0000"/>
                      <w:szCs w:val="21"/>
                    </w:rPr>
                  </w:pPr>
                  <w:r>
                    <w:rPr>
                      <w:rFonts w:hint="eastAsia"/>
                      <w:color w:val="FF0000"/>
                      <w:szCs w:val="21"/>
                    </w:rPr>
                    <w:t>声源数量（台）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94" w:type="pct"/>
                  <w:vMerge w:val="continue"/>
                  <w:tcBorders>
                    <w:tl2br w:val="nil"/>
                    <w:tr2bl w:val="nil"/>
                  </w:tcBorders>
                  <w:vAlign w:val="center"/>
                </w:tcPr>
                <w:p>
                  <w:pPr>
                    <w:jc w:val="center"/>
                    <w:rPr>
                      <w:color w:val="FF0000"/>
                      <w:szCs w:val="21"/>
                    </w:rPr>
                  </w:pPr>
                </w:p>
              </w:tc>
              <w:tc>
                <w:tcPr>
                  <w:tcW w:w="674" w:type="pct"/>
                  <w:tcBorders>
                    <w:tl2br w:val="nil"/>
                    <w:tr2bl w:val="nil"/>
                  </w:tcBorders>
                  <w:vAlign w:val="center"/>
                </w:tcPr>
                <w:p>
                  <w:pPr>
                    <w:jc w:val="center"/>
                    <w:rPr>
                      <w:color w:val="FF0000"/>
                      <w:szCs w:val="21"/>
                    </w:rPr>
                  </w:pPr>
                  <w:r>
                    <w:rPr>
                      <w:rFonts w:hint="eastAsia"/>
                      <w:color w:val="FF0000"/>
                      <w:szCs w:val="21"/>
                    </w:rPr>
                    <w:t>主变压器</w:t>
                  </w:r>
                </w:p>
              </w:tc>
              <w:tc>
                <w:tcPr>
                  <w:tcW w:w="1352" w:type="pct"/>
                  <w:tcBorders>
                    <w:tl2br w:val="nil"/>
                    <w:tr2bl w:val="nil"/>
                  </w:tcBorders>
                  <w:vAlign w:val="center"/>
                </w:tcPr>
                <w:p>
                  <w:pPr>
                    <w:jc w:val="center"/>
                    <w:rPr>
                      <w:color w:val="FF0000"/>
                      <w:szCs w:val="21"/>
                    </w:rPr>
                  </w:pPr>
                  <w:r>
                    <w:rPr>
                      <w:rFonts w:hint="eastAsia"/>
                      <w:color w:val="FF0000"/>
                      <w:szCs w:val="21"/>
                    </w:rPr>
                    <w:t>高压电抗器</w:t>
                  </w:r>
                </w:p>
              </w:tc>
              <w:tc>
                <w:tcPr>
                  <w:tcW w:w="930" w:type="pct"/>
                  <w:tcBorders>
                    <w:tl2br w:val="nil"/>
                    <w:tr2bl w:val="nil"/>
                  </w:tcBorders>
                  <w:vAlign w:val="center"/>
                </w:tcPr>
                <w:p>
                  <w:pPr>
                    <w:jc w:val="center"/>
                    <w:rPr>
                      <w:color w:val="FF0000"/>
                      <w:szCs w:val="21"/>
                    </w:rPr>
                  </w:pPr>
                  <w:r>
                    <w:rPr>
                      <w:rFonts w:hint="eastAsia"/>
                      <w:color w:val="FF0000"/>
                      <w:szCs w:val="21"/>
                    </w:rPr>
                    <w:t>主变压器</w:t>
                  </w:r>
                </w:p>
              </w:tc>
              <w:tc>
                <w:tcPr>
                  <w:tcW w:w="848" w:type="pct"/>
                  <w:tcBorders>
                    <w:tl2br w:val="nil"/>
                    <w:tr2bl w:val="nil"/>
                  </w:tcBorders>
                  <w:vAlign w:val="center"/>
                </w:tcPr>
                <w:p>
                  <w:pPr>
                    <w:jc w:val="center"/>
                    <w:rPr>
                      <w:color w:val="FF0000"/>
                      <w:szCs w:val="21"/>
                    </w:rPr>
                  </w:pPr>
                  <w:r>
                    <w:rPr>
                      <w:rFonts w:hint="eastAsia"/>
                      <w:color w:val="FF0000"/>
                      <w:szCs w:val="21"/>
                    </w:rPr>
                    <w:t>高压电抗器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vMerge w:val="continue"/>
                  <w:tcBorders>
                    <w:tl2br w:val="nil"/>
                    <w:tr2bl w:val="nil"/>
                  </w:tcBorders>
                  <w:vAlign w:val="center"/>
                </w:tcPr>
                <w:p>
                  <w:pPr>
                    <w:jc w:val="center"/>
                    <w:rPr>
                      <w:color w:val="FF0000"/>
                      <w:szCs w:val="21"/>
                    </w:rPr>
                  </w:pPr>
                </w:p>
              </w:tc>
              <w:tc>
                <w:tcPr>
                  <w:tcW w:w="674" w:type="pct"/>
                  <w:tcBorders>
                    <w:tl2br w:val="nil"/>
                    <w:tr2bl w:val="nil"/>
                  </w:tcBorders>
                  <w:vAlign w:val="center"/>
                </w:tcPr>
                <w:p>
                  <w:pPr>
                    <w:jc w:val="center"/>
                    <w:rPr>
                      <w:color w:val="FF0000"/>
                      <w:szCs w:val="21"/>
                    </w:rPr>
                  </w:pPr>
                  <w:r>
                    <w:rPr>
                      <w:rFonts w:hint="eastAsia"/>
                      <w:color w:val="FF0000"/>
                      <w:szCs w:val="21"/>
                    </w:rPr>
                    <w:t>≤70</w:t>
                  </w:r>
                </w:p>
              </w:tc>
              <w:tc>
                <w:tcPr>
                  <w:tcW w:w="1352" w:type="pct"/>
                  <w:tcBorders>
                    <w:tl2br w:val="nil"/>
                    <w:tr2bl w:val="nil"/>
                  </w:tcBorders>
                  <w:vAlign w:val="center"/>
                </w:tcPr>
                <w:p>
                  <w:pPr>
                    <w:jc w:val="center"/>
                    <w:rPr>
                      <w:color w:val="FF0000"/>
                      <w:szCs w:val="21"/>
                    </w:rPr>
                  </w:pPr>
                  <w:r>
                    <w:rPr>
                      <w:rFonts w:hint="eastAsia"/>
                      <w:color w:val="FF0000"/>
                      <w:szCs w:val="21"/>
                    </w:rPr>
                    <w:t>/</w:t>
                  </w:r>
                </w:p>
              </w:tc>
              <w:tc>
                <w:tcPr>
                  <w:tcW w:w="930" w:type="pct"/>
                  <w:tcBorders>
                    <w:tl2br w:val="nil"/>
                    <w:tr2bl w:val="nil"/>
                  </w:tcBorders>
                  <w:vAlign w:val="center"/>
                </w:tcPr>
                <w:p>
                  <w:pPr>
                    <w:jc w:val="center"/>
                    <w:rPr>
                      <w:color w:val="FF0000"/>
                      <w:szCs w:val="21"/>
                    </w:rPr>
                  </w:pPr>
                  <w:r>
                    <w:rPr>
                      <w:rFonts w:hint="eastAsia"/>
                      <w:color w:val="FF0000"/>
                      <w:szCs w:val="21"/>
                    </w:rPr>
                    <w:t>2</w:t>
                  </w:r>
                </w:p>
              </w:tc>
              <w:tc>
                <w:tcPr>
                  <w:tcW w:w="848" w:type="pct"/>
                  <w:tcBorders>
                    <w:tl2br w:val="nil"/>
                    <w:tr2bl w:val="nil"/>
                  </w:tcBorders>
                  <w:vAlign w:val="center"/>
                </w:tcPr>
                <w:p>
                  <w:pPr>
                    <w:jc w:val="center"/>
                    <w:rPr>
                      <w:color w:val="FF0000"/>
                      <w:szCs w:val="21"/>
                    </w:rPr>
                  </w:pPr>
                  <w:r>
                    <w:rPr>
                      <w:rFonts w:hint="eastAsia"/>
                      <w:color w:val="FF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tcBorders>
                    <w:tl2br w:val="nil"/>
                    <w:tr2bl w:val="nil"/>
                  </w:tcBorders>
                  <w:vAlign w:val="center"/>
                </w:tcPr>
                <w:p>
                  <w:pPr>
                    <w:jc w:val="center"/>
                    <w:rPr>
                      <w:color w:val="FF0000"/>
                      <w:szCs w:val="21"/>
                    </w:rPr>
                  </w:pPr>
                  <w:r>
                    <w:rPr>
                      <w:rFonts w:hint="eastAsia"/>
                      <w:color w:val="FF0000"/>
                      <w:szCs w:val="21"/>
                    </w:rPr>
                    <w:t>二</w:t>
                  </w:r>
                </w:p>
              </w:tc>
              <w:tc>
                <w:tcPr>
                  <w:tcW w:w="3805" w:type="pct"/>
                  <w:gridSpan w:val="4"/>
                  <w:tcBorders>
                    <w:tl2br w:val="nil"/>
                    <w:tr2bl w:val="nil"/>
                  </w:tcBorders>
                  <w:vAlign w:val="center"/>
                </w:tcPr>
                <w:p>
                  <w:pPr>
                    <w:jc w:val="center"/>
                    <w:rPr>
                      <w:color w:val="FF0000"/>
                      <w:szCs w:val="21"/>
                    </w:rPr>
                  </w:pPr>
                  <w:r>
                    <w:rPr>
                      <w:rFonts w:hint="eastAsia"/>
                      <w:color w:val="FF0000"/>
                      <w:szCs w:val="21"/>
                    </w:rPr>
                    <w:t>储能电站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tcBorders>
                    <w:tl2br w:val="nil"/>
                    <w:tr2bl w:val="nil"/>
                  </w:tcBorders>
                  <w:vAlign w:val="center"/>
                </w:tcPr>
                <w:p>
                  <w:pPr>
                    <w:jc w:val="center"/>
                    <w:rPr>
                      <w:color w:val="FF0000"/>
                      <w:szCs w:val="21"/>
                    </w:rPr>
                  </w:pPr>
                  <w:r>
                    <w:rPr>
                      <w:rFonts w:hint="eastAsia"/>
                      <w:color w:val="FF0000"/>
                      <w:szCs w:val="21"/>
                    </w:rPr>
                    <w:t>项目</w:t>
                  </w:r>
                </w:p>
              </w:tc>
              <w:tc>
                <w:tcPr>
                  <w:tcW w:w="674" w:type="pct"/>
                  <w:tcBorders>
                    <w:tl2br w:val="nil"/>
                    <w:tr2bl w:val="nil"/>
                  </w:tcBorders>
                  <w:vAlign w:val="center"/>
                </w:tcPr>
                <w:p>
                  <w:pPr>
                    <w:jc w:val="center"/>
                    <w:rPr>
                      <w:color w:val="FF0000"/>
                      <w:szCs w:val="21"/>
                    </w:rPr>
                  </w:pPr>
                  <w:r>
                    <w:rPr>
                      <w:rFonts w:hint="eastAsia"/>
                      <w:color w:val="FF0000"/>
                      <w:szCs w:val="21"/>
                    </w:rPr>
                    <w:t>数量</w:t>
                  </w:r>
                </w:p>
              </w:tc>
              <w:tc>
                <w:tcPr>
                  <w:tcW w:w="1352" w:type="pct"/>
                  <w:tcBorders>
                    <w:tl2br w:val="nil"/>
                    <w:tr2bl w:val="nil"/>
                  </w:tcBorders>
                  <w:vAlign w:val="center"/>
                </w:tcPr>
                <w:p>
                  <w:pPr>
                    <w:jc w:val="center"/>
                    <w:rPr>
                      <w:color w:val="FF0000"/>
                      <w:szCs w:val="21"/>
                    </w:rPr>
                  </w:pPr>
                  <w:r>
                    <w:rPr>
                      <w:rFonts w:hint="eastAsia"/>
                      <w:color w:val="FF0000"/>
                      <w:szCs w:val="21"/>
                    </w:rPr>
                    <w:t>治理措施</w:t>
                  </w:r>
                </w:p>
              </w:tc>
              <w:tc>
                <w:tcPr>
                  <w:tcW w:w="930" w:type="pct"/>
                  <w:tcBorders>
                    <w:tl2br w:val="nil"/>
                    <w:tr2bl w:val="nil"/>
                  </w:tcBorders>
                  <w:vAlign w:val="center"/>
                </w:tcPr>
                <w:p>
                  <w:pPr>
                    <w:jc w:val="center"/>
                    <w:rPr>
                      <w:color w:val="FF0000"/>
                      <w:szCs w:val="21"/>
                    </w:rPr>
                  </w:pPr>
                  <w:r>
                    <w:rPr>
                      <w:rFonts w:hint="eastAsia"/>
                      <w:color w:val="FF0000"/>
                      <w:szCs w:val="21"/>
                    </w:rPr>
                    <w:t>治理前单台源强dB（A）</w:t>
                  </w:r>
                </w:p>
              </w:tc>
              <w:tc>
                <w:tcPr>
                  <w:tcW w:w="848" w:type="pct"/>
                  <w:tcBorders>
                    <w:tl2br w:val="nil"/>
                    <w:tr2bl w:val="nil"/>
                  </w:tcBorders>
                  <w:vAlign w:val="center"/>
                </w:tcPr>
                <w:p>
                  <w:pPr>
                    <w:jc w:val="center"/>
                    <w:rPr>
                      <w:color w:val="FF0000"/>
                      <w:szCs w:val="21"/>
                    </w:rPr>
                  </w:pPr>
                  <w:r>
                    <w:rPr>
                      <w:rFonts w:hint="eastAsia"/>
                      <w:color w:val="FF0000"/>
                      <w:szCs w:val="21"/>
                    </w:rPr>
                    <w:t>治理后单台源强dB（A）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tcBorders>
                    <w:tl2br w:val="nil"/>
                    <w:tr2bl w:val="nil"/>
                  </w:tcBorders>
                  <w:vAlign w:val="center"/>
                </w:tcPr>
                <w:p>
                  <w:pPr>
                    <w:jc w:val="center"/>
                    <w:rPr>
                      <w:color w:val="FF0000"/>
                      <w:szCs w:val="21"/>
                    </w:rPr>
                  </w:pPr>
                  <w:r>
                    <w:rPr>
                      <w:rFonts w:hint="eastAsia"/>
                      <w:color w:val="FF0000"/>
                      <w:szCs w:val="21"/>
                    </w:rPr>
                    <w:t>储能舱防爆型空调</w:t>
                  </w:r>
                </w:p>
              </w:tc>
              <w:tc>
                <w:tcPr>
                  <w:tcW w:w="674" w:type="pct"/>
                  <w:tcBorders>
                    <w:tl2br w:val="nil"/>
                    <w:tr2bl w:val="nil"/>
                  </w:tcBorders>
                  <w:vAlign w:val="center"/>
                </w:tcPr>
                <w:p>
                  <w:pPr>
                    <w:jc w:val="center"/>
                    <w:rPr>
                      <w:color w:val="FF0000"/>
                      <w:szCs w:val="21"/>
                    </w:rPr>
                  </w:pPr>
                  <w:r>
                    <w:rPr>
                      <w:rFonts w:hint="eastAsia"/>
                      <w:color w:val="FF0000"/>
                      <w:szCs w:val="21"/>
                    </w:rPr>
                    <w:t>167台</w:t>
                  </w:r>
                </w:p>
              </w:tc>
              <w:tc>
                <w:tcPr>
                  <w:tcW w:w="1352" w:type="pct"/>
                  <w:tcBorders>
                    <w:tl2br w:val="nil"/>
                    <w:tr2bl w:val="nil"/>
                  </w:tcBorders>
                  <w:vAlign w:val="center"/>
                </w:tcPr>
                <w:p>
                  <w:pPr>
                    <w:jc w:val="center"/>
                    <w:rPr>
                      <w:color w:val="FF0000"/>
                      <w:szCs w:val="21"/>
                    </w:rPr>
                  </w:pPr>
                  <w:r>
                    <w:rPr>
                      <w:rFonts w:hint="eastAsia"/>
                      <w:color w:val="FF0000"/>
                      <w:szCs w:val="21"/>
                    </w:rPr>
                    <w:t>基座减振、建筑隔声</w:t>
                  </w:r>
                </w:p>
              </w:tc>
              <w:tc>
                <w:tcPr>
                  <w:tcW w:w="930" w:type="pct"/>
                  <w:tcBorders>
                    <w:tl2br w:val="nil"/>
                    <w:tr2bl w:val="nil"/>
                  </w:tcBorders>
                  <w:vAlign w:val="center"/>
                </w:tcPr>
                <w:p>
                  <w:pPr>
                    <w:jc w:val="center"/>
                    <w:rPr>
                      <w:color w:val="FF0000"/>
                      <w:szCs w:val="21"/>
                    </w:rPr>
                  </w:pPr>
                  <w:r>
                    <w:rPr>
                      <w:rFonts w:hint="eastAsia"/>
                      <w:color w:val="FF0000"/>
                      <w:szCs w:val="21"/>
                    </w:rPr>
                    <w:t>＜65</w:t>
                  </w:r>
                </w:p>
              </w:tc>
              <w:tc>
                <w:tcPr>
                  <w:tcW w:w="848" w:type="pct"/>
                  <w:tcBorders>
                    <w:tl2br w:val="nil"/>
                    <w:tr2bl w:val="nil"/>
                  </w:tcBorders>
                  <w:vAlign w:val="center"/>
                </w:tcPr>
                <w:p>
                  <w:pPr>
                    <w:jc w:val="center"/>
                    <w:rPr>
                      <w:color w:val="FF0000"/>
                      <w:szCs w:val="21"/>
                    </w:rPr>
                  </w:pPr>
                  <w:r>
                    <w:rPr>
                      <w:rFonts w:hint="eastAsia"/>
                      <w:color w:val="FF000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4" w:type="pct"/>
                  <w:tcBorders>
                    <w:tl2br w:val="nil"/>
                    <w:tr2bl w:val="nil"/>
                  </w:tcBorders>
                  <w:vAlign w:val="center"/>
                </w:tcPr>
                <w:p>
                  <w:pPr>
                    <w:jc w:val="center"/>
                    <w:rPr>
                      <w:color w:val="FF0000"/>
                      <w:szCs w:val="21"/>
                    </w:rPr>
                  </w:pPr>
                  <w:r>
                    <w:rPr>
                      <w:rFonts w:hint="eastAsia"/>
                      <w:color w:val="FF0000"/>
                      <w:szCs w:val="21"/>
                    </w:rPr>
                    <w:t>储能舱液冷机组</w:t>
                  </w:r>
                </w:p>
              </w:tc>
              <w:tc>
                <w:tcPr>
                  <w:tcW w:w="674" w:type="pct"/>
                  <w:tcBorders>
                    <w:tl2br w:val="nil"/>
                    <w:tr2bl w:val="nil"/>
                  </w:tcBorders>
                  <w:vAlign w:val="center"/>
                </w:tcPr>
                <w:p>
                  <w:pPr>
                    <w:jc w:val="center"/>
                    <w:rPr>
                      <w:color w:val="FF0000"/>
                      <w:szCs w:val="21"/>
                    </w:rPr>
                  </w:pPr>
                  <w:r>
                    <w:rPr>
                      <w:rFonts w:hint="eastAsia"/>
                      <w:color w:val="FF0000"/>
                      <w:szCs w:val="21"/>
                    </w:rPr>
                    <w:t>668台</w:t>
                  </w:r>
                </w:p>
              </w:tc>
              <w:tc>
                <w:tcPr>
                  <w:tcW w:w="1352" w:type="pct"/>
                  <w:tcBorders>
                    <w:tl2br w:val="nil"/>
                    <w:tr2bl w:val="nil"/>
                  </w:tcBorders>
                  <w:vAlign w:val="center"/>
                </w:tcPr>
                <w:p>
                  <w:pPr>
                    <w:jc w:val="center"/>
                    <w:rPr>
                      <w:color w:val="FF0000"/>
                      <w:szCs w:val="21"/>
                    </w:rPr>
                  </w:pPr>
                  <w:r>
                    <w:rPr>
                      <w:rFonts w:hint="eastAsia"/>
                      <w:color w:val="FF0000"/>
                      <w:szCs w:val="21"/>
                    </w:rPr>
                    <w:t>基座减振、建筑隔声</w:t>
                  </w:r>
                </w:p>
              </w:tc>
              <w:tc>
                <w:tcPr>
                  <w:tcW w:w="930" w:type="pct"/>
                  <w:tcBorders>
                    <w:tl2br w:val="nil"/>
                    <w:tr2bl w:val="nil"/>
                  </w:tcBorders>
                  <w:vAlign w:val="center"/>
                </w:tcPr>
                <w:p>
                  <w:pPr>
                    <w:jc w:val="center"/>
                    <w:rPr>
                      <w:color w:val="FF0000"/>
                      <w:szCs w:val="21"/>
                    </w:rPr>
                  </w:pPr>
                  <w:r>
                    <w:rPr>
                      <w:rFonts w:hint="eastAsia"/>
                      <w:color w:val="FF0000"/>
                      <w:szCs w:val="21"/>
                    </w:rPr>
                    <w:t>＜65</w:t>
                  </w:r>
                </w:p>
              </w:tc>
              <w:tc>
                <w:tcPr>
                  <w:tcW w:w="848" w:type="pct"/>
                  <w:tcBorders>
                    <w:tl2br w:val="nil"/>
                    <w:tr2bl w:val="nil"/>
                  </w:tcBorders>
                  <w:vAlign w:val="center"/>
                </w:tcPr>
                <w:p>
                  <w:pPr>
                    <w:jc w:val="center"/>
                    <w:rPr>
                      <w:color w:val="FF0000"/>
                      <w:szCs w:val="21"/>
                    </w:rPr>
                  </w:pPr>
                  <w:r>
                    <w:rPr>
                      <w:rFonts w:hint="eastAsia"/>
                      <w:color w:val="FF0000"/>
                      <w:szCs w:val="21"/>
                    </w:rPr>
                    <w:t>50</w:t>
                  </w:r>
                </w:p>
              </w:tc>
            </w:tr>
          </w:tbl>
          <w:p>
            <w:pPr>
              <w:adjustRightInd w:val="0"/>
              <w:snapToGrid w:val="0"/>
              <w:spacing w:line="360" w:lineRule="auto"/>
              <w:rPr>
                <w:color w:val="FF0000"/>
                <w:szCs w:val="21"/>
              </w:rPr>
            </w:pPr>
            <w:r>
              <w:rPr>
                <w:rFonts w:hint="eastAsia"/>
                <w:color w:val="FF0000"/>
                <w:szCs w:val="21"/>
              </w:rPr>
              <w:t>注：储能舱风机只在异常状态时启用，正常状态下不使用，因此风机噪声未考虑。</w:t>
            </w:r>
          </w:p>
          <w:p>
            <w:pPr>
              <w:adjustRightInd w:val="0"/>
              <w:snapToGrid w:val="0"/>
              <w:spacing w:before="120" w:beforeLines="50" w:line="360" w:lineRule="auto"/>
              <w:ind w:firstLine="480" w:firstLineChars="200"/>
              <w:rPr>
                <w:color w:val="FF0000"/>
                <w:sz w:val="24"/>
              </w:rPr>
            </w:pPr>
            <w:r>
              <w:rPr>
                <w:rFonts w:hint="eastAsia"/>
                <w:color w:val="FF0000"/>
                <w:sz w:val="24"/>
              </w:rPr>
              <w:t>根据项目平面布置，项目每4个集装箱（4台空调，16台液冷机组）分布在一个小单元内，本次预测选取储能小单元作为源强，其叠加噪声源强为63.22dB（A），场内还布置有2个集装箱（2台空调，8台液冷机组）的小单元，其叠加噪声源强为60dB（A）。</w:t>
            </w:r>
          </w:p>
          <w:p>
            <w:pPr>
              <w:adjustRightInd w:val="0"/>
              <w:snapToGrid w:val="0"/>
              <w:spacing w:before="120" w:beforeLines="50" w:line="360" w:lineRule="auto"/>
              <w:ind w:firstLine="480" w:firstLineChars="200"/>
              <w:rPr>
                <w:color w:val="FF0000"/>
                <w:sz w:val="24"/>
              </w:rPr>
            </w:pPr>
            <w:r>
              <w:rPr>
                <w:rFonts w:hint="eastAsia"/>
                <w:color w:val="FF0000"/>
                <w:sz w:val="24"/>
              </w:rPr>
              <w:t>（3）</w:t>
            </w:r>
            <w:r>
              <w:rPr>
                <w:color w:val="FF0000"/>
                <w:sz w:val="24"/>
              </w:rPr>
              <w:t>预测结果及评价</w:t>
            </w:r>
          </w:p>
          <w:p>
            <w:pPr>
              <w:adjustRightInd w:val="0"/>
              <w:snapToGrid w:val="0"/>
              <w:spacing w:line="360" w:lineRule="auto"/>
              <w:ind w:firstLine="480" w:firstLineChars="200"/>
              <w:rPr>
                <w:color w:val="FF0000"/>
                <w:sz w:val="24"/>
              </w:rPr>
            </w:pPr>
            <w:r>
              <w:rPr>
                <w:color w:val="FF0000"/>
                <w:sz w:val="24"/>
              </w:rPr>
              <w:t>本项目噪声预测结果见表4-</w:t>
            </w:r>
            <w:r>
              <w:rPr>
                <w:rFonts w:hint="eastAsia"/>
                <w:color w:val="FF0000"/>
                <w:sz w:val="24"/>
              </w:rPr>
              <w:t>8</w:t>
            </w:r>
            <w:r>
              <w:rPr>
                <w:color w:val="FF0000"/>
                <w:sz w:val="24"/>
              </w:rPr>
              <w:t>，噪声预测等值线见图4-</w:t>
            </w:r>
            <w:r>
              <w:rPr>
                <w:rFonts w:hint="eastAsia"/>
                <w:color w:val="FF0000"/>
                <w:sz w:val="24"/>
              </w:rPr>
              <w:t>2</w:t>
            </w:r>
            <w:r>
              <w:rPr>
                <w:color w:val="FF0000"/>
                <w:sz w:val="24"/>
              </w:rPr>
              <w:t>。</w:t>
            </w:r>
          </w:p>
          <w:p>
            <w:pPr>
              <w:adjustRightInd w:val="0"/>
              <w:snapToGrid w:val="0"/>
              <w:spacing w:before="120" w:beforeLines="50" w:line="360" w:lineRule="auto"/>
              <w:jc w:val="center"/>
              <w:rPr>
                <w:b/>
                <w:bCs/>
                <w:color w:val="FF0000"/>
                <w:sz w:val="24"/>
              </w:rPr>
            </w:pPr>
            <w:r>
              <w:rPr>
                <w:rFonts w:hint="eastAsia"/>
                <w:b/>
                <w:bCs/>
                <w:color w:val="FF0000"/>
                <w:sz w:val="24"/>
              </w:rPr>
              <w:t>表4-8    噪声影响预测结果    单位：dB(A)</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2725"/>
              <w:gridCol w:w="2100"/>
              <w:gridCol w:w="1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0" w:type="pct"/>
                  <w:vMerge w:val="restart"/>
                  <w:tcBorders>
                    <w:tl2br w:val="nil"/>
                    <w:tr2bl w:val="nil"/>
                  </w:tcBorders>
                  <w:vAlign w:val="center"/>
                </w:tcPr>
                <w:p>
                  <w:pPr>
                    <w:adjustRightInd w:val="0"/>
                    <w:snapToGrid w:val="0"/>
                    <w:jc w:val="center"/>
                    <w:rPr>
                      <w:color w:val="FF0000"/>
                      <w:szCs w:val="21"/>
                    </w:rPr>
                  </w:pPr>
                  <w:r>
                    <w:rPr>
                      <w:rFonts w:hint="eastAsia"/>
                      <w:color w:val="FF0000"/>
                      <w:szCs w:val="21"/>
                    </w:rPr>
                    <w:t>预测点</w:t>
                  </w:r>
                </w:p>
              </w:tc>
              <w:tc>
                <w:tcPr>
                  <w:tcW w:w="1670" w:type="pct"/>
                  <w:vMerge w:val="restart"/>
                  <w:tcBorders>
                    <w:tl2br w:val="nil"/>
                    <w:tr2bl w:val="nil"/>
                  </w:tcBorders>
                  <w:vAlign w:val="center"/>
                </w:tcPr>
                <w:p>
                  <w:pPr>
                    <w:adjustRightInd w:val="0"/>
                    <w:snapToGrid w:val="0"/>
                    <w:jc w:val="center"/>
                    <w:rPr>
                      <w:color w:val="FF0000"/>
                      <w:szCs w:val="21"/>
                    </w:rPr>
                  </w:pPr>
                  <w:r>
                    <w:rPr>
                      <w:rFonts w:hint="eastAsia"/>
                      <w:color w:val="FF0000"/>
                      <w:szCs w:val="21"/>
                    </w:rPr>
                    <w:t>贡献值</w:t>
                  </w:r>
                </w:p>
              </w:tc>
              <w:tc>
                <w:tcPr>
                  <w:tcW w:w="2339" w:type="pct"/>
                  <w:gridSpan w:val="2"/>
                  <w:tcBorders>
                    <w:tl2br w:val="nil"/>
                    <w:tr2bl w:val="nil"/>
                  </w:tcBorders>
                  <w:vAlign w:val="center"/>
                </w:tcPr>
                <w:p>
                  <w:pPr>
                    <w:adjustRightInd w:val="0"/>
                    <w:snapToGrid w:val="0"/>
                    <w:jc w:val="center"/>
                    <w:rPr>
                      <w:color w:val="FF0000"/>
                      <w:szCs w:val="21"/>
                    </w:rPr>
                  </w:pPr>
                  <w:r>
                    <w:rPr>
                      <w:rFonts w:hint="eastAsia"/>
                      <w:color w:val="FF0000"/>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0" w:type="pct"/>
                  <w:vMerge w:val="continue"/>
                  <w:tcBorders>
                    <w:tl2br w:val="nil"/>
                    <w:tr2bl w:val="nil"/>
                  </w:tcBorders>
                  <w:vAlign w:val="center"/>
                </w:tcPr>
                <w:p>
                  <w:pPr>
                    <w:adjustRightInd w:val="0"/>
                    <w:snapToGrid w:val="0"/>
                    <w:jc w:val="center"/>
                    <w:rPr>
                      <w:color w:val="FF0000"/>
                      <w:szCs w:val="21"/>
                    </w:rPr>
                  </w:pPr>
                </w:p>
              </w:tc>
              <w:tc>
                <w:tcPr>
                  <w:tcW w:w="1670" w:type="pct"/>
                  <w:vMerge w:val="continue"/>
                  <w:tcBorders>
                    <w:tl2br w:val="nil"/>
                    <w:tr2bl w:val="nil"/>
                  </w:tcBorders>
                  <w:vAlign w:val="center"/>
                </w:tcPr>
                <w:p>
                  <w:pPr>
                    <w:adjustRightInd w:val="0"/>
                    <w:snapToGrid w:val="0"/>
                    <w:jc w:val="center"/>
                    <w:rPr>
                      <w:color w:val="FF0000"/>
                      <w:szCs w:val="21"/>
                    </w:rPr>
                  </w:pPr>
                </w:p>
              </w:tc>
              <w:tc>
                <w:tcPr>
                  <w:tcW w:w="1287" w:type="pct"/>
                  <w:tcBorders>
                    <w:tl2br w:val="nil"/>
                    <w:tr2bl w:val="nil"/>
                  </w:tcBorders>
                  <w:vAlign w:val="center"/>
                </w:tcPr>
                <w:p>
                  <w:pPr>
                    <w:adjustRightInd w:val="0"/>
                    <w:snapToGrid w:val="0"/>
                    <w:jc w:val="center"/>
                    <w:rPr>
                      <w:color w:val="FF0000"/>
                      <w:szCs w:val="21"/>
                    </w:rPr>
                  </w:pPr>
                  <w:r>
                    <w:rPr>
                      <w:rFonts w:hint="eastAsia"/>
                      <w:color w:val="FF0000"/>
                      <w:szCs w:val="21"/>
                    </w:rPr>
                    <w:t>昼间60</w:t>
                  </w:r>
                </w:p>
              </w:tc>
              <w:tc>
                <w:tcPr>
                  <w:tcW w:w="1051" w:type="pct"/>
                  <w:tcBorders>
                    <w:tl2br w:val="nil"/>
                    <w:tr2bl w:val="nil"/>
                  </w:tcBorders>
                  <w:vAlign w:val="center"/>
                </w:tcPr>
                <w:p>
                  <w:pPr>
                    <w:adjustRightInd w:val="0"/>
                    <w:snapToGrid w:val="0"/>
                    <w:jc w:val="center"/>
                    <w:rPr>
                      <w:color w:val="FF0000"/>
                      <w:szCs w:val="21"/>
                    </w:rPr>
                  </w:pPr>
                  <w:r>
                    <w:rPr>
                      <w:rFonts w:hint="eastAsia"/>
                      <w:color w:val="FF0000"/>
                      <w:szCs w:val="21"/>
                    </w:rPr>
                    <w:t>夜间50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0" w:type="pct"/>
                  <w:tcBorders>
                    <w:tl2br w:val="nil"/>
                    <w:tr2bl w:val="nil"/>
                  </w:tcBorders>
                  <w:vAlign w:val="center"/>
                </w:tcPr>
                <w:p>
                  <w:pPr>
                    <w:adjustRightInd w:val="0"/>
                    <w:snapToGrid w:val="0"/>
                    <w:jc w:val="center"/>
                    <w:rPr>
                      <w:color w:val="FF0000"/>
                      <w:szCs w:val="21"/>
                    </w:rPr>
                  </w:pPr>
                  <w:r>
                    <w:rPr>
                      <w:rFonts w:hint="eastAsia"/>
                      <w:color w:val="FF0000"/>
                      <w:szCs w:val="21"/>
                    </w:rPr>
                    <w:t>东厂界</w:t>
                  </w:r>
                </w:p>
              </w:tc>
              <w:tc>
                <w:tcPr>
                  <w:tcW w:w="1670" w:type="pct"/>
                  <w:tcBorders>
                    <w:tl2br w:val="nil"/>
                    <w:tr2bl w:val="nil"/>
                  </w:tcBorders>
                  <w:vAlign w:val="center"/>
                </w:tcPr>
                <w:p>
                  <w:pPr>
                    <w:adjustRightInd w:val="0"/>
                    <w:snapToGrid w:val="0"/>
                    <w:jc w:val="center"/>
                    <w:rPr>
                      <w:color w:val="FF0000"/>
                      <w:szCs w:val="21"/>
                    </w:rPr>
                  </w:pPr>
                  <w:r>
                    <w:rPr>
                      <w:rFonts w:hint="eastAsia"/>
                      <w:color w:val="FF0000"/>
                      <w:szCs w:val="21"/>
                    </w:rPr>
                    <w:t>43.49</w:t>
                  </w:r>
                </w:p>
              </w:tc>
              <w:tc>
                <w:tcPr>
                  <w:tcW w:w="1287"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c>
                <w:tcPr>
                  <w:tcW w:w="1051"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0" w:type="pct"/>
                  <w:tcBorders>
                    <w:tl2br w:val="nil"/>
                    <w:tr2bl w:val="nil"/>
                  </w:tcBorders>
                  <w:vAlign w:val="center"/>
                </w:tcPr>
                <w:p>
                  <w:pPr>
                    <w:adjustRightInd w:val="0"/>
                    <w:snapToGrid w:val="0"/>
                    <w:jc w:val="center"/>
                    <w:rPr>
                      <w:color w:val="FF0000"/>
                      <w:szCs w:val="21"/>
                    </w:rPr>
                  </w:pPr>
                  <w:r>
                    <w:rPr>
                      <w:rFonts w:hint="eastAsia"/>
                      <w:color w:val="FF0000"/>
                      <w:szCs w:val="21"/>
                    </w:rPr>
                    <w:t>西厂界</w:t>
                  </w:r>
                </w:p>
              </w:tc>
              <w:tc>
                <w:tcPr>
                  <w:tcW w:w="1670" w:type="pct"/>
                  <w:tcBorders>
                    <w:tl2br w:val="nil"/>
                    <w:tr2bl w:val="nil"/>
                  </w:tcBorders>
                  <w:vAlign w:val="center"/>
                </w:tcPr>
                <w:p>
                  <w:pPr>
                    <w:adjustRightInd w:val="0"/>
                    <w:snapToGrid w:val="0"/>
                    <w:jc w:val="center"/>
                    <w:rPr>
                      <w:color w:val="FF0000"/>
                      <w:szCs w:val="21"/>
                    </w:rPr>
                  </w:pPr>
                  <w:r>
                    <w:rPr>
                      <w:rFonts w:hint="eastAsia"/>
                      <w:color w:val="FF0000"/>
                      <w:szCs w:val="21"/>
                    </w:rPr>
                    <w:t>43.64</w:t>
                  </w:r>
                </w:p>
              </w:tc>
              <w:tc>
                <w:tcPr>
                  <w:tcW w:w="1287"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c>
                <w:tcPr>
                  <w:tcW w:w="1051"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0" w:type="pct"/>
                  <w:tcBorders>
                    <w:tl2br w:val="nil"/>
                    <w:tr2bl w:val="nil"/>
                  </w:tcBorders>
                  <w:vAlign w:val="center"/>
                </w:tcPr>
                <w:p>
                  <w:pPr>
                    <w:adjustRightInd w:val="0"/>
                    <w:snapToGrid w:val="0"/>
                    <w:jc w:val="center"/>
                    <w:rPr>
                      <w:color w:val="FF0000"/>
                      <w:szCs w:val="21"/>
                    </w:rPr>
                  </w:pPr>
                  <w:r>
                    <w:rPr>
                      <w:rFonts w:hint="eastAsia"/>
                      <w:color w:val="FF0000"/>
                      <w:szCs w:val="21"/>
                    </w:rPr>
                    <w:t>南厂界</w:t>
                  </w:r>
                </w:p>
              </w:tc>
              <w:tc>
                <w:tcPr>
                  <w:tcW w:w="1670" w:type="pct"/>
                  <w:tcBorders>
                    <w:tl2br w:val="nil"/>
                    <w:tr2bl w:val="nil"/>
                  </w:tcBorders>
                  <w:vAlign w:val="center"/>
                </w:tcPr>
                <w:p>
                  <w:pPr>
                    <w:adjustRightInd w:val="0"/>
                    <w:snapToGrid w:val="0"/>
                    <w:jc w:val="center"/>
                    <w:rPr>
                      <w:color w:val="FF0000"/>
                      <w:szCs w:val="21"/>
                    </w:rPr>
                  </w:pPr>
                  <w:r>
                    <w:rPr>
                      <w:rFonts w:hint="eastAsia"/>
                      <w:color w:val="FF0000"/>
                      <w:szCs w:val="21"/>
                    </w:rPr>
                    <w:t>44.16</w:t>
                  </w:r>
                </w:p>
              </w:tc>
              <w:tc>
                <w:tcPr>
                  <w:tcW w:w="1287"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c>
                <w:tcPr>
                  <w:tcW w:w="1051"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0" w:type="pct"/>
                  <w:tcBorders>
                    <w:tl2br w:val="nil"/>
                    <w:tr2bl w:val="nil"/>
                  </w:tcBorders>
                  <w:vAlign w:val="center"/>
                </w:tcPr>
                <w:p>
                  <w:pPr>
                    <w:adjustRightInd w:val="0"/>
                    <w:snapToGrid w:val="0"/>
                    <w:jc w:val="center"/>
                    <w:rPr>
                      <w:color w:val="FF0000"/>
                      <w:szCs w:val="21"/>
                    </w:rPr>
                  </w:pPr>
                  <w:r>
                    <w:rPr>
                      <w:rFonts w:hint="eastAsia"/>
                      <w:color w:val="FF0000"/>
                      <w:szCs w:val="21"/>
                    </w:rPr>
                    <w:t>北厂界</w:t>
                  </w:r>
                </w:p>
              </w:tc>
              <w:tc>
                <w:tcPr>
                  <w:tcW w:w="1670" w:type="pct"/>
                  <w:tcBorders>
                    <w:tl2br w:val="nil"/>
                    <w:tr2bl w:val="nil"/>
                  </w:tcBorders>
                  <w:vAlign w:val="center"/>
                </w:tcPr>
                <w:p>
                  <w:pPr>
                    <w:adjustRightInd w:val="0"/>
                    <w:snapToGrid w:val="0"/>
                    <w:jc w:val="center"/>
                    <w:rPr>
                      <w:color w:val="FF0000"/>
                      <w:szCs w:val="21"/>
                    </w:rPr>
                  </w:pPr>
                  <w:r>
                    <w:rPr>
                      <w:rFonts w:hint="eastAsia"/>
                      <w:color w:val="FF0000"/>
                      <w:szCs w:val="21"/>
                    </w:rPr>
                    <w:t>46.64</w:t>
                  </w:r>
                </w:p>
              </w:tc>
              <w:tc>
                <w:tcPr>
                  <w:tcW w:w="1287"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c>
                <w:tcPr>
                  <w:tcW w:w="1051" w:type="pct"/>
                  <w:tcBorders>
                    <w:tl2br w:val="nil"/>
                    <w:tr2bl w:val="nil"/>
                  </w:tcBorders>
                  <w:vAlign w:val="center"/>
                </w:tcPr>
                <w:p>
                  <w:pPr>
                    <w:adjustRightInd w:val="0"/>
                    <w:snapToGrid w:val="0"/>
                    <w:jc w:val="center"/>
                    <w:rPr>
                      <w:color w:val="FF0000"/>
                      <w:szCs w:val="21"/>
                    </w:rPr>
                  </w:pPr>
                  <w:r>
                    <w:rPr>
                      <w:rFonts w:hint="eastAsia"/>
                      <w:color w:val="FF0000"/>
                      <w:szCs w:val="21"/>
                    </w:rPr>
                    <w:t>达标</w:t>
                  </w:r>
                </w:p>
              </w:tc>
            </w:tr>
          </w:tbl>
          <w:p>
            <w:pPr>
              <w:adjustRightInd w:val="0"/>
              <w:snapToGrid w:val="0"/>
              <w:spacing w:line="360" w:lineRule="auto"/>
              <w:rPr>
                <w:color w:val="FF0000"/>
                <w:sz w:val="24"/>
              </w:rPr>
            </w:pPr>
            <w:r>
              <w:rPr>
                <w:rFonts w:hint="eastAsia"/>
                <w:color w:val="FF0000"/>
                <w:sz w:val="24"/>
              </w:rPr>
              <w:drawing>
                <wp:anchor distT="0" distB="0" distL="114300" distR="114300" simplePos="0" relativeHeight="251663360" behindDoc="0" locked="0" layoutInCell="1" allowOverlap="1">
                  <wp:simplePos x="0" y="0"/>
                  <wp:positionH relativeFrom="column">
                    <wp:posOffset>95250</wp:posOffset>
                  </wp:positionH>
                  <wp:positionV relativeFrom="paragraph">
                    <wp:posOffset>-55245</wp:posOffset>
                  </wp:positionV>
                  <wp:extent cx="277495" cy="481330"/>
                  <wp:effectExtent l="33020" t="74295" r="38100" b="86360"/>
                  <wp:wrapNone/>
                  <wp:docPr id="14" name="图片 14" descr="指北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指北针 1"/>
                          <pic:cNvPicPr>
                            <a:picLocks noChangeAspect="1"/>
                          </pic:cNvPicPr>
                        </pic:nvPicPr>
                        <pic:blipFill>
                          <a:blip r:embed="rId17"/>
                          <a:stretch>
                            <a:fillRect/>
                          </a:stretch>
                        </pic:blipFill>
                        <pic:spPr>
                          <a:xfrm rot="17400000">
                            <a:off x="0" y="0"/>
                            <a:ext cx="277495" cy="481330"/>
                          </a:xfrm>
                          <a:prstGeom prst="rect">
                            <a:avLst/>
                          </a:prstGeom>
                        </pic:spPr>
                      </pic:pic>
                    </a:graphicData>
                  </a:graphic>
                </wp:anchor>
              </w:drawing>
            </w:r>
            <w:r>
              <w:rPr>
                <w:rFonts w:hint="eastAsia"/>
                <w:color w:val="FF0000"/>
                <w:sz w:val="24"/>
              </w:rPr>
              <w:drawing>
                <wp:inline distT="0" distB="0" distL="114300" distR="114300">
                  <wp:extent cx="5177155" cy="3317875"/>
                  <wp:effectExtent l="0" t="0" r="4445" b="15875"/>
                  <wp:docPr id="11" name="图片 11" descr="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444444444444"/>
                          <pic:cNvPicPr>
                            <a:picLocks noChangeAspect="1"/>
                          </pic:cNvPicPr>
                        </pic:nvPicPr>
                        <pic:blipFill>
                          <a:blip r:embed="rId18"/>
                          <a:stretch>
                            <a:fillRect/>
                          </a:stretch>
                        </pic:blipFill>
                        <pic:spPr>
                          <a:xfrm>
                            <a:off x="0" y="0"/>
                            <a:ext cx="5177155" cy="3317875"/>
                          </a:xfrm>
                          <a:prstGeom prst="rect">
                            <a:avLst/>
                          </a:prstGeom>
                        </pic:spPr>
                      </pic:pic>
                    </a:graphicData>
                  </a:graphic>
                </wp:inline>
              </w:drawing>
            </w:r>
          </w:p>
          <w:p>
            <w:pPr>
              <w:adjustRightInd w:val="0"/>
              <w:snapToGrid w:val="0"/>
              <w:spacing w:line="360" w:lineRule="auto"/>
              <w:jc w:val="center"/>
              <w:rPr>
                <w:b/>
                <w:bCs/>
                <w:color w:val="FF0000"/>
                <w:sz w:val="24"/>
              </w:rPr>
            </w:pPr>
            <w:r>
              <w:rPr>
                <w:rFonts w:hint="eastAsia"/>
                <w:b/>
                <w:bCs/>
                <w:color w:val="FF0000"/>
                <w:sz w:val="24"/>
              </w:rPr>
              <w:t>图4-2     项目噪声预测等声值线图</w:t>
            </w:r>
          </w:p>
          <w:p>
            <w:pPr>
              <w:adjustRightInd w:val="0"/>
              <w:snapToGrid w:val="0"/>
              <w:spacing w:line="360" w:lineRule="auto"/>
              <w:ind w:firstLine="480" w:firstLineChars="200"/>
              <w:rPr>
                <w:sz w:val="24"/>
              </w:rPr>
            </w:pPr>
            <w:r>
              <w:rPr>
                <w:rFonts w:hint="eastAsia"/>
                <w:color w:val="FF0000"/>
                <w:sz w:val="24"/>
              </w:rPr>
              <w:t>站界噪声贡献值为43.49~46.64dB（A），均能满足《工业企业厂界环境噪声排放标准》（GB12348-2008）2类标准，对环境影响不大。</w:t>
            </w:r>
          </w:p>
          <w:p>
            <w:pPr>
              <w:adjustRightInd w:val="0"/>
              <w:snapToGrid w:val="0"/>
              <w:spacing w:line="360" w:lineRule="auto"/>
              <w:ind w:firstLine="482" w:firstLineChars="200"/>
              <w:rPr>
                <w:b/>
                <w:bCs/>
                <w:sz w:val="24"/>
              </w:rPr>
            </w:pPr>
            <w:r>
              <w:rPr>
                <w:rFonts w:hint="eastAsia"/>
                <w:b/>
                <w:bCs/>
                <w:sz w:val="24"/>
              </w:rPr>
              <w:t>4.2.4.2 输电线路</w:t>
            </w:r>
          </w:p>
          <w:p>
            <w:pPr>
              <w:pStyle w:val="48"/>
              <w:tabs>
                <w:tab w:val="left" w:pos="1420"/>
              </w:tabs>
              <w:adjustRightInd w:val="0"/>
              <w:snapToGrid w:val="0"/>
              <w:spacing w:line="360" w:lineRule="auto"/>
              <w:ind w:left="0" w:firstLine="480" w:firstLineChars="200"/>
              <w:rPr>
                <w:rFonts w:ascii="Times New Roman" w:hAnsi="Times New Roman" w:cs="Times New Roman"/>
                <w:kern w:val="24"/>
                <w:sz w:val="24"/>
              </w:rPr>
            </w:pPr>
            <w:r>
              <w:rPr>
                <w:rFonts w:hint="eastAsia" w:ascii="Times New Roman" w:hAnsi="Times New Roman" w:cs="Times New Roman"/>
                <w:kern w:val="24"/>
                <w:sz w:val="24"/>
              </w:rPr>
              <w:t>（1）</w:t>
            </w:r>
            <w:r>
              <w:rPr>
                <w:rFonts w:ascii="Times New Roman" w:hAnsi="Times New Roman" w:cs="Times New Roman"/>
                <w:kern w:val="24"/>
                <w:sz w:val="24"/>
              </w:rPr>
              <w:t>评价方法</w:t>
            </w:r>
          </w:p>
          <w:p>
            <w:pPr>
              <w:pStyle w:val="11"/>
              <w:adjustRightInd w:val="0"/>
              <w:spacing w:before="0" w:after="0" w:line="360" w:lineRule="auto"/>
              <w:ind w:right="0" w:firstLine="480" w:firstLineChars="200"/>
              <w:rPr>
                <w:snapToGrid w:val="0"/>
                <w:kern w:val="24"/>
                <w:sz w:val="24"/>
                <w:szCs w:val="24"/>
              </w:rPr>
            </w:pPr>
            <w:r>
              <w:rPr>
                <w:rFonts w:hint="eastAsia"/>
                <w:snapToGrid w:val="0"/>
                <w:kern w:val="24"/>
                <w:sz w:val="24"/>
                <w:szCs w:val="24"/>
              </w:rPr>
              <w:t>根据《环境影响评价技术导则 输变电》（HJ24-2020），线路的噪声影响可采取类比监测的方法确定，并以此为基础进行类比评价。因此，</w:t>
            </w:r>
            <w:r>
              <w:rPr>
                <w:snapToGrid w:val="0"/>
                <w:kern w:val="24"/>
                <w:sz w:val="24"/>
                <w:szCs w:val="24"/>
              </w:rPr>
              <w:t>为预测本</w:t>
            </w:r>
            <w:r>
              <w:rPr>
                <w:rFonts w:hint="eastAsia"/>
                <w:snapToGrid w:val="0"/>
                <w:kern w:val="24"/>
                <w:sz w:val="24"/>
                <w:szCs w:val="24"/>
              </w:rPr>
              <w:t>项目</w:t>
            </w:r>
            <w:r>
              <w:rPr>
                <w:snapToGrid w:val="0"/>
                <w:kern w:val="24"/>
                <w:sz w:val="24"/>
                <w:szCs w:val="24"/>
              </w:rPr>
              <w:t>输电线路投运后的噪声水平，</w:t>
            </w:r>
            <w:r>
              <w:rPr>
                <w:rFonts w:hint="eastAsia"/>
                <w:snapToGrid w:val="0"/>
                <w:kern w:val="24"/>
                <w:sz w:val="24"/>
                <w:szCs w:val="24"/>
              </w:rPr>
              <w:t>采取了</w:t>
            </w:r>
            <w:r>
              <w:rPr>
                <w:snapToGrid w:val="0"/>
                <w:kern w:val="24"/>
                <w:sz w:val="24"/>
                <w:szCs w:val="24"/>
              </w:rPr>
              <w:t>类比监测</w:t>
            </w:r>
            <w:r>
              <w:rPr>
                <w:rFonts w:hint="eastAsia"/>
                <w:snapToGrid w:val="0"/>
                <w:kern w:val="24"/>
                <w:sz w:val="24"/>
                <w:szCs w:val="24"/>
              </w:rPr>
              <w:t>评价的方法</w:t>
            </w:r>
            <w:r>
              <w:rPr>
                <w:snapToGrid w:val="0"/>
                <w:kern w:val="24"/>
                <w:sz w:val="24"/>
                <w:szCs w:val="24"/>
              </w:rPr>
              <w:t>。</w:t>
            </w:r>
          </w:p>
          <w:p>
            <w:pPr>
              <w:pStyle w:val="11"/>
              <w:adjustRightInd w:val="0"/>
              <w:spacing w:before="0" w:after="0" w:line="360" w:lineRule="auto"/>
              <w:ind w:right="0" w:firstLine="480" w:firstLineChars="200"/>
              <w:rPr>
                <w:snapToGrid w:val="0"/>
                <w:kern w:val="24"/>
                <w:sz w:val="24"/>
                <w:szCs w:val="24"/>
              </w:rPr>
            </w:pPr>
            <w:r>
              <w:rPr>
                <w:rFonts w:hint="eastAsia"/>
                <w:snapToGrid w:val="0"/>
                <w:kern w:val="24"/>
                <w:sz w:val="24"/>
                <w:szCs w:val="24"/>
              </w:rPr>
              <w:t>（2）</w:t>
            </w:r>
            <w:r>
              <w:rPr>
                <w:snapToGrid w:val="0"/>
                <w:kern w:val="24"/>
                <w:sz w:val="24"/>
                <w:szCs w:val="24"/>
              </w:rPr>
              <w:t>类比对象</w:t>
            </w:r>
          </w:p>
          <w:p>
            <w:pPr>
              <w:pStyle w:val="11"/>
              <w:adjustRightInd w:val="0"/>
              <w:spacing w:before="0" w:after="0" w:line="360" w:lineRule="auto"/>
              <w:ind w:right="0" w:firstLine="480" w:firstLineChars="200"/>
              <w:rPr>
                <w:snapToGrid w:val="0"/>
                <w:kern w:val="24"/>
                <w:sz w:val="24"/>
                <w:szCs w:val="24"/>
              </w:rPr>
            </w:pPr>
            <w:r>
              <w:rPr>
                <w:rFonts w:hint="eastAsia"/>
                <w:snapToGrid w:val="0"/>
                <w:kern w:val="24"/>
                <w:sz w:val="24"/>
                <w:szCs w:val="24"/>
              </w:rPr>
              <w:t>本项目输电线路共2基铁塔，1基为单回路终端塔，另1基为双回路终端塔，项目线路为单回路架空线路，与甘州南滩330kV汇集站共用1基双回塔，输电线路示意图详见图4-3。</w:t>
            </w:r>
          </w:p>
          <w:p>
            <w:pPr>
              <w:pStyle w:val="11"/>
              <w:adjustRightInd w:val="0"/>
              <w:spacing w:before="0" w:after="0" w:line="360" w:lineRule="auto"/>
              <w:ind w:right="0"/>
              <w:rPr>
                <w:snapToGrid w:val="0"/>
                <w:kern w:val="24"/>
                <w:sz w:val="24"/>
                <w:szCs w:val="24"/>
              </w:rPr>
            </w:pPr>
            <w:r>
              <w:rPr>
                <w:rFonts w:hint="eastAsia"/>
                <w:snapToGrid w:val="0"/>
                <w:kern w:val="24"/>
                <w:sz w:val="24"/>
                <w:szCs w:val="24"/>
              </w:rPr>
              <w:drawing>
                <wp:inline distT="0" distB="0" distL="114300" distR="114300">
                  <wp:extent cx="5158740" cy="3903345"/>
                  <wp:effectExtent l="0" t="0" r="3810" b="1905"/>
                  <wp:docPr id="15" name="图片 15" descr="输电线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输电线路示意图"/>
                          <pic:cNvPicPr>
                            <a:picLocks noChangeAspect="1"/>
                          </pic:cNvPicPr>
                        </pic:nvPicPr>
                        <pic:blipFill>
                          <a:blip r:embed="rId19"/>
                          <a:stretch>
                            <a:fillRect/>
                          </a:stretch>
                        </pic:blipFill>
                        <pic:spPr>
                          <a:xfrm>
                            <a:off x="0" y="0"/>
                            <a:ext cx="5158740" cy="3903345"/>
                          </a:xfrm>
                          <a:prstGeom prst="rect">
                            <a:avLst/>
                          </a:prstGeom>
                        </pic:spPr>
                      </pic:pic>
                    </a:graphicData>
                  </a:graphic>
                </wp:inline>
              </w:drawing>
            </w:r>
          </w:p>
          <w:p>
            <w:pPr>
              <w:pStyle w:val="11"/>
              <w:adjustRightInd w:val="0"/>
              <w:spacing w:before="0" w:after="120" w:afterLines="50" w:line="360" w:lineRule="auto"/>
              <w:ind w:right="0"/>
              <w:jc w:val="center"/>
              <w:rPr>
                <w:b/>
                <w:bCs/>
                <w:snapToGrid w:val="0"/>
                <w:kern w:val="24"/>
                <w:sz w:val="24"/>
                <w:szCs w:val="24"/>
              </w:rPr>
            </w:pPr>
            <w:r>
              <w:rPr>
                <w:rFonts w:hint="eastAsia"/>
                <w:b/>
                <w:bCs/>
                <w:snapToGrid w:val="0"/>
                <w:kern w:val="24"/>
                <w:sz w:val="24"/>
                <w:szCs w:val="24"/>
              </w:rPr>
              <w:t>图4-3    储能电站～顺化330kV变电站输电线路示意图</w:t>
            </w:r>
          </w:p>
          <w:p>
            <w:pPr>
              <w:pStyle w:val="11"/>
              <w:adjustRightInd w:val="0"/>
              <w:spacing w:before="0" w:after="0" w:line="360" w:lineRule="auto"/>
              <w:ind w:right="0" w:firstLine="480" w:firstLineChars="200"/>
              <w:rPr>
                <w:snapToGrid w:val="0"/>
                <w:kern w:val="24"/>
                <w:sz w:val="24"/>
                <w:szCs w:val="24"/>
              </w:rPr>
            </w:pPr>
            <w:r>
              <w:rPr>
                <w:rFonts w:hint="eastAsia"/>
                <w:snapToGrid w:val="0"/>
                <w:kern w:val="24"/>
                <w:sz w:val="24"/>
                <w:szCs w:val="24"/>
              </w:rPr>
              <w:t>类比对象选择与本项目线路电压等级、架线方式相同，导线型号、分裂数、分裂间距相似的清兴330kV输电线路29#~30#塔之间衰减监测断面。类比对象与本项目相关情况对比详见4-9。</w:t>
            </w:r>
          </w:p>
          <w:p>
            <w:pPr>
              <w:pStyle w:val="11"/>
              <w:adjustRightInd w:val="0"/>
              <w:spacing w:before="0" w:after="0" w:line="360" w:lineRule="auto"/>
              <w:ind w:right="0"/>
              <w:jc w:val="center"/>
              <w:rPr>
                <w:b/>
                <w:bCs/>
                <w:kern w:val="24"/>
                <w:sz w:val="24"/>
                <w:szCs w:val="24"/>
              </w:rPr>
            </w:pPr>
            <w:r>
              <w:rPr>
                <w:rFonts w:hint="eastAsia"/>
                <w:b/>
                <w:bCs/>
                <w:kern w:val="24"/>
                <w:sz w:val="24"/>
                <w:szCs w:val="24"/>
              </w:rPr>
              <w:t>表4-9    本项目输电线路与类比对象相关情况比较表</w:t>
            </w:r>
          </w:p>
          <w:tbl>
            <w:tblPr>
              <w:tblStyle w:val="25"/>
              <w:tblW w:w="81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938"/>
              <w:gridCol w:w="1869"/>
              <w:gridCol w:w="3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类比项目</w:t>
                  </w:r>
                </w:p>
              </w:tc>
              <w:tc>
                <w:tcPr>
                  <w:tcW w:w="1938"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本项目330kV单回路输电线路</w:t>
                  </w:r>
                </w:p>
              </w:tc>
              <w:tc>
                <w:tcPr>
                  <w:tcW w:w="1869"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清兴330kV输电线路</w:t>
                  </w:r>
                </w:p>
              </w:tc>
              <w:tc>
                <w:tcPr>
                  <w:tcW w:w="305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可比性分析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电压等级</w:t>
                  </w:r>
                </w:p>
              </w:tc>
              <w:tc>
                <w:tcPr>
                  <w:tcW w:w="1938"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330kV</w:t>
                  </w:r>
                </w:p>
              </w:tc>
              <w:tc>
                <w:tcPr>
                  <w:tcW w:w="1869"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330kV</w:t>
                  </w:r>
                </w:p>
              </w:tc>
              <w:tc>
                <w:tcPr>
                  <w:tcW w:w="305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相同，是影响声环境的首要因素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导线型号</w:t>
                  </w:r>
                </w:p>
              </w:tc>
              <w:tc>
                <w:tcPr>
                  <w:tcW w:w="1938"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2×JL/G1A-400/35</w:t>
                  </w:r>
                </w:p>
                <w:p>
                  <w:pPr>
                    <w:pStyle w:val="11"/>
                    <w:adjustRightInd w:val="0"/>
                    <w:spacing w:before="0" w:after="0" w:line="240" w:lineRule="auto"/>
                    <w:ind w:right="0"/>
                    <w:jc w:val="center"/>
                    <w:rPr>
                      <w:kern w:val="24"/>
                      <w:sz w:val="21"/>
                      <w:szCs w:val="21"/>
                    </w:rPr>
                  </w:pPr>
                  <w:r>
                    <w:rPr>
                      <w:rFonts w:hint="eastAsia"/>
                      <w:kern w:val="24"/>
                      <w:sz w:val="21"/>
                      <w:szCs w:val="21"/>
                    </w:rPr>
                    <w:t>（Φ=26.8mm）</w:t>
                  </w:r>
                </w:p>
              </w:tc>
              <w:tc>
                <w:tcPr>
                  <w:tcW w:w="1869"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 xml:space="preserve">2×JL/G1A-400/35 </w:t>
                  </w:r>
                </w:p>
                <w:p>
                  <w:pPr>
                    <w:pStyle w:val="11"/>
                    <w:adjustRightInd w:val="0"/>
                    <w:spacing w:before="0" w:after="0" w:line="240" w:lineRule="auto"/>
                    <w:ind w:right="0"/>
                    <w:jc w:val="center"/>
                    <w:rPr>
                      <w:kern w:val="24"/>
                      <w:sz w:val="21"/>
                      <w:szCs w:val="21"/>
                    </w:rPr>
                  </w:pPr>
                  <w:r>
                    <w:rPr>
                      <w:rFonts w:hint="eastAsia"/>
                      <w:kern w:val="24"/>
                      <w:sz w:val="21"/>
                      <w:szCs w:val="21"/>
                    </w:rPr>
                    <w:t>（Φ=26.8mm）；</w:t>
                  </w:r>
                </w:p>
                <w:p>
                  <w:pPr>
                    <w:pStyle w:val="11"/>
                    <w:adjustRightInd w:val="0"/>
                    <w:spacing w:before="0" w:after="0" w:line="240" w:lineRule="auto"/>
                    <w:ind w:right="0"/>
                    <w:jc w:val="center"/>
                    <w:rPr>
                      <w:kern w:val="24"/>
                      <w:sz w:val="21"/>
                      <w:szCs w:val="21"/>
                    </w:rPr>
                  </w:pPr>
                  <w:r>
                    <w:rPr>
                      <w:rFonts w:hint="eastAsia"/>
                      <w:kern w:val="24"/>
                      <w:sz w:val="21"/>
                      <w:szCs w:val="21"/>
                    </w:rPr>
                    <w:t xml:space="preserve">2×JL/G1A-400/50 </w:t>
                  </w:r>
                </w:p>
                <w:p>
                  <w:pPr>
                    <w:pStyle w:val="11"/>
                    <w:adjustRightInd w:val="0"/>
                    <w:spacing w:before="0" w:after="0" w:line="240" w:lineRule="auto"/>
                    <w:ind w:right="0"/>
                    <w:jc w:val="center"/>
                    <w:rPr>
                      <w:kern w:val="24"/>
                      <w:sz w:val="21"/>
                      <w:szCs w:val="21"/>
                    </w:rPr>
                  </w:pPr>
                  <w:r>
                    <w:rPr>
                      <w:rFonts w:hint="eastAsia"/>
                      <w:kern w:val="24"/>
                      <w:sz w:val="21"/>
                      <w:szCs w:val="21"/>
                    </w:rPr>
                    <w:t>（Φ=27.6mm）</w:t>
                  </w:r>
                </w:p>
              </w:tc>
              <w:tc>
                <w:tcPr>
                  <w:tcW w:w="305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相同，是影响声环境的重要因素，导线越粗噪声越小，本项目导线粗细与类比线路一致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分裂数</w:t>
                  </w:r>
                </w:p>
              </w:tc>
              <w:tc>
                <w:tcPr>
                  <w:tcW w:w="1938"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2分裂</w:t>
                  </w:r>
                </w:p>
              </w:tc>
              <w:tc>
                <w:tcPr>
                  <w:tcW w:w="1869"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2分裂</w:t>
                  </w:r>
                </w:p>
              </w:tc>
              <w:tc>
                <w:tcPr>
                  <w:tcW w:w="305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相同，是影响声环境的重要因素，导线分裂数越多，声环境影响越小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分裂间距</w:t>
                  </w:r>
                </w:p>
              </w:tc>
              <w:tc>
                <w:tcPr>
                  <w:tcW w:w="1938"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400mm</w:t>
                  </w:r>
                </w:p>
              </w:tc>
              <w:tc>
                <w:tcPr>
                  <w:tcW w:w="1869"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400mm</w:t>
                  </w:r>
                </w:p>
              </w:tc>
              <w:tc>
                <w:tcPr>
                  <w:tcW w:w="305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相同，是影响电磁环境的重要因素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导线排列方式</w:t>
                  </w:r>
                </w:p>
              </w:tc>
              <w:tc>
                <w:tcPr>
                  <w:tcW w:w="1938"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三角排列</w:t>
                  </w:r>
                </w:p>
              </w:tc>
              <w:tc>
                <w:tcPr>
                  <w:tcW w:w="1869"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三角排列</w:t>
                  </w:r>
                </w:p>
              </w:tc>
              <w:tc>
                <w:tcPr>
                  <w:tcW w:w="3052" w:type="dxa"/>
                  <w:tcBorders>
                    <w:tl2br w:val="nil"/>
                    <w:tr2bl w:val="nil"/>
                  </w:tcBorders>
                  <w:vAlign w:val="center"/>
                </w:tcPr>
                <w:p>
                  <w:pPr>
                    <w:pStyle w:val="11"/>
                    <w:adjustRightInd w:val="0"/>
                    <w:spacing w:before="0" w:after="0" w:line="240" w:lineRule="auto"/>
                    <w:ind w:right="0"/>
                    <w:jc w:val="center"/>
                    <w:rPr>
                      <w:kern w:val="24"/>
                      <w:sz w:val="21"/>
                      <w:szCs w:val="21"/>
                    </w:rPr>
                  </w:pPr>
                  <w:r>
                    <w:rPr>
                      <w:rFonts w:hint="eastAsia"/>
                      <w:kern w:val="24"/>
                      <w:sz w:val="21"/>
                      <w:szCs w:val="21"/>
                    </w:rPr>
                    <w:t>相同，是影响声环境的重要因素</w:t>
                  </w:r>
                </w:p>
              </w:tc>
            </w:tr>
          </w:tbl>
          <w:p>
            <w:pPr>
              <w:pStyle w:val="11"/>
              <w:adjustRightInd w:val="0"/>
              <w:spacing w:before="120" w:beforeLines="50" w:after="0" w:line="360" w:lineRule="auto"/>
              <w:ind w:right="0" w:firstLine="480" w:firstLineChars="200"/>
              <w:rPr>
                <w:kern w:val="24"/>
                <w:sz w:val="24"/>
                <w:szCs w:val="24"/>
              </w:rPr>
            </w:pPr>
            <w:r>
              <w:rPr>
                <w:rFonts w:hint="eastAsia"/>
                <w:kern w:val="24"/>
                <w:sz w:val="24"/>
                <w:szCs w:val="24"/>
              </w:rPr>
              <w:t>由上表可以看出清兴330kV输电线路与本项目输电线路电压等级、导线排列方式相同，导线型号、分裂数、分裂间距均相同，因此选用清兴330kV输电线路作为本项目新建线路电磁类比监测对象是保守的、合理的。</w:t>
            </w:r>
          </w:p>
          <w:p>
            <w:pPr>
              <w:pStyle w:val="11"/>
              <w:adjustRightInd w:val="0"/>
              <w:spacing w:before="0" w:after="0" w:line="360" w:lineRule="auto"/>
              <w:ind w:right="0" w:firstLine="480" w:firstLineChars="200"/>
              <w:rPr>
                <w:kern w:val="24"/>
                <w:sz w:val="24"/>
                <w:szCs w:val="24"/>
              </w:rPr>
            </w:pPr>
            <w:r>
              <w:rPr>
                <w:rFonts w:hint="eastAsia"/>
                <w:kern w:val="24"/>
                <w:sz w:val="24"/>
                <w:szCs w:val="24"/>
              </w:rPr>
              <w:t>（3）</w:t>
            </w:r>
            <w:r>
              <w:rPr>
                <w:kern w:val="24"/>
                <w:sz w:val="24"/>
                <w:szCs w:val="24"/>
              </w:rPr>
              <w:t>监测内容</w:t>
            </w:r>
          </w:p>
          <w:p>
            <w:pPr>
              <w:pStyle w:val="11"/>
              <w:adjustRightInd w:val="0"/>
              <w:spacing w:before="0" w:after="0" w:line="360" w:lineRule="auto"/>
              <w:ind w:right="0" w:firstLine="480" w:firstLineChars="200"/>
              <w:rPr>
                <w:kern w:val="24"/>
                <w:sz w:val="24"/>
                <w:szCs w:val="24"/>
              </w:rPr>
            </w:pPr>
            <w:r>
              <w:rPr>
                <w:kern w:val="24"/>
                <w:sz w:val="24"/>
                <w:szCs w:val="24"/>
              </w:rPr>
              <w:t>监测断面上各测点距地面1.2m高度处的等效连续A声级。</w:t>
            </w:r>
          </w:p>
          <w:p>
            <w:pPr>
              <w:pStyle w:val="11"/>
              <w:adjustRightInd w:val="0"/>
              <w:spacing w:before="0" w:after="0" w:line="360" w:lineRule="auto"/>
              <w:ind w:right="0" w:firstLine="480" w:firstLineChars="200"/>
              <w:rPr>
                <w:kern w:val="24"/>
                <w:sz w:val="24"/>
                <w:szCs w:val="24"/>
              </w:rPr>
            </w:pPr>
            <w:r>
              <w:rPr>
                <w:rFonts w:hint="eastAsia"/>
                <w:kern w:val="24"/>
                <w:sz w:val="24"/>
                <w:szCs w:val="24"/>
              </w:rPr>
              <w:t>（4）</w:t>
            </w:r>
            <w:r>
              <w:rPr>
                <w:kern w:val="24"/>
                <w:sz w:val="24"/>
                <w:szCs w:val="24"/>
              </w:rPr>
              <w:t>监测单位、监测方法及监测仪器</w:t>
            </w:r>
          </w:p>
          <w:p>
            <w:pPr>
              <w:pStyle w:val="48"/>
              <w:tabs>
                <w:tab w:val="left" w:pos="1138"/>
              </w:tabs>
              <w:adjustRightInd w:val="0"/>
              <w:snapToGrid w:val="0"/>
              <w:spacing w:line="360" w:lineRule="auto"/>
              <w:ind w:left="0" w:firstLine="480" w:firstLineChars="200"/>
              <w:rPr>
                <w:rFonts w:ascii="Times New Roman" w:hAnsi="Times New Roman" w:cs="Times New Roman"/>
                <w:kern w:val="24"/>
                <w:sz w:val="24"/>
              </w:rPr>
            </w:pPr>
            <w:r>
              <w:rPr>
                <w:rFonts w:ascii="Times New Roman" w:hAnsi="Times New Roman" w:cs="Times New Roman"/>
                <w:kern w:val="24"/>
                <w:sz w:val="24"/>
              </w:rPr>
              <w:t>①监测单位</w:t>
            </w:r>
          </w:p>
          <w:p>
            <w:pPr>
              <w:pStyle w:val="48"/>
              <w:tabs>
                <w:tab w:val="left" w:pos="1138"/>
              </w:tabs>
              <w:adjustRightInd w:val="0"/>
              <w:snapToGrid w:val="0"/>
              <w:spacing w:line="360" w:lineRule="auto"/>
              <w:ind w:left="0" w:firstLine="480" w:firstLineChars="200"/>
              <w:rPr>
                <w:rFonts w:ascii="Times New Roman" w:hAnsi="Times New Roman" w:cs="Times New Roman"/>
                <w:kern w:val="24"/>
                <w:sz w:val="24"/>
              </w:rPr>
            </w:pPr>
            <w:r>
              <w:rPr>
                <w:rFonts w:ascii="Times New Roman" w:hAnsi="Times New Roman" w:cs="Times New Roman"/>
                <w:kern w:val="24"/>
                <w:sz w:val="24"/>
              </w:rPr>
              <w:t>北京森馥科技股份有限公司</w:t>
            </w:r>
            <w:r>
              <w:rPr>
                <w:rFonts w:hint="eastAsia" w:ascii="Times New Roman" w:hAnsi="Times New Roman" w:cs="Times New Roman"/>
                <w:kern w:val="24"/>
                <w:sz w:val="24"/>
              </w:rPr>
              <w:t>。</w:t>
            </w:r>
          </w:p>
          <w:p>
            <w:pPr>
              <w:pStyle w:val="48"/>
              <w:tabs>
                <w:tab w:val="left" w:pos="1138"/>
              </w:tabs>
              <w:adjustRightInd w:val="0"/>
              <w:snapToGrid w:val="0"/>
              <w:spacing w:line="360" w:lineRule="auto"/>
              <w:ind w:left="0" w:firstLine="480" w:firstLineChars="200"/>
              <w:rPr>
                <w:rFonts w:ascii="Times New Roman" w:hAnsi="Times New Roman" w:cs="Times New Roman"/>
                <w:kern w:val="24"/>
                <w:sz w:val="24"/>
              </w:rPr>
            </w:pPr>
            <w:r>
              <w:rPr>
                <w:rFonts w:ascii="Times New Roman" w:hAnsi="Times New Roman" w:cs="Times New Roman"/>
                <w:kern w:val="24"/>
                <w:sz w:val="24"/>
              </w:rPr>
              <w:t>②监测方法及仪器</w:t>
            </w:r>
          </w:p>
          <w:p>
            <w:pPr>
              <w:pStyle w:val="11"/>
              <w:adjustRightInd w:val="0"/>
              <w:spacing w:before="0" w:after="0" w:line="360" w:lineRule="auto"/>
              <w:ind w:right="0" w:firstLine="480" w:firstLineChars="200"/>
              <w:rPr>
                <w:kern w:val="24"/>
                <w:sz w:val="24"/>
                <w:szCs w:val="24"/>
              </w:rPr>
            </w:pPr>
            <w:r>
              <w:rPr>
                <w:kern w:val="24"/>
                <w:sz w:val="24"/>
                <w:szCs w:val="24"/>
              </w:rPr>
              <w:t>Ⅰ</w:t>
            </w:r>
            <w:r>
              <w:rPr>
                <w:rFonts w:hint="eastAsia"/>
                <w:kern w:val="24"/>
                <w:sz w:val="24"/>
                <w:szCs w:val="24"/>
              </w:rPr>
              <w:t>.</w:t>
            </w:r>
            <w:r>
              <w:rPr>
                <w:kern w:val="24"/>
                <w:sz w:val="24"/>
                <w:szCs w:val="24"/>
              </w:rPr>
              <w:t>监测方法</w:t>
            </w:r>
          </w:p>
          <w:p>
            <w:pPr>
              <w:pStyle w:val="11"/>
              <w:adjustRightInd w:val="0"/>
              <w:spacing w:before="0" w:after="0" w:line="360" w:lineRule="auto"/>
              <w:ind w:right="0" w:firstLine="480" w:firstLineChars="200"/>
              <w:rPr>
                <w:kern w:val="24"/>
                <w:sz w:val="24"/>
                <w:szCs w:val="24"/>
              </w:rPr>
            </w:pPr>
            <w:r>
              <w:rPr>
                <w:kern w:val="24"/>
                <w:sz w:val="24"/>
                <w:szCs w:val="24"/>
              </w:rPr>
              <w:t>按《</w:t>
            </w:r>
            <w:r>
              <w:rPr>
                <w:rFonts w:hint="eastAsia"/>
                <w:kern w:val="24"/>
                <w:sz w:val="24"/>
                <w:szCs w:val="24"/>
              </w:rPr>
              <w:t>工业企业厂界环境噪声排放</w:t>
            </w:r>
            <w:r>
              <w:rPr>
                <w:kern w:val="24"/>
                <w:sz w:val="24"/>
                <w:szCs w:val="24"/>
              </w:rPr>
              <w:t>标准》（GB</w:t>
            </w:r>
            <w:r>
              <w:rPr>
                <w:rFonts w:hint="eastAsia"/>
                <w:kern w:val="24"/>
                <w:sz w:val="24"/>
                <w:szCs w:val="24"/>
              </w:rPr>
              <w:t>12348</w:t>
            </w:r>
            <w:r>
              <w:rPr>
                <w:kern w:val="24"/>
                <w:sz w:val="24"/>
                <w:szCs w:val="24"/>
              </w:rPr>
              <w:t>-2008）附录的监测方法。</w:t>
            </w:r>
          </w:p>
          <w:p>
            <w:pPr>
              <w:pStyle w:val="11"/>
              <w:adjustRightInd w:val="0"/>
              <w:spacing w:before="0" w:after="0" w:line="360" w:lineRule="auto"/>
              <w:ind w:right="0" w:firstLine="480" w:firstLineChars="200"/>
              <w:rPr>
                <w:kern w:val="24"/>
                <w:sz w:val="24"/>
                <w:szCs w:val="24"/>
              </w:rPr>
            </w:pPr>
            <w:r>
              <w:rPr>
                <w:kern w:val="24"/>
                <w:sz w:val="24"/>
                <w:szCs w:val="24"/>
              </w:rPr>
              <w:t>Ⅱ</w:t>
            </w:r>
            <w:r>
              <w:rPr>
                <w:rFonts w:hint="eastAsia"/>
                <w:kern w:val="24"/>
                <w:sz w:val="24"/>
                <w:szCs w:val="24"/>
              </w:rPr>
              <w:t>.</w:t>
            </w:r>
            <w:r>
              <w:rPr>
                <w:kern w:val="24"/>
                <w:sz w:val="24"/>
                <w:szCs w:val="24"/>
              </w:rPr>
              <w:t>监测仪器</w:t>
            </w:r>
          </w:p>
          <w:p>
            <w:pPr>
              <w:pStyle w:val="11"/>
              <w:adjustRightInd w:val="0"/>
              <w:spacing w:before="0" w:after="0" w:line="360" w:lineRule="auto"/>
              <w:ind w:right="0" w:firstLine="480" w:firstLineChars="200"/>
              <w:rPr>
                <w:kern w:val="24"/>
                <w:sz w:val="24"/>
                <w:szCs w:val="24"/>
              </w:rPr>
            </w:pPr>
            <w:r>
              <w:rPr>
                <w:kern w:val="24"/>
                <w:sz w:val="24"/>
                <w:szCs w:val="24"/>
              </w:rPr>
              <w:t>本次类比监测所用监测仪器见</w:t>
            </w:r>
            <w:r>
              <w:rPr>
                <w:rFonts w:hint="eastAsia"/>
                <w:kern w:val="24"/>
                <w:sz w:val="24"/>
                <w:szCs w:val="24"/>
              </w:rPr>
              <w:t>下表</w:t>
            </w:r>
            <w:r>
              <w:rPr>
                <w:kern w:val="24"/>
                <w:sz w:val="24"/>
                <w:szCs w:val="24"/>
              </w:rPr>
              <w:t>。</w:t>
            </w:r>
          </w:p>
          <w:p>
            <w:pPr>
              <w:tabs>
                <w:tab w:val="left" w:pos="1331"/>
              </w:tabs>
              <w:adjustRightInd w:val="0"/>
              <w:snapToGrid w:val="0"/>
              <w:spacing w:line="360" w:lineRule="auto"/>
              <w:jc w:val="center"/>
              <w:rPr>
                <w:b/>
                <w:bCs/>
                <w:kern w:val="24"/>
                <w:sz w:val="24"/>
              </w:rPr>
            </w:pPr>
            <w:r>
              <w:rPr>
                <w:b/>
                <w:bCs/>
                <w:snapToGrid w:val="0"/>
                <w:kern w:val="24"/>
                <w:sz w:val="24"/>
              </w:rPr>
              <w:t>表</w:t>
            </w:r>
            <w:r>
              <w:rPr>
                <w:rFonts w:hint="eastAsia"/>
                <w:b/>
                <w:bCs/>
                <w:snapToGrid w:val="0"/>
                <w:kern w:val="24"/>
                <w:sz w:val="24"/>
              </w:rPr>
              <w:t xml:space="preserve">4-10  </w:t>
            </w:r>
            <w:r>
              <w:rPr>
                <w:rFonts w:hint="eastAsia"/>
                <w:b/>
                <w:bCs/>
                <w:kern w:val="24"/>
                <w:sz w:val="24"/>
              </w:rPr>
              <w:t xml:space="preserve">  </w:t>
            </w:r>
            <w:r>
              <w:rPr>
                <w:b/>
                <w:bCs/>
                <w:kern w:val="24"/>
                <w:sz w:val="24"/>
              </w:rPr>
              <w:t>监测仪器相关信息</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8"/>
              <w:gridCol w:w="2202"/>
              <w:gridCol w:w="1534"/>
              <w:gridCol w:w="1623"/>
              <w:gridCol w:w="20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83" w:type="pct"/>
                  <w:tcBorders>
                    <w:tl2br w:val="nil"/>
                    <w:tr2bl w:val="nil"/>
                  </w:tcBorders>
                  <w:vAlign w:val="center"/>
                </w:tcPr>
                <w:p>
                  <w:pPr>
                    <w:pStyle w:val="47"/>
                    <w:adjustRightInd w:val="0"/>
                    <w:snapToGrid w:val="0"/>
                    <w:rPr>
                      <w:rFonts w:ascii="Times New Roman" w:hAnsi="Times New Roman" w:cs="Times New Roman"/>
                      <w:b/>
                      <w:snapToGrid w:val="0"/>
                      <w:kern w:val="21"/>
                      <w:szCs w:val="21"/>
                    </w:rPr>
                  </w:pPr>
                  <w:r>
                    <w:rPr>
                      <w:rFonts w:ascii="Times New Roman" w:hAnsi="Times New Roman" w:cs="Times New Roman"/>
                      <w:b/>
                      <w:snapToGrid w:val="0"/>
                      <w:kern w:val="21"/>
                      <w:szCs w:val="21"/>
                    </w:rPr>
                    <w:t>监测</w:t>
                  </w:r>
                </w:p>
                <w:p>
                  <w:pPr>
                    <w:pStyle w:val="47"/>
                    <w:adjustRightInd w:val="0"/>
                    <w:snapToGrid w:val="0"/>
                    <w:rPr>
                      <w:rFonts w:ascii="Times New Roman" w:hAnsi="Times New Roman" w:cs="Times New Roman"/>
                      <w:b/>
                      <w:snapToGrid w:val="0"/>
                      <w:kern w:val="21"/>
                      <w:szCs w:val="21"/>
                    </w:rPr>
                  </w:pPr>
                  <w:r>
                    <w:rPr>
                      <w:rFonts w:ascii="Times New Roman" w:hAnsi="Times New Roman" w:cs="Times New Roman"/>
                      <w:b/>
                      <w:snapToGrid w:val="0"/>
                      <w:kern w:val="21"/>
                      <w:szCs w:val="21"/>
                    </w:rPr>
                    <w:t>项目</w:t>
                  </w:r>
                </w:p>
              </w:tc>
              <w:tc>
                <w:tcPr>
                  <w:tcW w:w="1349" w:type="pct"/>
                  <w:tcBorders>
                    <w:tl2br w:val="nil"/>
                    <w:tr2bl w:val="nil"/>
                  </w:tcBorders>
                  <w:vAlign w:val="center"/>
                </w:tcPr>
                <w:p>
                  <w:pPr>
                    <w:pStyle w:val="47"/>
                    <w:adjustRightInd w:val="0"/>
                    <w:snapToGrid w:val="0"/>
                    <w:rPr>
                      <w:rFonts w:ascii="Times New Roman" w:hAnsi="Times New Roman" w:cs="Times New Roman"/>
                      <w:b/>
                      <w:snapToGrid w:val="0"/>
                      <w:kern w:val="21"/>
                      <w:szCs w:val="21"/>
                    </w:rPr>
                  </w:pPr>
                  <w:r>
                    <w:rPr>
                      <w:rFonts w:ascii="Times New Roman" w:hAnsi="Times New Roman" w:cs="Times New Roman"/>
                      <w:b/>
                      <w:snapToGrid w:val="0"/>
                      <w:kern w:val="21"/>
                      <w:szCs w:val="21"/>
                    </w:rPr>
                    <w:t>仪器名称及型号</w:t>
                  </w:r>
                </w:p>
              </w:tc>
              <w:tc>
                <w:tcPr>
                  <w:tcW w:w="940" w:type="pct"/>
                  <w:tcBorders>
                    <w:tl2br w:val="nil"/>
                    <w:tr2bl w:val="nil"/>
                  </w:tcBorders>
                  <w:vAlign w:val="center"/>
                </w:tcPr>
                <w:p>
                  <w:pPr>
                    <w:pStyle w:val="47"/>
                    <w:adjustRightInd w:val="0"/>
                    <w:snapToGrid w:val="0"/>
                    <w:rPr>
                      <w:rFonts w:ascii="Times New Roman" w:hAnsi="Times New Roman" w:cs="Times New Roman"/>
                      <w:b/>
                      <w:snapToGrid w:val="0"/>
                      <w:kern w:val="21"/>
                      <w:szCs w:val="21"/>
                    </w:rPr>
                  </w:pPr>
                  <w:r>
                    <w:rPr>
                      <w:rFonts w:ascii="Times New Roman" w:hAnsi="Times New Roman" w:cs="Times New Roman"/>
                      <w:b/>
                      <w:snapToGrid w:val="0"/>
                      <w:kern w:val="21"/>
                      <w:szCs w:val="21"/>
                    </w:rPr>
                    <w:t>仪器编号</w:t>
                  </w:r>
                </w:p>
              </w:tc>
              <w:tc>
                <w:tcPr>
                  <w:tcW w:w="994" w:type="pct"/>
                  <w:tcBorders>
                    <w:tl2br w:val="nil"/>
                    <w:tr2bl w:val="nil"/>
                  </w:tcBorders>
                  <w:vAlign w:val="center"/>
                </w:tcPr>
                <w:p>
                  <w:pPr>
                    <w:pStyle w:val="47"/>
                    <w:adjustRightInd w:val="0"/>
                    <w:snapToGrid w:val="0"/>
                    <w:rPr>
                      <w:rFonts w:ascii="Times New Roman" w:hAnsi="Times New Roman" w:cs="Times New Roman"/>
                      <w:b/>
                      <w:snapToGrid w:val="0"/>
                      <w:kern w:val="21"/>
                      <w:szCs w:val="21"/>
                    </w:rPr>
                  </w:pPr>
                  <w:r>
                    <w:rPr>
                      <w:rFonts w:ascii="Times New Roman" w:hAnsi="Times New Roman" w:cs="Times New Roman"/>
                      <w:b/>
                      <w:snapToGrid w:val="0"/>
                      <w:kern w:val="21"/>
                      <w:szCs w:val="21"/>
                    </w:rPr>
                    <w:t>测量范围</w:t>
                  </w:r>
                </w:p>
              </w:tc>
              <w:tc>
                <w:tcPr>
                  <w:tcW w:w="1231" w:type="pct"/>
                  <w:tcBorders>
                    <w:tl2br w:val="nil"/>
                    <w:tr2bl w:val="nil"/>
                  </w:tcBorders>
                  <w:vAlign w:val="center"/>
                </w:tcPr>
                <w:p>
                  <w:pPr>
                    <w:pStyle w:val="47"/>
                    <w:adjustRightInd w:val="0"/>
                    <w:snapToGrid w:val="0"/>
                    <w:rPr>
                      <w:rFonts w:ascii="Times New Roman" w:hAnsi="Times New Roman" w:cs="Times New Roman"/>
                      <w:b/>
                      <w:snapToGrid w:val="0"/>
                      <w:kern w:val="21"/>
                      <w:szCs w:val="21"/>
                    </w:rPr>
                  </w:pPr>
                  <w:r>
                    <w:rPr>
                      <w:rFonts w:ascii="Times New Roman" w:hAnsi="Times New Roman" w:cs="Times New Roman"/>
                      <w:b/>
                      <w:snapToGrid w:val="0"/>
                      <w:kern w:val="21"/>
                      <w:szCs w:val="21"/>
                    </w:rPr>
                    <w:t>有效日期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83" w:type="pct"/>
                  <w:tcBorders>
                    <w:tl2br w:val="nil"/>
                    <w:tr2bl w:val="nil"/>
                  </w:tcBorders>
                  <w:vAlign w:val="center"/>
                </w:tcPr>
                <w:p>
                  <w:pPr>
                    <w:pStyle w:val="47"/>
                    <w:adjustRightInd w:val="0"/>
                    <w:snapToGrid w:val="0"/>
                    <w:rPr>
                      <w:rFonts w:ascii="Times New Roman" w:hAnsi="Times New Roman" w:cs="Times New Roman"/>
                      <w:snapToGrid w:val="0"/>
                      <w:kern w:val="21"/>
                      <w:szCs w:val="21"/>
                    </w:rPr>
                  </w:pPr>
                  <w:r>
                    <w:rPr>
                      <w:rFonts w:ascii="Times New Roman" w:hAnsi="Times New Roman" w:cs="Times New Roman"/>
                      <w:snapToGrid w:val="0"/>
                      <w:kern w:val="21"/>
                      <w:szCs w:val="21"/>
                    </w:rPr>
                    <w:t>噪声</w:t>
                  </w:r>
                </w:p>
              </w:tc>
              <w:tc>
                <w:tcPr>
                  <w:tcW w:w="1349" w:type="pct"/>
                  <w:tcBorders>
                    <w:tl2br w:val="nil"/>
                    <w:tr2bl w:val="nil"/>
                  </w:tcBorders>
                  <w:vAlign w:val="center"/>
                </w:tcPr>
                <w:p>
                  <w:pPr>
                    <w:pStyle w:val="47"/>
                    <w:adjustRightInd w:val="0"/>
                    <w:snapToGrid w:val="0"/>
                    <w:rPr>
                      <w:rFonts w:ascii="Times New Roman" w:hAnsi="Times New Roman" w:cs="Times New Roman"/>
                      <w:snapToGrid w:val="0"/>
                      <w:kern w:val="21"/>
                      <w:szCs w:val="21"/>
                    </w:rPr>
                  </w:pPr>
                  <w:r>
                    <w:rPr>
                      <w:rFonts w:ascii="Times New Roman" w:hAnsi="Times New Roman" w:cs="Times New Roman"/>
                      <w:snapToGrid w:val="0"/>
                      <w:kern w:val="21"/>
                      <w:szCs w:val="21"/>
                    </w:rPr>
                    <w:t>AWA5680多功能声级计/AWA6221B声校准器</w:t>
                  </w:r>
                </w:p>
              </w:tc>
              <w:tc>
                <w:tcPr>
                  <w:tcW w:w="940" w:type="pct"/>
                  <w:tcBorders>
                    <w:tl2br w:val="nil"/>
                    <w:tr2bl w:val="nil"/>
                  </w:tcBorders>
                  <w:vAlign w:val="center"/>
                </w:tcPr>
                <w:p>
                  <w:pPr>
                    <w:pStyle w:val="47"/>
                    <w:adjustRightInd w:val="0"/>
                    <w:snapToGrid w:val="0"/>
                    <w:rPr>
                      <w:rFonts w:ascii="Times New Roman" w:hAnsi="Times New Roman" w:cs="Times New Roman"/>
                      <w:snapToGrid w:val="0"/>
                      <w:kern w:val="21"/>
                      <w:szCs w:val="21"/>
                    </w:rPr>
                  </w:pPr>
                  <w:r>
                    <w:rPr>
                      <w:rFonts w:ascii="Times New Roman" w:hAnsi="Times New Roman" w:cs="Times New Roman"/>
                      <w:snapToGrid w:val="0"/>
                      <w:kern w:val="21"/>
                      <w:szCs w:val="21"/>
                    </w:rPr>
                    <w:t>STT-YQ-37/</w:t>
                  </w:r>
                </w:p>
                <w:p>
                  <w:pPr>
                    <w:pStyle w:val="47"/>
                    <w:adjustRightInd w:val="0"/>
                    <w:snapToGrid w:val="0"/>
                    <w:rPr>
                      <w:rFonts w:ascii="Times New Roman" w:hAnsi="Times New Roman" w:cs="Times New Roman"/>
                      <w:snapToGrid w:val="0"/>
                      <w:kern w:val="21"/>
                      <w:szCs w:val="21"/>
                    </w:rPr>
                  </w:pPr>
                  <w:r>
                    <w:rPr>
                      <w:rFonts w:ascii="Times New Roman" w:hAnsi="Times New Roman" w:cs="Times New Roman"/>
                      <w:snapToGrid w:val="0"/>
                      <w:kern w:val="21"/>
                      <w:szCs w:val="21"/>
                    </w:rPr>
                    <w:t>STT-YQ-37(1)</w:t>
                  </w:r>
                </w:p>
              </w:tc>
              <w:tc>
                <w:tcPr>
                  <w:tcW w:w="994" w:type="pct"/>
                  <w:tcBorders>
                    <w:tl2br w:val="nil"/>
                    <w:tr2bl w:val="nil"/>
                  </w:tcBorders>
                  <w:vAlign w:val="center"/>
                </w:tcPr>
                <w:p>
                  <w:pPr>
                    <w:pStyle w:val="47"/>
                    <w:adjustRightInd w:val="0"/>
                    <w:snapToGrid w:val="0"/>
                    <w:rPr>
                      <w:rFonts w:ascii="Times New Roman" w:hAnsi="Times New Roman" w:cs="Times New Roman"/>
                      <w:snapToGrid w:val="0"/>
                      <w:kern w:val="21"/>
                      <w:szCs w:val="21"/>
                    </w:rPr>
                  </w:pPr>
                  <w:r>
                    <w:rPr>
                      <w:rFonts w:ascii="Times New Roman" w:hAnsi="Times New Roman" w:cs="Times New Roman"/>
                      <w:snapToGrid w:val="0"/>
                      <w:kern w:val="21"/>
                      <w:szCs w:val="21"/>
                    </w:rPr>
                    <w:t>2</w:t>
                  </w:r>
                  <w:r>
                    <w:rPr>
                      <w:rFonts w:hint="eastAsia" w:ascii="Times New Roman" w:hAnsi="Times New Roman" w:cs="Times New Roman"/>
                      <w:snapToGrid w:val="0"/>
                      <w:kern w:val="21"/>
                      <w:szCs w:val="21"/>
                    </w:rPr>
                    <w:t>7</w:t>
                  </w:r>
                  <w:r>
                    <w:rPr>
                      <w:rFonts w:ascii="Times New Roman" w:hAnsi="Times New Roman" w:cs="Times New Roman"/>
                      <w:snapToGrid w:val="0"/>
                      <w:kern w:val="21"/>
                      <w:szCs w:val="21"/>
                    </w:rPr>
                    <w:t>～130dB（A）</w:t>
                  </w:r>
                </w:p>
              </w:tc>
              <w:tc>
                <w:tcPr>
                  <w:tcW w:w="1231" w:type="pct"/>
                  <w:tcBorders>
                    <w:tl2br w:val="nil"/>
                    <w:tr2bl w:val="nil"/>
                  </w:tcBorders>
                  <w:vAlign w:val="center"/>
                </w:tcPr>
                <w:p>
                  <w:pPr>
                    <w:pStyle w:val="47"/>
                    <w:adjustRightInd w:val="0"/>
                    <w:snapToGrid w:val="0"/>
                    <w:rPr>
                      <w:rFonts w:ascii="Times New Roman" w:hAnsi="Times New Roman" w:cs="Times New Roman"/>
                      <w:snapToGrid w:val="0"/>
                      <w:kern w:val="21"/>
                      <w:szCs w:val="21"/>
                    </w:rPr>
                  </w:pPr>
                  <w:r>
                    <w:rPr>
                      <w:rFonts w:ascii="Times New Roman" w:hAnsi="Times New Roman" w:cs="Times New Roman"/>
                      <w:snapToGrid w:val="0"/>
                      <w:kern w:val="21"/>
                      <w:szCs w:val="21"/>
                    </w:rPr>
                    <w:t>2017</w:t>
                  </w:r>
                  <w:r>
                    <w:rPr>
                      <w:rFonts w:hint="eastAsia" w:ascii="Times New Roman" w:hAnsi="Times New Roman" w:cs="Times New Roman"/>
                      <w:snapToGrid w:val="0"/>
                      <w:kern w:val="21"/>
                      <w:szCs w:val="21"/>
                    </w:rPr>
                    <w:t>.03.30</w:t>
                  </w:r>
                  <w:r>
                    <w:rPr>
                      <w:rFonts w:ascii="Times New Roman" w:hAnsi="Times New Roman" w:cs="Times New Roman"/>
                      <w:snapToGrid w:val="0"/>
                      <w:kern w:val="21"/>
                      <w:szCs w:val="21"/>
                    </w:rPr>
                    <w:t>~2018</w:t>
                  </w:r>
                  <w:r>
                    <w:rPr>
                      <w:rFonts w:hint="eastAsia" w:ascii="Times New Roman" w:hAnsi="Times New Roman" w:cs="Times New Roman"/>
                      <w:snapToGrid w:val="0"/>
                      <w:kern w:val="21"/>
                      <w:szCs w:val="21"/>
                    </w:rPr>
                    <w:t>.03.29</w:t>
                  </w:r>
                </w:p>
              </w:tc>
            </w:tr>
          </w:tbl>
          <w:p>
            <w:pPr>
              <w:pStyle w:val="48"/>
              <w:tabs>
                <w:tab w:val="left" w:pos="1218"/>
              </w:tabs>
              <w:adjustRightInd w:val="0"/>
              <w:snapToGrid w:val="0"/>
              <w:spacing w:before="120" w:beforeLines="50" w:line="360" w:lineRule="auto"/>
              <w:ind w:left="0" w:firstLine="480" w:firstLineChars="200"/>
              <w:rPr>
                <w:rFonts w:ascii="Times New Roman" w:hAnsi="Times New Roman" w:cs="Times New Roman"/>
                <w:kern w:val="24"/>
                <w:sz w:val="24"/>
              </w:rPr>
            </w:pPr>
            <w:r>
              <w:rPr>
                <w:rFonts w:hint="eastAsia" w:ascii="Times New Roman" w:hAnsi="Times New Roman" w:cs="Times New Roman"/>
                <w:kern w:val="24"/>
                <w:sz w:val="24"/>
              </w:rPr>
              <w:t>（5）</w:t>
            </w:r>
            <w:r>
              <w:rPr>
                <w:rFonts w:ascii="Times New Roman" w:hAnsi="Times New Roman" w:cs="Times New Roman"/>
                <w:kern w:val="24"/>
                <w:sz w:val="24"/>
              </w:rPr>
              <w:t>监测布点、监测环境及工况</w:t>
            </w:r>
          </w:p>
          <w:p>
            <w:pPr>
              <w:pStyle w:val="11"/>
              <w:adjustRightInd w:val="0"/>
              <w:spacing w:before="0" w:after="0" w:line="360" w:lineRule="auto"/>
              <w:ind w:right="0" w:firstLine="480" w:firstLineChars="200"/>
              <w:rPr>
                <w:snapToGrid w:val="0"/>
                <w:kern w:val="24"/>
                <w:sz w:val="24"/>
                <w:szCs w:val="24"/>
              </w:rPr>
            </w:pPr>
            <w:r>
              <w:rPr>
                <w:snapToGrid w:val="0"/>
                <w:kern w:val="24"/>
                <w:sz w:val="24"/>
                <w:szCs w:val="24"/>
              </w:rPr>
              <w:t>类比监测断面位于清兴330kV输电线路29#-30#塔之间，监测时间为2017年8月30日，监测断面处对地线高为24.12m。断面监测以单回路导线弧垂最低位置处中相导线对地投影点为起点，监测点均匀分布在边相导线西北侧的横断面方向上。距离地面1.</w:t>
            </w:r>
            <w:r>
              <w:rPr>
                <w:rFonts w:hint="eastAsia"/>
                <w:snapToGrid w:val="0"/>
                <w:kern w:val="24"/>
                <w:sz w:val="24"/>
                <w:szCs w:val="24"/>
              </w:rPr>
              <w:t>2</w:t>
            </w:r>
            <w:r>
              <w:rPr>
                <w:snapToGrid w:val="0"/>
                <w:kern w:val="24"/>
                <w:sz w:val="24"/>
                <w:szCs w:val="24"/>
              </w:rPr>
              <w:t>m高处监测，间隔5m进行测量，测至距线路中心50m处为止。断面监测点布置详见图</w:t>
            </w:r>
            <w:r>
              <w:rPr>
                <w:rFonts w:hint="eastAsia"/>
                <w:snapToGrid w:val="0"/>
                <w:kern w:val="24"/>
                <w:sz w:val="24"/>
                <w:szCs w:val="24"/>
              </w:rPr>
              <w:t>4-4</w:t>
            </w:r>
            <w:r>
              <w:rPr>
                <w:snapToGrid w:val="0"/>
                <w:kern w:val="24"/>
                <w:sz w:val="24"/>
                <w:szCs w:val="24"/>
              </w:rPr>
              <w:t>。</w:t>
            </w:r>
          </w:p>
          <w:p>
            <w:pPr>
              <w:pStyle w:val="11"/>
              <w:adjustRightInd w:val="0"/>
              <w:spacing w:before="0" w:after="0" w:line="360" w:lineRule="auto"/>
              <w:ind w:right="0"/>
              <w:rPr>
                <w:snapToGrid w:val="0"/>
                <w:kern w:val="24"/>
                <w:sz w:val="24"/>
                <w:szCs w:val="24"/>
                <w:highlight w:val="magenta"/>
              </w:rPr>
            </w:pPr>
            <w:r>
              <w:rPr>
                <w:rFonts w:hint="eastAsia"/>
                <w:snapToGrid w:val="0"/>
                <w:kern w:val="24"/>
                <w:sz w:val="24"/>
                <w:szCs w:val="24"/>
              </w:rPr>
              <w:drawing>
                <wp:inline distT="0" distB="0" distL="114300" distR="114300">
                  <wp:extent cx="5171440" cy="1974215"/>
                  <wp:effectExtent l="0" t="0" r="10160" b="6985"/>
                  <wp:docPr id="16" name="图片 16" descr="监测断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监测断面示意图"/>
                          <pic:cNvPicPr>
                            <a:picLocks noChangeAspect="1"/>
                          </pic:cNvPicPr>
                        </pic:nvPicPr>
                        <pic:blipFill>
                          <a:blip r:embed="rId20"/>
                          <a:stretch>
                            <a:fillRect/>
                          </a:stretch>
                        </pic:blipFill>
                        <pic:spPr>
                          <a:xfrm>
                            <a:off x="0" y="0"/>
                            <a:ext cx="5171440" cy="1974215"/>
                          </a:xfrm>
                          <a:prstGeom prst="rect">
                            <a:avLst/>
                          </a:prstGeom>
                        </pic:spPr>
                      </pic:pic>
                    </a:graphicData>
                  </a:graphic>
                </wp:inline>
              </w:drawing>
            </w:r>
          </w:p>
          <w:p>
            <w:pPr>
              <w:pStyle w:val="11"/>
              <w:adjustRightInd w:val="0"/>
              <w:spacing w:before="0" w:after="120" w:afterLines="50" w:line="360" w:lineRule="auto"/>
              <w:ind w:right="0"/>
              <w:jc w:val="center"/>
              <w:rPr>
                <w:b/>
                <w:bCs/>
                <w:kern w:val="24"/>
                <w:sz w:val="24"/>
                <w:szCs w:val="24"/>
              </w:rPr>
            </w:pPr>
            <w:r>
              <w:rPr>
                <w:rFonts w:hint="eastAsia"/>
                <w:b/>
                <w:bCs/>
                <w:kern w:val="24"/>
                <w:sz w:val="24"/>
                <w:szCs w:val="24"/>
              </w:rPr>
              <w:t>图4-4    类比监测断面监测布点示意图</w:t>
            </w:r>
          </w:p>
          <w:p>
            <w:pPr>
              <w:pStyle w:val="11"/>
              <w:adjustRightInd w:val="0"/>
              <w:spacing w:before="0" w:after="0" w:line="360" w:lineRule="auto"/>
              <w:ind w:right="0" w:firstLine="480" w:firstLineChars="200"/>
              <w:rPr>
                <w:kern w:val="24"/>
                <w:sz w:val="24"/>
                <w:szCs w:val="24"/>
              </w:rPr>
            </w:pPr>
            <w:r>
              <w:rPr>
                <w:rFonts w:hint="eastAsia"/>
                <w:kern w:val="24"/>
                <w:sz w:val="24"/>
                <w:szCs w:val="24"/>
              </w:rPr>
              <w:t>（6）</w:t>
            </w:r>
            <w:r>
              <w:rPr>
                <w:kern w:val="24"/>
                <w:sz w:val="24"/>
                <w:szCs w:val="24"/>
              </w:rPr>
              <w:t>监测</w:t>
            </w:r>
            <w:r>
              <w:rPr>
                <w:rFonts w:hint="eastAsia"/>
                <w:kern w:val="24"/>
                <w:sz w:val="24"/>
                <w:szCs w:val="24"/>
              </w:rPr>
              <w:t>环境</w:t>
            </w:r>
          </w:p>
          <w:p>
            <w:pPr>
              <w:pStyle w:val="11"/>
              <w:adjustRightInd w:val="0"/>
              <w:spacing w:before="0" w:after="0" w:line="360" w:lineRule="auto"/>
              <w:ind w:right="0" w:firstLine="480" w:firstLineChars="200"/>
              <w:rPr>
                <w:kern w:val="24"/>
                <w:sz w:val="24"/>
                <w:szCs w:val="24"/>
              </w:rPr>
            </w:pPr>
            <w:r>
              <w:rPr>
                <w:rFonts w:hint="eastAsia"/>
                <w:kern w:val="24"/>
                <w:sz w:val="24"/>
                <w:szCs w:val="24"/>
              </w:rPr>
              <w:t>监测期间环境情况见下表。</w:t>
            </w:r>
          </w:p>
          <w:p>
            <w:pPr>
              <w:tabs>
                <w:tab w:val="left" w:pos="1015"/>
              </w:tabs>
              <w:adjustRightInd w:val="0"/>
              <w:snapToGrid w:val="0"/>
              <w:spacing w:line="360" w:lineRule="auto"/>
              <w:jc w:val="center"/>
              <w:rPr>
                <w:kern w:val="24"/>
                <w:sz w:val="24"/>
              </w:rPr>
            </w:pPr>
            <w:r>
              <w:rPr>
                <w:b/>
                <w:bCs/>
                <w:snapToGrid w:val="0"/>
                <w:kern w:val="24"/>
                <w:sz w:val="24"/>
              </w:rPr>
              <w:t>表</w:t>
            </w:r>
            <w:r>
              <w:rPr>
                <w:rFonts w:hint="eastAsia"/>
                <w:b/>
                <w:bCs/>
                <w:snapToGrid w:val="0"/>
                <w:kern w:val="24"/>
                <w:sz w:val="24"/>
              </w:rPr>
              <w:t xml:space="preserve">4-11 </w:t>
            </w:r>
            <w:r>
              <w:rPr>
                <w:b/>
                <w:bCs/>
                <w:snapToGrid w:val="0"/>
                <w:kern w:val="24"/>
                <w:sz w:val="24"/>
              </w:rPr>
              <w:t xml:space="preserve">  </w:t>
            </w:r>
            <w:r>
              <w:rPr>
                <w:b/>
                <w:bCs/>
                <w:kern w:val="24"/>
                <w:sz w:val="24"/>
              </w:rPr>
              <w:t xml:space="preserve"> 类比监测断面声环境监测结果</w:t>
            </w:r>
          </w:p>
          <w:tbl>
            <w:tblPr>
              <w:tblStyle w:val="2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826"/>
              <w:gridCol w:w="2760"/>
              <w:gridCol w:w="25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vMerge w:val="restar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监测日期</w:t>
                  </w:r>
                </w:p>
              </w:tc>
              <w:tc>
                <w:tcPr>
                  <w:tcW w:w="3267" w:type="pct"/>
                  <w:gridSpan w:val="2"/>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2017.08.30-2017.08.31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vMerge w:val="continue"/>
                  <w:tcBorders>
                    <w:tl2br w:val="nil"/>
                    <w:tr2bl w:val="nil"/>
                  </w:tcBorders>
                  <w:vAlign w:val="center"/>
                </w:tcPr>
                <w:p>
                  <w:pPr>
                    <w:adjustRightInd w:val="0"/>
                    <w:snapToGrid w:val="0"/>
                    <w:jc w:val="center"/>
                    <w:rPr>
                      <w:szCs w:val="21"/>
                    </w:rPr>
                  </w:pP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昼间</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温度℃</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20~25</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11~15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湿度%</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66~73</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75~82</w:t>
                  </w:r>
                </w:p>
              </w:tc>
            </w:tr>
          </w:tbl>
          <w:p>
            <w:pPr>
              <w:pStyle w:val="11"/>
              <w:adjustRightInd w:val="0"/>
              <w:spacing w:before="0" w:after="0" w:line="360" w:lineRule="auto"/>
              <w:ind w:right="0" w:firstLine="480" w:firstLineChars="200"/>
              <w:rPr>
                <w:kern w:val="24"/>
                <w:sz w:val="24"/>
                <w:szCs w:val="24"/>
              </w:rPr>
            </w:pPr>
            <w:r>
              <w:rPr>
                <w:rFonts w:hint="eastAsia"/>
                <w:kern w:val="24"/>
                <w:sz w:val="24"/>
                <w:szCs w:val="24"/>
              </w:rPr>
              <w:t>（7）监测工况</w:t>
            </w:r>
          </w:p>
          <w:p>
            <w:pPr>
              <w:pStyle w:val="11"/>
              <w:adjustRightInd w:val="0"/>
              <w:spacing w:before="0" w:after="0" w:line="360" w:lineRule="auto"/>
              <w:ind w:right="0" w:firstLine="480" w:firstLineChars="200"/>
              <w:rPr>
                <w:kern w:val="24"/>
                <w:sz w:val="24"/>
                <w:szCs w:val="24"/>
              </w:rPr>
            </w:pPr>
            <w:r>
              <w:rPr>
                <w:kern w:val="24"/>
                <w:sz w:val="24"/>
                <w:szCs w:val="24"/>
              </w:rPr>
              <w:t>2017年8月30日，清兴330kV输电线路电压为351.84kV</w:t>
            </w:r>
            <w:r>
              <w:rPr>
                <w:rFonts w:hint="eastAsia"/>
                <w:kern w:val="24"/>
                <w:sz w:val="24"/>
                <w:szCs w:val="24"/>
              </w:rPr>
              <w:t>，</w:t>
            </w:r>
            <w:r>
              <w:rPr>
                <w:kern w:val="24"/>
                <w:sz w:val="24"/>
                <w:szCs w:val="24"/>
              </w:rPr>
              <w:t>电流为183.48A，有功功率106.12MW，无功功率33.94M</w:t>
            </w:r>
            <w:r>
              <w:rPr>
                <w:rFonts w:hint="eastAsia"/>
                <w:kern w:val="24"/>
                <w:sz w:val="24"/>
                <w:szCs w:val="24"/>
              </w:rPr>
              <w:t>V</w:t>
            </w:r>
            <w:r>
              <w:rPr>
                <w:kern w:val="24"/>
                <w:sz w:val="24"/>
                <w:szCs w:val="24"/>
              </w:rPr>
              <w:t>ar。</w:t>
            </w:r>
          </w:p>
          <w:p>
            <w:pPr>
              <w:pStyle w:val="11"/>
              <w:adjustRightInd w:val="0"/>
              <w:spacing w:before="0" w:after="0" w:line="360" w:lineRule="auto"/>
              <w:ind w:right="0" w:firstLine="480" w:firstLineChars="200"/>
              <w:rPr>
                <w:kern w:val="24"/>
                <w:sz w:val="24"/>
                <w:szCs w:val="24"/>
              </w:rPr>
            </w:pPr>
            <w:r>
              <w:rPr>
                <w:rFonts w:hint="eastAsia"/>
                <w:kern w:val="24"/>
                <w:sz w:val="24"/>
                <w:szCs w:val="24"/>
              </w:rPr>
              <w:t>（8）监测结果</w:t>
            </w:r>
          </w:p>
          <w:p>
            <w:pPr>
              <w:pStyle w:val="11"/>
              <w:adjustRightInd w:val="0"/>
              <w:spacing w:before="0" w:after="0" w:line="360" w:lineRule="auto"/>
              <w:ind w:right="0" w:firstLine="480" w:firstLineChars="200"/>
              <w:rPr>
                <w:kern w:val="24"/>
                <w:sz w:val="24"/>
                <w:szCs w:val="24"/>
              </w:rPr>
            </w:pPr>
            <w:r>
              <w:rPr>
                <w:kern w:val="24"/>
                <w:sz w:val="24"/>
                <w:szCs w:val="24"/>
              </w:rPr>
              <w:t>类比监测结果见表</w:t>
            </w:r>
            <w:r>
              <w:rPr>
                <w:rFonts w:hint="eastAsia"/>
                <w:kern w:val="24"/>
                <w:sz w:val="24"/>
                <w:szCs w:val="24"/>
              </w:rPr>
              <w:t>4-12</w:t>
            </w:r>
            <w:r>
              <w:rPr>
                <w:kern w:val="24"/>
                <w:sz w:val="24"/>
                <w:szCs w:val="24"/>
              </w:rPr>
              <w:t>。</w:t>
            </w:r>
          </w:p>
          <w:p>
            <w:pPr>
              <w:tabs>
                <w:tab w:val="left" w:pos="1015"/>
              </w:tabs>
              <w:adjustRightInd w:val="0"/>
              <w:snapToGrid w:val="0"/>
              <w:spacing w:line="360" w:lineRule="auto"/>
              <w:jc w:val="center"/>
              <w:rPr>
                <w:kern w:val="24"/>
                <w:sz w:val="24"/>
              </w:rPr>
            </w:pPr>
            <w:r>
              <w:rPr>
                <w:b/>
                <w:bCs/>
                <w:snapToGrid w:val="0"/>
                <w:kern w:val="24"/>
                <w:sz w:val="24"/>
              </w:rPr>
              <w:t>表</w:t>
            </w:r>
            <w:r>
              <w:rPr>
                <w:rFonts w:hint="eastAsia"/>
                <w:b/>
                <w:bCs/>
                <w:snapToGrid w:val="0"/>
                <w:kern w:val="24"/>
                <w:sz w:val="24"/>
              </w:rPr>
              <w:t xml:space="preserve">4-12 </w:t>
            </w:r>
            <w:r>
              <w:rPr>
                <w:b/>
                <w:bCs/>
                <w:snapToGrid w:val="0"/>
                <w:kern w:val="24"/>
                <w:sz w:val="24"/>
              </w:rPr>
              <w:t xml:space="preserve">  </w:t>
            </w:r>
            <w:r>
              <w:rPr>
                <w:b/>
                <w:bCs/>
                <w:kern w:val="24"/>
                <w:sz w:val="24"/>
              </w:rPr>
              <w:t xml:space="preserve"> 类比监测断面声环境监测结果</w:t>
            </w:r>
          </w:p>
          <w:tbl>
            <w:tblPr>
              <w:tblStyle w:val="2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826"/>
              <w:gridCol w:w="2760"/>
              <w:gridCol w:w="25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vMerge w:val="restar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监测位置</w:t>
                  </w:r>
                </w:p>
              </w:tc>
              <w:tc>
                <w:tcPr>
                  <w:tcW w:w="3267" w:type="pct"/>
                  <w:gridSpan w:val="2"/>
                  <w:tcBorders>
                    <w:tl2br w:val="nil"/>
                    <w:tr2bl w:val="nil"/>
                  </w:tcBorders>
                  <w:vAlign w:val="center"/>
                </w:tcPr>
                <w:p>
                  <w:pPr>
                    <w:pStyle w:val="47"/>
                    <w:adjustRightInd w:val="0"/>
                    <w:snapToGrid w:val="0"/>
                    <w:rPr>
                      <w:rFonts w:ascii="Times New Roman" w:hAnsi="Times New Roman" w:eastAsia="Times New Roman" w:cs="Times New Roman"/>
                      <w:szCs w:val="21"/>
                    </w:rPr>
                  </w:pPr>
                  <w:r>
                    <w:rPr>
                      <w:rFonts w:ascii="Times New Roman" w:hAnsi="Times New Roman" w:cs="Times New Roman"/>
                      <w:szCs w:val="21"/>
                    </w:rPr>
                    <w:t>噪声值</w:t>
                  </w:r>
                  <w:r>
                    <w:rPr>
                      <w:rFonts w:ascii="Times New Roman" w:hAnsi="Times New Roman" w:eastAsia="Times New Roman" w:cs="Times New Roman"/>
                      <w:szCs w:val="21"/>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vMerge w:val="continue"/>
                  <w:tcBorders>
                    <w:tl2br w:val="nil"/>
                    <w:tr2bl w:val="nil"/>
                  </w:tcBorders>
                  <w:vAlign w:val="center"/>
                </w:tcPr>
                <w:p>
                  <w:pPr>
                    <w:adjustRightInd w:val="0"/>
                    <w:snapToGrid w:val="0"/>
                    <w:jc w:val="center"/>
                    <w:rPr>
                      <w:szCs w:val="21"/>
                    </w:rPr>
                  </w:pP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昼间</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中相导线对地投影处</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36.7</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边导线投影处</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33.1</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9" w:hRule="atLeast"/>
                <w:jc w:val="center"/>
              </w:trPr>
              <w:tc>
                <w:tcPr>
                  <w:tcW w:w="1732"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边导线投影外5m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34.7</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边导线投影外10m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33.6</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边导线投影外15m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36.5</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边导线投影外20m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36.1</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边导线投影外25m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34.4</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边导线投影外30m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30.4</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边导线投影外35m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31.4</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边导线投影外40m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33.6</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边导线投影外45m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35.2</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32" w:type="pct"/>
                  <w:tcBorders>
                    <w:tl2br w:val="nil"/>
                    <w:tr2bl w:val="nil"/>
                  </w:tcBorders>
                  <w:vAlign w:val="center"/>
                </w:tcPr>
                <w:p>
                  <w:pPr>
                    <w:adjustRightInd w:val="0"/>
                    <w:snapToGrid w:val="0"/>
                    <w:jc w:val="center"/>
                    <w:rPr>
                      <w:szCs w:val="21"/>
                    </w:rPr>
                  </w:pPr>
                  <w:r>
                    <w:rPr>
                      <w:szCs w:val="21"/>
                    </w:rPr>
                    <w:t>边导线投影外50m</w:t>
                  </w:r>
                </w:p>
              </w:tc>
              <w:tc>
                <w:tcPr>
                  <w:tcW w:w="1691"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36.1</w:t>
                  </w:r>
                </w:p>
              </w:tc>
              <w:tc>
                <w:tcPr>
                  <w:tcW w:w="1575" w:type="pct"/>
                  <w:tcBorders>
                    <w:tl2br w:val="nil"/>
                    <w:tr2bl w:val="nil"/>
                  </w:tcBorders>
                  <w:vAlign w:val="center"/>
                </w:tcPr>
                <w:p>
                  <w:pPr>
                    <w:pStyle w:val="47"/>
                    <w:adjustRightInd w:val="0"/>
                    <w:snapToGrid w:val="0"/>
                    <w:rPr>
                      <w:rFonts w:ascii="Times New Roman" w:hAnsi="Times New Roman" w:cs="Times New Roman"/>
                      <w:szCs w:val="21"/>
                    </w:rPr>
                  </w:pPr>
                  <w:r>
                    <w:rPr>
                      <w:rFonts w:ascii="Times New Roman" w:hAnsi="Times New Roman" w:cs="Times New Roman"/>
                      <w:szCs w:val="21"/>
                    </w:rPr>
                    <w:t>29.7</w:t>
                  </w:r>
                </w:p>
              </w:tc>
            </w:tr>
          </w:tbl>
          <w:p>
            <w:pPr>
              <w:pStyle w:val="11"/>
              <w:adjustRightInd w:val="0"/>
              <w:spacing w:before="120" w:beforeLines="50" w:after="0" w:line="360" w:lineRule="auto"/>
              <w:ind w:right="0" w:firstLine="480" w:firstLineChars="200"/>
              <w:rPr>
                <w:snapToGrid w:val="0"/>
                <w:kern w:val="24"/>
                <w:sz w:val="24"/>
                <w:szCs w:val="24"/>
              </w:rPr>
            </w:pPr>
            <w:r>
              <w:rPr>
                <w:snapToGrid w:val="0"/>
                <w:kern w:val="24"/>
                <w:sz w:val="24"/>
                <w:szCs w:val="24"/>
              </w:rPr>
              <w:t>由</w:t>
            </w:r>
            <w:r>
              <w:rPr>
                <w:rFonts w:hint="eastAsia"/>
                <w:snapToGrid w:val="0"/>
                <w:kern w:val="24"/>
                <w:sz w:val="24"/>
                <w:szCs w:val="24"/>
              </w:rPr>
              <w:t>上表</w:t>
            </w:r>
            <w:r>
              <w:rPr>
                <w:snapToGrid w:val="0"/>
                <w:kern w:val="24"/>
                <w:sz w:val="24"/>
                <w:szCs w:val="24"/>
              </w:rPr>
              <w:t>可知，清兴330kV输电线路29#-30#塔监测断面上昼间噪声值在昼间为30.4～36.7dB</w:t>
            </w:r>
            <w:r>
              <w:rPr>
                <w:rFonts w:hint="eastAsia"/>
                <w:snapToGrid w:val="0"/>
                <w:kern w:val="24"/>
                <w:sz w:val="24"/>
                <w:szCs w:val="24"/>
              </w:rPr>
              <w:t>（</w:t>
            </w:r>
            <w:r>
              <w:rPr>
                <w:snapToGrid w:val="0"/>
                <w:kern w:val="24"/>
                <w:sz w:val="24"/>
                <w:szCs w:val="24"/>
              </w:rPr>
              <w:t>A</w:t>
            </w:r>
            <w:r>
              <w:rPr>
                <w:rFonts w:hint="eastAsia"/>
                <w:snapToGrid w:val="0"/>
                <w:kern w:val="24"/>
                <w:sz w:val="24"/>
                <w:szCs w:val="24"/>
              </w:rPr>
              <w:t>）</w:t>
            </w:r>
            <w:r>
              <w:rPr>
                <w:snapToGrid w:val="0"/>
                <w:kern w:val="24"/>
                <w:sz w:val="24"/>
                <w:szCs w:val="24"/>
              </w:rPr>
              <w:t>之间，夜间噪声值在29.7～33.5dB</w:t>
            </w:r>
            <w:r>
              <w:rPr>
                <w:rFonts w:hint="eastAsia"/>
                <w:snapToGrid w:val="0"/>
                <w:kern w:val="24"/>
                <w:sz w:val="24"/>
                <w:szCs w:val="24"/>
              </w:rPr>
              <w:t>（</w:t>
            </w:r>
            <w:r>
              <w:rPr>
                <w:snapToGrid w:val="0"/>
                <w:kern w:val="24"/>
                <w:sz w:val="24"/>
                <w:szCs w:val="24"/>
              </w:rPr>
              <w:t>A</w:t>
            </w:r>
            <w:r>
              <w:rPr>
                <w:rFonts w:hint="eastAsia"/>
                <w:snapToGrid w:val="0"/>
                <w:kern w:val="24"/>
                <w:sz w:val="24"/>
                <w:szCs w:val="24"/>
              </w:rPr>
              <w:t>）</w:t>
            </w:r>
            <w:r>
              <w:rPr>
                <w:snapToGrid w:val="0"/>
                <w:kern w:val="24"/>
                <w:sz w:val="24"/>
                <w:szCs w:val="24"/>
              </w:rPr>
              <w:t>之间。</w:t>
            </w:r>
          </w:p>
          <w:p>
            <w:pPr>
              <w:pStyle w:val="11"/>
              <w:adjustRightInd w:val="0"/>
              <w:spacing w:before="0" w:after="0" w:line="360" w:lineRule="auto"/>
              <w:ind w:right="0" w:firstLine="480" w:firstLineChars="200"/>
              <w:rPr>
                <w:snapToGrid w:val="0"/>
                <w:kern w:val="24"/>
                <w:sz w:val="24"/>
                <w:szCs w:val="24"/>
              </w:rPr>
            </w:pPr>
            <w:r>
              <w:rPr>
                <w:snapToGrid w:val="0"/>
                <w:kern w:val="24"/>
                <w:sz w:val="24"/>
                <w:szCs w:val="24"/>
              </w:rPr>
              <w:t>本</w:t>
            </w:r>
            <w:r>
              <w:rPr>
                <w:rFonts w:hint="eastAsia"/>
                <w:snapToGrid w:val="0"/>
                <w:kern w:val="24"/>
                <w:sz w:val="24"/>
                <w:szCs w:val="24"/>
              </w:rPr>
              <w:t>项目</w:t>
            </w:r>
            <w:r>
              <w:rPr>
                <w:snapToGrid w:val="0"/>
                <w:kern w:val="24"/>
                <w:sz w:val="24"/>
                <w:szCs w:val="24"/>
              </w:rPr>
              <w:t>输电线路与类比线路电压等级、架线方式</w:t>
            </w:r>
            <w:r>
              <w:rPr>
                <w:rFonts w:hint="eastAsia"/>
                <w:snapToGrid w:val="0"/>
                <w:kern w:val="24"/>
                <w:sz w:val="24"/>
                <w:szCs w:val="24"/>
              </w:rPr>
              <w:t>、</w:t>
            </w:r>
            <w:r>
              <w:rPr>
                <w:snapToGrid w:val="0"/>
                <w:kern w:val="24"/>
                <w:sz w:val="24"/>
                <w:szCs w:val="24"/>
              </w:rPr>
              <w:t>导线型号、分裂数、分裂间距</w:t>
            </w:r>
            <w:r>
              <w:rPr>
                <w:rFonts w:hint="eastAsia"/>
                <w:snapToGrid w:val="0"/>
                <w:kern w:val="24"/>
                <w:sz w:val="24"/>
                <w:szCs w:val="24"/>
              </w:rPr>
              <w:t>相同</w:t>
            </w:r>
            <w:r>
              <w:rPr>
                <w:snapToGrid w:val="0"/>
                <w:kern w:val="24"/>
                <w:sz w:val="24"/>
                <w:szCs w:val="24"/>
              </w:rPr>
              <w:t>，故线路下方噪声分布规律及趋势相似。通过上述类比监测结果，</w:t>
            </w:r>
            <w:r>
              <w:rPr>
                <w:snapToGrid w:val="0"/>
                <w:color w:val="FF0000"/>
                <w:kern w:val="24"/>
                <w:sz w:val="24"/>
                <w:szCs w:val="24"/>
              </w:rPr>
              <w:t>可以预计本</w:t>
            </w:r>
            <w:r>
              <w:rPr>
                <w:rFonts w:hint="eastAsia"/>
                <w:snapToGrid w:val="0"/>
                <w:color w:val="FF0000"/>
                <w:kern w:val="24"/>
                <w:sz w:val="24"/>
                <w:szCs w:val="24"/>
              </w:rPr>
              <w:t>项目</w:t>
            </w:r>
            <w:r>
              <w:rPr>
                <w:snapToGrid w:val="0"/>
                <w:color w:val="FF0000"/>
                <w:kern w:val="24"/>
                <w:sz w:val="24"/>
                <w:szCs w:val="24"/>
              </w:rPr>
              <w:t>输电线路运行后沿线</w:t>
            </w:r>
            <w:r>
              <w:rPr>
                <w:rFonts w:hint="eastAsia"/>
                <w:snapToGrid w:val="0"/>
                <w:color w:val="FF0000"/>
                <w:kern w:val="24"/>
                <w:sz w:val="24"/>
                <w:szCs w:val="24"/>
              </w:rPr>
              <w:t>声环境</w:t>
            </w:r>
            <w:r>
              <w:rPr>
                <w:snapToGrid w:val="0"/>
                <w:color w:val="FF0000"/>
                <w:kern w:val="24"/>
                <w:sz w:val="24"/>
                <w:szCs w:val="24"/>
              </w:rPr>
              <w:t>满足《</w:t>
            </w:r>
            <w:r>
              <w:rPr>
                <w:rFonts w:hint="eastAsia"/>
                <w:snapToGrid w:val="0"/>
                <w:color w:val="FF0000"/>
                <w:kern w:val="24"/>
                <w:sz w:val="24"/>
                <w:szCs w:val="24"/>
              </w:rPr>
              <w:t>声环境质量标准</w:t>
            </w:r>
            <w:r>
              <w:rPr>
                <w:snapToGrid w:val="0"/>
                <w:color w:val="FF0000"/>
                <w:kern w:val="24"/>
                <w:sz w:val="24"/>
                <w:szCs w:val="24"/>
              </w:rPr>
              <w:t>》（GB</w:t>
            </w:r>
            <w:r>
              <w:rPr>
                <w:rFonts w:hint="eastAsia"/>
                <w:snapToGrid w:val="0"/>
                <w:color w:val="FF0000"/>
                <w:kern w:val="24"/>
                <w:sz w:val="24"/>
                <w:szCs w:val="24"/>
              </w:rPr>
              <w:t>3096</w:t>
            </w:r>
            <w:r>
              <w:rPr>
                <w:snapToGrid w:val="0"/>
                <w:color w:val="FF0000"/>
                <w:kern w:val="24"/>
                <w:sz w:val="24"/>
                <w:szCs w:val="24"/>
              </w:rPr>
              <w:t>-2008）中</w:t>
            </w:r>
            <w:r>
              <w:rPr>
                <w:rFonts w:hint="eastAsia"/>
                <w:snapToGrid w:val="0"/>
                <w:color w:val="FF0000"/>
                <w:kern w:val="24"/>
                <w:sz w:val="24"/>
                <w:szCs w:val="24"/>
              </w:rPr>
              <w:t>1类</w:t>
            </w:r>
            <w:r>
              <w:rPr>
                <w:snapToGrid w:val="0"/>
                <w:color w:val="FF0000"/>
                <w:kern w:val="24"/>
                <w:sz w:val="24"/>
                <w:szCs w:val="24"/>
              </w:rPr>
              <w:t>标准要求</w:t>
            </w:r>
            <w:r>
              <w:rPr>
                <w:snapToGrid w:val="0"/>
                <w:kern w:val="24"/>
                <w:sz w:val="24"/>
                <w:szCs w:val="24"/>
              </w:rPr>
              <w:t>。</w:t>
            </w:r>
          </w:p>
          <w:p>
            <w:pPr>
              <w:adjustRightInd w:val="0"/>
              <w:snapToGrid w:val="0"/>
              <w:spacing w:line="360" w:lineRule="auto"/>
              <w:ind w:left="420" w:leftChars="200"/>
              <w:rPr>
                <w:b/>
                <w:bCs/>
                <w:sz w:val="24"/>
              </w:rPr>
            </w:pPr>
            <w:r>
              <w:rPr>
                <w:rFonts w:hint="eastAsia"/>
                <w:b/>
                <w:bCs/>
                <w:sz w:val="24"/>
              </w:rPr>
              <w:t>4.2.4.3 间隔扩建工程</w:t>
            </w:r>
          </w:p>
          <w:p>
            <w:pPr>
              <w:adjustRightInd w:val="0"/>
              <w:snapToGrid w:val="0"/>
              <w:spacing w:line="360" w:lineRule="auto"/>
              <w:ind w:firstLine="480" w:firstLineChars="200"/>
              <w:rPr>
                <w:sz w:val="24"/>
              </w:rPr>
            </w:pPr>
            <w:r>
              <w:rPr>
                <w:rFonts w:hint="eastAsia"/>
                <w:color w:val="FF0000"/>
                <w:sz w:val="24"/>
              </w:rPr>
              <w:t>根据环境质量现状监测结果，</w:t>
            </w:r>
            <w:r>
              <w:rPr>
                <w:color w:val="FF0000"/>
                <w:sz w:val="24"/>
              </w:rPr>
              <w:t>顺化330kV变电站四周声环境质量</w:t>
            </w:r>
            <w:r>
              <w:rPr>
                <w:rFonts w:hint="eastAsia"/>
                <w:color w:val="FF0000"/>
                <w:sz w:val="24"/>
              </w:rPr>
              <w:t>为</w:t>
            </w:r>
            <w:r>
              <w:rPr>
                <w:color w:val="FF0000"/>
                <w:sz w:val="24"/>
              </w:rPr>
              <w:t>昼间48.7~52.9dB（A），夜间46.0~49.5dB（A），扩建间隔处昼间51.3dB（A），夜间48.2dB（A），均满足</w:t>
            </w:r>
            <w:r>
              <w:rPr>
                <w:rFonts w:hint="eastAsia"/>
                <w:color w:val="FF0000"/>
                <w:sz w:val="24"/>
              </w:rPr>
              <w:t>《工业企业厂界环境噪声排放标准》（GB12348-2008）</w:t>
            </w:r>
            <w:r>
              <w:rPr>
                <w:color w:val="FF0000"/>
                <w:sz w:val="24"/>
              </w:rPr>
              <w:t>2类标准限值要求</w:t>
            </w:r>
            <w:r>
              <w:rPr>
                <w:rFonts w:hint="eastAsia"/>
                <w:color w:val="FF0000"/>
                <w:sz w:val="24"/>
              </w:rPr>
              <w:t>。</w:t>
            </w:r>
          </w:p>
          <w:p>
            <w:pPr>
              <w:adjustRightInd w:val="0"/>
              <w:snapToGrid w:val="0"/>
              <w:spacing w:line="360" w:lineRule="auto"/>
              <w:ind w:firstLine="480" w:firstLineChars="200"/>
              <w:rPr>
                <w:sz w:val="24"/>
              </w:rPr>
            </w:pPr>
            <w:r>
              <w:rPr>
                <w:rFonts w:hint="eastAsia"/>
                <w:color w:val="FF0000"/>
                <w:sz w:val="24"/>
              </w:rPr>
              <w:t>顺化330kV变电站本次仅扩建1个330kV出线间隔，仅增加一次、二次电气设备（刀闸、开关等），不增加声源设备，噪声水平增加不大，因此本次扩建对该变电站现有声环境贡献值较小，不会对周边声环境造成明显不利影响</w:t>
            </w:r>
            <w:r>
              <w:rPr>
                <w:rFonts w:hint="eastAsia"/>
                <w:sz w:val="24"/>
              </w:rPr>
              <w:t>。</w:t>
            </w:r>
          </w:p>
          <w:p>
            <w:pPr>
              <w:adjustRightInd w:val="0"/>
              <w:snapToGrid w:val="0"/>
              <w:spacing w:before="120" w:beforeLines="50" w:after="120" w:afterLines="50" w:line="360" w:lineRule="auto"/>
              <w:rPr>
                <w:sz w:val="24"/>
              </w:rPr>
            </w:pPr>
            <w:r>
              <w:rPr>
                <w:rFonts w:hint="eastAsia"/>
                <w:b/>
                <w:bCs/>
                <w:sz w:val="24"/>
              </w:rPr>
              <w:t>4.2.5</w:t>
            </w:r>
            <w:r>
              <w:rPr>
                <w:b/>
                <w:bCs/>
                <w:sz w:val="24"/>
              </w:rPr>
              <w:t>固体废物环境</w:t>
            </w:r>
            <w:r>
              <w:rPr>
                <w:rFonts w:hint="eastAsia"/>
                <w:b/>
                <w:bCs/>
                <w:sz w:val="24"/>
              </w:rPr>
              <w:t>影响分析</w:t>
            </w:r>
          </w:p>
          <w:p>
            <w:pPr>
              <w:pStyle w:val="12"/>
              <w:widowControl/>
              <w:adjustRightInd w:val="0"/>
              <w:snapToGrid w:val="0"/>
              <w:spacing w:line="360" w:lineRule="auto"/>
              <w:ind w:firstLine="480" w:firstLineChars="200"/>
              <w:rPr>
                <w:rFonts w:ascii="Times New Roman" w:hAnsi="Times New Roman"/>
                <w:kern w:val="0"/>
                <w:sz w:val="24"/>
              </w:rPr>
            </w:pPr>
            <w:r>
              <w:rPr>
                <w:rFonts w:hint="eastAsia" w:ascii="Times New Roman" w:hAnsi="Times New Roman"/>
                <w:kern w:val="0"/>
                <w:sz w:val="24"/>
              </w:rPr>
              <w:t>（1）</w:t>
            </w:r>
            <w:r>
              <w:rPr>
                <w:rFonts w:hint="eastAsia" w:ascii="Times New Roman" w:hAnsi="Times New Roman"/>
                <w:sz w:val="24"/>
              </w:rPr>
              <w:t>固体废物产生情况</w:t>
            </w:r>
          </w:p>
          <w:p>
            <w:pPr>
              <w:adjustRightInd w:val="0"/>
              <w:snapToGrid w:val="0"/>
              <w:spacing w:line="360" w:lineRule="auto"/>
              <w:ind w:firstLine="480" w:firstLineChars="200"/>
              <w:rPr>
                <w:sz w:val="24"/>
              </w:rPr>
            </w:pPr>
            <w:r>
              <w:rPr>
                <w:rFonts w:hint="eastAsia"/>
                <w:sz w:val="24"/>
              </w:rPr>
              <w:t>储能电站</w:t>
            </w:r>
            <w:r>
              <w:rPr>
                <w:sz w:val="24"/>
              </w:rPr>
              <w:t>运行期产生的固体废物主要为</w:t>
            </w:r>
            <w:r>
              <w:rPr>
                <w:rFonts w:hint="eastAsia"/>
                <w:sz w:val="24"/>
              </w:rPr>
              <w:t>站内巡检</w:t>
            </w:r>
            <w:r>
              <w:rPr>
                <w:sz w:val="24"/>
              </w:rPr>
              <w:t>人员产生的生活垃圾</w:t>
            </w:r>
            <w:r>
              <w:rPr>
                <w:rFonts w:hint="eastAsia"/>
                <w:sz w:val="24"/>
              </w:rPr>
              <w:t>、污泥</w:t>
            </w:r>
            <w:r>
              <w:rPr>
                <w:sz w:val="24"/>
              </w:rPr>
              <w:t>、</w:t>
            </w:r>
            <w:r>
              <w:rPr>
                <w:rFonts w:hint="eastAsia"/>
                <w:sz w:val="24"/>
              </w:rPr>
              <w:t>变压器废油及其容器、油抹布以及废电池等</w:t>
            </w:r>
            <w:r>
              <w:rPr>
                <w:sz w:val="24"/>
              </w:rPr>
              <w:t>。</w:t>
            </w:r>
          </w:p>
          <w:p>
            <w:pPr>
              <w:adjustRightInd w:val="0"/>
              <w:snapToGrid w:val="0"/>
              <w:spacing w:line="360" w:lineRule="auto"/>
              <w:ind w:left="420" w:leftChars="200"/>
              <w:rPr>
                <w:sz w:val="24"/>
              </w:rPr>
            </w:pPr>
            <w:r>
              <w:rPr>
                <w:kern w:val="0"/>
                <w:sz w:val="24"/>
              </w:rPr>
              <w:t>①</w:t>
            </w:r>
            <w:r>
              <w:rPr>
                <w:sz w:val="24"/>
              </w:rPr>
              <w:t>站内生活垃圾</w:t>
            </w:r>
            <w:r>
              <w:rPr>
                <w:rFonts w:hint="eastAsia"/>
                <w:sz w:val="24"/>
              </w:rPr>
              <w:t>及污泥</w:t>
            </w:r>
          </w:p>
          <w:p>
            <w:pPr>
              <w:adjustRightInd w:val="0"/>
              <w:snapToGrid w:val="0"/>
              <w:spacing w:line="360" w:lineRule="auto"/>
              <w:ind w:firstLine="480" w:firstLineChars="200"/>
              <w:rPr>
                <w:sz w:val="24"/>
              </w:rPr>
            </w:pPr>
            <w:r>
              <w:rPr>
                <w:rFonts w:hint="eastAsia"/>
                <w:sz w:val="24"/>
              </w:rPr>
              <w:t>储能电站</w:t>
            </w:r>
            <w:r>
              <w:rPr>
                <w:sz w:val="24"/>
              </w:rPr>
              <w:t>运行期安排</w:t>
            </w:r>
            <w:r>
              <w:rPr>
                <w:rFonts w:hint="eastAsia"/>
                <w:sz w:val="24"/>
              </w:rPr>
              <w:t>5</w:t>
            </w:r>
            <w:r>
              <w:rPr>
                <w:sz w:val="24"/>
              </w:rPr>
              <w:t>人</w:t>
            </w:r>
            <w:r>
              <w:rPr>
                <w:rFonts w:hint="eastAsia"/>
                <w:sz w:val="24"/>
              </w:rPr>
              <w:t>巡检</w:t>
            </w:r>
            <w:r>
              <w:rPr>
                <w:sz w:val="24"/>
              </w:rPr>
              <w:t>，生活垃圾每天约</w:t>
            </w:r>
            <w:r>
              <w:rPr>
                <w:rFonts w:hint="eastAsia"/>
                <w:sz w:val="24"/>
              </w:rPr>
              <w:t>2.5</w:t>
            </w:r>
            <w:r>
              <w:rPr>
                <w:sz w:val="24"/>
              </w:rPr>
              <w:t>kg。生活垃圾经</w:t>
            </w:r>
            <w:r>
              <w:rPr>
                <w:rFonts w:hint="eastAsia"/>
                <w:sz w:val="24"/>
              </w:rPr>
              <w:t>垃圾桶</w:t>
            </w:r>
            <w:r>
              <w:rPr>
                <w:sz w:val="24"/>
              </w:rPr>
              <w:t>收集后定期运至当地环卫部门指定地点，对当地环境影响</w:t>
            </w:r>
            <w:r>
              <w:rPr>
                <w:rFonts w:hint="eastAsia"/>
                <w:sz w:val="24"/>
              </w:rPr>
              <w:t>不大</w:t>
            </w:r>
            <w:r>
              <w:rPr>
                <w:sz w:val="24"/>
              </w:rPr>
              <w:t>。</w:t>
            </w:r>
          </w:p>
          <w:p>
            <w:pPr>
              <w:pStyle w:val="31"/>
              <w:adjustRightInd w:val="0"/>
              <w:snapToGrid w:val="0"/>
              <w:ind w:firstLine="480" w:firstLineChars="200"/>
              <w:rPr>
                <w:snapToGrid w:val="0"/>
                <w:kern w:val="24"/>
              </w:rPr>
            </w:pPr>
            <w:r>
              <w:rPr>
                <w:rFonts w:hint="eastAsia" w:ascii="Times New Roman" w:cs="Times New Roman"/>
                <w:snapToGrid w:val="0"/>
                <w:kern w:val="24"/>
              </w:rPr>
              <w:t>项目化粪池在废水处理过程中会产生污泥，根据《建筑给水排水设计规范》</w:t>
            </w:r>
            <w:r>
              <w:rPr>
                <w:rFonts w:ascii="Times New Roman" w:cs="Times New Roman"/>
                <w:snapToGrid w:val="0"/>
                <w:kern w:val="24"/>
              </w:rPr>
              <w:t>（GB50015-2019）</w:t>
            </w:r>
            <w:r>
              <w:rPr>
                <w:rFonts w:hint="eastAsia" w:ascii="Times New Roman" w:cs="Times New Roman"/>
                <w:snapToGrid w:val="0"/>
                <w:kern w:val="24"/>
              </w:rPr>
              <w:t>，污泥产生量按0.8kg/m</w:t>
            </w:r>
            <w:r>
              <w:rPr>
                <w:rFonts w:hint="eastAsia" w:ascii="Times New Roman" w:cs="Times New Roman"/>
                <w:snapToGrid w:val="0"/>
                <w:kern w:val="24"/>
                <w:vertAlign w:val="superscript"/>
              </w:rPr>
              <w:t>3</w:t>
            </w:r>
            <w:r>
              <w:rPr>
                <w:rFonts w:hint="eastAsia" w:ascii="Times New Roman" w:cs="Times New Roman"/>
                <w:snapToGrid w:val="0"/>
                <w:kern w:val="24"/>
              </w:rPr>
              <w:t>污水计，则污泥量为0.017t/a，污泥定期委托清掏，可交由周边农户用作农肥</w:t>
            </w:r>
            <w:r>
              <w:rPr>
                <w:rFonts w:ascii="Times New Roman" w:cs="Times New Roman"/>
                <w:snapToGrid w:val="0"/>
                <w:kern w:val="24"/>
              </w:rPr>
              <w:t>，对当地环境影响</w:t>
            </w:r>
            <w:r>
              <w:rPr>
                <w:rFonts w:hint="eastAsia" w:ascii="Times New Roman" w:cs="Times New Roman"/>
                <w:snapToGrid w:val="0"/>
                <w:kern w:val="24"/>
              </w:rPr>
              <w:t>不大。</w:t>
            </w:r>
          </w:p>
          <w:p>
            <w:pPr>
              <w:adjustRightInd w:val="0"/>
              <w:snapToGrid w:val="0"/>
              <w:spacing w:line="360" w:lineRule="auto"/>
              <w:ind w:left="420" w:leftChars="200"/>
              <w:rPr>
                <w:sz w:val="24"/>
              </w:rPr>
            </w:pPr>
            <w:r>
              <w:rPr>
                <w:kern w:val="0"/>
                <w:sz w:val="24"/>
              </w:rPr>
              <w:t>②</w:t>
            </w:r>
            <w:r>
              <w:rPr>
                <w:rFonts w:hint="eastAsia"/>
                <w:sz w:val="24"/>
              </w:rPr>
              <w:t>变压器废油及其容器、油抹布</w:t>
            </w:r>
          </w:p>
          <w:p>
            <w:pPr>
              <w:adjustRightInd w:val="0"/>
              <w:snapToGrid w:val="0"/>
              <w:spacing w:line="360" w:lineRule="auto"/>
              <w:ind w:firstLine="480" w:firstLineChars="200"/>
              <w:rPr>
                <w:sz w:val="24"/>
              </w:rPr>
            </w:pPr>
            <w:r>
              <w:rPr>
                <w:rFonts w:hint="eastAsia"/>
                <w:sz w:val="24"/>
              </w:rPr>
              <w:t>储能电站内升压站主变压器初步选型为油浸式变压器，在检修等过程中，会产生一定量的变压器废油，变压器维护或更换过程中可能产生少量变压器废油、废油容器及油抹布，根据《国家危险废物名录（2021年版）》，变压器废油、废油容器及油抹布属于编号为HW08的废矿物油与含矿物油废物，代码为900-220-08</w:t>
            </w:r>
            <w:r>
              <w:rPr>
                <w:sz w:val="24"/>
              </w:rPr>
              <w:t>。</w:t>
            </w:r>
            <w:r>
              <w:rPr>
                <w:rFonts w:hint="eastAsia"/>
                <w:sz w:val="24"/>
              </w:rPr>
              <w:t>升压站正常运行时无变压器废油、废油容器及油抹布产生，仅在检维修时会产生少量上述废物，估算本项目升压站检维修每年含油废抹布、废手套及变压器废油及其容器最大产生量约为0.05t/a。</w:t>
            </w:r>
          </w:p>
          <w:p>
            <w:pPr>
              <w:adjustRightInd w:val="0"/>
              <w:snapToGrid w:val="0"/>
              <w:spacing w:line="360" w:lineRule="auto"/>
              <w:ind w:left="420" w:leftChars="200"/>
              <w:rPr>
                <w:sz w:val="24"/>
              </w:rPr>
            </w:pPr>
            <w:r>
              <w:rPr>
                <w:kern w:val="0"/>
                <w:sz w:val="24"/>
              </w:rPr>
              <w:t>③</w:t>
            </w:r>
            <w:r>
              <w:rPr>
                <w:sz w:val="24"/>
              </w:rPr>
              <w:t>废蓄电池</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kern w:val="0"/>
                <w:sz w:val="24"/>
              </w:rPr>
              <w:t>Ⅰ</w:t>
            </w:r>
            <w:r>
              <w:rPr>
                <w:rFonts w:hint="eastAsia" w:ascii="Times New Roman" w:hAnsi="Times New Roman"/>
                <w:kern w:val="0"/>
                <w:sz w:val="24"/>
              </w:rPr>
              <w:t>.</w:t>
            </w:r>
            <w:r>
              <w:rPr>
                <w:rFonts w:hint="eastAsia" w:ascii="Times New Roman" w:hAnsi="Times New Roman"/>
                <w:sz w:val="24"/>
              </w:rPr>
              <w:t>升压站检维修废电池</w:t>
            </w:r>
          </w:p>
          <w:p>
            <w:pPr>
              <w:adjustRightInd w:val="0"/>
              <w:snapToGrid w:val="0"/>
              <w:spacing w:line="360" w:lineRule="auto"/>
              <w:ind w:firstLine="480" w:firstLineChars="200"/>
              <w:rPr>
                <w:sz w:val="24"/>
              </w:rPr>
            </w:pPr>
            <w:r>
              <w:rPr>
                <w:rFonts w:hint="eastAsia"/>
                <w:sz w:val="24"/>
              </w:rPr>
              <w:t>升压</w:t>
            </w:r>
            <w:r>
              <w:rPr>
                <w:sz w:val="24"/>
              </w:rPr>
              <w:t>站</w:t>
            </w:r>
            <w:r>
              <w:rPr>
                <w:rFonts w:hint="eastAsia"/>
                <w:sz w:val="24"/>
              </w:rPr>
              <w:t>电气设备采用铅酸蓄电池</w:t>
            </w:r>
            <w:r>
              <w:rPr>
                <w:sz w:val="24"/>
              </w:rPr>
              <w:t>作为控制负荷和动力负荷等供电的直流电源</w:t>
            </w:r>
            <w:r>
              <w:rPr>
                <w:rFonts w:hint="eastAsia"/>
                <w:sz w:val="24"/>
              </w:rPr>
              <w:t>，</w:t>
            </w:r>
            <w:r>
              <w:rPr>
                <w:sz w:val="24"/>
              </w:rPr>
              <w:t>电气设备检修时可能会产生废蓄电池，根据项目可行性研究报告，每台变压器配备蓄电池约200块，日常运行和检修时均不会有酸性液体排出，该类蓄电池的使用寿命一般在10~15年左右。根据《国家危险废物名录（2021年版）》，废铅酸电池属于编号为HW31的含铅废物，代码为900-052-31。</w:t>
            </w:r>
            <w:r>
              <w:rPr>
                <w:rFonts w:hint="eastAsia"/>
                <w:sz w:val="24"/>
              </w:rPr>
              <w:t>升压站</w:t>
            </w:r>
            <w:r>
              <w:rPr>
                <w:sz w:val="24"/>
              </w:rPr>
              <w:t>正常运行时不会产生废蓄电池，仅在蓄电池故障、失效及其他原因无法使用时以及电池使用寿命终了时产生，正常运行状态下未产生废蓄电池。项目</w:t>
            </w:r>
            <w:r>
              <w:rPr>
                <w:rFonts w:hint="eastAsia"/>
                <w:sz w:val="24"/>
              </w:rPr>
              <w:t>升压站铅酸</w:t>
            </w:r>
            <w:r>
              <w:rPr>
                <w:sz w:val="24"/>
              </w:rPr>
              <w:t>蓄电池待使用寿命到期后，通知</w:t>
            </w:r>
            <w:r>
              <w:rPr>
                <w:rFonts w:hint="eastAsia"/>
                <w:sz w:val="24"/>
              </w:rPr>
              <w:t>有资质厂家</w:t>
            </w:r>
            <w:r>
              <w:rPr>
                <w:sz w:val="24"/>
              </w:rPr>
              <w:t>及时更换，更换的废旧蓄电池交由</w:t>
            </w:r>
            <w:r>
              <w:rPr>
                <w:rFonts w:hint="eastAsia"/>
                <w:sz w:val="24"/>
              </w:rPr>
              <w:t>有资质</w:t>
            </w:r>
            <w:r>
              <w:rPr>
                <w:sz w:val="24"/>
              </w:rPr>
              <w:t>厂家清运处置，不在站内储存。</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kern w:val="0"/>
                <w:sz w:val="24"/>
              </w:rPr>
              <w:t>Ⅱ</w:t>
            </w:r>
            <w:r>
              <w:rPr>
                <w:rFonts w:hint="eastAsia" w:ascii="Times New Roman" w:hAnsi="Times New Roman"/>
                <w:kern w:val="0"/>
                <w:sz w:val="24"/>
              </w:rPr>
              <w:t>.</w:t>
            </w:r>
            <w:r>
              <w:rPr>
                <w:rFonts w:hint="eastAsia" w:ascii="Times New Roman" w:hAnsi="Times New Roman"/>
                <w:sz w:val="24"/>
              </w:rPr>
              <w:t>储能电站废电池</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储能</w:t>
            </w:r>
            <w:r>
              <w:rPr>
                <w:rFonts w:hint="eastAsia" w:ascii="Times New Roman" w:hAnsi="Times New Roman"/>
                <w:sz w:val="24"/>
              </w:rPr>
              <w:t>电</w:t>
            </w:r>
            <w:r>
              <w:rPr>
                <w:rFonts w:ascii="Times New Roman" w:hAnsi="Times New Roman"/>
                <w:sz w:val="24"/>
              </w:rPr>
              <w:t>站采用磷酸铁锂电池作为控制负荷和动力负荷等供电的直流电源。因项目电池按容量计算，不同厂家会导致电池数量有所差别，据</w:t>
            </w:r>
            <w:r>
              <w:rPr>
                <w:rFonts w:hint="eastAsia" w:ascii="Times New Roman" w:hAnsi="Times New Roman"/>
                <w:sz w:val="24"/>
              </w:rPr>
              <w:t>可行性研究报告</w:t>
            </w:r>
            <w:r>
              <w:rPr>
                <w:rFonts w:ascii="Times New Roman" w:hAnsi="Times New Roman"/>
                <w:sz w:val="24"/>
              </w:rPr>
              <w:t>估算电池约</w:t>
            </w:r>
            <w:r>
              <w:rPr>
                <w:rFonts w:hint="eastAsia" w:ascii="Times New Roman" w:hAnsi="Times New Roman"/>
                <w:sz w:val="24"/>
              </w:rPr>
              <w:t>24048个</w:t>
            </w:r>
            <w:r>
              <w:rPr>
                <w:rFonts w:ascii="Times New Roman" w:hAnsi="Times New Roman"/>
                <w:sz w:val="24"/>
              </w:rPr>
              <w:t>。参考国内同类工程，磷酸铁锂储能电池储能系统使用寿命约为15年，</w:t>
            </w:r>
            <w:r>
              <w:rPr>
                <w:rFonts w:hint="eastAsia" w:ascii="Times New Roman" w:hAnsi="Times New Roman"/>
                <w:sz w:val="24"/>
              </w:rPr>
              <w:t>储能电池损坏几率很低。经查询</w:t>
            </w:r>
            <w:r>
              <w:rPr>
                <w:rFonts w:ascii="Times New Roman" w:hAnsi="Times New Roman"/>
                <w:sz w:val="24"/>
              </w:rPr>
              <w:t>《国家危险废物名录（2021年版）》</w:t>
            </w:r>
            <w:r>
              <w:rPr>
                <w:rFonts w:hint="eastAsia" w:ascii="Times New Roman" w:hAnsi="Times New Roman"/>
                <w:sz w:val="24"/>
              </w:rPr>
              <w:t>，并根据安徽省生态环境厅及广东省生态环境厅问政平台关于废锂电池是否属于危险废物的回复，确定废锂电池不属于危险废物，因此储能电站一旦产生废锂电池，将作为一般固废暂存在一般固废暂存间内，定期交由厂家回收。</w:t>
            </w:r>
          </w:p>
          <w:p>
            <w:pPr>
              <w:adjustRightInd w:val="0"/>
              <w:snapToGrid w:val="0"/>
              <w:spacing w:line="360" w:lineRule="auto"/>
              <w:ind w:firstLine="480" w:firstLineChars="200"/>
              <w:rPr>
                <w:sz w:val="24"/>
              </w:rPr>
            </w:pPr>
            <w:r>
              <w:rPr>
                <w:rFonts w:hint="eastAsia"/>
                <w:sz w:val="24"/>
              </w:rPr>
              <w:t>（2）固废属性判定</w:t>
            </w:r>
          </w:p>
          <w:p>
            <w:pPr>
              <w:adjustRightInd w:val="0"/>
              <w:snapToGrid w:val="0"/>
              <w:spacing w:line="360" w:lineRule="auto"/>
              <w:ind w:firstLine="480" w:firstLineChars="200"/>
              <w:rPr>
                <w:sz w:val="24"/>
              </w:rPr>
            </w:pPr>
            <w:r>
              <w:rPr>
                <w:rFonts w:hint="eastAsia"/>
                <w:sz w:val="24"/>
              </w:rPr>
              <w:t>根据《固体废物鉴别标准 通则》（GB34330-2017），固体废物属性判断情况如下表所示。</w:t>
            </w:r>
          </w:p>
          <w:p>
            <w:pPr>
              <w:adjustRightInd w:val="0"/>
              <w:snapToGrid w:val="0"/>
              <w:spacing w:before="120" w:beforeLines="50" w:line="360" w:lineRule="auto"/>
              <w:jc w:val="center"/>
              <w:rPr>
                <w:sz w:val="24"/>
              </w:rPr>
            </w:pPr>
            <w:r>
              <w:rPr>
                <w:rFonts w:hint="eastAsia"/>
                <w:b/>
                <w:bCs/>
                <w:sz w:val="24"/>
              </w:rPr>
              <w:t>表4-13    属性判定表（固体废物属性）</w:t>
            </w:r>
          </w:p>
          <w:tbl>
            <w:tblPr>
              <w:tblStyle w:val="24"/>
              <w:tblW w:w="79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694"/>
              <w:gridCol w:w="1141"/>
              <w:gridCol w:w="798"/>
              <w:gridCol w:w="1603"/>
              <w:gridCol w:w="1025"/>
              <w:gridCol w:w="1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8" w:type="dxa"/>
                  <w:vAlign w:val="center"/>
                </w:tcPr>
                <w:p>
                  <w:pPr>
                    <w:adjustRightInd w:val="0"/>
                    <w:snapToGrid w:val="0"/>
                    <w:jc w:val="center"/>
                    <w:rPr>
                      <w:szCs w:val="21"/>
                    </w:rPr>
                  </w:pPr>
                  <w:r>
                    <w:rPr>
                      <w:rFonts w:hint="eastAsia"/>
                      <w:szCs w:val="21"/>
                    </w:rPr>
                    <w:t>序号</w:t>
                  </w:r>
                </w:p>
              </w:tc>
              <w:tc>
                <w:tcPr>
                  <w:tcW w:w="1694" w:type="dxa"/>
                  <w:vAlign w:val="center"/>
                </w:tcPr>
                <w:p>
                  <w:pPr>
                    <w:adjustRightInd w:val="0"/>
                    <w:snapToGrid w:val="0"/>
                    <w:jc w:val="center"/>
                    <w:rPr>
                      <w:szCs w:val="21"/>
                    </w:rPr>
                  </w:pPr>
                  <w:r>
                    <w:rPr>
                      <w:rFonts w:hint="eastAsia"/>
                      <w:szCs w:val="21"/>
                    </w:rPr>
                    <w:t>固废名称</w:t>
                  </w:r>
                </w:p>
              </w:tc>
              <w:tc>
                <w:tcPr>
                  <w:tcW w:w="1141" w:type="dxa"/>
                  <w:vAlign w:val="center"/>
                </w:tcPr>
                <w:p>
                  <w:pPr>
                    <w:adjustRightInd w:val="0"/>
                    <w:snapToGrid w:val="0"/>
                    <w:jc w:val="center"/>
                    <w:rPr>
                      <w:szCs w:val="21"/>
                    </w:rPr>
                  </w:pPr>
                  <w:r>
                    <w:rPr>
                      <w:rFonts w:hint="eastAsia"/>
                      <w:szCs w:val="21"/>
                    </w:rPr>
                    <w:t>产生工序</w:t>
                  </w:r>
                </w:p>
              </w:tc>
              <w:tc>
                <w:tcPr>
                  <w:tcW w:w="798" w:type="dxa"/>
                  <w:vAlign w:val="center"/>
                </w:tcPr>
                <w:p>
                  <w:pPr>
                    <w:adjustRightInd w:val="0"/>
                    <w:snapToGrid w:val="0"/>
                    <w:jc w:val="center"/>
                    <w:rPr>
                      <w:szCs w:val="21"/>
                    </w:rPr>
                  </w:pPr>
                  <w:r>
                    <w:rPr>
                      <w:rFonts w:hint="eastAsia"/>
                      <w:szCs w:val="21"/>
                    </w:rPr>
                    <w:t>形态</w:t>
                  </w:r>
                </w:p>
              </w:tc>
              <w:tc>
                <w:tcPr>
                  <w:tcW w:w="1603" w:type="dxa"/>
                  <w:vAlign w:val="center"/>
                </w:tcPr>
                <w:p>
                  <w:pPr>
                    <w:adjustRightInd w:val="0"/>
                    <w:snapToGrid w:val="0"/>
                    <w:jc w:val="center"/>
                    <w:rPr>
                      <w:szCs w:val="21"/>
                    </w:rPr>
                  </w:pPr>
                  <w:r>
                    <w:rPr>
                      <w:rFonts w:hint="eastAsia"/>
                      <w:szCs w:val="21"/>
                    </w:rPr>
                    <w:t>主要成分</w:t>
                  </w:r>
                </w:p>
              </w:tc>
              <w:tc>
                <w:tcPr>
                  <w:tcW w:w="1025" w:type="dxa"/>
                  <w:vAlign w:val="center"/>
                </w:tcPr>
                <w:p>
                  <w:pPr>
                    <w:adjustRightInd w:val="0"/>
                    <w:snapToGrid w:val="0"/>
                    <w:jc w:val="center"/>
                    <w:rPr>
                      <w:szCs w:val="21"/>
                    </w:rPr>
                  </w:pPr>
                  <w:r>
                    <w:rPr>
                      <w:rFonts w:hint="eastAsia"/>
                      <w:szCs w:val="21"/>
                    </w:rPr>
                    <w:t>是否属于固废</w:t>
                  </w:r>
                </w:p>
              </w:tc>
              <w:tc>
                <w:tcPr>
                  <w:tcW w:w="1142" w:type="dxa"/>
                  <w:vAlign w:val="center"/>
                </w:tcPr>
                <w:p>
                  <w:pPr>
                    <w:adjustRightInd w:val="0"/>
                    <w:snapToGrid w:val="0"/>
                    <w:jc w:val="center"/>
                    <w:rPr>
                      <w:szCs w:val="21"/>
                    </w:rPr>
                  </w:pPr>
                  <w:r>
                    <w:rPr>
                      <w:rFonts w:hint="eastAsia"/>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8" w:type="dxa"/>
                  <w:vAlign w:val="center"/>
                </w:tcPr>
                <w:p>
                  <w:pPr>
                    <w:adjustRightInd w:val="0"/>
                    <w:snapToGrid w:val="0"/>
                    <w:jc w:val="center"/>
                    <w:rPr>
                      <w:szCs w:val="21"/>
                    </w:rPr>
                  </w:pPr>
                  <w:r>
                    <w:rPr>
                      <w:rFonts w:hint="eastAsia"/>
                      <w:szCs w:val="21"/>
                    </w:rPr>
                    <w:t>1</w:t>
                  </w:r>
                </w:p>
              </w:tc>
              <w:tc>
                <w:tcPr>
                  <w:tcW w:w="1694" w:type="dxa"/>
                  <w:vAlign w:val="center"/>
                </w:tcPr>
                <w:p>
                  <w:pPr>
                    <w:adjustRightInd w:val="0"/>
                    <w:snapToGrid w:val="0"/>
                    <w:jc w:val="center"/>
                    <w:rPr>
                      <w:szCs w:val="21"/>
                    </w:rPr>
                  </w:pPr>
                  <w:r>
                    <w:rPr>
                      <w:rFonts w:hint="eastAsia"/>
                      <w:szCs w:val="21"/>
                    </w:rPr>
                    <w:t>生活垃圾</w:t>
                  </w:r>
                </w:p>
              </w:tc>
              <w:tc>
                <w:tcPr>
                  <w:tcW w:w="1141" w:type="dxa"/>
                  <w:vAlign w:val="center"/>
                </w:tcPr>
                <w:p>
                  <w:pPr>
                    <w:adjustRightInd w:val="0"/>
                    <w:snapToGrid w:val="0"/>
                    <w:jc w:val="center"/>
                    <w:rPr>
                      <w:szCs w:val="21"/>
                    </w:rPr>
                  </w:pPr>
                  <w:r>
                    <w:rPr>
                      <w:rFonts w:hint="eastAsia"/>
                      <w:szCs w:val="21"/>
                    </w:rPr>
                    <w:t>办公生活</w:t>
                  </w:r>
                </w:p>
              </w:tc>
              <w:tc>
                <w:tcPr>
                  <w:tcW w:w="798" w:type="dxa"/>
                  <w:vAlign w:val="center"/>
                </w:tcPr>
                <w:p>
                  <w:pPr>
                    <w:adjustRightInd w:val="0"/>
                    <w:snapToGrid w:val="0"/>
                    <w:jc w:val="center"/>
                    <w:rPr>
                      <w:szCs w:val="21"/>
                    </w:rPr>
                  </w:pPr>
                  <w:r>
                    <w:rPr>
                      <w:rFonts w:hint="eastAsia"/>
                      <w:szCs w:val="21"/>
                    </w:rPr>
                    <w:t>固态</w:t>
                  </w:r>
                </w:p>
              </w:tc>
              <w:tc>
                <w:tcPr>
                  <w:tcW w:w="1603" w:type="dxa"/>
                  <w:vAlign w:val="center"/>
                </w:tcPr>
                <w:p>
                  <w:pPr>
                    <w:adjustRightInd w:val="0"/>
                    <w:snapToGrid w:val="0"/>
                    <w:jc w:val="center"/>
                    <w:rPr>
                      <w:szCs w:val="21"/>
                    </w:rPr>
                  </w:pPr>
                  <w:r>
                    <w:rPr>
                      <w:rFonts w:hint="eastAsia"/>
                      <w:szCs w:val="21"/>
                    </w:rPr>
                    <w:t>塑料、纸片等</w:t>
                  </w:r>
                </w:p>
              </w:tc>
              <w:tc>
                <w:tcPr>
                  <w:tcW w:w="1025" w:type="dxa"/>
                  <w:vAlign w:val="center"/>
                </w:tcPr>
                <w:p>
                  <w:pPr>
                    <w:adjustRightInd w:val="0"/>
                    <w:snapToGrid w:val="0"/>
                    <w:jc w:val="center"/>
                    <w:rPr>
                      <w:szCs w:val="21"/>
                    </w:rPr>
                  </w:pPr>
                  <w:r>
                    <w:rPr>
                      <w:rFonts w:hint="eastAsia"/>
                      <w:szCs w:val="21"/>
                    </w:rPr>
                    <w:t>是</w:t>
                  </w:r>
                </w:p>
              </w:tc>
              <w:tc>
                <w:tcPr>
                  <w:tcW w:w="1142" w:type="dxa"/>
                  <w:vAlign w:val="center"/>
                </w:tcPr>
                <w:p>
                  <w:pPr>
                    <w:adjustRightInd w:val="0"/>
                    <w:snapToGrid w:val="0"/>
                    <w:jc w:val="center"/>
                    <w:rPr>
                      <w:szCs w:val="21"/>
                    </w:rPr>
                  </w:pPr>
                  <w:r>
                    <w:rPr>
                      <w:rFonts w:hint="eastAsia"/>
                      <w:szCs w:val="21"/>
                    </w:rPr>
                    <w:t>4.1条h）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8" w:type="dxa"/>
                  <w:vAlign w:val="center"/>
                </w:tcPr>
                <w:p>
                  <w:pPr>
                    <w:adjustRightInd w:val="0"/>
                    <w:snapToGrid w:val="0"/>
                    <w:jc w:val="center"/>
                    <w:rPr>
                      <w:szCs w:val="21"/>
                    </w:rPr>
                  </w:pPr>
                  <w:r>
                    <w:rPr>
                      <w:rFonts w:hint="eastAsia"/>
                      <w:szCs w:val="21"/>
                    </w:rPr>
                    <w:t>2</w:t>
                  </w:r>
                </w:p>
              </w:tc>
              <w:tc>
                <w:tcPr>
                  <w:tcW w:w="1694" w:type="dxa"/>
                  <w:vAlign w:val="center"/>
                </w:tcPr>
                <w:p>
                  <w:pPr>
                    <w:adjustRightInd w:val="0"/>
                    <w:snapToGrid w:val="0"/>
                    <w:jc w:val="center"/>
                    <w:rPr>
                      <w:szCs w:val="21"/>
                    </w:rPr>
                  </w:pPr>
                  <w:r>
                    <w:rPr>
                      <w:rFonts w:hint="eastAsia"/>
                      <w:szCs w:val="21"/>
                    </w:rPr>
                    <w:t>变压器废油及其容器、油抹布</w:t>
                  </w:r>
                </w:p>
              </w:tc>
              <w:tc>
                <w:tcPr>
                  <w:tcW w:w="1141" w:type="dxa"/>
                  <w:vAlign w:val="center"/>
                </w:tcPr>
                <w:p>
                  <w:pPr>
                    <w:adjustRightInd w:val="0"/>
                    <w:snapToGrid w:val="0"/>
                    <w:jc w:val="center"/>
                    <w:rPr>
                      <w:szCs w:val="21"/>
                    </w:rPr>
                  </w:pPr>
                  <w:r>
                    <w:rPr>
                      <w:rFonts w:hint="eastAsia"/>
                      <w:szCs w:val="21"/>
                    </w:rPr>
                    <w:t>检维修</w:t>
                  </w:r>
                </w:p>
              </w:tc>
              <w:tc>
                <w:tcPr>
                  <w:tcW w:w="798" w:type="dxa"/>
                  <w:vAlign w:val="center"/>
                </w:tcPr>
                <w:p>
                  <w:pPr>
                    <w:adjustRightInd w:val="0"/>
                    <w:snapToGrid w:val="0"/>
                    <w:jc w:val="center"/>
                    <w:rPr>
                      <w:szCs w:val="21"/>
                    </w:rPr>
                  </w:pPr>
                  <w:r>
                    <w:rPr>
                      <w:rFonts w:hint="eastAsia"/>
                      <w:szCs w:val="21"/>
                    </w:rPr>
                    <w:t>液态、固态</w:t>
                  </w:r>
                </w:p>
              </w:tc>
              <w:tc>
                <w:tcPr>
                  <w:tcW w:w="1603" w:type="dxa"/>
                  <w:vAlign w:val="center"/>
                </w:tcPr>
                <w:p>
                  <w:pPr>
                    <w:adjustRightInd w:val="0"/>
                    <w:snapToGrid w:val="0"/>
                    <w:jc w:val="center"/>
                    <w:rPr>
                      <w:szCs w:val="21"/>
                    </w:rPr>
                  </w:pPr>
                  <w:r>
                    <w:rPr>
                      <w:rFonts w:hint="eastAsia"/>
                      <w:szCs w:val="21"/>
                    </w:rPr>
                    <w:t>废矿物油与含废矿物油废物</w:t>
                  </w:r>
                </w:p>
              </w:tc>
              <w:tc>
                <w:tcPr>
                  <w:tcW w:w="1025" w:type="dxa"/>
                  <w:vAlign w:val="center"/>
                </w:tcPr>
                <w:p>
                  <w:pPr>
                    <w:adjustRightInd w:val="0"/>
                    <w:snapToGrid w:val="0"/>
                    <w:jc w:val="center"/>
                    <w:rPr>
                      <w:szCs w:val="21"/>
                    </w:rPr>
                  </w:pPr>
                  <w:r>
                    <w:rPr>
                      <w:rFonts w:hint="eastAsia"/>
                      <w:szCs w:val="21"/>
                    </w:rPr>
                    <w:t>是</w:t>
                  </w:r>
                </w:p>
              </w:tc>
              <w:tc>
                <w:tcPr>
                  <w:tcW w:w="1142" w:type="dxa"/>
                  <w:vAlign w:val="center"/>
                </w:tcPr>
                <w:p>
                  <w:pPr>
                    <w:adjustRightInd w:val="0"/>
                    <w:snapToGrid w:val="0"/>
                    <w:jc w:val="center"/>
                    <w:rPr>
                      <w:szCs w:val="21"/>
                    </w:rPr>
                  </w:pPr>
                  <w:r>
                    <w:rPr>
                      <w:rFonts w:hint="eastAsia"/>
                      <w:szCs w:val="21"/>
                    </w:rPr>
                    <w:t>4.1条c）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8" w:type="dxa"/>
                  <w:vAlign w:val="center"/>
                </w:tcPr>
                <w:p>
                  <w:pPr>
                    <w:adjustRightInd w:val="0"/>
                    <w:snapToGrid w:val="0"/>
                    <w:jc w:val="center"/>
                    <w:rPr>
                      <w:szCs w:val="21"/>
                    </w:rPr>
                  </w:pPr>
                  <w:r>
                    <w:rPr>
                      <w:rFonts w:hint="eastAsia"/>
                      <w:szCs w:val="21"/>
                    </w:rPr>
                    <w:t>3</w:t>
                  </w:r>
                </w:p>
              </w:tc>
              <w:tc>
                <w:tcPr>
                  <w:tcW w:w="1694" w:type="dxa"/>
                  <w:vAlign w:val="center"/>
                </w:tcPr>
                <w:p>
                  <w:pPr>
                    <w:adjustRightInd w:val="0"/>
                    <w:snapToGrid w:val="0"/>
                    <w:jc w:val="center"/>
                    <w:rPr>
                      <w:szCs w:val="21"/>
                    </w:rPr>
                  </w:pPr>
                  <w:r>
                    <w:rPr>
                      <w:rFonts w:hint="eastAsia"/>
                      <w:szCs w:val="21"/>
                    </w:rPr>
                    <w:t>废铅酸蓄电池</w:t>
                  </w:r>
                </w:p>
              </w:tc>
              <w:tc>
                <w:tcPr>
                  <w:tcW w:w="1141" w:type="dxa"/>
                  <w:vAlign w:val="center"/>
                </w:tcPr>
                <w:p>
                  <w:pPr>
                    <w:adjustRightInd w:val="0"/>
                    <w:snapToGrid w:val="0"/>
                    <w:jc w:val="center"/>
                    <w:rPr>
                      <w:szCs w:val="21"/>
                    </w:rPr>
                  </w:pPr>
                  <w:r>
                    <w:rPr>
                      <w:rFonts w:hint="eastAsia"/>
                      <w:szCs w:val="21"/>
                    </w:rPr>
                    <w:t>检维修</w:t>
                  </w:r>
                </w:p>
              </w:tc>
              <w:tc>
                <w:tcPr>
                  <w:tcW w:w="798" w:type="dxa"/>
                  <w:vAlign w:val="center"/>
                </w:tcPr>
                <w:p>
                  <w:pPr>
                    <w:adjustRightInd w:val="0"/>
                    <w:snapToGrid w:val="0"/>
                    <w:jc w:val="center"/>
                    <w:rPr>
                      <w:szCs w:val="21"/>
                    </w:rPr>
                  </w:pPr>
                  <w:r>
                    <w:rPr>
                      <w:rFonts w:hint="eastAsia"/>
                      <w:szCs w:val="21"/>
                    </w:rPr>
                    <w:t>固态</w:t>
                  </w:r>
                </w:p>
              </w:tc>
              <w:tc>
                <w:tcPr>
                  <w:tcW w:w="1603" w:type="dxa"/>
                  <w:vAlign w:val="center"/>
                </w:tcPr>
                <w:p>
                  <w:pPr>
                    <w:adjustRightInd w:val="0"/>
                    <w:snapToGrid w:val="0"/>
                    <w:jc w:val="center"/>
                    <w:rPr>
                      <w:szCs w:val="21"/>
                    </w:rPr>
                  </w:pPr>
                  <w:r>
                    <w:rPr>
                      <w:rFonts w:hint="eastAsia"/>
                      <w:szCs w:val="21"/>
                    </w:rPr>
                    <w:t>含铅废物</w:t>
                  </w:r>
                </w:p>
              </w:tc>
              <w:tc>
                <w:tcPr>
                  <w:tcW w:w="1025" w:type="dxa"/>
                  <w:vAlign w:val="center"/>
                </w:tcPr>
                <w:p>
                  <w:pPr>
                    <w:adjustRightInd w:val="0"/>
                    <w:snapToGrid w:val="0"/>
                    <w:jc w:val="center"/>
                    <w:rPr>
                      <w:szCs w:val="21"/>
                    </w:rPr>
                  </w:pPr>
                  <w:r>
                    <w:rPr>
                      <w:rFonts w:hint="eastAsia"/>
                      <w:szCs w:val="21"/>
                    </w:rPr>
                    <w:t>是</w:t>
                  </w:r>
                </w:p>
              </w:tc>
              <w:tc>
                <w:tcPr>
                  <w:tcW w:w="1142" w:type="dxa"/>
                  <w:vAlign w:val="center"/>
                </w:tcPr>
                <w:p>
                  <w:pPr>
                    <w:adjustRightInd w:val="0"/>
                    <w:snapToGrid w:val="0"/>
                    <w:jc w:val="center"/>
                    <w:rPr>
                      <w:szCs w:val="21"/>
                    </w:rPr>
                  </w:pPr>
                  <w:r>
                    <w:rPr>
                      <w:rFonts w:hint="eastAsia"/>
                      <w:szCs w:val="21"/>
                    </w:rPr>
                    <w:t>4.1条d）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588" w:type="dxa"/>
                  <w:vAlign w:val="center"/>
                </w:tcPr>
                <w:p>
                  <w:pPr>
                    <w:adjustRightInd w:val="0"/>
                    <w:snapToGrid w:val="0"/>
                    <w:jc w:val="center"/>
                    <w:rPr>
                      <w:szCs w:val="21"/>
                    </w:rPr>
                  </w:pPr>
                  <w:r>
                    <w:rPr>
                      <w:rFonts w:hint="eastAsia"/>
                      <w:szCs w:val="21"/>
                    </w:rPr>
                    <w:t>4</w:t>
                  </w:r>
                </w:p>
              </w:tc>
              <w:tc>
                <w:tcPr>
                  <w:tcW w:w="1694" w:type="dxa"/>
                  <w:vAlign w:val="center"/>
                </w:tcPr>
                <w:p>
                  <w:pPr>
                    <w:adjustRightInd w:val="0"/>
                    <w:snapToGrid w:val="0"/>
                    <w:jc w:val="center"/>
                    <w:rPr>
                      <w:szCs w:val="21"/>
                    </w:rPr>
                  </w:pPr>
                  <w:r>
                    <w:rPr>
                      <w:rFonts w:hint="eastAsia"/>
                      <w:szCs w:val="21"/>
                    </w:rPr>
                    <w:t>废锂电池</w:t>
                  </w:r>
                </w:p>
              </w:tc>
              <w:tc>
                <w:tcPr>
                  <w:tcW w:w="1141" w:type="dxa"/>
                  <w:vAlign w:val="center"/>
                </w:tcPr>
                <w:p>
                  <w:pPr>
                    <w:adjustRightInd w:val="0"/>
                    <w:snapToGrid w:val="0"/>
                    <w:jc w:val="center"/>
                    <w:rPr>
                      <w:szCs w:val="21"/>
                    </w:rPr>
                  </w:pPr>
                  <w:r>
                    <w:rPr>
                      <w:rFonts w:hint="eastAsia"/>
                      <w:szCs w:val="21"/>
                    </w:rPr>
                    <w:t>检维修</w:t>
                  </w:r>
                </w:p>
              </w:tc>
              <w:tc>
                <w:tcPr>
                  <w:tcW w:w="798" w:type="dxa"/>
                  <w:vAlign w:val="center"/>
                </w:tcPr>
                <w:p>
                  <w:pPr>
                    <w:adjustRightInd w:val="0"/>
                    <w:snapToGrid w:val="0"/>
                    <w:jc w:val="center"/>
                    <w:rPr>
                      <w:szCs w:val="21"/>
                    </w:rPr>
                  </w:pPr>
                  <w:r>
                    <w:rPr>
                      <w:rFonts w:hint="eastAsia"/>
                      <w:szCs w:val="21"/>
                    </w:rPr>
                    <w:t>固态</w:t>
                  </w:r>
                </w:p>
              </w:tc>
              <w:tc>
                <w:tcPr>
                  <w:tcW w:w="1603" w:type="dxa"/>
                  <w:vAlign w:val="center"/>
                </w:tcPr>
                <w:p>
                  <w:pPr>
                    <w:adjustRightInd w:val="0"/>
                    <w:snapToGrid w:val="0"/>
                    <w:jc w:val="center"/>
                    <w:rPr>
                      <w:szCs w:val="21"/>
                    </w:rPr>
                  </w:pPr>
                  <w:r>
                    <w:rPr>
                      <w:rFonts w:hint="eastAsia"/>
                      <w:szCs w:val="21"/>
                    </w:rPr>
                    <w:t>锂电池</w:t>
                  </w:r>
                </w:p>
              </w:tc>
              <w:tc>
                <w:tcPr>
                  <w:tcW w:w="1025" w:type="dxa"/>
                  <w:vAlign w:val="center"/>
                </w:tcPr>
                <w:p>
                  <w:pPr>
                    <w:adjustRightInd w:val="0"/>
                    <w:snapToGrid w:val="0"/>
                    <w:jc w:val="center"/>
                    <w:rPr>
                      <w:szCs w:val="21"/>
                    </w:rPr>
                  </w:pPr>
                  <w:r>
                    <w:rPr>
                      <w:rFonts w:hint="eastAsia"/>
                      <w:szCs w:val="21"/>
                    </w:rPr>
                    <w:t>是</w:t>
                  </w:r>
                </w:p>
              </w:tc>
              <w:tc>
                <w:tcPr>
                  <w:tcW w:w="1142" w:type="dxa"/>
                  <w:vAlign w:val="center"/>
                </w:tcPr>
                <w:p>
                  <w:pPr>
                    <w:adjustRightInd w:val="0"/>
                    <w:snapToGrid w:val="0"/>
                    <w:jc w:val="center"/>
                    <w:rPr>
                      <w:szCs w:val="21"/>
                    </w:rPr>
                  </w:pPr>
                  <w:r>
                    <w:rPr>
                      <w:rFonts w:hint="eastAsia"/>
                      <w:szCs w:val="21"/>
                    </w:rPr>
                    <w:t>4.1条d）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8" w:type="dxa"/>
                  <w:vAlign w:val="center"/>
                </w:tcPr>
                <w:p>
                  <w:pPr>
                    <w:adjustRightInd w:val="0"/>
                    <w:snapToGrid w:val="0"/>
                    <w:jc w:val="center"/>
                    <w:rPr>
                      <w:szCs w:val="21"/>
                    </w:rPr>
                  </w:pPr>
                  <w:r>
                    <w:rPr>
                      <w:rFonts w:hint="eastAsia"/>
                      <w:szCs w:val="21"/>
                    </w:rPr>
                    <w:t>5</w:t>
                  </w:r>
                </w:p>
              </w:tc>
              <w:tc>
                <w:tcPr>
                  <w:tcW w:w="1694" w:type="dxa"/>
                  <w:vAlign w:val="center"/>
                </w:tcPr>
                <w:p>
                  <w:pPr>
                    <w:adjustRightInd w:val="0"/>
                    <w:snapToGrid w:val="0"/>
                    <w:jc w:val="center"/>
                    <w:rPr>
                      <w:szCs w:val="21"/>
                    </w:rPr>
                  </w:pPr>
                  <w:r>
                    <w:rPr>
                      <w:rFonts w:hint="eastAsia"/>
                      <w:szCs w:val="21"/>
                    </w:rPr>
                    <w:t>化粪池污泥</w:t>
                  </w:r>
                </w:p>
              </w:tc>
              <w:tc>
                <w:tcPr>
                  <w:tcW w:w="1141" w:type="dxa"/>
                  <w:vAlign w:val="center"/>
                </w:tcPr>
                <w:p>
                  <w:pPr>
                    <w:adjustRightInd w:val="0"/>
                    <w:snapToGrid w:val="0"/>
                    <w:jc w:val="center"/>
                    <w:rPr>
                      <w:szCs w:val="21"/>
                    </w:rPr>
                  </w:pPr>
                  <w:r>
                    <w:rPr>
                      <w:rFonts w:hint="eastAsia"/>
                      <w:szCs w:val="21"/>
                    </w:rPr>
                    <w:t>生活污水处理</w:t>
                  </w:r>
                </w:p>
              </w:tc>
              <w:tc>
                <w:tcPr>
                  <w:tcW w:w="798" w:type="dxa"/>
                  <w:vAlign w:val="center"/>
                </w:tcPr>
                <w:p>
                  <w:pPr>
                    <w:adjustRightInd w:val="0"/>
                    <w:snapToGrid w:val="0"/>
                    <w:jc w:val="center"/>
                    <w:rPr>
                      <w:szCs w:val="21"/>
                    </w:rPr>
                  </w:pPr>
                  <w:r>
                    <w:rPr>
                      <w:rFonts w:hint="eastAsia"/>
                      <w:szCs w:val="21"/>
                    </w:rPr>
                    <w:t>固态</w:t>
                  </w:r>
                </w:p>
              </w:tc>
              <w:tc>
                <w:tcPr>
                  <w:tcW w:w="1603" w:type="dxa"/>
                  <w:vAlign w:val="center"/>
                </w:tcPr>
                <w:p>
                  <w:pPr>
                    <w:adjustRightInd w:val="0"/>
                    <w:snapToGrid w:val="0"/>
                    <w:jc w:val="center"/>
                    <w:rPr>
                      <w:szCs w:val="21"/>
                    </w:rPr>
                  </w:pPr>
                  <w:r>
                    <w:rPr>
                      <w:rFonts w:hint="eastAsia"/>
                      <w:szCs w:val="21"/>
                    </w:rPr>
                    <w:t>生活污水处理污泥</w:t>
                  </w:r>
                </w:p>
              </w:tc>
              <w:tc>
                <w:tcPr>
                  <w:tcW w:w="1025" w:type="dxa"/>
                  <w:vAlign w:val="center"/>
                </w:tcPr>
                <w:p>
                  <w:pPr>
                    <w:adjustRightInd w:val="0"/>
                    <w:snapToGrid w:val="0"/>
                    <w:jc w:val="center"/>
                    <w:rPr>
                      <w:szCs w:val="21"/>
                    </w:rPr>
                  </w:pPr>
                  <w:r>
                    <w:rPr>
                      <w:rFonts w:hint="eastAsia"/>
                      <w:szCs w:val="21"/>
                    </w:rPr>
                    <w:t>是</w:t>
                  </w:r>
                </w:p>
              </w:tc>
              <w:tc>
                <w:tcPr>
                  <w:tcW w:w="1142" w:type="dxa"/>
                  <w:vAlign w:val="center"/>
                </w:tcPr>
                <w:p>
                  <w:pPr>
                    <w:adjustRightInd w:val="0"/>
                    <w:snapToGrid w:val="0"/>
                    <w:jc w:val="center"/>
                    <w:rPr>
                      <w:szCs w:val="21"/>
                    </w:rPr>
                  </w:pPr>
                  <w:r>
                    <w:rPr>
                      <w:rFonts w:hint="eastAsia"/>
                      <w:szCs w:val="21"/>
                    </w:rPr>
                    <w:t>4.3条e）、g）</w:t>
                  </w:r>
                </w:p>
              </w:tc>
            </w:tr>
          </w:tbl>
          <w:p>
            <w:pPr>
              <w:adjustRightInd w:val="0"/>
              <w:snapToGrid w:val="0"/>
              <w:spacing w:before="120" w:beforeLines="50" w:line="360" w:lineRule="auto"/>
              <w:ind w:firstLine="480" w:firstLineChars="200"/>
              <w:rPr>
                <w:sz w:val="24"/>
              </w:rPr>
            </w:pPr>
            <w:r>
              <w:rPr>
                <w:rFonts w:hint="eastAsia"/>
                <w:sz w:val="24"/>
              </w:rPr>
              <w:t>（3）危险废物属性判定</w:t>
            </w:r>
          </w:p>
          <w:p>
            <w:pPr>
              <w:adjustRightInd w:val="0"/>
              <w:snapToGrid w:val="0"/>
              <w:spacing w:line="360" w:lineRule="auto"/>
              <w:ind w:firstLine="480" w:firstLineChars="200"/>
              <w:rPr>
                <w:sz w:val="24"/>
              </w:rPr>
            </w:pPr>
            <w:r>
              <w:rPr>
                <w:rFonts w:hint="eastAsia"/>
                <w:sz w:val="24"/>
              </w:rPr>
              <w:t>根据《国家危险废物名录（2021版）》以及《危险废物鉴别标准》，判定建设项目的固体废物是否属于危险废物，具体如下表所示。</w:t>
            </w:r>
          </w:p>
          <w:p>
            <w:pPr>
              <w:adjustRightInd w:val="0"/>
              <w:snapToGrid w:val="0"/>
              <w:spacing w:before="120" w:beforeLines="50" w:line="360" w:lineRule="auto"/>
              <w:jc w:val="center"/>
              <w:rPr>
                <w:sz w:val="24"/>
              </w:rPr>
            </w:pPr>
            <w:r>
              <w:rPr>
                <w:rFonts w:hint="eastAsia"/>
                <w:b/>
                <w:bCs/>
                <w:sz w:val="24"/>
              </w:rPr>
              <w:t>表4-14    危险废物属性判定表（固体废物属性）</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016"/>
              <w:gridCol w:w="1540"/>
              <w:gridCol w:w="1178"/>
              <w:gridCol w:w="1359"/>
              <w:gridCol w:w="1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Align w:val="center"/>
                </w:tcPr>
                <w:p>
                  <w:pPr>
                    <w:adjustRightInd w:val="0"/>
                    <w:snapToGrid w:val="0"/>
                    <w:jc w:val="center"/>
                    <w:rPr>
                      <w:szCs w:val="21"/>
                    </w:rPr>
                  </w:pPr>
                  <w:r>
                    <w:rPr>
                      <w:rFonts w:hint="eastAsia"/>
                      <w:szCs w:val="21"/>
                    </w:rPr>
                    <w:t>序号</w:t>
                  </w:r>
                </w:p>
              </w:tc>
              <w:tc>
                <w:tcPr>
                  <w:tcW w:w="1236" w:type="pct"/>
                  <w:vAlign w:val="center"/>
                </w:tcPr>
                <w:p>
                  <w:pPr>
                    <w:adjustRightInd w:val="0"/>
                    <w:snapToGrid w:val="0"/>
                    <w:jc w:val="center"/>
                    <w:rPr>
                      <w:szCs w:val="21"/>
                    </w:rPr>
                  </w:pPr>
                  <w:r>
                    <w:rPr>
                      <w:rFonts w:hint="eastAsia"/>
                      <w:szCs w:val="21"/>
                    </w:rPr>
                    <w:t>固废名称</w:t>
                  </w:r>
                </w:p>
              </w:tc>
              <w:tc>
                <w:tcPr>
                  <w:tcW w:w="944" w:type="pct"/>
                  <w:vAlign w:val="center"/>
                </w:tcPr>
                <w:p>
                  <w:pPr>
                    <w:adjustRightInd w:val="0"/>
                    <w:snapToGrid w:val="0"/>
                    <w:jc w:val="center"/>
                    <w:rPr>
                      <w:szCs w:val="21"/>
                    </w:rPr>
                  </w:pPr>
                  <w:r>
                    <w:rPr>
                      <w:rFonts w:hint="eastAsia"/>
                      <w:szCs w:val="21"/>
                    </w:rPr>
                    <w:t>产生工序</w:t>
                  </w:r>
                </w:p>
              </w:tc>
              <w:tc>
                <w:tcPr>
                  <w:tcW w:w="722" w:type="pct"/>
                  <w:vAlign w:val="center"/>
                </w:tcPr>
                <w:p>
                  <w:pPr>
                    <w:adjustRightInd w:val="0"/>
                    <w:snapToGrid w:val="0"/>
                    <w:jc w:val="center"/>
                    <w:rPr>
                      <w:szCs w:val="21"/>
                    </w:rPr>
                  </w:pPr>
                  <w:r>
                    <w:rPr>
                      <w:rFonts w:hint="eastAsia"/>
                      <w:szCs w:val="21"/>
                    </w:rPr>
                    <w:t>是否属于危险废物</w:t>
                  </w:r>
                </w:p>
              </w:tc>
              <w:tc>
                <w:tcPr>
                  <w:tcW w:w="833" w:type="pct"/>
                  <w:vAlign w:val="center"/>
                </w:tcPr>
                <w:p>
                  <w:pPr>
                    <w:adjustRightInd w:val="0"/>
                    <w:snapToGrid w:val="0"/>
                    <w:jc w:val="center"/>
                    <w:rPr>
                      <w:szCs w:val="21"/>
                    </w:rPr>
                  </w:pPr>
                  <w:r>
                    <w:rPr>
                      <w:rFonts w:hint="eastAsia"/>
                      <w:szCs w:val="21"/>
                    </w:rPr>
                    <w:t>是否需进行危险特性鉴别</w:t>
                  </w:r>
                </w:p>
              </w:tc>
              <w:tc>
                <w:tcPr>
                  <w:tcW w:w="839" w:type="pct"/>
                  <w:vAlign w:val="center"/>
                </w:tcPr>
                <w:p>
                  <w:pPr>
                    <w:adjustRightInd w:val="0"/>
                    <w:snapToGrid w:val="0"/>
                    <w:jc w:val="center"/>
                    <w:rPr>
                      <w:szCs w:val="21"/>
                    </w:rPr>
                  </w:pPr>
                  <w:r>
                    <w:rPr>
                      <w:rFonts w:hint="eastAsia"/>
                      <w:szCs w:val="21"/>
                    </w:rPr>
                    <w:t>鉴别分析的指标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Align w:val="center"/>
                </w:tcPr>
                <w:p>
                  <w:pPr>
                    <w:adjustRightInd w:val="0"/>
                    <w:snapToGrid w:val="0"/>
                    <w:jc w:val="center"/>
                    <w:rPr>
                      <w:szCs w:val="21"/>
                    </w:rPr>
                  </w:pPr>
                  <w:r>
                    <w:rPr>
                      <w:rFonts w:hint="eastAsia"/>
                      <w:szCs w:val="21"/>
                    </w:rPr>
                    <w:t>1</w:t>
                  </w:r>
                </w:p>
              </w:tc>
              <w:tc>
                <w:tcPr>
                  <w:tcW w:w="1236" w:type="pct"/>
                  <w:vAlign w:val="center"/>
                </w:tcPr>
                <w:p>
                  <w:pPr>
                    <w:adjustRightInd w:val="0"/>
                    <w:snapToGrid w:val="0"/>
                    <w:jc w:val="center"/>
                    <w:rPr>
                      <w:szCs w:val="21"/>
                    </w:rPr>
                  </w:pPr>
                  <w:r>
                    <w:rPr>
                      <w:rFonts w:hint="eastAsia"/>
                      <w:szCs w:val="21"/>
                    </w:rPr>
                    <w:t>生活垃圾</w:t>
                  </w:r>
                </w:p>
              </w:tc>
              <w:tc>
                <w:tcPr>
                  <w:tcW w:w="944" w:type="pct"/>
                  <w:vAlign w:val="center"/>
                </w:tcPr>
                <w:p>
                  <w:pPr>
                    <w:adjustRightInd w:val="0"/>
                    <w:snapToGrid w:val="0"/>
                    <w:jc w:val="center"/>
                    <w:rPr>
                      <w:szCs w:val="21"/>
                    </w:rPr>
                  </w:pPr>
                  <w:r>
                    <w:rPr>
                      <w:rFonts w:hint="eastAsia"/>
                      <w:szCs w:val="21"/>
                    </w:rPr>
                    <w:t>办公生活</w:t>
                  </w:r>
                </w:p>
              </w:tc>
              <w:tc>
                <w:tcPr>
                  <w:tcW w:w="722" w:type="pct"/>
                  <w:vAlign w:val="center"/>
                </w:tcPr>
                <w:p>
                  <w:pPr>
                    <w:adjustRightInd w:val="0"/>
                    <w:snapToGrid w:val="0"/>
                    <w:jc w:val="center"/>
                    <w:rPr>
                      <w:szCs w:val="21"/>
                    </w:rPr>
                  </w:pPr>
                  <w:r>
                    <w:rPr>
                      <w:rFonts w:hint="eastAsia"/>
                      <w:szCs w:val="21"/>
                    </w:rPr>
                    <w:t>否</w:t>
                  </w:r>
                </w:p>
              </w:tc>
              <w:tc>
                <w:tcPr>
                  <w:tcW w:w="1672" w:type="pct"/>
                  <w:gridSpan w:val="2"/>
                  <w:vAlign w:val="center"/>
                </w:tcPr>
                <w:p>
                  <w:pPr>
                    <w:adjustRightInd w:val="0"/>
                    <w:snapToGrid w:val="0"/>
                    <w:jc w:val="center"/>
                    <w:rPr>
                      <w:szCs w:val="21"/>
                    </w:rPr>
                  </w:pPr>
                  <w:r>
                    <w:rPr>
                      <w:rFonts w:hint="eastAsia"/>
                      <w:szCs w:val="21"/>
                    </w:rPr>
                    <w:t>无需鉴定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Align w:val="center"/>
                </w:tcPr>
                <w:p>
                  <w:pPr>
                    <w:adjustRightInd w:val="0"/>
                    <w:snapToGrid w:val="0"/>
                    <w:jc w:val="center"/>
                    <w:rPr>
                      <w:szCs w:val="21"/>
                    </w:rPr>
                  </w:pPr>
                  <w:r>
                    <w:rPr>
                      <w:rFonts w:hint="eastAsia"/>
                      <w:szCs w:val="21"/>
                    </w:rPr>
                    <w:t>2</w:t>
                  </w:r>
                </w:p>
              </w:tc>
              <w:tc>
                <w:tcPr>
                  <w:tcW w:w="1236" w:type="pct"/>
                  <w:vAlign w:val="center"/>
                </w:tcPr>
                <w:p>
                  <w:pPr>
                    <w:adjustRightInd w:val="0"/>
                    <w:snapToGrid w:val="0"/>
                    <w:jc w:val="center"/>
                    <w:rPr>
                      <w:szCs w:val="21"/>
                    </w:rPr>
                  </w:pPr>
                  <w:r>
                    <w:rPr>
                      <w:rFonts w:hint="eastAsia"/>
                      <w:szCs w:val="21"/>
                    </w:rPr>
                    <w:t>变压器废油及其容器、油抹布</w:t>
                  </w:r>
                </w:p>
              </w:tc>
              <w:tc>
                <w:tcPr>
                  <w:tcW w:w="944" w:type="pct"/>
                  <w:vAlign w:val="center"/>
                </w:tcPr>
                <w:p>
                  <w:pPr>
                    <w:adjustRightInd w:val="0"/>
                    <w:snapToGrid w:val="0"/>
                    <w:jc w:val="center"/>
                    <w:rPr>
                      <w:szCs w:val="21"/>
                    </w:rPr>
                  </w:pPr>
                  <w:r>
                    <w:rPr>
                      <w:rFonts w:hint="eastAsia"/>
                      <w:szCs w:val="21"/>
                    </w:rPr>
                    <w:t>检维修</w:t>
                  </w:r>
                </w:p>
              </w:tc>
              <w:tc>
                <w:tcPr>
                  <w:tcW w:w="722" w:type="pct"/>
                  <w:vAlign w:val="center"/>
                </w:tcPr>
                <w:p>
                  <w:pPr>
                    <w:adjustRightInd w:val="0"/>
                    <w:snapToGrid w:val="0"/>
                    <w:jc w:val="center"/>
                    <w:rPr>
                      <w:szCs w:val="21"/>
                    </w:rPr>
                  </w:pPr>
                  <w:r>
                    <w:rPr>
                      <w:rFonts w:hint="eastAsia"/>
                      <w:szCs w:val="21"/>
                    </w:rPr>
                    <w:t>是</w:t>
                  </w:r>
                </w:p>
              </w:tc>
              <w:tc>
                <w:tcPr>
                  <w:tcW w:w="1672" w:type="pct"/>
                  <w:gridSpan w:val="2"/>
                  <w:vAlign w:val="center"/>
                </w:tcPr>
                <w:p>
                  <w:pPr>
                    <w:adjustRightInd w:val="0"/>
                    <w:snapToGrid w:val="0"/>
                    <w:jc w:val="center"/>
                    <w:rPr>
                      <w:szCs w:val="21"/>
                    </w:rPr>
                  </w:pPr>
                  <w:r>
                    <w:rPr>
                      <w:rFonts w:hint="eastAsia"/>
                      <w:szCs w:val="21"/>
                    </w:rPr>
                    <w:t>900-220-08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Align w:val="center"/>
                </w:tcPr>
                <w:p>
                  <w:pPr>
                    <w:adjustRightInd w:val="0"/>
                    <w:snapToGrid w:val="0"/>
                    <w:jc w:val="center"/>
                    <w:rPr>
                      <w:szCs w:val="21"/>
                    </w:rPr>
                  </w:pPr>
                  <w:r>
                    <w:rPr>
                      <w:rFonts w:hint="eastAsia"/>
                      <w:szCs w:val="21"/>
                    </w:rPr>
                    <w:t>3</w:t>
                  </w:r>
                </w:p>
              </w:tc>
              <w:tc>
                <w:tcPr>
                  <w:tcW w:w="1236" w:type="pct"/>
                  <w:vAlign w:val="center"/>
                </w:tcPr>
                <w:p>
                  <w:pPr>
                    <w:adjustRightInd w:val="0"/>
                    <w:snapToGrid w:val="0"/>
                    <w:jc w:val="center"/>
                    <w:rPr>
                      <w:szCs w:val="21"/>
                    </w:rPr>
                  </w:pPr>
                  <w:r>
                    <w:rPr>
                      <w:rFonts w:hint="eastAsia"/>
                      <w:szCs w:val="21"/>
                    </w:rPr>
                    <w:t>废铅酸蓄电池</w:t>
                  </w:r>
                </w:p>
              </w:tc>
              <w:tc>
                <w:tcPr>
                  <w:tcW w:w="944" w:type="pct"/>
                  <w:vAlign w:val="center"/>
                </w:tcPr>
                <w:p>
                  <w:pPr>
                    <w:adjustRightInd w:val="0"/>
                    <w:snapToGrid w:val="0"/>
                    <w:jc w:val="center"/>
                    <w:rPr>
                      <w:szCs w:val="21"/>
                    </w:rPr>
                  </w:pPr>
                  <w:r>
                    <w:rPr>
                      <w:rFonts w:hint="eastAsia"/>
                      <w:szCs w:val="21"/>
                    </w:rPr>
                    <w:t>检维修</w:t>
                  </w:r>
                </w:p>
              </w:tc>
              <w:tc>
                <w:tcPr>
                  <w:tcW w:w="722" w:type="pct"/>
                  <w:vAlign w:val="center"/>
                </w:tcPr>
                <w:p>
                  <w:pPr>
                    <w:adjustRightInd w:val="0"/>
                    <w:snapToGrid w:val="0"/>
                    <w:jc w:val="center"/>
                    <w:rPr>
                      <w:szCs w:val="21"/>
                    </w:rPr>
                  </w:pPr>
                  <w:r>
                    <w:rPr>
                      <w:rFonts w:hint="eastAsia"/>
                      <w:szCs w:val="21"/>
                    </w:rPr>
                    <w:t>是</w:t>
                  </w:r>
                </w:p>
              </w:tc>
              <w:tc>
                <w:tcPr>
                  <w:tcW w:w="1672" w:type="pct"/>
                  <w:gridSpan w:val="2"/>
                  <w:vAlign w:val="center"/>
                </w:tcPr>
                <w:p>
                  <w:pPr>
                    <w:adjustRightInd w:val="0"/>
                    <w:snapToGrid w:val="0"/>
                    <w:jc w:val="center"/>
                    <w:rPr>
                      <w:szCs w:val="21"/>
                    </w:rPr>
                  </w:pPr>
                  <w:r>
                    <w:rPr>
                      <w:rFonts w:hint="eastAsia"/>
                      <w:szCs w:val="21"/>
                    </w:rPr>
                    <w:t>900-052-31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Align w:val="center"/>
                </w:tcPr>
                <w:p>
                  <w:pPr>
                    <w:adjustRightInd w:val="0"/>
                    <w:snapToGrid w:val="0"/>
                    <w:jc w:val="center"/>
                    <w:rPr>
                      <w:szCs w:val="21"/>
                    </w:rPr>
                  </w:pPr>
                  <w:r>
                    <w:rPr>
                      <w:rFonts w:hint="eastAsia"/>
                      <w:szCs w:val="21"/>
                    </w:rPr>
                    <w:t>4</w:t>
                  </w:r>
                </w:p>
              </w:tc>
              <w:tc>
                <w:tcPr>
                  <w:tcW w:w="1236" w:type="pct"/>
                  <w:vAlign w:val="center"/>
                </w:tcPr>
                <w:p>
                  <w:pPr>
                    <w:adjustRightInd w:val="0"/>
                    <w:snapToGrid w:val="0"/>
                    <w:jc w:val="center"/>
                    <w:rPr>
                      <w:szCs w:val="21"/>
                    </w:rPr>
                  </w:pPr>
                  <w:r>
                    <w:rPr>
                      <w:rFonts w:hint="eastAsia"/>
                      <w:szCs w:val="21"/>
                    </w:rPr>
                    <w:t>废锂电池</w:t>
                  </w:r>
                </w:p>
              </w:tc>
              <w:tc>
                <w:tcPr>
                  <w:tcW w:w="944" w:type="pct"/>
                  <w:vAlign w:val="center"/>
                </w:tcPr>
                <w:p>
                  <w:pPr>
                    <w:adjustRightInd w:val="0"/>
                    <w:snapToGrid w:val="0"/>
                    <w:jc w:val="center"/>
                    <w:rPr>
                      <w:szCs w:val="21"/>
                    </w:rPr>
                  </w:pPr>
                  <w:r>
                    <w:rPr>
                      <w:rFonts w:hint="eastAsia"/>
                      <w:szCs w:val="21"/>
                    </w:rPr>
                    <w:t>检维修</w:t>
                  </w:r>
                </w:p>
              </w:tc>
              <w:tc>
                <w:tcPr>
                  <w:tcW w:w="722" w:type="pct"/>
                  <w:vAlign w:val="center"/>
                </w:tcPr>
                <w:p>
                  <w:pPr>
                    <w:adjustRightInd w:val="0"/>
                    <w:snapToGrid w:val="0"/>
                    <w:jc w:val="center"/>
                    <w:rPr>
                      <w:szCs w:val="21"/>
                    </w:rPr>
                  </w:pPr>
                  <w:r>
                    <w:rPr>
                      <w:rFonts w:hint="eastAsia"/>
                      <w:szCs w:val="21"/>
                    </w:rPr>
                    <w:t>否</w:t>
                  </w:r>
                </w:p>
              </w:tc>
              <w:tc>
                <w:tcPr>
                  <w:tcW w:w="1672" w:type="pct"/>
                  <w:gridSpan w:val="2"/>
                  <w:vAlign w:val="center"/>
                </w:tcPr>
                <w:p>
                  <w:pPr>
                    <w:adjustRightInd w:val="0"/>
                    <w:snapToGrid w:val="0"/>
                    <w:jc w:val="center"/>
                    <w:rPr>
                      <w:szCs w:val="21"/>
                    </w:rPr>
                  </w:pPr>
                  <w:r>
                    <w:rPr>
                      <w:rFonts w:hint="eastAsia"/>
                      <w:szCs w:val="21"/>
                    </w:rPr>
                    <w:t>无需鉴定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Align w:val="center"/>
                </w:tcPr>
                <w:p>
                  <w:pPr>
                    <w:adjustRightInd w:val="0"/>
                    <w:snapToGrid w:val="0"/>
                    <w:jc w:val="center"/>
                    <w:rPr>
                      <w:szCs w:val="21"/>
                    </w:rPr>
                  </w:pPr>
                  <w:r>
                    <w:rPr>
                      <w:rFonts w:hint="eastAsia"/>
                      <w:szCs w:val="21"/>
                    </w:rPr>
                    <w:t>5</w:t>
                  </w:r>
                </w:p>
              </w:tc>
              <w:tc>
                <w:tcPr>
                  <w:tcW w:w="1236" w:type="pct"/>
                  <w:vAlign w:val="center"/>
                </w:tcPr>
                <w:p>
                  <w:pPr>
                    <w:adjustRightInd w:val="0"/>
                    <w:snapToGrid w:val="0"/>
                    <w:jc w:val="center"/>
                    <w:rPr>
                      <w:szCs w:val="21"/>
                    </w:rPr>
                  </w:pPr>
                  <w:r>
                    <w:rPr>
                      <w:rFonts w:hint="eastAsia"/>
                      <w:szCs w:val="21"/>
                    </w:rPr>
                    <w:t>化粪池污泥</w:t>
                  </w:r>
                </w:p>
              </w:tc>
              <w:tc>
                <w:tcPr>
                  <w:tcW w:w="944" w:type="pct"/>
                  <w:vAlign w:val="center"/>
                </w:tcPr>
                <w:p>
                  <w:pPr>
                    <w:adjustRightInd w:val="0"/>
                    <w:snapToGrid w:val="0"/>
                    <w:jc w:val="center"/>
                    <w:rPr>
                      <w:szCs w:val="21"/>
                    </w:rPr>
                  </w:pPr>
                  <w:r>
                    <w:rPr>
                      <w:rFonts w:hint="eastAsia"/>
                      <w:szCs w:val="21"/>
                    </w:rPr>
                    <w:t>生活污水处理</w:t>
                  </w:r>
                </w:p>
              </w:tc>
              <w:tc>
                <w:tcPr>
                  <w:tcW w:w="722" w:type="pct"/>
                  <w:vAlign w:val="center"/>
                </w:tcPr>
                <w:p>
                  <w:pPr>
                    <w:adjustRightInd w:val="0"/>
                    <w:snapToGrid w:val="0"/>
                    <w:jc w:val="center"/>
                    <w:rPr>
                      <w:szCs w:val="21"/>
                    </w:rPr>
                  </w:pPr>
                  <w:r>
                    <w:rPr>
                      <w:rFonts w:hint="eastAsia"/>
                      <w:szCs w:val="21"/>
                    </w:rPr>
                    <w:t>否</w:t>
                  </w:r>
                </w:p>
              </w:tc>
              <w:tc>
                <w:tcPr>
                  <w:tcW w:w="1672" w:type="pct"/>
                  <w:gridSpan w:val="2"/>
                  <w:vAlign w:val="center"/>
                </w:tcPr>
                <w:p>
                  <w:pPr>
                    <w:adjustRightInd w:val="0"/>
                    <w:snapToGrid w:val="0"/>
                    <w:jc w:val="center"/>
                    <w:rPr>
                      <w:szCs w:val="21"/>
                    </w:rPr>
                  </w:pPr>
                  <w:r>
                    <w:rPr>
                      <w:rFonts w:hint="eastAsia"/>
                      <w:szCs w:val="21"/>
                    </w:rPr>
                    <w:t>无需鉴定</w:t>
                  </w:r>
                </w:p>
              </w:tc>
            </w:tr>
          </w:tbl>
          <w:p>
            <w:pPr>
              <w:adjustRightInd w:val="0"/>
              <w:snapToGrid w:val="0"/>
              <w:spacing w:before="120" w:beforeLines="50" w:line="360" w:lineRule="auto"/>
              <w:ind w:firstLine="480" w:firstLineChars="200"/>
              <w:rPr>
                <w:sz w:val="24"/>
              </w:rPr>
            </w:pPr>
            <w:r>
              <w:rPr>
                <w:rFonts w:hint="eastAsia"/>
                <w:sz w:val="24"/>
              </w:rPr>
              <w:t>（4）固体废物分析情况汇总</w:t>
            </w:r>
          </w:p>
          <w:p>
            <w:pPr>
              <w:adjustRightInd w:val="0"/>
              <w:snapToGrid w:val="0"/>
              <w:spacing w:line="360" w:lineRule="auto"/>
              <w:ind w:firstLine="480" w:firstLineChars="200"/>
              <w:rPr>
                <w:sz w:val="24"/>
              </w:rPr>
            </w:pPr>
            <w:r>
              <w:rPr>
                <w:rFonts w:hint="eastAsia"/>
                <w:sz w:val="24"/>
              </w:rPr>
              <w:t>项目固废汇总情况见下表。</w:t>
            </w:r>
          </w:p>
          <w:p>
            <w:pPr>
              <w:adjustRightInd w:val="0"/>
              <w:snapToGrid w:val="0"/>
              <w:spacing w:before="120" w:beforeLines="50" w:line="360" w:lineRule="auto"/>
              <w:jc w:val="center"/>
              <w:rPr>
                <w:sz w:val="24"/>
              </w:rPr>
            </w:pPr>
            <w:r>
              <w:rPr>
                <w:rFonts w:hint="eastAsia"/>
                <w:b/>
                <w:bCs/>
                <w:sz w:val="24"/>
              </w:rPr>
              <w:t>表4-15    固体废物产生情况汇总</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8"/>
              <w:gridCol w:w="669"/>
              <w:gridCol w:w="682"/>
              <w:gridCol w:w="606"/>
              <w:gridCol w:w="708"/>
              <w:gridCol w:w="859"/>
              <w:gridCol w:w="1144"/>
              <w:gridCol w:w="806"/>
              <w:gridCol w:w="717"/>
              <w:gridCol w:w="944"/>
              <w:gridCol w:w="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4" w:type="pct"/>
                  <w:vAlign w:val="center"/>
                </w:tcPr>
                <w:p>
                  <w:pPr>
                    <w:adjustRightInd w:val="0"/>
                    <w:snapToGrid w:val="0"/>
                    <w:jc w:val="center"/>
                    <w:rPr>
                      <w:sz w:val="18"/>
                      <w:szCs w:val="18"/>
                    </w:rPr>
                  </w:pPr>
                  <w:r>
                    <w:rPr>
                      <w:sz w:val="18"/>
                      <w:szCs w:val="18"/>
                    </w:rPr>
                    <w:t>序号</w:t>
                  </w:r>
                </w:p>
              </w:tc>
              <w:tc>
                <w:tcPr>
                  <w:tcW w:w="410" w:type="pct"/>
                  <w:vAlign w:val="center"/>
                </w:tcPr>
                <w:p>
                  <w:pPr>
                    <w:adjustRightInd w:val="0"/>
                    <w:snapToGrid w:val="0"/>
                    <w:jc w:val="center"/>
                    <w:rPr>
                      <w:sz w:val="18"/>
                      <w:szCs w:val="18"/>
                    </w:rPr>
                  </w:pPr>
                  <w:r>
                    <w:rPr>
                      <w:sz w:val="18"/>
                      <w:szCs w:val="18"/>
                    </w:rPr>
                    <w:t>固废名称</w:t>
                  </w:r>
                </w:p>
              </w:tc>
              <w:tc>
                <w:tcPr>
                  <w:tcW w:w="418" w:type="pct"/>
                  <w:vAlign w:val="center"/>
                </w:tcPr>
                <w:p>
                  <w:pPr>
                    <w:adjustRightInd w:val="0"/>
                    <w:snapToGrid w:val="0"/>
                    <w:jc w:val="center"/>
                    <w:rPr>
                      <w:sz w:val="18"/>
                      <w:szCs w:val="18"/>
                    </w:rPr>
                  </w:pPr>
                  <w:r>
                    <w:rPr>
                      <w:sz w:val="18"/>
                      <w:szCs w:val="18"/>
                    </w:rPr>
                    <w:t>产生工序</w:t>
                  </w:r>
                </w:p>
              </w:tc>
              <w:tc>
                <w:tcPr>
                  <w:tcW w:w="371" w:type="pct"/>
                  <w:vAlign w:val="center"/>
                </w:tcPr>
                <w:p>
                  <w:pPr>
                    <w:adjustRightInd w:val="0"/>
                    <w:snapToGrid w:val="0"/>
                    <w:jc w:val="center"/>
                    <w:rPr>
                      <w:sz w:val="18"/>
                      <w:szCs w:val="18"/>
                    </w:rPr>
                  </w:pPr>
                  <w:r>
                    <w:rPr>
                      <w:sz w:val="18"/>
                      <w:szCs w:val="18"/>
                    </w:rPr>
                    <w:t>属性</w:t>
                  </w:r>
                </w:p>
              </w:tc>
              <w:tc>
                <w:tcPr>
                  <w:tcW w:w="434" w:type="pct"/>
                  <w:vAlign w:val="center"/>
                </w:tcPr>
                <w:p>
                  <w:pPr>
                    <w:adjustRightInd w:val="0"/>
                    <w:snapToGrid w:val="0"/>
                    <w:jc w:val="center"/>
                    <w:rPr>
                      <w:sz w:val="18"/>
                      <w:szCs w:val="18"/>
                    </w:rPr>
                  </w:pPr>
                  <w:r>
                    <w:rPr>
                      <w:sz w:val="18"/>
                      <w:szCs w:val="18"/>
                    </w:rPr>
                    <w:t>主要成分</w:t>
                  </w:r>
                </w:p>
              </w:tc>
              <w:tc>
                <w:tcPr>
                  <w:tcW w:w="526" w:type="pct"/>
                  <w:vAlign w:val="center"/>
                </w:tcPr>
                <w:p>
                  <w:pPr>
                    <w:adjustRightInd w:val="0"/>
                    <w:snapToGrid w:val="0"/>
                    <w:jc w:val="center"/>
                    <w:rPr>
                      <w:sz w:val="18"/>
                      <w:szCs w:val="18"/>
                    </w:rPr>
                  </w:pPr>
                  <w:r>
                    <w:rPr>
                      <w:sz w:val="18"/>
                      <w:szCs w:val="18"/>
                    </w:rPr>
                    <w:t>废物类别</w:t>
                  </w:r>
                </w:p>
              </w:tc>
              <w:tc>
                <w:tcPr>
                  <w:tcW w:w="701" w:type="pct"/>
                  <w:vAlign w:val="center"/>
                </w:tcPr>
                <w:p>
                  <w:pPr>
                    <w:adjustRightInd w:val="0"/>
                    <w:snapToGrid w:val="0"/>
                    <w:jc w:val="center"/>
                    <w:rPr>
                      <w:sz w:val="18"/>
                      <w:szCs w:val="18"/>
                    </w:rPr>
                  </w:pPr>
                  <w:r>
                    <w:rPr>
                      <w:sz w:val="18"/>
                      <w:szCs w:val="18"/>
                    </w:rPr>
                    <w:t>废物代码</w:t>
                  </w:r>
                </w:p>
              </w:tc>
              <w:tc>
                <w:tcPr>
                  <w:tcW w:w="494" w:type="pct"/>
                  <w:vAlign w:val="center"/>
                </w:tcPr>
                <w:p>
                  <w:pPr>
                    <w:adjustRightInd w:val="0"/>
                    <w:snapToGrid w:val="0"/>
                    <w:jc w:val="center"/>
                    <w:rPr>
                      <w:sz w:val="18"/>
                      <w:szCs w:val="18"/>
                    </w:rPr>
                  </w:pPr>
                  <w:r>
                    <w:rPr>
                      <w:sz w:val="18"/>
                      <w:szCs w:val="18"/>
                    </w:rPr>
                    <w:t>产生量</w:t>
                  </w:r>
                </w:p>
              </w:tc>
              <w:tc>
                <w:tcPr>
                  <w:tcW w:w="439" w:type="pct"/>
                  <w:vAlign w:val="center"/>
                </w:tcPr>
                <w:p>
                  <w:pPr>
                    <w:adjustRightInd w:val="0"/>
                    <w:snapToGrid w:val="0"/>
                    <w:jc w:val="center"/>
                    <w:rPr>
                      <w:sz w:val="18"/>
                      <w:szCs w:val="18"/>
                    </w:rPr>
                  </w:pPr>
                  <w:r>
                    <w:rPr>
                      <w:sz w:val="18"/>
                      <w:szCs w:val="18"/>
                    </w:rPr>
                    <w:t>产废周期</w:t>
                  </w:r>
                </w:p>
              </w:tc>
              <w:tc>
                <w:tcPr>
                  <w:tcW w:w="578" w:type="pct"/>
                  <w:vAlign w:val="center"/>
                </w:tcPr>
                <w:p>
                  <w:pPr>
                    <w:adjustRightInd w:val="0"/>
                    <w:snapToGrid w:val="0"/>
                    <w:jc w:val="center"/>
                    <w:rPr>
                      <w:sz w:val="18"/>
                      <w:szCs w:val="18"/>
                    </w:rPr>
                  </w:pPr>
                  <w:r>
                    <w:rPr>
                      <w:sz w:val="18"/>
                      <w:szCs w:val="18"/>
                    </w:rPr>
                    <w:t>利用处置方式</w:t>
                  </w:r>
                </w:p>
              </w:tc>
              <w:tc>
                <w:tcPr>
                  <w:tcW w:w="379" w:type="pct"/>
                  <w:vAlign w:val="center"/>
                </w:tcPr>
                <w:p>
                  <w:pPr>
                    <w:adjustRightInd w:val="0"/>
                    <w:snapToGrid w:val="0"/>
                    <w:jc w:val="center"/>
                    <w:rPr>
                      <w:sz w:val="18"/>
                      <w:szCs w:val="18"/>
                    </w:rPr>
                  </w:pPr>
                  <w:r>
                    <w:rPr>
                      <w:sz w:val="18"/>
                      <w:szCs w:val="18"/>
                    </w:rPr>
                    <w:t>是否符合环保要求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244" w:type="pct"/>
                  <w:vAlign w:val="center"/>
                </w:tcPr>
                <w:p>
                  <w:pPr>
                    <w:adjustRightInd w:val="0"/>
                    <w:snapToGrid w:val="0"/>
                    <w:jc w:val="center"/>
                    <w:rPr>
                      <w:sz w:val="18"/>
                      <w:szCs w:val="18"/>
                    </w:rPr>
                  </w:pPr>
                  <w:r>
                    <w:rPr>
                      <w:sz w:val="18"/>
                      <w:szCs w:val="18"/>
                    </w:rPr>
                    <w:t>1</w:t>
                  </w:r>
                </w:p>
              </w:tc>
              <w:tc>
                <w:tcPr>
                  <w:tcW w:w="410" w:type="pct"/>
                  <w:vAlign w:val="center"/>
                </w:tcPr>
                <w:p>
                  <w:pPr>
                    <w:adjustRightInd w:val="0"/>
                    <w:snapToGrid w:val="0"/>
                    <w:jc w:val="center"/>
                    <w:rPr>
                      <w:sz w:val="18"/>
                      <w:szCs w:val="18"/>
                    </w:rPr>
                  </w:pPr>
                  <w:r>
                    <w:rPr>
                      <w:sz w:val="18"/>
                      <w:szCs w:val="18"/>
                    </w:rPr>
                    <w:t>生活垃圾</w:t>
                  </w:r>
                </w:p>
              </w:tc>
              <w:tc>
                <w:tcPr>
                  <w:tcW w:w="418" w:type="pct"/>
                  <w:vAlign w:val="center"/>
                </w:tcPr>
                <w:p>
                  <w:pPr>
                    <w:adjustRightInd w:val="0"/>
                    <w:snapToGrid w:val="0"/>
                    <w:jc w:val="center"/>
                    <w:rPr>
                      <w:sz w:val="18"/>
                      <w:szCs w:val="18"/>
                    </w:rPr>
                  </w:pPr>
                  <w:r>
                    <w:rPr>
                      <w:sz w:val="18"/>
                      <w:szCs w:val="18"/>
                    </w:rPr>
                    <w:t>办公生活</w:t>
                  </w:r>
                </w:p>
              </w:tc>
              <w:tc>
                <w:tcPr>
                  <w:tcW w:w="371" w:type="pct"/>
                  <w:vAlign w:val="center"/>
                </w:tcPr>
                <w:p>
                  <w:pPr>
                    <w:adjustRightInd w:val="0"/>
                    <w:snapToGrid w:val="0"/>
                    <w:jc w:val="center"/>
                    <w:rPr>
                      <w:sz w:val="18"/>
                      <w:szCs w:val="18"/>
                    </w:rPr>
                  </w:pPr>
                  <w:r>
                    <w:rPr>
                      <w:sz w:val="18"/>
                      <w:szCs w:val="18"/>
                    </w:rPr>
                    <w:t>一般固废</w:t>
                  </w:r>
                </w:p>
              </w:tc>
              <w:tc>
                <w:tcPr>
                  <w:tcW w:w="434" w:type="pct"/>
                  <w:vAlign w:val="center"/>
                </w:tcPr>
                <w:p>
                  <w:pPr>
                    <w:adjustRightInd w:val="0"/>
                    <w:snapToGrid w:val="0"/>
                    <w:jc w:val="center"/>
                    <w:rPr>
                      <w:sz w:val="18"/>
                      <w:szCs w:val="18"/>
                    </w:rPr>
                  </w:pPr>
                  <w:r>
                    <w:rPr>
                      <w:sz w:val="18"/>
                      <w:szCs w:val="18"/>
                    </w:rPr>
                    <w:t>塑料、纸片等</w:t>
                  </w:r>
                </w:p>
              </w:tc>
              <w:tc>
                <w:tcPr>
                  <w:tcW w:w="526" w:type="pct"/>
                  <w:vAlign w:val="center"/>
                </w:tcPr>
                <w:p>
                  <w:pPr>
                    <w:adjustRightInd w:val="0"/>
                    <w:snapToGrid w:val="0"/>
                    <w:jc w:val="center"/>
                    <w:rPr>
                      <w:sz w:val="18"/>
                      <w:szCs w:val="18"/>
                    </w:rPr>
                  </w:pPr>
                  <w:r>
                    <w:rPr>
                      <w:sz w:val="18"/>
                      <w:szCs w:val="18"/>
                    </w:rPr>
                    <w:t>/</w:t>
                  </w:r>
                </w:p>
              </w:tc>
              <w:tc>
                <w:tcPr>
                  <w:tcW w:w="701" w:type="pct"/>
                  <w:vAlign w:val="center"/>
                </w:tcPr>
                <w:p>
                  <w:pPr>
                    <w:adjustRightInd w:val="0"/>
                    <w:snapToGrid w:val="0"/>
                    <w:jc w:val="center"/>
                    <w:rPr>
                      <w:sz w:val="18"/>
                      <w:szCs w:val="18"/>
                    </w:rPr>
                  </w:pPr>
                  <w:r>
                    <w:rPr>
                      <w:sz w:val="18"/>
                      <w:szCs w:val="18"/>
                    </w:rPr>
                    <w:t>/</w:t>
                  </w:r>
                </w:p>
              </w:tc>
              <w:tc>
                <w:tcPr>
                  <w:tcW w:w="494" w:type="pct"/>
                  <w:vAlign w:val="center"/>
                </w:tcPr>
                <w:p>
                  <w:pPr>
                    <w:adjustRightInd w:val="0"/>
                    <w:snapToGrid w:val="0"/>
                    <w:jc w:val="center"/>
                    <w:rPr>
                      <w:sz w:val="18"/>
                      <w:szCs w:val="18"/>
                    </w:rPr>
                  </w:pPr>
                  <w:r>
                    <w:rPr>
                      <w:rFonts w:hint="eastAsia"/>
                      <w:sz w:val="18"/>
                      <w:szCs w:val="18"/>
                    </w:rPr>
                    <w:t>0.26</w:t>
                  </w:r>
                  <w:r>
                    <w:rPr>
                      <w:sz w:val="18"/>
                      <w:szCs w:val="18"/>
                    </w:rPr>
                    <w:t>t/a</w:t>
                  </w:r>
                </w:p>
              </w:tc>
              <w:tc>
                <w:tcPr>
                  <w:tcW w:w="439" w:type="pct"/>
                  <w:vAlign w:val="center"/>
                </w:tcPr>
                <w:p>
                  <w:pPr>
                    <w:adjustRightInd w:val="0"/>
                    <w:snapToGrid w:val="0"/>
                    <w:jc w:val="center"/>
                    <w:rPr>
                      <w:sz w:val="18"/>
                      <w:szCs w:val="18"/>
                    </w:rPr>
                  </w:pPr>
                  <w:r>
                    <w:rPr>
                      <w:rFonts w:hint="eastAsia"/>
                      <w:sz w:val="18"/>
                      <w:szCs w:val="18"/>
                    </w:rPr>
                    <w:t>每天</w:t>
                  </w:r>
                </w:p>
              </w:tc>
              <w:tc>
                <w:tcPr>
                  <w:tcW w:w="578" w:type="pct"/>
                  <w:vAlign w:val="center"/>
                </w:tcPr>
                <w:p>
                  <w:pPr>
                    <w:adjustRightInd w:val="0"/>
                    <w:snapToGrid w:val="0"/>
                    <w:jc w:val="center"/>
                    <w:rPr>
                      <w:sz w:val="18"/>
                      <w:szCs w:val="18"/>
                    </w:rPr>
                  </w:pPr>
                  <w:r>
                    <w:rPr>
                      <w:sz w:val="18"/>
                      <w:szCs w:val="18"/>
                    </w:rPr>
                    <w:t>集中收集送环卫部门指定地点</w:t>
                  </w:r>
                </w:p>
              </w:tc>
              <w:tc>
                <w:tcPr>
                  <w:tcW w:w="379" w:type="pct"/>
                  <w:vAlign w:val="center"/>
                </w:tcPr>
                <w:p>
                  <w:pPr>
                    <w:adjustRightInd w:val="0"/>
                    <w:snapToGrid w:val="0"/>
                    <w:jc w:val="center"/>
                    <w:rPr>
                      <w:sz w:val="18"/>
                      <w:szCs w:val="18"/>
                    </w:rPr>
                  </w:pPr>
                  <w:r>
                    <w:rPr>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4" w:type="pct"/>
                  <w:vAlign w:val="center"/>
                </w:tcPr>
                <w:p>
                  <w:pPr>
                    <w:adjustRightInd w:val="0"/>
                    <w:snapToGrid w:val="0"/>
                    <w:jc w:val="center"/>
                    <w:rPr>
                      <w:sz w:val="18"/>
                      <w:szCs w:val="18"/>
                    </w:rPr>
                  </w:pPr>
                  <w:r>
                    <w:rPr>
                      <w:rFonts w:hint="eastAsia"/>
                      <w:sz w:val="18"/>
                      <w:szCs w:val="18"/>
                    </w:rPr>
                    <w:t>2</w:t>
                  </w:r>
                </w:p>
              </w:tc>
              <w:tc>
                <w:tcPr>
                  <w:tcW w:w="410" w:type="pct"/>
                  <w:vAlign w:val="center"/>
                </w:tcPr>
                <w:p>
                  <w:pPr>
                    <w:adjustRightInd w:val="0"/>
                    <w:snapToGrid w:val="0"/>
                    <w:jc w:val="center"/>
                    <w:rPr>
                      <w:sz w:val="18"/>
                      <w:szCs w:val="18"/>
                    </w:rPr>
                  </w:pPr>
                  <w:r>
                    <w:rPr>
                      <w:sz w:val="18"/>
                      <w:szCs w:val="18"/>
                    </w:rPr>
                    <w:t>变压器废油及其容器、油抹布</w:t>
                  </w:r>
                </w:p>
              </w:tc>
              <w:tc>
                <w:tcPr>
                  <w:tcW w:w="418" w:type="pct"/>
                  <w:vAlign w:val="center"/>
                </w:tcPr>
                <w:p>
                  <w:pPr>
                    <w:adjustRightInd w:val="0"/>
                    <w:snapToGrid w:val="0"/>
                    <w:jc w:val="center"/>
                    <w:rPr>
                      <w:sz w:val="18"/>
                      <w:szCs w:val="18"/>
                    </w:rPr>
                  </w:pPr>
                  <w:r>
                    <w:rPr>
                      <w:sz w:val="18"/>
                      <w:szCs w:val="18"/>
                    </w:rPr>
                    <w:t>检维修</w:t>
                  </w:r>
                </w:p>
              </w:tc>
              <w:tc>
                <w:tcPr>
                  <w:tcW w:w="371" w:type="pct"/>
                  <w:vAlign w:val="center"/>
                </w:tcPr>
                <w:p>
                  <w:pPr>
                    <w:adjustRightInd w:val="0"/>
                    <w:snapToGrid w:val="0"/>
                    <w:jc w:val="center"/>
                    <w:rPr>
                      <w:sz w:val="18"/>
                      <w:szCs w:val="18"/>
                    </w:rPr>
                  </w:pPr>
                  <w:r>
                    <w:rPr>
                      <w:sz w:val="18"/>
                      <w:szCs w:val="18"/>
                    </w:rPr>
                    <w:t>危险废物</w:t>
                  </w:r>
                </w:p>
              </w:tc>
              <w:tc>
                <w:tcPr>
                  <w:tcW w:w="434" w:type="pct"/>
                  <w:vAlign w:val="center"/>
                </w:tcPr>
                <w:p>
                  <w:pPr>
                    <w:adjustRightInd w:val="0"/>
                    <w:snapToGrid w:val="0"/>
                    <w:jc w:val="center"/>
                    <w:rPr>
                      <w:sz w:val="18"/>
                      <w:szCs w:val="18"/>
                    </w:rPr>
                  </w:pPr>
                  <w:r>
                    <w:rPr>
                      <w:sz w:val="18"/>
                      <w:szCs w:val="18"/>
                    </w:rPr>
                    <w:t>含废矿物油类</w:t>
                  </w:r>
                </w:p>
              </w:tc>
              <w:tc>
                <w:tcPr>
                  <w:tcW w:w="526" w:type="pct"/>
                  <w:vAlign w:val="center"/>
                </w:tcPr>
                <w:p>
                  <w:pPr>
                    <w:adjustRightInd w:val="0"/>
                    <w:snapToGrid w:val="0"/>
                    <w:jc w:val="center"/>
                    <w:rPr>
                      <w:sz w:val="18"/>
                      <w:szCs w:val="18"/>
                    </w:rPr>
                  </w:pPr>
                  <w:r>
                    <w:rPr>
                      <w:sz w:val="18"/>
                      <w:szCs w:val="18"/>
                    </w:rPr>
                    <w:t>HW08</w:t>
                  </w:r>
                </w:p>
              </w:tc>
              <w:tc>
                <w:tcPr>
                  <w:tcW w:w="701" w:type="pct"/>
                  <w:vAlign w:val="center"/>
                </w:tcPr>
                <w:p>
                  <w:pPr>
                    <w:adjustRightInd w:val="0"/>
                    <w:snapToGrid w:val="0"/>
                    <w:jc w:val="center"/>
                    <w:rPr>
                      <w:sz w:val="18"/>
                      <w:szCs w:val="18"/>
                    </w:rPr>
                  </w:pPr>
                  <w:r>
                    <w:rPr>
                      <w:sz w:val="18"/>
                      <w:szCs w:val="18"/>
                    </w:rPr>
                    <w:t>900-220-08</w:t>
                  </w:r>
                </w:p>
              </w:tc>
              <w:tc>
                <w:tcPr>
                  <w:tcW w:w="494" w:type="pct"/>
                  <w:vAlign w:val="center"/>
                </w:tcPr>
                <w:p>
                  <w:pPr>
                    <w:adjustRightInd w:val="0"/>
                    <w:snapToGrid w:val="0"/>
                    <w:jc w:val="center"/>
                    <w:rPr>
                      <w:sz w:val="18"/>
                      <w:szCs w:val="18"/>
                    </w:rPr>
                  </w:pPr>
                  <w:r>
                    <w:rPr>
                      <w:sz w:val="18"/>
                      <w:szCs w:val="18"/>
                    </w:rPr>
                    <w:t>0.05t/a</w:t>
                  </w:r>
                </w:p>
              </w:tc>
              <w:tc>
                <w:tcPr>
                  <w:tcW w:w="439" w:type="pct"/>
                  <w:vAlign w:val="center"/>
                </w:tcPr>
                <w:p>
                  <w:pPr>
                    <w:adjustRightInd w:val="0"/>
                    <w:snapToGrid w:val="0"/>
                    <w:jc w:val="center"/>
                    <w:rPr>
                      <w:sz w:val="18"/>
                      <w:szCs w:val="18"/>
                    </w:rPr>
                  </w:pPr>
                  <w:r>
                    <w:rPr>
                      <w:rFonts w:hint="eastAsia"/>
                      <w:sz w:val="18"/>
                      <w:szCs w:val="18"/>
                    </w:rPr>
                    <w:t>每年</w:t>
                  </w:r>
                </w:p>
              </w:tc>
              <w:tc>
                <w:tcPr>
                  <w:tcW w:w="578" w:type="pct"/>
                  <w:vAlign w:val="center"/>
                </w:tcPr>
                <w:p>
                  <w:pPr>
                    <w:adjustRightInd w:val="0"/>
                    <w:snapToGrid w:val="0"/>
                    <w:jc w:val="center"/>
                    <w:rPr>
                      <w:sz w:val="18"/>
                      <w:szCs w:val="18"/>
                    </w:rPr>
                  </w:pPr>
                  <w:r>
                    <w:rPr>
                      <w:sz w:val="18"/>
                      <w:szCs w:val="18"/>
                    </w:rPr>
                    <w:t>委托</w:t>
                  </w:r>
                  <w:r>
                    <w:rPr>
                      <w:rFonts w:hint="eastAsia"/>
                      <w:sz w:val="18"/>
                      <w:szCs w:val="18"/>
                    </w:rPr>
                    <w:t>有资质单位</w:t>
                  </w:r>
                  <w:r>
                    <w:rPr>
                      <w:sz w:val="18"/>
                      <w:szCs w:val="18"/>
                    </w:rPr>
                    <w:t>处置</w:t>
                  </w:r>
                </w:p>
              </w:tc>
              <w:tc>
                <w:tcPr>
                  <w:tcW w:w="379" w:type="pct"/>
                  <w:vAlign w:val="center"/>
                </w:tcPr>
                <w:p>
                  <w:pPr>
                    <w:adjustRightInd w:val="0"/>
                    <w:snapToGrid w:val="0"/>
                    <w:jc w:val="center"/>
                    <w:rPr>
                      <w:sz w:val="18"/>
                      <w:szCs w:val="18"/>
                    </w:rPr>
                  </w:pPr>
                  <w:r>
                    <w:rPr>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244" w:type="pct"/>
                  <w:vAlign w:val="center"/>
                </w:tcPr>
                <w:p>
                  <w:pPr>
                    <w:adjustRightInd w:val="0"/>
                    <w:snapToGrid w:val="0"/>
                    <w:jc w:val="center"/>
                    <w:rPr>
                      <w:sz w:val="18"/>
                      <w:szCs w:val="18"/>
                    </w:rPr>
                  </w:pPr>
                  <w:r>
                    <w:rPr>
                      <w:rFonts w:hint="eastAsia"/>
                      <w:sz w:val="18"/>
                      <w:szCs w:val="18"/>
                    </w:rPr>
                    <w:t>3</w:t>
                  </w:r>
                </w:p>
              </w:tc>
              <w:tc>
                <w:tcPr>
                  <w:tcW w:w="410" w:type="pct"/>
                  <w:vAlign w:val="center"/>
                </w:tcPr>
                <w:p>
                  <w:pPr>
                    <w:adjustRightInd w:val="0"/>
                    <w:snapToGrid w:val="0"/>
                    <w:jc w:val="center"/>
                    <w:rPr>
                      <w:sz w:val="18"/>
                      <w:szCs w:val="18"/>
                    </w:rPr>
                  </w:pPr>
                  <w:r>
                    <w:rPr>
                      <w:sz w:val="18"/>
                      <w:szCs w:val="18"/>
                    </w:rPr>
                    <w:t>废铅酸蓄电池</w:t>
                  </w:r>
                </w:p>
              </w:tc>
              <w:tc>
                <w:tcPr>
                  <w:tcW w:w="418" w:type="pct"/>
                  <w:vAlign w:val="center"/>
                </w:tcPr>
                <w:p>
                  <w:pPr>
                    <w:adjustRightInd w:val="0"/>
                    <w:snapToGrid w:val="0"/>
                    <w:jc w:val="center"/>
                    <w:rPr>
                      <w:sz w:val="18"/>
                      <w:szCs w:val="18"/>
                    </w:rPr>
                  </w:pPr>
                  <w:r>
                    <w:rPr>
                      <w:sz w:val="18"/>
                      <w:szCs w:val="18"/>
                    </w:rPr>
                    <w:t>检维修</w:t>
                  </w:r>
                </w:p>
              </w:tc>
              <w:tc>
                <w:tcPr>
                  <w:tcW w:w="371" w:type="pct"/>
                  <w:vAlign w:val="center"/>
                </w:tcPr>
                <w:p>
                  <w:pPr>
                    <w:adjustRightInd w:val="0"/>
                    <w:snapToGrid w:val="0"/>
                    <w:jc w:val="center"/>
                    <w:rPr>
                      <w:sz w:val="18"/>
                      <w:szCs w:val="18"/>
                    </w:rPr>
                  </w:pPr>
                  <w:r>
                    <w:rPr>
                      <w:sz w:val="18"/>
                      <w:szCs w:val="18"/>
                    </w:rPr>
                    <w:t>危险废物</w:t>
                  </w:r>
                </w:p>
              </w:tc>
              <w:tc>
                <w:tcPr>
                  <w:tcW w:w="434" w:type="pct"/>
                  <w:vAlign w:val="center"/>
                </w:tcPr>
                <w:p>
                  <w:pPr>
                    <w:adjustRightInd w:val="0"/>
                    <w:snapToGrid w:val="0"/>
                    <w:jc w:val="center"/>
                    <w:rPr>
                      <w:sz w:val="18"/>
                      <w:szCs w:val="18"/>
                    </w:rPr>
                  </w:pPr>
                  <w:r>
                    <w:rPr>
                      <w:sz w:val="18"/>
                      <w:szCs w:val="18"/>
                    </w:rPr>
                    <w:t>含铅废物</w:t>
                  </w:r>
                </w:p>
              </w:tc>
              <w:tc>
                <w:tcPr>
                  <w:tcW w:w="526" w:type="pct"/>
                  <w:vAlign w:val="center"/>
                </w:tcPr>
                <w:p>
                  <w:pPr>
                    <w:adjustRightInd w:val="0"/>
                    <w:snapToGrid w:val="0"/>
                    <w:jc w:val="center"/>
                    <w:rPr>
                      <w:sz w:val="18"/>
                      <w:szCs w:val="18"/>
                    </w:rPr>
                  </w:pPr>
                  <w:r>
                    <w:rPr>
                      <w:sz w:val="18"/>
                      <w:szCs w:val="18"/>
                    </w:rPr>
                    <w:t>HW31</w:t>
                  </w:r>
                </w:p>
              </w:tc>
              <w:tc>
                <w:tcPr>
                  <w:tcW w:w="701" w:type="pct"/>
                  <w:vAlign w:val="center"/>
                </w:tcPr>
                <w:p>
                  <w:pPr>
                    <w:adjustRightInd w:val="0"/>
                    <w:snapToGrid w:val="0"/>
                    <w:jc w:val="center"/>
                    <w:rPr>
                      <w:sz w:val="18"/>
                      <w:szCs w:val="18"/>
                    </w:rPr>
                  </w:pPr>
                  <w:r>
                    <w:rPr>
                      <w:sz w:val="18"/>
                      <w:szCs w:val="18"/>
                    </w:rPr>
                    <w:t>900-052-31</w:t>
                  </w:r>
                </w:p>
              </w:tc>
              <w:tc>
                <w:tcPr>
                  <w:tcW w:w="494" w:type="pct"/>
                  <w:vAlign w:val="center"/>
                </w:tcPr>
                <w:p>
                  <w:pPr>
                    <w:adjustRightInd w:val="0"/>
                    <w:snapToGrid w:val="0"/>
                    <w:jc w:val="center"/>
                    <w:rPr>
                      <w:sz w:val="18"/>
                      <w:szCs w:val="18"/>
                    </w:rPr>
                  </w:pPr>
                  <w:r>
                    <w:rPr>
                      <w:rFonts w:hint="eastAsia"/>
                      <w:sz w:val="18"/>
                      <w:szCs w:val="18"/>
                    </w:rPr>
                    <w:t>200块</w:t>
                  </w:r>
                </w:p>
              </w:tc>
              <w:tc>
                <w:tcPr>
                  <w:tcW w:w="439" w:type="pct"/>
                  <w:vAlign w:val="center"/>
                </w:tcPr>
                <w:p>
                  <w:pPr>
                    <w:adjustRightInd w:val="0"/>
                    <w:snapToGrid w:val="0"/>
                    <w:jc w:val="center"/>
                    <w:rPr>
                      <w:sz w:val="18"/>
                      <w:szCs w:val="18"/>
                    </w:rPr>
                  </w:pPr>
                  <w:r>
                    <w:rPr>
                      <w:rFonts w:hint="eastAsia"/>
                      <w:sz w:val="18"/>
                      <w:szCs w:val="18"/>
                    </w:rPr>
                    <w:t>10~15年</w:t>
                  </w:r>
                </w:p>
              </w:tc>
              <w:tc>
                <w:tcPr>
                  <w:tcW w:w="578" w:type="pct"/>
                  <w:vAlign w:val="center"/>
                </w:tcPr>
                <w:p>
                  <w:pPr>
                    <w:adjustRightInd w:val="0"/>
                    <w:snapToGrid w:val="0"/>
                    <w:jc w:val="center"/>
                    <w:rPr>
                      <w:sz w:val="18"/>
                      <w:szCs w:val="18"/>
                    </w:rPr>
                  </w:pPr>
                  <w:r>
                    <w:rPr>
                      <w:sz w:val="18"/>
                      <w:szCs w:val="18"/>
                    </w:rPr>
                    <w:t>委托</w:t>
                  </w:r>
                  <w:r>
                    <w:rPr>
                      <w:rFonts w:hint="eastAsia"/>
                      <w:sz w:val="18"/>
                      <w:szCs w:val="18"/>
                    </w:rPr>
                    <w:t>有资质厂家</w:t>
                  </w:r>
                  <w:r>
                    <w:rPr>
                      <w:sz w:val="18"/>
                      <w:szCs w:val="18"/>
                    </w:rPr>
                    <w:t>处置</w:t>
                  </w:r>
                </w:p>
              </w:tc>
              <w:tc>
                <w:tcPr>
                  <w:tcW w:w="379" w:type="pct"/>
                  <w:vAlign w:val="center"/>
                </w:tcPr>
                <w:p>
                  <w:pPr>
                    <w:adjustRightInd w:val="0"/>
                    <w:snapToGrid w:val="0"/>
                    <w:jc w:val="center"/>
                    <w:rPr>
                      <w:sz w:val="18"/>
                      <w:szCs w:val="18"/>
                    </w:rPr>
                  </w:pPr>
                  <w:r>
                    <w:rPr>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4" w:type="pct"/>
                  <w:vAlign w:val="center"/>
                </w:tcPr>
                <w:p>
                  <w:pPr>
                    <w:adjustRightInd w:val="0"/>
                    <w:snapToGrid w:val="0"/>
                    <w:jc w:val="center"/>
                    <w:rPr>
                      <w:sz w:val="18"/>
                      <w:szCs w:val="18"/>
                    </w:rPr>
                  </w:pPr>
                  <w:r>
                    <w:rPr>
                      <w:rFonts w:hint="eastAsia"/>
                      <w:sz w:val="18"/>
                      <w:szCs w:val="18"/>
                    </w:rPr>
                    <w:t>4</w:t>
                  </w:r>
                </w:p>
              </w:tc>
              <w:tc>
                <w:tcPr>
                  <w:tcW w:w="410" w:type="pct"/>
                  <w:vAlign w:val="center"/>
                </w:tcPr>
                <w:p>
                  <w:pPr>
                    <w:adjustRightInd w:val="0"/>
                    <w:snapToGrid w:val="0"/>
                    <w:jc w:val="center"/>
                    <w:rPr>
                      <w:sz w:val="18"/>
                      <w:szCs w:val="18"/>
                    </w:rPr>
                  </w:pPr>
                  <w:r>
                    <w:rPr>
                      <w:sz w:val="18"/>
                      <w:szCs w:val="18"/>
                    </w:rPr>
                    <w:t>废锂电池</w:t>
                  </w:r>
                </w:p>
              </w:tc>
              <w:tc>
                <w:tcPr>
                  <w:tcW w:w="418" w:type="pct"/>
                  <w:vAlign w:val="center"/>
                </w:tcPr>
                <w:p>
                  <w:pPr>
                    <w:adjustRightInd w:val="0"/>
                    <w:snapToGrid w:val="0"/>
                    <w:jc w:val="center"/>
                    <w:rPr>
                      <w:sz w:val="18"/>
                      <w:szCs w:val="18"/>
                    </w:rPr>
                  </w:pPr>
                  <w:r>
                    <w:rPr>
                      <w:sz w:val="18"/>
                      <w:szCs w:val="18"/>
                    </w:rPr>
                    <w:t>检维修</w:t>
                  </w:r>
                </w:p>
              </w:tc>
              <w:tc>
                <w:tcPr>
                  <w:tcW w:w="371" w:type="pct"/>
                  <w:vAlign w:val="center"/>
                </w:tcPr>
                <w:p>
                  <w:pPr>
                    <w:adjustRightInd w:val="0"/>
                    <w:snapToGrid w:val="0"/>
                    <w:jc w:val="center"/>
                    <w:rPr>
                      <w:sz w:val="18"/>
                      <w:szCs w:val="18"/>
                    </w:rPr>
                  </w:pPr>
                  <w:r>
                    <w:rPr>
                      <w:sz w:val="18"/>
                      <w:szCs w:val="18"/>
                    </w:rPr>
                    <w:t>一般固废</w:t>
                  </w:r>
                </w:p>
              </w:tc>
              <w:tc>
                <w:tcPr>
                  <w:tcW w:w="434" w:type="pct"/>
                  <w:vAlign w:val="center"/>
                </w:tcPr>
                <w:p>
                  <w:pPr>
                    <w:adjustRightInd w:val="0"/>
                    <w:snapToGrid w:val="0"/>
                    <w:jc w:val="center"/>
                    <w:rPr>
                      <w:sz w:val="18"/>
                      <w:szCs w:val="18"/>
                    </w:rPr>
                  </w:pPr>
                  <w:r>
                    <w:rPr>
                      <w:sz w:val="18"/>
                      <w:szCs w:val="18"/>
                    </w:rPr>
                    <w:t>锂电池</w:t>
                  </w:r>
                </w:p>
              </w:tc>
              <w:tc>
                <w:tcPr>
                  <w:tcW w:w="526" w:type="pct"/>
                  <w:vAlign w:val="center"/>
                </w:tcPr>
                <w:p>
                  <w:pPr>
                    <w:adjustRightInd w:val="0"/>
                    <w:snapToGrid w:val="0"/>
                    <w:jc w:val="center"/>
                    <w:rPr>
                      <w:sz w:val="18"/>
                      <w:szCs w:val="18"/>
                    </w:rPr>
                  </w:pPr>
                  <w:r>
                    <w:rPr>
                      <w:sz w:val="18"/>
                      <w:szCs w:val="18"/>
                    </w:rPr>
                    <w:t>/</w:t>
                  </w:r>
                </w:p>
              </w:tc>
              <w:tc>
                <w:tcPr>
                  <w:tcW w:w="701" w:type="pct"/>
                  <w:vAlign w:val="center"/>
                </w:tcPr>
                <w:p>
                  <w:pPr>
                    <w:adjustRightInd w:val="0"/>
                    <w:snapToGrid w:val="0"/>
                    <w:jc w:val="center"/>
                    <w:rPr>
                      <w:sz w:val="18"/>
                      <w:szCs w:val="18"/>
                    </w:rPr>
                  </w:pPr>
                  <w:r>
                    <w:rPr>
                      <w:sz w:val="18"/>
                      <w:szCs w:val="18"/>
                    </w:rPr>
                    <w:t>/</w:t>
                  </w:r>
                </w:p>
              </w:tc>
              <w:tc>
                <w:tcPr>
                  <w:tcW w:w="494" w:type="pct"/>
                  <w:vAlign w:val="center"/>
                </w:tcPr>
                <w:p>
                  <w:pPr>
                    <w:adjustRightInd w:val="0"/>
                    <w:snapToGrid w:val="0"/>
                    <w:jc w:val="center"/>
                    <w:rPr>
                      <w:sz w:val="18"/>
                      <w:szCs w:val="18"/>
                    </w:rPr>
                  </w:pPr>
                  <w:r>
                    <w:rPr>
                      <w:rFonts w:hint="eastAsia"/>
                      <w:sz w:val="18"/>
                      <w:szCs w:val="18"/>
                    </w:rPr>
                    <w:t>24048个</w:t>
                  </w:r>
                </w:p>
              </w:tc>
              <w:tc>
                <w:tcPr>
                  <w:tcW w:w="439" w:type="pct"/>
                  <w:vAlign w:val="center"/>
                </w:tcPr>
                <w:p>
                  <w:pPr>
                    <w:adjustRightInd w:val="0"/>
                    <w:snapToGrid w:val="0"/>
                    <w:jc w:val="center"/>
                    <w:rPr>
                      <w:sz w:val="18"/>
                      <w:szCs w:val="18"/>
                    </w:rPr>
                  </w:pPr>
                  <w:r>
                    <w:rPr>
                      <w:rFonts w:hint="eastAsia"/>
                      <w:sz w:val="18"/>
                      <w:szCs w:val="18"/>
                    </w:rPr>
                    <w:t>15年</w:t>
                  </w:r>
                </w:p>
              </w:tc>
              <w:tc>
                <w:tcPr>
                  <w:tcW w:w="578" w:type="pct"/>
                  <w:vAlign w:val="center"/>
                </w:tcPr>
                <w:p>
                  <w:pPr>
                    <w:adjustRightInd w:val="0"/>
                    <w:snapToGrid w:val="0"/>
                    <w:jc w:val="center"/>
                    <w:rPr>
                      <w:sz w:val="18"/>
                      <w:szCs w:val="18"/>
                    </w:rPr>
                  </w:pPr>
                  <w:r>
                    <w:rPr>
                      <w:sz w:val="18"/>
                      <w:szCs w:val="18"/>
                    </w:rPr>
                    <w:t>专业厂家回收处置</w:t>
                  </w:r>
                </w:p>
              </w:tc>
              <w:tc>
                <w:tcPr>
                  <w:tcW w:w="379" w:type="pct"/>
                  <w:vAlign w:val="center"/>
                </w:tcPr>
                <w:p>
                  <w:pPr>
                    <w:adjustRightInd w:val="0"/>
                    <w:snapToGrid w:val="0"/>
                    <w:jc w:val="center"/>
                    <w:rPr>
                      <w:sz w:val="18"/>
                      <w:szCs w:val="18"/>
                    </w:rPr>
                  </w:pPr>
                  <w:r>
                    <w:rPr>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4" w:type="pct"/>
                  <w:vAlign w:val="center"/>
                </w:tcPr>
                <w:p>
                  <w:pPr>
                    <w:adjustRightInd w:val="0"/>
                    <w:snapToGrid w:val="0"/>
                    <w:jc w:val="center"/>
                    <w:rPr>
                      <w:sz w:val="18"/>
                      <w:szCs w:val="18"/>
                    </w:rPr>
                  </w:pPr>
                  <w:r>
                    <w:rPr>
                      <w:rFonts w:hint="eastAsia"/>
                      <w:sz w:val="18"/>
                      <w:szCs w:val="18"/>
                    </w:rPr>
                    <w:t>5</w:t>
                  </w:r>
                </w:p>
              </w:tc>
              <w:tc>
                <w:tcPr>
                  <w:tcW w:w="410" w:type="pct"/>
                  <w:vAlign w:val="center"/>
                </w:tcPr>
                <w:p>
                  <w:pPr>
                    <w:adjustRightInd w:val="0"/>
                    <w:snapToGrid w:val="0"/>
                    <w:jc w:val="center"/>
                    <w:rPr>
                      <w:sz w:val="18"/>
                      <w:szCs w:val="18"/>
                    </w:rPr>
                  </w:pPr>
                  <w:r>
                    <w:rPr>
                      <w:rFonts w:hint="eastAsia"/>
                      <w:sz w:val="18"/>
                      <w:szCs w:val="18"/>
                    </w:rPr>
                    <w:t>污泥</w:t>
                  </w:r>
                </w:p>
              </w:tc>
              <w:tc>
                <w:tcPr>
                  <w:tcW w:w="418" w:type="pct"/>
                  <w:vAlign w:val="center"/>
                </w:tcPr>
                <w:p>
                  <w:pPr>
                    <w:adjustRightInd w:val="0"/>
                    <w:snapToGrid w:val="0"/>
                    <w:jc w:val="center"/>
                    <w:rPr>
                      <w:sz w:val="18"/>
                      <w:szCs w:val="18"/>
                    </w:rPr>
                  </w:pPr>
                  <w:r>
                    <w:rPr>
                      <w:rFonts w:hint="eastAsia"/>
                      <w:sz w:val="18"/>
                      <w:szCs w:val="18"/>
                    </w:rPr>
                    <w:t>生活污水处理</w:t>
                  </w:r>
                </w:p>
              </w:tc>
              <w:tc>
                <w:tcPr>
                  <w:tcW w:w="371" w:type="pct"/>
                  <w:vAlign w:val="center"/>
                </w:tcPr>
                <w:p>
                  <w:pPr>
                    <w:adjustRightInd w:val="0"/>
                    <w:snapToGrid w:val="0"/>
                    <w:jc w:val="center"/>
                    <w:rPr>
                      <w:sz w:val="18"/>
                      <w:szCs w:val="18"/>
                    </w:rPr>
                  </w:pPr>
                  <w:r>
                    <w:rPr>
                      <w:rFonts w:hint="eastAsia"/>
                      <w:sz w:val="18"/>
                      <w:szCs w:val="18"/>
                    </w:rPr>
                    <w:t>一般固废</w:t>
                  </w:r>
                </w:p>
              </w:tc>
              <w:tc>
                <w:tcPr>
                  <w:tcW w:w="434" w:type="pct"/>
                  <w:vAlign w:val="center"/>
                </w:tcPr>
                <w:p>
                  <w:pPr>
                    <w:adjustRightInd w:val="0"/>
                    <w:snapToGrid w:val="0"/>
                    <w:jc w:val="center"/>
                    <w:rPr>
                      <w:sz w:val="18"/>
                      <w:szCs w:val="18"/>
                    </w:rPr>
                  </w:pPr>
                  <w:r>
                    <w:rPr>
                      <w:rFonts w:hint="eastAsia"/>
                      <w:sz w:val="18"/>
                      <w:szCs w:val="18"/>
                    </w:rPr>
                    <w:t>污泥</w:t>
                  </w:r>
                </w:p>
              </w:tc>
              <w:tc>
                <w:tcPr>
                  <w:tcW w:w="526" w:type="pct"/>
                  <w:vAlign w:val="center"/>
                </w:tcPr>
                <w:p>
                  <w:pPr>
                    <w:adjustRightInd w:val="0"/>
                    <w:snapToGrid w:val="0"/>
                    <w:jc w:val="center"/>
                    <w:rPr>
                      <w:sz w:val="18"/>
                      <w:szCs w:val="18"/>
                    </w:rPr>
                  </w:pPr>
                  <w:r>
                    <w:rPr>
                      <w:sz w:val="18"/>
                      <w:szCs w:val="18"/>
                    </w:rPr>
                    <w:t>/</w:t>
                  </w:r>
                </w:p>
              </w:tc>
              <w:tc>
                <w:tcPr>
                  <w:tcW w:w="701" w:type="pct"/>
                  <w:vAlign w:val="center"/>
                </w:tcPr>
                <w:p>
                  <w:pPr>
                    <w:adjustRightInd w:val="0"/>
                    <w:snapToGrid w:val="0"/>
                    <w:jc w:val="center"/>
                    <w:rPr>
                      <w:sz w:val="18"/>
                      <w:szCs w:val="18"/>
                    </w:rPr>
                  </w:pPr>
                  <w:r>
                    <w:rPr>
                      <w:sz w:val="18"/>
                      <w:szCs w:val="18"/>
                    </w:rPr>
                    <w:t>/</w:t>
                  </w:r>
                </w:p>
              </w:tc>
              <w:tc>
                <w:tcPr>
                  <w:tcW w:w="494" w:type="pct"/>
                  <w:vAlign w:val="center"/>
                </w:tcPr>
                <w:p>
                  <w:pPr>
                    <w:adjustRightInd w:val="0"/>
                    <w:snapToGrid w:val="0"/>
                    <w:jc w:val="center"/>
                    <w:rPr>
                      <w:sz w:val="18"/>
                      <w:szCs w:val="18"/>
                    </w:rPr>
                  </w:pPr>
                  <w:r>
                    <w:rPr>
                      <w:rFonts w:hint="eastAsia"/>
                      <w:sz w:val="18"/>
                      <w:szCs w:val="18"/>
                    </w:rPr>
                    <w:t>0.17t/a</w:t>
                  </w:r>
                </w:p>
              </w:tc>
              <w:tc>
                <w:tcPr>
                  <w:tcW w:w="439" w:type="pct"/>
                  <w:vAlign w:val="center"/>
                </w:tcPr>
                <w:p>
                  <w:pPr>
                    <w:adjustRightInd w:val="0"/>
                    <w:snapToGrid w:val="0"/>
                    <w:jc w:val="center"/>
                    <w:rPr>
                      <w:sz w:val="18"/>
                      <w:szCs w:val="18"/>
                    </w:rPr>
                  </w:pPr>
                  <w:r>
                    <w:rPr>
                      <w:rFonts w:hint="eastAsia"/>
                      <w:sz w:val="18"/>
                      <w:szCs w:val="18"/>
                    </w:rPr>
                    <w:t>每年</w:t>
                  </w:r>
                </w:p>
              </w:tc>
              <w:tc>
                <w:tcPr>
                  <w:tcW w:w="578" w:type="pct"/>
                  <w:vAlign w:val="center"/>
                </w:tcPr>
                <w:p>
                  <w:pPr>
                    <w:adjustRightInd w:val="0"/>
                    <w:snapToGrid w:val="0"/>
                    <w:jc w:val="center"/>
                    <w:rPr>
                      <w:sz w:val="18"/>
                      <w:szCs w:val="18"/>
                    </w:rPr>
                  </w:pPr>
                  <w:r>
                    <w:rPr>
                      <w:rFonts w:hint="eastAsia"/>
                      <w:sz w:val="18"/>
                      <w:szCs w:val="18"/>
                    </w:rPr>
                    <w:t>委托清掏用作农肥</w:t>
                  </w:r>
                </w:p>
              </w:tc>
              <w:tc>
                <w:tcPr>
                  <w:tcW w:w="379" w:type="pct"/>
                  <w:vAlign w:val="center"/>
                </w:tcPr>
                <w:p>
                  <w:pPr>
                    <w:adjustRightInd w:val="0"/>
                    <w:snapToGrid w:val="0"/>
                    <w:jc w:val="center"/>
                    <w:rPr>
                      <w:sz w:val="18"/>
                      <w:szCs w:val="18"/>
                    </w:rPr>
                  </w:pPr>
                  <w:r>
                    <w:rPr>
                      <w:rFonts w:hint="eastAsia"/>
                      <w:sz w:val="18"/>
                      <w:szCs w:val="18"/>
                    </w:rPr>
                    <w:t>符合</w:t>
                  </w:r>
                </w:p>
              </w:tc>
            </w:tr>
          </w:tbl>
          <w:p>
            <w:pPr>
              <w:adjustRightInd w:val="0"/>
              <w:snapToGrid w:val="0"/>
              <w:spacing w:before="120" w:beforeLines="50" w:line="360" w:lineRule="auto"/>
              <w:ind w:firstLine="480" w:firstLineChars="200"/>
              <w:rPr>
                <w:sz w:val="24"/>
              </w:rPr>
            </w:pPr>
            <w:r>
              <w:rPr>
                <w:rFonts w:hint="eastAsia"/>
                <w:sz w:val="24"/>
              </w:rPr>
              <w:t>变压器废油及其容器</w:t>
            </w:r>
            <w:r>
              <w:rPr>
                <w:sz w:val="24"/>
              </w:rPr>
              <w:t>、油抹布等</w:t>
            </w:r>
            <w:r>
              <w:rPr>
                <w:rFonts w:hint="eastAsia"/>
                <w:sz w:val="24"/>
              </w:rPr>
              <w:t>均属于危险废物，在站内设置危险废物暂存间储存，定期委托具备相应危废处理资质的单位清运处置；升压站的废旧铅酸蓄电池</w:t>
            </w:r>
            <w:r>
              <w:rPr>
                <w:sz w:val="24"/>
              </w:rPr>
              <w:t>通知</w:t>
            </w:r>
            <w:r>
              <w:rPr>
                <w:rFonts w:hint="eastAsia"/>
                <w:sz w:val="24"/>
              </w:rPr>
              <w:t>有资质的专业</w:t>
            </w:r>
            <w:r>
              <w:rPr>
                <w:sz w:val="24"/>
              </w:rPr>
              <w:t>厂家及时更换，更换的废旧蓄电池交由</w:t>
            </w:r>
            <w:r>
              <w:rPr>
                <w:rFonts w:hint="eastAsia"/>
                <w:sz w:val="24"/>
              </w:rPr>
              <w:t>有资质</w:t>
            </w:r>
            <w:r>
              <w:rPr>
                <w:sz w:val="24"/>
              </w:rPr>
              <w:t>厂家清运处置，不在站内储存。</w:t>
            </w:r>
            <w:r>
              <w:rPr>
                <w:rFonts w:hint="eastAsia"/>
                <w:sz w:val="24"/>
              </w:rPr>
              <w:t>生活垃圾定期清运，污泥定期委托清掏，产生的废锂电池暂存于一般固废暂存间，交由专业回收厂家回收。</w:t>
            </w:r>
          </w:p>
          <w:p>
            <w:pPr>
              <w:adjustRightInd w:val="0"/>
              <w:snapToGrid w:val="0"/>
              <w:spacing w:line="360" w:lineRule="auto"/>
              <w:ind w:firstLine="480" w:firstLineChars="200"/>
              <w:rPr>
                <w:sz w:val="24"/>
              </w:rPr>
            </w:pPr>
            <w:r>
              <w:rPr>
                <w:rFonts w:hint="eastAsia"/>
                <w:sz w:val="24"/>
              </w:rPr>
              <w:t>项目产生的各项固体废物均采取了治理措施，并明确了处置去向，确保固废的处置符合环保要求，项目固体废物对环境影响不大。</w:t>
            </w:r>
          </w:p>
          <w:p>
            <w:pPr>
              <w:adjustRightInd w:val="0"/>
              <w:snapToGrid w:val="0"/>
              <w:spacing w:line="360" w:lineRule="auto"/>
              <w:ind w:firstLine="480" w:firstLineChars="200"/>
              <w:rPr>
                <w:sz w:val="24"/>
              </w:rPr>
            </w:pPr>
            <w:r>
              <w:rPr>
                <w:sz w:val="24"/>
              </w:rPr>
              <w:t>输电线路运行期无固体废物产生，对环境无影响</w:t>
            </w:r>
            <w:r>
              <w:rPr>
                <w:rFonts w:hint="eastAsia"/>
                <w:sz w:val="24"/>
              </w:rPr>
              <w:t>。</w:t>
            </w:r>
          </w:p>
          <w:p>
            <w:pPr>
              <w:adjustRightInd w:val="0"/>
              <w:snapToGrid w:val="0"/>
              <w:spacing w:line="360" w:lineRule="auto"/>
              <w:ind w:firstLine="480" w:firstLineChars="200"/>
              <w:rPr>
                <w:sz w:val="24"/>
              </w:rPr>
            </w:pPr>
            <w:r>
              <w:rPr>
                <w:rFonts w:hint="eastAsia"/>
                <w:sz w:val="24"/>
              </w:rPr>
              <w:t>顺化330kV变电站</w:t>
            </w:r>
            <w:r>
              <w:rPr>
                <w:sz w:val="24"/>
              </w:rPr>
              <w:t>仅间隔扩建，不增加运行人员，站内设垃圾收集箱，生活垃圾经收集后送至垃圾转运站，由当地环卫部门定期清理处置，对当地环境影响</w:t>
            </w:r>
            <w:r>
              <w:rPr>
                <w:rFonts w:hint="eastAsia"/>
                <w:sz w:val="24"/>
              </w:rPr>
              <w:t>不大</w:t>
            </w:r>
            <w:r>
              <w:rPr>
                <w:sz w:val="24"/>
              </w:rPr>
              <w:t>。</w:t>
            </w:r>
          </w:p>
          <w:p>
            <w:pPr>
              <w:adjustRightInd w:val="0"/>
              <w:snapToGrid w:val="0"/>
              <w:spacing w:before="120" w:beforeLines="50" w:after="120" w:afterLines="50" w:line="360" w:lineRule="auto"/>
              <w:rPr>
                <w:sz w:val="24"/>
              </w:rPr>
            </w:pPr>
            <w:r>
              <w:rPr>
                <w:rFonts w:hint="eastAsia"/>
                <w:b/>
                <w:bCs/>
                <w:sz w:val="24"/>
              </w:rPr>
              <w:t>4.2.6</w:t>
            </w:r>
            <w:r>
              <w:rPr>
                <w:b/>
                <w:bCs/>
                <w:sz w:val="24"/>
              </w:rPr>
              <w:t>生态环境</w:t>
            </w:r>
            <w:r>
              <w:rPr>
                <w:rFonts w:hint="eastAsia"/>
                <w:b/>
                <w:bCs/>
                <w:sz w:val="24"/>
              </w:rPr>
              <w:t>分析</w:t>
            </w:r>
          </w:p>
          <w:p>
            <w:pPr>
              <w:adjustRightInd w:val="0"/>
              <w:snapToGrid w:val="0"/>
              <w:spacing w:line="360" w:lineRule="auto"/>
              <w:ind w:firstLine="480" w:firstLineChars="200"/>
              <w:rPr>
                <w:sz w:val="24"/>
              </w:rPr>
            </w:pPr>
            <w:r>
              <w:rPr>
                <w:rFonts w:hint="eastAsia"/>
                <w:sz w:val="24"/>
              </w:rPr>
              <w:t>本</w:t>
            </w:r>
            <w:r>
              <w:rPr>
                <w:sz w:val="24"/>
              </w:rPr>
              <w:t>项目</w:t>
            </w:r>
            <w:r>
              <w:rPr>
                <w:rFonts w:hint="eastAsia"/>
                <w:sz w:val="24"/>
              </w:rPr>
              <w:t>建设区域不涉及居住、医疗卫生、文化教育、科研、行政办公等为主要功能的区域，且储能电站运行期产生的环境影响主要为噪声及电磁环境影响，输电线路、储能电站生态环境影响主要在施工期。本</w:t>
            </w:r>
            <w:r>
              <w:rPr>
                <w:sz w:val="24"/>
              </w:rPr>
              <w:t>项目</w:t>
            </w:r>
            <w:r>
              <w:rPr>
                <w:rFonts w:hint="eastAsia"/>
                <w:sz w:val="24"/>
              </w:rPr>
              <w:t>施工结束后对临时占地及时恢复，因此，本</w:t>
            </w:r>
            <w:r>
              <w:rPr>
                <w:sz w:val="24"/>
              </w:rPr>
              <w:t>项目</w:t>
            </w:r>
            <w:r>
              <w:rPr>
                <w:rFonts w:hint="eastAsia"/>
                <w:sz w:val="24"/>
              </w:rPr>
              <w:t>运行期不会对周围的生态环境造成不良影响。</w:t>
            </w:r>
          </w:p>
          <w:p>
            <w:pPr>
              <w:adjustRightInd w:val="0"/>
              <w:snapToGrid w:val="0"/>
              <w:spacing w:before="120" w:beforeLines="50" w:after="120" w:afterLines="50" w:line="360" w:lineRule="auto"/>
              <w:rPr>
                <w:sz w:val="24"/>
              </w:rPr>
            </w:pPr>
            <w:r>
              <w:rPr>
                <w:rFonts w:hint="eastAsia"/>
                <w:b/>
                <w:bCs/>
                <w:sz w:val="24"/>
              </w:rPr>
              <w:t>4.2.7环境风险分析</w:t>
            </w:r>
          </w:p>
          <w:p>
            <w:pPr>
              <w:adjustRightInd w:val="0"/>
              <w:snapToGrid w:val="0"/>
              <w:spacing w:line="360" w:lineRule="auto"/>
              <w:ind w:firstLine="482" w:firstLineChars="200"/>
              <w:rPr>
                <w:b/>
                <w:bCs/>
                <w:sz w:val="24"/>
              </w:rPr>
            </w:pPr>
            <w:r>
              <w:rPr>
                <w:rFonts w:hint="eastAsia"/>
                <w:b/>
                <w:bCs/>
                <w:sz w:val="24"/>
              </w:rPr>
              <w:t>（1）输变电工程环境风险识别</w:t>
            </w:r>
          </w:p>
          <w:p>
            <w:pPr>
              <w:adjustRightInd w:val="0"/>
              <w:snapToGrid w:val="0"/>
              <w:spacing w:line="360" w:lineRule="auto"/>
              <w:ind w:firstLine="480" w:firstLineChars="200"/>
              <w:rPr>
                <w:sz w:val="24"/>
              </w:rPr>
            </w:pPr>
            <w:r>
              <w:rPr>
                <w:rFonts w:hint="eastAsia"/>
                <w:sz w:val="24"/>
              </w:rPr>
              <w:t>结合《建设项目环境风险评价技术导则》（HJ 169-2018）及《危险化学品重大危险源识别》（GB 18218-2018）筛选出本项目环境风险物质为变压器油，风险物质存在火灾和爆炸风险。</w:t>
            </w:r>
          </w:p>
          <w:p>
            <w:pPr>
              <w:adjustRightInd w:val="0"/>
              <w:snapToGrid w:val="0"/>
              <w:spacing w:line="360" w:lineRule="auto"/>
              <w:ind w:firstLine="480" w:firstLineChars="200"/>
              <w:rPr>
                <w:sz w:val="24"/>
              </w:rPr>
            </w:pPr>
            <w:r>
              <w:rPr>
                <w:rFonts w:hint="eastAsia"/>
                <w:sz w:val="24"/>
              </w:rPr>
              <w:t>变压器油是天然石油中经过蒸馏、精炼而获得的一种矿物油，是石油中的润滑油馏分经酸碱精制处理得到纯净稳定、粘度小、绝缘性好、冷却性好的液体天然碳氢化合物的混合物，俗称方棚油，浅黄色透明液体，相对密度0.895。凝固点</w:t>
            </w:r>
            <w:r>
              <w:rPr>
                <w:sz w:val="24"/>
              </w:rPr>
              <w:t>＜</w:t>
            </w:r>
            <w:r>
              <w:rPr>
                <w:rFonts w:hint="eastAsia"/>
                <w:sz w:val="24"/>
              </w:rPr>
              <w:t>-45℃。主要由烷烃、环烷族饱和烃、芳香族不饱和烃等化合物组成，主要成分为环烷烃（约占80%），其它为芳香烃和烷烃。</w:t>
            </w:r>
          </w:p>
          <w:p>
            <w:pPr>
              <w:autoSpaceDE w:val="0"/>
              <w:autoSpaceDN w:val="0"/>
              <w:adjustRightInd w:val="0"/>
              <w:snapToGrid w:val="0"/>
              <w:spacing w:line="360" w:lineRule="auto"/>
              <w:ind w:firstLine="480" w:firstLineChars="200"/>
              <w:rPr>
                <w:sz w:val="24"/>
              </w:rPr>
            </w:pPr>
            <w:r>
              <w:rPr>
                <w:rFonts w:hint="eastAsia"/>
                <w:sz w:val="24"/>
              </w:rPr>
              <w:t>根据《建设项目环境风险评价技术导则》（HJ169-2018）附录C，本项目Q值的确定见下表。</w:t>
            </w:r>
          </w:p>
          <w:p>
            <w:pPr>
              <w:autoSpaceDE w:val="0"/>
              <w:autoSpaceDN w:val="0"/>
              <w:adjustRightInd w:val="0"/>
              <w:snapToGrid w:val="0"/>
              <w:spacing w:line="276" w:lineRule="auto"/>
              <w:ind w:firstLine="482" w:firstLineChars="200"/>
              <w:jc w:val="center"/>
              <w:rPr>
                <w:b/>
                <w:sz w:val="24"/>
              </w:rPr>
            </w:pPr>
            <w:r>
              <w:rPr>
                <w:b/>
                <w:kern w:val="24"/>
                <w:sz w:val="24"/>
              </w:rPr>
              <w:t>表</w:t>
            </w:r>
            <w:r>
              <w:rPr>
                <w:rFonts w:hint="eastAsia"/>
                <w:b/>
                <w:kern w:val="24"/>
                <w:sz w:val="24"/>
              </w:rPr>
              <w:t>4-16</w:t>
            </w:r>
            <w:r>
              <w:rPr>
                <w:rFonts w:hint="eastAsia"/>
                <w:b/>
                <w:sz w:val="24"/>
              </w:rPr>
              <w:t xml:space="preserve">    </w:t>
            </w:r>
            <w:r>
              <w:rPr>
                <w:b/>
                <w:sz w:val="24"/>
              </w:rPr>
              <w:t>建设项目Q值确定表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851"/>
              <w:gridCol w:w="959"/>
              <w:gridCol w:w="1657"/>
              <w:gridCol w:w="1295"/>
              <w:gridCol w:w="1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vAlign w:val="center"/>
                </w:tcPr>
                <w:p>
                  <w:pPr>
                    <w:jc w:val="center"/>
                    <w:rPr>
                      <w:b/>
                      <w:szCs w:val="21"/>
                    </w:rPr>
                  </w:pPr>
                  <w:r>
                    <w:rPr>
                      <w:b/>
                      <w:szCs w:val="21"/>
                    </w:rPr>
                    <w:t>序号</w:t>
                  </w:r>
                </w:p>
              </w:tc>
              <w:tc>
                <w:tcPr>
                  <w:tcW w:w="1135" w:type="pct"/>
                  <w:tcBorders>
                    <w:tl2br w:val="nil"/>
                    <w:tr2bl w:val="nil"/>
                  </w:tcBorders>
                  <w:vAlign w:val="center"/>
                </w:tcPr>
                <w:p>
                  <w:pPr>
                    <w:jc w:val="center"/>
                    <w:rPr>
                      <w:b/>
                      <w:szCs w:val="21"/>
                    </w:rPr>
                  </w:pPr>
                  <w:r>
                    <w:rPr>
                      <w:b/>
                      <w:szCs w:val="21"/>
                    </w:rPr>
                    <w:t>危险物质名称</w:t>
                  </w:r>
                </w:p>
              </w:tc>
              <w:tc>
                <w:tcPr>
                  <w:tcW w:w="588" w:type="pct"/>
                  <w:tcBorders>
                    <w:tl2br w:val="nil"/>
                    <w:tr2bl w:val="nil"/>
                  </w:tcBorders>
                  <w:vAlign w:val="center"/>
                </w:tcPr>
                <w:p>
                  <w:pPr>
                    <w:jc w:val="center"/>
                    <w:rPr>
                      <w:b/>
                      <w:szCs w:val="21"/>
                    </w:rPr>
                  </w:pPr>
                  <w:r>
                    <w:rPr>
                      <w:b/>
                      <w:szCs w:val="21"/>
                    </w:rPr>
                    <w:t>CAS号</w:t>
                  </w:r>
                </w:p>
              </w:tc>
              <w:tc>
                <w:tcPr>
                  <w:tcW w:w="1016" w:type="pct"/>
                  <w:tcBorders>
                    <w:tl2br w:val="nil"/>
                    <w:tr2bl w:val="nil"/>
                  </w:tcBorders>
                  <w:vAlign w:val="center"/>
                </w:tcPr>
                <w:p>
                  <w:pPr>
                    <w:jc w:val="center"/>
                    <w:rPr>
                      <w:b/>
                      <w:szCs w:val="21"/>
                    </w:rPr>
                  </w:pPr>
                  <w:r>
                    <w:rPr>
                      <w:b/>
                      <w:szCs w:val="21"/>
                    </w:rPr>
                    <w:t>最大存在量（qn/t）</w:t>
                  </w:r>
                </w:p>
              </w:tc>
              <w:tc>
                <w:tcPr>
                  <w:tcW w:w="794" w:type="pct"/>
                  <w:tcBorders>
                    <w:tl2br w:val="nil"/>
                    <w:tr2bl w:val="nil"/>
                  </w:tcBorders>
                  <w:vAlign w:val="center"/>
                </w:tcPr>
                <w:p>
                  <w:pPr>
                    <w:jc w:val="center"/>
                    <w:rPr>
                      <w:b/>
                      <w:szCs w:val="21"/>
                    </w:rPr>
                  </w:pPr>
                  <w:r>
                    <w:rPr>
                      <w:b/>
                      <w:szCs w:val="21"/>
                    </w:rPr>
                    <w:t>临界量（Qn/t）</w:t>
                  </w:r>
                </w:p>
              </w:tc>
              <w:tc>
                <w:tcPr>
                  <w:tcW w:w="1044" w:type="pct"/>
                  <w:tcBorders>
                    <w:tl2br w:val="nil"/>
                    <w:tr2bl w:val="nil"/>
                  </w:tcBorders>
                  <w:vAlign w:val="center"/>
                </w:tcPr>
                <w:p>
                  <w:pPr>
                    <w:jc w:val="center"/>
                    <w:rPr>
                      <w:b/>
                      <w:szCs w:val="21"/>
                    </w:rPr>
                  </w:pPr>
                  <w:r>
                    <w:rPr>
                      <w:b/>
                      <w:szCs w:val="21"/>
                    </w:rPr>
                    <w:t>该种危险</w:t>
                  </w:r>
                </w:p>
                <w:p>
                  <w:pPr>
                    <w:jc w:val="center"/>
                    <w:rPr>
                      <w:b/>
                      <w:szCs w:val="21"/>
                    </w:rPr>
                  </w:pPr>
                  <w:r>
                    <w:rPr>
                      <w:b/>
                      <w:szCs w:val="21"/>
                    </w:rPr>
                    <w:t>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vAlign w:val="center"/>
                </w:tcPr>
                <w:p>
                  <w:pPr>
                    <w:spacing w:line="228" w:lineRule="auto"/>
                    <w:jc w:val="center"/>
                    <w:rPr>
                      <w:szCs w:val="21"/>
                    </w:rPr>
                  </w:pPr>
                  <w:r>
                    <w:rPr>
                      <w:szCs w:val="21"/>
                    </w:rPr>
                    <w:t>1</w:t>
                  </w:r>
                </w:p>
              </w:tc>
              <w:tc>
                <w:tcPr>
                  <w:tcW w:w="1135" w:type="pct"/>
                  <w:tcBorders>
                    <w:tl2br w:val="nil"/>
                    <w:tr2bl w:val="nil"/>
                  </w:tcBorders>
                  <w:vAlign w:val="center"/>
                </w:tcPr>
                <w:p>
                  <w:pPr>
                    <w:spacing w:line="228" w:lineRule="auto"/>
                    <w:jc w:val="center"/>
                    <w:rPr>
                      <w:szCs w:val="21"/>
                    </w:rPr>
                  </w:pPr>
                  <w:r>
                    <w:rPr>
                      <w:rFonts w:hint="eastAsia"/>
                      <w:szCs w:val="21"/>
                    </w:rPr>
                    <w:t>油类物质（矿物油类）</w:t>
                  </w:r>
                </w:p>
              </w:tc>
              <w:tc>
                <w:tcPr>
                  <w:tcW w:w="588" w:type="pct"/>
                  <w:tcBorders>
                    <w:tl2br w:val="nil"/>
                    <w:tr2bl w:val="nil"/>
                  </w:tcBorders>
                  <w:vAlign w:val="center"/>
                </w:tcPr>
                <w:p>
                  <w:pPr>
                    <w:spacing w:line="228" w:lineRule="auto"/>
                    <w:jc w:val="center"/>
                    <w:rPr>
                      <w:szCs w:val="21"/>
                    </w:rPr>
                  </w:pPr>
                  <w:r>
                    <w:rPr>
                      <w:szCs w:val="21"/>
                    </w:rPr>
                    <w:t>/</w:t>
                  </w:r>
                </w:p>
              </w:tc>
              <w:tc>
                <w:tcPr>
                  <w:tcW w:w="1016" w:type="pct"/>
                  <w:tcBorders>
                    <w:tl2br w:val="nil"/>
                    <w:tr2bl w:val="nil"/>
                  </w:tcBorders>
                  <w:vAlign w:val="center"/>
                </w:tcPr>
                <w:p>
                  <w:pPr>
                    <w:spacing w:line="228" w:lineRule="auto"/>
                    <w:jc w:val="center"/>
                  </w:pPr>
                  <w:r>
                    <w:rPr>
                      <w:rFonts w:hint="eastAsia"/>
                    </w:rPr>
                    <w:t>155</w:t>
                  </w:r>
                </w:p>
              </w:tc>
              <w:tc>
                <w:tcPr>
                  <w:tcW w:w="794" w:type="pct"/>
                  <w:tcBorders>
                    <w:tl2br w:val="nil"/>
                    <w:tr2bl w:val="nil"/>
                  </w:tcBorders>
                  <w:vAlign w:val="center"/>
                </w:tcPr>
                <w:p>
                  <w:pPr>
                    <w:spacing w:line="228" w:lineRule="auto"/>
                    <w:jc w:val="center"/>
                    <w:rPr>
                      <w:szCs w:val="21"/>
                    </w:rPr>
                  </w:pPr>
                  <w:r>
                    <w:rPr>
                      <w:rFonts w:hint="eastAsia"/>
                      <w:szCs w:val="21"/>
                    </w:rPr>
                    <w:t>2500</w:t>
                  </w:r>
                </w:p>
              </w:tc>
              <w:tc>
                <w:tcPr>
                  <w:tcW w:w="1044" w:type="pct"/>
                  <w:tcBorders>
                    <w:tl2br w:val="nil"/>
                    <w:tr2bl w:val="nil"/>
                  </w:tcBorders>
                  <w:vAlign w:val="center"/>
                </w:tcPr>
                <w:p>
                  <w:pPr>
                    <w:spacing w:line="228" w:lineRule="auto"/>
                    <w:jc w:val="center"/>
                    <w:rPr>
                      <w:szCs w:val="21"/>
                    </w:rPr>
                  </w:pPr>
                  <w:r>
                    <w:rPr>
                      <w:rFonts w:hint="eastAsia"/>
                      <w:szCs w:val="21"/>
                    </w:rPr>
                    <w:t>0.062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5" w:type="pct"/>
                  <w:gridSpan w:val="5"/>
                  <w:tcBorders>
                    <w:tl2br w:val="nil"/>
                    <w:tr2bl w:val="nil"/>
                  </w:tcBorders>
                  <w:vAlign w:val="center"/>
                </w:tcPr>
                <w:p>
                  <w:pPr>
                    <w:spacing w:line="228" w:lineRule="auto"/>
                    <w:jc w:val="center"/>
                    <w:rPr>
                      <w:szCs w:val="21"/>
                    </w:rPr>
                  </w:pPr>
                  <w:r>
                    <w:rPr>
                      <w:szCs w:val="21"/>
                    </w:rPr>
                    <w:t>项目Q值</w:t>
                  </w:r>
                </w:p>
              </w:tc>
              <w:tc>
                <w:tcPr>
                  <w:tcW w:w="1044" w:type="pct"/>
                  <w:tcBorders>
                    <w:tl2br w:val="nil"/>
                    <w:tr2bl w:val="nil"/>
                  </w:tcBorders>
                  <w:vAlign w:val="center"/>
                </w:tcPr>
                <w:p>
                  <w:pPr>
                    <w:spacing w:line="228" w:lineRule="auto"/>
                    <w:jc w:val="center"/>
                    <w:rPr>
                      <w:szCs w:val="21"/>
                    </w:rPr>
                  </w:pPr>
                  <w:r>
                    <w:rPr>
                      <w:rFonts w:hint="eastAsia"/>
                      <w:szCs w:val="21"/>
                    </w:rPr>
                    <w:t>0.062</w:t>
                  </w:r>
                </w:p>
              </w:tc>
            </w:tr>
          </w:tbl>
          <w:p>
            <w:pPr>
              <w:adjustRightInd w:val="0"/>
              <w:snapToGrid w:val="0"/>
              <w:spacing w:before="120" w:beforeLines="50" w:line="360" w:lineRule="auto"/>
              <w:ind w:firstLine="480" w:firstLineChars="200"/>
              <w:rPr>
                <w:b/>
                <w:bCs/>
                <w:sz w:val="24"/>
              </w:rPr>
            </w:pPr>
            <w:r>
              <w:rPr>
                <w:rFonts w:hint="eastAsia"/>
                <w:sz w:val="24"/>
              </w:rPr>
              <w:t>由上表可知，项目Q值＜1，</w:t>
            </w:r>
            <w:r>
              <w:rPr>
                <w:sz w:val="24"/>
              </w:rPr>
              <w:t>环境风险潜势为Ⅰ</w:t>
            </w:r>
            <w:r>
              <w:rPr>
                <w:rFonts w:hint="eastAsia"/>
                <w:sz w:val="24"/>
              </w:rPr>
              <w:t>，项目所用的变压器油不构成重大风险源，环境风险可开展简单分析</w:t>
            </w:r>
            <w:r>
              <w:rPr>
                <w:rFonts w:hint="eastAsia"/>
                <w:b/>
                <w:bCs/>
                <w:sz w:val="24"/>
              </w:rPr>
              <w:t>。</w:t>
            </w:r>
          </w:p>
          <w:p>
            <w:pPr>
              <w:adjustRightInd w:val="0"/>
              <w:snapToGrid w:val="0"/>
              <w:spacing w:line="360" w:lineRule="auto"/>
              <w:ind w:firstLine="480" w:firstLineChars="200"/>
              <w:rPr>
                <w:sz w:val="24"/>
              </w:rPr>
            </w:pPr>
            <w:r>
              <w:rPr>
                <w:rFonts w:hint="eastAsia"/>
                <w:sz w:val="24"/>
              </w:rPr>
              <w:t>本</w:t>
            </w:r>
            <w:r>
              <w:rPr>
                <w:sz w:val="24"/>
              </w:rPr>
              <w:t>项目</w:t>
            </w:r>
            <w:r>
              <w:rPr>
                <w:rFonts w:hint="eastAsia"/>
                <w:sz w:val="24"/>
              </w:rPr>
              <w:t>在施工期、运行期可能引发环境风险事故的主要隐患为变压器绝缘油外泄。</w:t>
            </w:r>
          </w:p>
          <w:p>
            <w:pPr>
              <w:adjustRightInd w:val="0"/>
              <w:snapToGrid w:val="0"/>
              <w:spacing w:before="120" w:beforeLines="50" w:line="360" w:lineRule="auto"/>
              <w:jc w:val="center"/>
              <w:rPr>
                <w:b/>
                <w:bCs/>
                <w:sz w:val="24"/>
              </w:rPr>
            </w:pPr>
            <w:r>
              <w:rPr>
                <w:rFonts w:hint="eastAsia"/>
                <w:b/>
                <w:bCs/>
                <w:sz w:val="24"/>
              </w:rPr>
              <w:t>表4-17   建设项目环境风险简单分析内容表</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951"/>
              <w:gridCol w:w="2289"/>
              <w:gridCol w:w="951"/>
              <w:gridCol w:w="1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l2br w:val="nil"/>
                    <w:tr2bl w:val="nil"/>
                  </w:tcBorders>
                  <w:vAlign w:val="center"/>
                </w:tcPr>
                <w:p>
                  <w:pPr>
                    <w:adjustRightInd w:val="0"/>
                    <w:snapToGrid w:val="0"/>
                    <w:jc w:val="center"/>
                    <w:rPr>
                      <w:snapToGrid w:val="0"/>
                      <w:kern w:val="21"/>
                      <w:szCs w:val="21"/>
                    </w:rPr>
                  </w:pPr>
                  <w:r>
                    <w:rPr>
                      <w:rFonts w:ascii="宋体" w:hAnsi="宋体" w:cs="宋体"/>
                      <w:snapToGrid w:val="0"/>
                      <w:kern w:val="21"/>
                      <w:szCs w:val="21"/>
                    </w:rPr>
                    <w:t>建设项目名称</w:t>
                  </w:r>
                </w:p>
              </w:tc>
              <w:tc>
                <w:tcPr>
                  <w:tcW w:w="0" w:type="auto"/>
                  <w:gridSpan w:val="4"/>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民乐县500MW/1000MWh共享储能电站项目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l2br w:val="nil"/>
                    <w:tr2bl w:val="nil"/>
                  </w:tcBorders>
                  <w:vAlign w:val="center"/>
                </w:tcPr>
                <w:p>
                  <w:pPr>
                    <w:adjustRightInd w:val="0"/>
                    <w:snapToGrid w:val="0"/>
                    <w:jc w:val="center"/>
                    <w:rPr>
                      <w:snapToGrid w:val="0"/>
                      <w:kern w:val="21"/>
                      <w:szCs w:val="21"/>
                    </w:rPr>
                  </w:pPr>
                  <w:r>
                    <w:rPr>
                      <w:rFonts w:ascii="宋体" w:hAnsi="宋体" w:cs="宋体"/>
                      <w:snapToGrid w:val="0"/>
                      <w:kern w:val="21"/>
                      <w:szCs w:val="21"/>
                    </w:rPr>
                    <w:t>建设地点</w:t>
                  </w:r>
                </w:p>
              </w:tc>
              <w:tc>
                <w:tcPr>
                  <w:tcW w:w="0" w:type="auto"/>
                  <w:gridSpan w:val="4"/>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甘肃省张掖市民乐县六坝镇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l2br w:val="nil"/>
                    <w:tr2bl w:val="nil"/>
                  </w:tcBorders>
                  <w:vAlign w:val="center"/>
                </w:tcPr>
                <w:p>
                  <w:pPr>
                    <w:adjustRightInd w:val="0"/>
                    <w:snapToGrid w:val="0"/>
                    <w:jc w:val="center"/>
                    <w:rPr>
                      <w:snapToGrid w:val="0"/>
                      <w:kern w:val="21"/>
                      <w:szCs w:val="21"/>
                    </w:rPr>
                  </w:pPr>
                  <w:r>
                    <w:rPr>
                      <w:rFonts w:ascii="宋体" w:hAnsi="宋体" w:cs="宋体"/>
                      <w:snapToGrid w:val="0"/>
                      <w:kern w:val="21"/>
                      <w:szCs w:val="21"/>
                    </w:rPr>
                    <w:t>地理坐标</w:t>
                  </w:r>
                </w:p>
              </w:tc>
              <w:tc>
                <w:tcPr>
                  <w:tcW w:w="0" w:type="auto"/>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经度</w:t>
                  </w:r>
                </w:p>
              </w:tc>
              <w:tc>
                <w:tcPr>
                  <w:tcW w:w="0" w:type="auto"/>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100</w:t>
                  </w:r>
                  <w:r>
                    <w:rPr>
                      <w:snapToGrid w:val="0"/>
                      <w:kern w:val="21"/>
                      <w:szCs w:val="21"/>
                    </w:rPr>
                    <w:t>°</w:t>
                  </w:r>
                  <w:r>
                    <w:rPr>
                      <w:rFonts w:hint="eastAsia"/>
                      <w:snapToGrid w:val="0"/>
                      <w:kern w:val="21"/>
                      <w:szCs w:val="21"/>
                    </w:rPr>
                    <w:t>44</w:t>
                  </w:r>
                  <w:r>
                    <w:rPr>
                      <w:snapToGrid w:val="0"/>
                      <w:kern w:val="21"/>
                      <w:szCs w:val="21"/>
                    </w:rPr>
                    <w:t>′</w:t>
                  </w:r>
                  <w:r>
                    <w:rPr>
                      <w:rFonts w:hint="eastAsia"/>
                      <w:snapToGrid w:val="0"/>
                      <w:kern w:val="21"/>
                      <w:szCs w:val="21"/>
                    </w:rPr>
                    <w:t>48.5</w:t>
                  </w:r>
                  <w:r>
                    <w:rPr>
                      <w:snapToGrid w:val="0"/>
                      <w:kern w:val="21"/>
                      <w:szCs w:val="21"/>
                    </w:rPr>
                    <w:t>″</w:t>
                  </w:r>
                </w:p>
              </w:tc>
              <w:tc>
                <w:tcPr>
                  <w:tcW w:w="0" w:type="auto"/>
                  <w:tcBorders>
                    <w:tl2br w:val="nil"/>
                    <w:tr2bl w:val="nil"/>
                  </w:tcBorders>
                  <w:vAlign w:val="center"/>
                </w:tcPr>
                <w:p>
                  <w:pPr>
                    <w:adjustRightInd w:val="0"/>
                    <w:snapToGrid w:val="0"/>
                    <w:jc w:val="center"/>
                    <w:rPr>
                      <w:snapToGrid w:val="0"/>
                      <w:kern w:val="21"/>
                      <w:szCs w:val="21"/>
                    </w:rPr>
                  </w:pPr>
                  <w:r>
                    <w:rPr>
                      <w:snapToGrid w:val="0"/>
                      <w:kern w:val="21"/>
                      <w:szCs w:val="21"/>
                    </w:rPr>
                    <w:t>纬度</w:t>
                  </w:r>
                </w:p>
              </w:tc>
              <w:tc>
                <w:tcPr>
                  <w:tcW w:w="0" w:type="auto"/>
                  <w:tcBorders>
                    <w:tl2br w:val="nil"/>
                    <w:tr2bl w:val="nil"/>
                  </w:tcBorders>
                  <w:vAlign w:val="center"/>
                </w:tcPr>
                <w:p>
                  <w:pPr>
                    <w:adjustRightInd w:val="0"/>
                    <w:snapToGrid w:val="0"/>
                    <w:jc w:val="center"/>
                    <w:rPr>
                      <w:snapToGrid w:val="0"/>
                      <w:kern w:val="21"/>
                      <w:szCs w:val="21"/>
                    </w:rPr>
                  </w:pPr>
                  <w:r>
                    <w:rPr>
                      <w:snapToGrid w:val="0"/>
                      <w:kern w:val="21"/>
                      <w:szCs w:val="21"/>
                    </w:rPr>
                    <w:t>3</w:t>
                  </w:r>
                  <w:r>
                    <w:rPr>
                      <w:rFonts w:hint="eastAsia"/>
                      <w:snapToGrid w:val="0"/>
                      <w:kern w:val="21"/>
                      <w:szCs w:val="21"/>
                    </w:rPr>
                    <w:t>8</w:t>
                  </w:r>
                  <w:r>
                    <w:rPr>
                      <w:snapToGrid w:val="0"/>
                      <w:kern w:val="21"/>
                      <w:szCs w:val="21"/>
                    </w:rPr>
                    <w:t>°</w:t>
                  </w:r>
                  <w:r>
                    <w:rPr>
                      <w:rFonts w:hint="eastAsia"/>
                      <w:snapToGrid w:val="0"/>
                      <w:kern w:val="21"/>
                      <w:szCs w:val="21"/>
                    </w:rPr>
                    <w:t>41</w:t>
                  </w:r>
                  <w:r>
                    <w:rPr>
                      <w:snapToGrid w:val="0"/>
                      <w:kern w:val="21"/>
                      <w:szCs w:val="21"/>
                    </w:rPr>
                    <w:t>′</w:t>
                  </w:r>
                  <w:r>
                    <w:rPr>
                      <w:rFonts w:hint="eastAsia"/>
                      <w:snapToGrid w:val="0"/>
                      <w:kern w:val="21"/>
                      <w:szCs w:val="21"/>
                    </w:rPr>
                    <w:t>1.1</w:t>
                  </w:r>
                  <w:r>
                    <w:rPr>
                      <w:snapToGrid w:val="0"/>
                      <w:kern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l2br w:val="nil"/>
                    <w:tr2bl w:val="nil"/>
                  </w:tcBorders>
                  <w:vAlign w:val="center"/>
                </w:tcPr>
                <w:p>
                  <w:pPr>
                    <w:adjustRightInd w:val="0"/>
                    <w:snapToGrid w:val="0"/>
                    <w:jc w:val="center"/>
                    <w:rPr>
                      <w:snapToGrid w:val="0"/>
                      <w:kern w:val="21"/>
                      <w:szCs w:val="21"/>
                    </w:rPr>
                  </w:pPr>
                  <w:r>
                    <w:rPr>
                      <w:rFonts w:ascii="宋体" w:hAnsi="宋体" w:cs="宋体"/>
                      <w:snapToGrid w:val="0"/>
                      <w:kern w:val="21"/>
                      <w:szCs w:val="21"/>
                    </w:rPr>
                    <w:t>主要危险物质及分布</w:t>
                  </w:r>
                </w:p>
              </w:tc>
              <w:tc>
                <w:tcPr>
                  <w:tcW w:w="0" w:type="auto"/>
                  <w:gridSpan w:val="4"/>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变压器油、升压站主变压器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l2br w:val="nil"/>
                    <w:tr2bl w:val="nil"/>
                  </w:tcBorders>
                  <w:vAlign w:val="center"/>
                </w:tcPr>
                <w:p>
                  <w:pPr>
                    <w:adjustRightInd w:val="0"/>
                    <w:snapToGrid w:val="0"/>
                    <w:jc w:val="center"/>
                    <w:rPr>
                      <w:snapToGrid w:val="0"/>
                      <w:kern w:val="21"/>
                      <w:szCs w:val="21"/>
                    </w:rPr>
                  </w:pPr>
                  <w:r>
                    <w:rPr>
                      <w:rFonts w:ascii="宋体" w:hAnsi="宋体" w:cs="宋体"/>
                      <w:snapToGrid w:val="0"/>
                      <w:kern w:val="21"/>
                      <w:szCs w:val="21"/>
                    </w:rPr>
                    <w:t>环境影响途径及危害后果（大气、地表水、地下水等）</w:t>
                  </w:r>
                </w:p>
              </w:tc>
              <w:tc>
                <w:tcPr>
                  <w:tcW w:w="0" w:type="auto"/>
                  <w:gridSpan w:val="4"/>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影响途径：主变压器外壳或油桶破裂发生泄漏，进而引发发生火灾、爆炸等事故。</w:t>
                  </w:r>
                </w:p>
                <w:p>
                  <w:pPr>
                    <w:adjustRightInd w:val="0"/>
                    <w:snapToGrid w:val="0"/>
                    <w:jc w:val="center"/>
                    <w:rPr>
                      <w:snapToGrid w:val="0"/>
                      <w:kern w:val="21"/>
                      <w:szCs w:val="21"/>
                    </w:rPr>
                  </w:pPr>
                  <w:r>
                    <w:rPr>
                      <w:rFonts w:hint="eastAsia"/>
                      <w:snapToGrid w:val="0"/>
                      <w:kern w:val="21"/>
                      <w:szCs w:val="21"/>
                    </w:rPr>
                    <w:t>危害后果：对大气环境的污染，对人员及建筑物的损伤。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l2br w:val="nil"/>
                    <w:tr2bl w:val="nil"/>
                  </w:tcBorders>
                  <w:vAlign w:val="center"/>
                </w:tcPr>
                <w:p>
                  <w:pPr>
                    <w:adjustRightInd w:val="0"/>
                    <w:snapToGrid w:val="0"/>
                    <w:jc w:val="center"/>
                    <w:rPr>
                      <w:snapToGrid w:val="0"/>
                      <w:kern w:val="21"/>
                      <w:szCs w:val="21"/>
                    </w:rPr>
                  </w:pPr>
                  <w:r>
                    <w:rPr>
                      <w:rFonts w:hint="eastAsia"/>
                      <w:snapToGrid w:val="0"/>
                      <w:kern w:val="21"/>
                      <w:szCs w:val="21"/>
                    </w:rPr>
                    <w:t>风险防范措施要求</w:t>
                  </w:r>
                </w:p>
              </w:tc>
              <w:tc>
                <w:tcPr>
                  <w:tcW w:w="0" w:type="auto"/>
                  <w:gridSpan w:val="4"/>
                  <w:tcBorders>
                    <w:tl2br w:val="nil"/>
                    <w:tr2bl w:val="nil"/>
                  </w:tcBorders>
                  <w:vAlign w:val="center"/>
                </w:tcPr>
                <w:p>
                  <w:pPr>
                    <w:adjustRightInd w:val="0"/>
                    <w:snapToGrid w:val="0"/>
                    <w:rPr>
                      <w:snapToGrid w:val="0"/>
                      <w:kern w:val="21"/>
                      <w:szCs w:val="21"/>
                    </w:rPr>
                  </w:pPr>
                  <w:r>
                    <w:rPr>
                      <w:rFonts w:hint="eastAsia"/>
                      <w:snapToGrid w:val="0"/>
                      <w:kern w:val="21"/>
                      <w:szCs w:val="21"/>
                    </w:rPr>
                    <w:t>1、主变压器外壳配备泄漏检测报警装置；</w:t>
                  </w:r>
                </w:p>
                <w:p>
                  <w:pPr>
                    <w:adjustRightInd w:val="0"/>
                    <w:snapToGrid w:val="0"/>
                    <w:rPr>
                      <w:snapToGrid w:val="0"/>
                      <w:kern w:val="21"/>
                      <w:szCs w:val="21"/>
                    </w:rPr>
                  </w:pPr>
                  <w:r>
                    <w:rPr>
                      <w:rFonts w:hint="eastAsia"/>
                      <w:snapToGrid w:val="0"/>
                      <w:kern w:val="21"/>
                      <w:szCs w:val="21"/>
                    </w:rPr>
                    <w:t>2、变压器油储存设施取防渗、防火处理，并定期巡检；</w:t>
                  </w:r>
                </w:p>
                <w:p>
                  <w:pPr>
                    <w:adjustRightInd w:val="0"/>
                    <w:snapToGrid w:val="0"/>
                    <w:rPr>
                      <w:snapToGrid w:val="0"/>
                      <w:kern w:val="21"/>
                      <w:szCs w:val="21"/>
                    </w:rPr>
                  </w:pPr>
                  <w:r>
                    <w:rPr>
                      <w:rFonts w:hint="eastAsia"/>
                      <w:snapToGrid w:val="0"/>
                      <w:kern w:val="21"/>
                      <w:szCs w:val="21"/>
                    </w:rPr>
                    <w:t>3、按照《危险废物贮存污染控制标准》（GB 18597-2001）及其修改单要求设置事故油池，以妥善收集事故状态下泄漏的变压器废油；</w:t>
                  </w:r>
                </w:p>
                <w:p>
                  <w:pPr>
                    <w:adjustRightInd w:val="0"/>
                    <w:snapToGrid w:val="0"/>
                    <w:rPr>
                      <w:snapToGrid w:val="0"/>
                      <w:kern w:val="21"/>
                      <w:szCs w:val="21"/>
                    </w:rPr>
                  </w:pPr>
                  <w:r>
                    <w:rPr>
                      <w:rFonts w:hint="eastAsia"/>
                      <w:snapToGrid w:val="0"/>
                      <w:kern w:val="21"/>
                      <w:szCs w:val="21"/>
                    </w:rPr>
                    <w:t>4、总图布置按照功能分区，各单元之间间距必须符合《建筑设计防火规范》中相应的防火、防爆要求；</w:t>
                  </w:r>
                </w:p>
                <w:p>
                  <w:pPr>
                    <w:adjustRightInd w:val="0"/>
                    <w:snapToGrid w:val="0"/>
                    <w:rPr>
                      <w:snapToGrid w:val="0"/>
                      <w:kern w:val="21"/>
                      <w:szCs w:val="21"/>
                    </w:rPr>
                  </w:pPr>
                  <w:r>
                    <w:rPr>
                      <w:rFonts w:hint="eastAsia"/>
                      <w:snapToGrid w:val="0"/>
                      <w:kern w:val="21"/>
                      <w:szCs w:val="21"/>
                    </w:rPr>
                    <w:t>5、密切关注事故易发部位，做好运行检查与维修保养，防患于未然；</w:t>
                  </w:r>
                </w:p>
                <w:p>
                  <w:pPr>
                    <w:adjustRightInd w:val="0"/>
                    <w:snapToGrid w:val="0"/>
                    <w:rPr>
                      <w:snapToGrid w:val="0"/>
                      <w:kern w:val="21"/>
                      <w:szCs w:val="21"/>
                    </w:rPr>
                  </w:pPr>
                  <w:r>
                    <w:rPr>
                      <w:rFonts w:hint="eastAsia"/>
                      <w:snapToGrid w:val="0"/>
                      <w:kern w:val="21"/>
                      <w:szCs w:val="21"/>
                    </w:rPr>
                    <w:t>6、配备足量的消防设施；</w:t>
                  </w:r>
                </w:p>
                <w:p>
                  <w:pPr>
                    <w:adjustRightInd w:val="0"/>
                    <w:snapToGrid w:val="0"/>
                    <w:rPr>
                      <w:snapToGrid w:val="0"/>
                      <w:kern w:val="21"/>
                      <w:szCs w:val="21"/>
                    </w:rPr>
                  </w:pPr>
                  <w:r>
                    <w:rPr>
                      <w:rFonts w:hint="eastAsia"/>
                      <w:snapToGrid w:val="0"/>
                      <w:kern w:val="21"/>
                      <w:szCs w:val="21"/>
                    </w:rPr>
                    <w:t>7、定期开展安全技术规范培训，安全操作规程悬挂于厂区醒目位置；</w:t>
                  </w:r>
                </w:p>
                <w:p>
                  <w:pPr>
                    <w:adjustRightInd w:val="0"/>
                    <w:snapToGrid w:val="0"/>
                    <w:rPr>
                      <w:snapToGrid w:val="0"/>
                      <w:kern w:val="21"/>
                      <w:szCs w:val="21"/>
                    </w:rPr>
                  </w:pPr>
                  <w:r>
                    <w:rPr>
                      <w:rFonts w:hint="eastAsia"/>
                      <w:snapToGrid w:val="0"/>
                      <w:kern w:val="21"/>
                      <w:szCs w:val="21"/>
                    </w:rPr>
                    <w:t>8、工作人员须经过专业培训，熟悉危险物质的特性、事故处理办法和防护知识；</w:t>
                  </w:r>
                </w:p>
                <w:p>
                  <w:pPr>
                    <w:adjustRightInd w:val="0"/>
                    <w:snapToGrid w:val="0"/>
                    <w:rPr>
                      <w:snapToGrid w:val="0"/>
                      <w:kern w:val="21"/>
                      <w:szCs w:val="21"/>
                    </w:rPr>
                  </w:pPr>
                  <w:r>
                    <w:rPr>
                      <w:rFonts w:hint="eastAsia"/>
                      <w:snapToGrid w:val="0"/>
                      <w:kern w:val="21"/>
                      <w:szCs w:val="21"/>
                    </w:rPr>
                    <w:t>9、编制应急预案并适时修订；</w:t>
                  </w:r>
                </w:p>
                <w:p>
                  <w:pPr>
                    <w:adjustRightInd w:val="0"/>
                    <w:snapToGrid w:val="0"/>
                    <w:rPr>
                      <w:snapToGrid w:val="0"/>
                      <w:kern w:val="21"/>
                      <w:szCs w:val="21"/>
                    </w:rPr>
                  </w:pPr>
                  <w:r>
                    <w:rPr>
                      <w:rFonts w:hint="eastAsia"/>
                      <w:snapToGrid w:val="0"/>
                      <w:kern w:val="21"/>
                      <w:szCs w:val="21"/>
                    </w:rPr>
                    <w:t>10、建立健全储能电站安全、环境管理体系，加强站内管理，定期举行安全教育，开展突发环境事件应急演练。</w:t>
                  </w:r>
                </w:p>
              </w:tc>
            </w:tr>
          </w:tbl>
          <w:p>
            <w:pPr>
              <w:adjustRightInd w:val="0"/>
              <w:snapToGrid w:val="0"/>
              <w:spacing w:before="120" w:beforeLines="50" w:line="360" w:lineRule="auto"/>
              <w:ind w:firstLine="482" w:firstLineChars="200"/>
              <w:rPr>
                <w:b/>
                <w:bCs/>
                <w:sz w:val="24"/>
              </w:rPr>
            </w:pPr>
            <w:r>
              <w:rPr>
                <w:rFonts w:hint="eastAsia"/>
                <w:b/>
                <w:bCs/>
                <w:sz w:val="24"/>
              </w:rPr>
              <w:t>（2）事故漏油风险分析</w:t>
            </w:r>
          </w:p>
          <w:p>
            <w:pPr>
              <w:adjustRightInd w:val="0"/>
              <w:snapToGrid w:val="0"/>
              <w:spacing w:line="360" w:lineRule="auto"/>
              <w:ind w:firstLine="480" w:firstLineChars="200"/>
              <w:rPr>
                <w:sz w:val="24"/>
              </w:rPr>
            </w:pPr>
            <w:r>
              <w:rPr>
                <w:rFonts w:hint="eastAsia"/>
                <w:sz w:val="24"/>
              </w:rPr>
              <w:t>在正常运行状态下，站内含油设备无油外排。</w:t>
            </w:r>
            <w:r>
              <w:rPr>
                <w:rStyle w:val="28"/>
                <w:rFonts w:hint="eastAsia"/>
                <w:kern w:val="0"/>
                <w:sz w:val="24"/>
              </w:rPr>
              <w:t>正常</w:t>
            </w:r>
            <w:r>
              <w:rPr>
                <w:rFonts w:hint="eastAsia"/>
                <w:sz w:val="24"/>
              </w:rPr>
              <w:t>检修过程中，变压器油由专用工具收集，存放在事先准备好的容器内，在检修工作完毕后，再将变压器油注入用油设备，无变压器油外排，一般只有事故发生并失控时才会发生变压器油外泄。</w:t>
            </w:r>
          </w:p>
          <w:p>
            <w:pPr>
              <w:adjustRightInd w:val="0"/>
              <w:snapToGrid w:val="0"/>
              <w:spacing w:line="360" w:lineRule="auto"/>
              <w:ind w:firstLine="480" w:firstLineChars="200"/>
              <w:rPr>
                <w:sz w:val="24"/>
              </w:rPr>
            </w:pPr>
            <w:r>
              <w:rPr>
                <w:rFonts w:hint="eastAsia"/>
                <w:sz w:val="24"/>
              </w:rPr>
              <w:t>环境风险事故发生的原因可能为违章作业、误操作、设备出现故障、遇明火或微电引起的火灾事故等。另外，自然灾害、人为破坏等因素也可能引发环境风险事故。站内一般均设置有事故油排蓄系统。每台主变压器下设置有事故油挡油设施，其内铺设卵石层，底部四周设有排油槽并与事故油池相连。</w:t>
            </w:r>
          </w:p>
          <w:p>
            <w:pPr>
              <w:adjustRightInd w:val="0"/>
              <w:snapToGrid w:val="0"/>
              <w:spacing w:line="360" w:lineRule="auto"/>
              <w:ind w:firstLine="480" w:firstLineChars="200"/>
              <w:rPr>
                <w:sz w:val="24"/>
              </w:rPr>
            </w:pPr>
            <w:r>
              <w:rPr>
                <w:rFonts w:hint="eastAsia"/>
                <w:sz w:val="24"/>
              </w:rPr>
              <w:t>一旦设备发生事故时，所有的外泄绝缘油或油水混合物将渗过卵石层，经排油槽收集，通过事故排油管道排至事故油池，事故油池具有油水分类功能。通过油水分离设施进行油水分离，变压器油由厂家回收，形成的油污水交由有危废处理资质的单位处置，不外排。</w:t>
            </w:r>
          </w:p>
          <w:p>
            <w:pPr>
              <w:adjustRightInd w:val="0"/>
              <w:snapToGrid w:val="0"/>
              <w:spacing w:line="360" w:lineRule="auto"/>
              <w:ind w:firstLine="482" w:firstLineChars="200"/>
              <w:rPr>
                <w:b/>
                <w:bCs/>
                <w:sz w:val="24"/>
              </w:rPr>
            </w:pPr>
            <w:r>
              <w:rPr>
                <w:rFonts w:hint="eastAsia"/>
                <w:b/>
                <w:bCs/>
                <w:sz w:val="24"/>
              </w:rPr>
              <w:t>（3）储能电池爆炸风险分析</w:t>
            </w:r>
          </w:p>
          <w:p>
            <w:pPr>
              <w:adjustRightInd w:val="0"/>
              <w:snapToGrid w:val="0"/>
              <w:spacing w:line="360" w:lineRule="auto"/>
              <w:ind w:firstLine="480" w:firstLineChars="200"/>
              <w:rPr>
                <w:sz w:val="24"/>
              </w:rPr>
            </w:pPr>
            <w:r>
              <w:rPr>
                <w:sz w:val="24"/>
              </w:rPr>
              <w:t>磷酸铁锂电池在一般情况下是不会出现爆炸起火的。正常使用时磷酸铁锂电池的安全性较高，但在一些极端情况下还是会发生危险，这跟锂电池生产企业的材料选择、配比、工艺过程以及后期的使用是有很大关系的。</w:t>
            </w:r>
            <w:r>
              <w:rPr>
                <w:rFonts w:hint="eastAsia"/>
                <w:sz w:val="24"/>
              </w:rPr>
              <w:t>爆炸的诱因主要来自以下几个方面：</w:t>
            </w:r>
          </w:p>
          <w:p>
            <w:pPr>
              <w:adjustRightInd w:val="0"/>
              <w:snapToGrid w:val="0"/>
              <w:spacing w:line="360" w:lineRule="auto"/>
              <w:ind w:firstLine="480" w:firstLineChars="200"/>
              <w:rPr>
                <w:color w:val="FF0000"/>
                <w:sz w:val="24"/>
              </w:rPr>
            </w:pPr>
            <w:r>
              <w:rPr>
                <w:rFonts w:hint="eastAsia"/>
                <w:color w:val="FF0000"/>
                <w:sz w:val="24"/>
              </w:rPr>
              <w:t>① 水份含量过高</w:t>
            </w:r>
          </w:p>
          <w:p>
            <w:pPr>
              <w:adjustRightInd w:val="0"/>
              <w:snapToGrid w:val="0"/>
              <w:spacing w:line="360" w:lineRule="auto"/>
              <w:ind w:firstLine="480" w:firstLineChars="200"/>
              <w:rPr>
                <w:color w:val="FF0000"/>
                <w:sz w:val="24"/>
              </w:rPr>
            </w:pPr>
            <w:r>
              <w:rPr>
                <w:rFonts w:hint="eastAsia"/>
                <w:color w:val="FF0000"/>
                <w:sz w:val="24"/>
              </w:rPr>
              <w:t>水份可以和电芯中的电解液反应，生产气体，充电时，可以和生成的锂反应，生成氧化锂，使电芯的容量损失，易使电芯过充而生成气体，水份的分解电压较低，充电时很容易分解生成气体，当这一系列生成的气体会使电芯的内部压力增大，当电芯的外壳无法承受时，电芯就会爆炸。</w:t>
            </w:r>
          </w:p>
          <w:p>
            <w:pPr>
              <w:adjustRightInd w:val="0"/>
              <w:snapToGrid w:val="0"/>
              <w:spacing w:line="360" w:lineRule="auto"/>
              <w:ind w:firstLine="480" w:firstLineChars="200"/>
              <w:rPr>
                <w:color w:val="FF0000"/>
                <w:sz w:val="24"/>
              </w:rPr>
            </w:pPr>
            <w:r>
              <w:rPr>
                <w:rFonts w:hint="eastAsia"/>
                <w:color w:val="FF0000"/>
                <w:sz w:val="24"/>
              </w:rPr>
              <w:t>② 内部短路</w:t>
            </w:r>
          </w:p>
          <w:p>
            <w:pPr>
              <w:adjustRightInd w:val="0"/>
              <w:snapToGrid w:val="0"/>
              <w:spacing w:line="360" w:lineRule="auto"/>
              <w:ind w:firstLine="480" w:firstLineChars="200"/>
              <w:rPr>
                <w:color w:val="FF0000"/>
                <w:sz w:val="24"/>
              </w:rPr>
            </w:pPr>
            <w:r>
              <w:rPr>
                <w:rFonts w:hint="eastAsia"/>
                <w:color w:val="FF0000"/>
                <w:sz w:val="24"/>
              </w:rPr>
              <w:t>由于内部产生短路现象，电芯大电流放电，产生大量的热，烧坏隔膜，而造成更大的短路现象，这样电芯就会产生高温，使电解液分解成气体，造成内部压力过大，当电芯的外壳无法承受这个压力时，电芯就会爆炸。</w:t>
            </w:r>
          </w:p>
          <w:p>
            <w:pPr>
              <w:adjustRightInd w:val="0"/>
              <w:snapToGrid w:val="0"/>
              <w:spacing w:line="360" w:lineRule="auto"/>
              <w:ind w:firstLine="480" w:firstLineChars="200"/>
              <w:rPr>
                <w:color w:val="FF0000"/>
                <w:sz w:val="24"/>
              </w:rPr>
            </w:pPr>
            <w:r>
              <w:rPr>
                <w:rFonts w:hint="eastAsia"/>
                <w:color w:val="FF0000"/>
                <w:sz w:val="24"/>
              </w:rPr>
              <w:t>③ 上部胶</w:t>
            </w:r>
          </w:p>
          <w:p>
            <w:pPr>
              <w:adjustRightInd w:val="0"/>
              <w:snapToGrid w:val="0"/>
              <w:spacing w:line="360" w:lineRule="auto"/>
              <w:ind w:firstLine="480" w:firstLineChars="200"/>
              <w:rPr>
                <w:color w:val="FF0000"/>
                <w:sz w:val="24"/>
              </w:rPr>
            </w:pPr>
            <w:r>
              <w:rPr>
                <w:rFonts w:hint="eastAsia"/>
                <w:color w:val="FF0000"/>
                <w:sz w:val="24"/>
              </w:rPr>
              <w:t>激光焊时，热量经壳体传导到正极耳上，使正极耳温度高，如果上部胶纸没有隔开正极耳及隔膜，热的正极耳就会使隔膜纸烧坏或收缩，造成内部短路，而形成爆炸。</w:t>
            </w:r>
          </w:p>
          <w:p>
            <w:pPr>
              <w:adjustRightInd w:val="0"/>
              <w:snapToGrid w:val="0"/>
              <w:spacing w:line="360" w:lineRule="auto"/>
              <w:ind w:firstLine="480" w:firstLineChars="200"/>
              <w:rPr>
                <w:color w:val="FF0000"/>
                <w:sz w:val="24"/>
              </w:rPr>
            </w:pPr>
            <w:r>
              <w:rPr>
                <w:rFonts w:hint="eastAsia"/>
                <w:color w:val="FF0000"/>
                <w:sz w:val="24"/>
              </w:rPr>
              <w:t>④ 过充</w:t>
            </w:r>
          </w:p>
          <w:p>
            <w:pPr>
              <w:adjustRightInd w:val="0"/>
              <w:snapToGrid w:val="0"/>
              <w:spacing w:line="360" w:lineRule="auto"/>
              <w:ind w:firstLine="480" w:firstLineChars="200"/>
              <w:rPr>
                <w:color w:val="FF0000"/>
                <w:sz w:val="24"/>
              </w:rPr>
            </w:pPr>
            <w:r>
              <w:rPr>
                <w:rFonts w:hint="eastAsia"/>
                <w:color w:val="FF0000"/>
                <w:sz w:val="24"/>
              </w:rPr>
              <w:t>电芯过充电时，正极的锂过度放出会使正极的结构发生变化，而放出的锂过多也容易无法插入负极中，也容易造成负极表面析锂，而且，当电压达到4.5V以上时，电解液会分解生产大量的气体。上面种种均可能造成爆炸。</w:t>
            </w:r>
          </w:p>
          <w:p>
            <w:pPr>
              <w:adjustRightInd w:val="0"/>
              <w:snapToGrid w:val="0"/>
              <w:spacing w:line="360" w:lineRule="auto"/>
              <w:ind w:firstLine="480" w:firstLineChars="200"/>
              <w:rPr>
                <w:color w:val="FF0000"/>
                <w:sz w:val="24"/>
              </w:rPr>
            </w:pPr>
            <w:r>
              <w:rPr>
                <w:rFonts w:hint="eastAsia"/>
                <w:color w:val="FF0000"/>
                <w:sz w:val="24"/>
              </w:rPr>
              <w:t>⑤ 外部短路</w:t>
            </w:r>
          </w:p>
          <w:p>
            <w:pPr>
              <w:adjustRightInd w:val="0"/>
              <w:snapToGrid w:val="0"/>
              <w:spacing w:line="360" w:lineRule="auto"/>
              <w:ind w:firstLine="480" w:firstLineChars="200"/>
              <w:rPr>
                <w:color w:val="FF0000"/>
                <w:sz w:val="24"/>
              </w:rPr>
            </w:pPr>
            <w:r>
              <w:rPr>
                <w:rFonts w:hint="eastAsia"/>
                <w:color w:val="FF0000"/>
                <w:sz w:val="24"/>
              </w:rPr>
              <w:t>外部短路可能由于操作不当，或误使用所造成，由于外部短路，电池放电电流很大，会使电芯的发热，高温会使电芯内部的隔膜收缩或完全破坏，造成内部短路，因而爆炸。</w:t>
            </w:r>
          </w:p>
          <w:p>
            <w:pPr>
              <w:adjustRightInd w:val="0"/>
              <w:snapToGrid w:val="0"/>
              <w:spacing w:line="360" w:lineRule="auto"/>
              <w:ind w:firstLine="480" w:firstLineChars="200"/>
              <w:rPr>
                <w:color w:val="FF0000"/>
                <w:sz w:val="24"/>
              </w:rPr>
            </w:pPr>
            <w:r>
              <w:rPr>
                <w:rFonts w:hint="eastAsia"/>
                <w:color w:val="FF0000"/>
                <w:sz w:val="24"/>
              </w:rPr>
              <w:t>储能</w:t>
            </w:r>
            <w:r>
              <w:rPr>
                <w:color w:val="FF0000"/>
                <w:sz w:val="24"/>
              </w:rPr>
              <w:t>爆炸产生的环境风险主要为电解液的泄露和消防废水。磷酸铁锂电池的电解液成分主要有高氯酸钾、氟锂盐、六氟磷酸钾等，用高氯酸锂制成的电池低温效果不好，有爆炸的危险，日本和美国已禁止使用。用含氟锂盐制成的电池性能好，无爆炸危险，适用性强。用六氟磷酸钾制成的电池，除了电池性能好，无爆炸危险，适用性强，将来废弃电池的处理工作相对简单，对生态环境友好。电解液有挥发性气味，其中对人体危害最大的是其中的锂盐，六氟磷酸钾，这种锂盐非常霸道</w:t>
            </w:r>
            <w:r>
              <w:rPr>
                <w:rFonts w:hint="eastAsia"/>
                <w:color w:val="FF0000"/>
                <w:sz w:val="24"/>
              </w:rPr>
              <w:t>，</w:t>
            </w:r>
            <w:r>
              <w:rPr>
                <w:color w:val="FF0000"/>
                <w:sz w:val="24"/>
              </w:rPr>
              <w:t>如果人身体上皮肤表面有手掌大小的皮肤被腐蚀，就可以致命。</w:t>
            </w:r>
          </w:p>
          <w:p>
            <w:pPr>
              <w:adjustRightInd w:val="0"/>
              <w:snapToGrid w:val="0"/>
              <w:spacing w:line="360" w:lineRule="auto"/>
              <w:ind w:firstLine="480" w:firstLineChars="200"/>
              <w:rPr>
                <w:color w:val="FF0000"/>
                <w:sz w:val="24"/>
              </w:rPr>
            </w:pPr>
            <w:r>
              <w:rPr>
                <w:color w:val="FF0000"/>
                <w:sz w:val="24"/>
              </w:rPr>
              <w:t>电解液泄露应迅速撤离泄露污染区人员至安全区，并进行隔离，严格限制出入</w:t>
            </w:r>
            <w:r>
              <w:rPr>
                <w:rFonts w:hint="eastAsia"/>
                <w:color w:val="FF0000"/>
                <w:sz w:val="24"/>
              </w:rPr>
              <w:t>；</w:t>
            </w:r>
            <w:r>
              <w:rPr>
                <w:color w:val="FF0000"/>
                <w:sz w:val="24"/>
              </w:rPr>
              <w:t>切断火源</w:t>
            </w:r>
            <w:r>
              <w:rPr>
                <w:rFonts w:hint="eastAsia"/>
                <w:color w:val="FF0000"/>
                <w:sz w:val="24"/>
              </w:rPr>
              <w:t>；</w:t>
            </w:r>
            <w:r>
              <w:rPr>
                <w:color w:val="FF0000"/>
                <w:sz w:val="24"/>
              </w:rPr>
              <w:t>建议应急处理人员戴自给正压式呼吸器，穿消防防护服</w:t>
            </w:r>
            <w:r>
              <w:rPr>
                <w:rFonts w:hint="eastAsia"/>
                <w:color w:val="FF0000"/>
                <w:sz w:val="24"/>
              </w:rPr>
              <w:t>；</w:t>
            </w:r>
            <w:r>
              <w:rPr>
                <w:color w:val="FF0000"/>
                <w:sz w:val="24"/>
              </w:rPr>
              <w:t>尽可能切断泄漏源</w:t>
            </w:r>
            <w:r>
              <w:rPr>
                <w:rFonts w:hint="eastAsia"/>
                <w:color w:val="FF0000"/>
                <w:sz w:val="24"/>
              </w:rPr>
              <w:t>，</w:t>
            </w:r>
            <w:r>
              <w:rPr>
                <w:color w:val="FF0000"/>
                <w:sz w:val="24"/>
              </w:rPr>
              <w:t>防止进入下水道、排洪沟等限制性空间。</w:t>
            </w:r>
          </w:p>
          <w:p>
            <w:pPr>
              <w:adjustRightInd w:val="0"/>
              <w:snapToGrid w:val="0"/>
              <w:spacing w:line="360" w:lineRule="auto"/>
              <w:ind w:firstLine="480" w:firstLineChars="200"/>
              <w:rPr>
                <w:color w:val="FF0000"/>
                <w:sz w:val="24"/>
              </w:rPr>
            </w:pPr>
            <w:r>
              <w:rPr>
                <w:color w:val="FF0000"/>
                <w:sz w:val="24"/>
              </w:rPr>
              <w:t>小量泄漏：用其它惰性材料吸收，也可以用不燃性分散剂制成的乳液刷洗，洗液稀释后</w:t>
            </w:r>
            <w:r>
              <w:rPr>
                <w:rFonts w:hint="eastAsia"/>
                <w:color w:val="FF0000"/>
                <w:sz w:val="24"/>
              </w:rPr>
              <w:t>交由专业有资质人员收运处置</w:t>
            </w:r>
            <w:r>
              <w:rPr>
                <w:color w:val="FF0000"/>
                <w:sz w:val="24"/>
              </w:rPr>
              <w:t>。</w:t>
            </w:r>
          </w:p>
          <w:p>
            <w:pPr>
              <w:adjustRightInd w:val="0"/>
              <w:snapToGrid w:val="0"/>
              <w:spacing w:line="360" w:lineRule="auto"/>
              <w:ind w:firstLine="480" w:firstLineChars="200"/>
              <w:rPr>
                <w:color w:val="FF0000"/>
                <w:sz w:val="24"/>
              </w:rPr>
            </w:pPr>
            <w:r>
              <w:rPr>
                <w:color w:val="FF0000"/>
                <w:sz w:val="24"/>
              </w:rPr>
              <w:t>大量泄漏：构筑围堤或挖坑收容。用泡沫覆盖，降低蒸气灾害。用防爆泵转移至槽车或专用收集器内，回收或运至</w:t>
            </w:r>
            <w:r>
              <w:rPr>
                <w:rFonts w:hint="eastAsia"/>
                <w:color w:val="FF0000"/>
                <w:sz w:val="24"/>
              </w:rPr>
              <w:t>专业有资质的</w:t>
            </w:r>
            <w:r>
              <w:rPr>
                <w:color w:val="FF0000"/>
                <w:sz w:val="24"/>
              </w:rPr>
              <w:t>处理场所处置。</w:t>
            </w:r>
          </w:p>
          <w:p>
            <w:pPr>
              <w:adjustRightInd w:val="0"/>
              <w:snapToGrid w:val="0"/>
              <w:spacing w:line="360" w:lineRule="auto"/>
              <w:ind w:firstLine="480" w:firstLineChars="200"/>
              <w:rPr>
                <w:color w:val="FF0000"/>
                <w:sz w:val="24"/>
              </w:rPr>
            </w:pPr>
            <w:r>
              <w:rPr>
                <w:rFonts w:hint="eastAsia"/>
                <w:color w:val="FF0000"/>
                <w:sz w:val="24"/>
              </w:rPr>
              <w:t>建议场内设置1处消防废水收集池，具体规模等以突发环境事件应急预案为准。</w:t>
            </w:r>
          </w:p>
          <w:p>
            <w:pPr>
              <w:adjustRightInd w:val="0"/>
              <w:snapToGrid w:val="0"/>
              <w:spacing w:line="360" w:lineRule="auto"/>
              <w:ind w:firstLine="480" w:firstLineChars="200"/>
              <w:rPr>
                <w:color w:val="FF0000"/>
                <w:sz w:val="24"/>
              </w:rPr>
            </w:pPr>
            <w:r>
              <w:rPr>
                <w:rFonts w:hint="eastAsia"/>
                <w:color w:val="FF0000"/>
                <w:sz w:val="24"/>
              </w:rPr>
              <w:t>（4）应急预案制定</w:t>
            </w:r>
          </w:p>
          <w:p>
            <w:pPr>
              <w:adjustRightInd w:val="0"/>
              <w:snapToGrid w:val="0"/>
              <w:spacing w:line="360" w:lineRule="auto"/>
              <w:ind w:firstLine="480" w:firstLineChars="200"/>
              <w:rPr>
                <w:bCs/>
                <w:color w:val="FF0000"/>
                <w:sz w:val="24"/>
              </w:rPr>
            </w:pPr>
            <w:r>
              <w:rPr>
                <w:bCs/>
                <w:color w:val="FF0000"/>
                <w:sz w:val="24"/>
              </w:rPr>
              <w:t>为预防运行期储能电站的事故风险，应根据具体情况依据</w:t>
            </w:r>
            <w:r>
              <w:rPr>
                <w:rFonts w:hint="eastAsia"/>
                <w:bCs/>
                <w:color w:val="FF0000"/>
                <w:sz w:val="24"/>
              </w:rPr>
              <w:t>《中华人民共和国突发事件应对法》、《国家突发环境事件应急预案》、《突发环境事件应急预案管理暂行办法》等</w:t>
            </w:r>
            <w:r>
              <w:rPr>
                <w:bCs/>
                <w:color w:val="FF0000"/>
                <w:sz w:val="24"/>
              </w:rPr>
              <w:t>的要求，集合相关规程</w:t>
            </w:r>
            <w:r>
              <w:rPr>
                <w:rFonts w:hint="eastAsia"/>
                <w:bCs/>
                <w:color w:val="FF0000"/>
                <w:sz w:val="24"/>
              </w:rPr>
              <w:t>、</w:t>
            </w:r>
            <w:r>
              <w:rPr>
                <w:bCs/>
                <w:color w:val="FF0000"/>
                <w:sz w:val="24"/>
              </w:rPr>
              <w:t>规范和行业标准，以及工程实际情况，编制突发环境事件应急预案。</w:t>
            </w:r>
          </w:p>
          <w:p>
            <w:pPr>
              <w:adjustRightInd w:val="0"/>
              <w:snapToGrid w:val="0"/>
              <w:spacing w:line="360" w:lineRule="auto"/>
              <w:ind w:firstLine="480" w:firstLineChars="200"/>
              <w:rPr>
                <w:bCs/>
                <w:color w:val="FF0000"/>
                <w:sz w:val="24"/>
              </w:rPr>
            </w:pPr>
          </w:p>
          <w:p>
            <w:pPr>
              <w:adjustRightInd w:val="0"/>
              <w:snapToGrid w:val="0"/>
              <w:spacing w:line="360" w:lineRule="auto"/>
              <w:ind w:firstLine="480" w:firstLineChars="200"/>
              <w:rPr>
                <w:bCs/>
                <w:color w:val="FF0000"/>
                <w:sz w:val="24"/>
              </w:rPr>
            </w:pPr>
          </w:p>
          <w:p>
            <w:pPr>
              <w:adjustRightInd w:val="0"/>
              <w:snapToGrid w:val="0"/>
              <w:spacing w:line="360" w:lineRule="auto"/>
              <w:ind w:firstLine="480" w:firstLineChars="200"/>
              <w:rPr>
                <w:bCs/>
                <w:color w:val="FF0000"/>
                <w:sz w:val="24"/>
              </w:rPr>
            </w:pPr>
          </w:p>
          <w:p>
            <w:pPr>
              <w:adjustRightInd w:val="0"/>
              <w:snapToGrid w:val="0"/>
              <w:spacing w:line="360" w:lineRule="auto"/>
              <w:ind w:firstLine="480" w:firstLineChars="200"/>
              <w:rPr>
                <w:bCs/>
                <w:color w:val="FF0000"/>
                <w:sz w:val="24"/>
              </w:rPr>
            </w:pPr>
          </w:p>
          <w:p>
            <w:pPr>
              <w:adjustRightInd w:val="0"/>
              <w:snapToGrid w:val="0"/>
              <w:spacing w:line="360" w:lineRule="auto"/>
              <w:ind w:firstLine="480" w:firstLineChars="200"/>
              <w:rPr>
                <w:bCs/>
                <w:color w:val="FF0000"/>
                <w:sz w:val="24"/>
              </w:rPr>
            </w:pPr>
          </w:p>
          <w:p>
            <w:pPr>
              <w:adjustRightInd w:val="0"/>
              <w:snapToGrid w:val="0"/>
              <w:spacing w:line="360" w:lineRule="auto"/>
              <w:ind w:firstLine="480" w:firstLineChars="200"/>
              <w:rPr>
                <w:bCs/>
                <w:color w:val="FF0000"/>
                <w:sz w:val="24"/>
              </w:rPr>
            </w:pPr>
          </w:p>
          <w:p>
            <w:pPr>
              <w:adjustRightInd w:val="0"/>
              <w:snapToGrid w:val="0"/>
              <w:spacing w:line="360" w:lineRule="auto"/>
              <w:ind w:firstLine="420" w:firstLineChars="200"/>
              <w:rPr>
                <w:rFonts w:ascii="宋体" w:hAnsi="宋体" w:cs="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6" w:hRule="atLeast"/>
          <w:jc w:val="center"/>
        </w:trPr>
        <w:tc>
          <w:tcPr>
            <w:tcW w:w="879" w:type="dxa"/>
            <w:vAlign w:val="center"/>
          </w:tcPr>
          <w:p>
            <w:pPr>
              <w:pStyle w:val="20"/>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选址选线环境合理性分析</w:t>
            </w:r>
          </w:p>
        </w:tc>
        <w:tc>
          <w:tcPr>
            <w:tcW w:w="8363" w:type="dxa"/>
          </w:tcPr>
          <w:p>
            <w:pPr>
              <w:adjustRightInd w:val="0"/>
              <w:snapToGrid w:val="0"/>
              <w:spacing w:before="120" w:beforeLines="50" w:after="120" w:afterLines="50" w:line="360" w:lineRule="auto"/>
              <w:rPr>
                <w:b/>
                <w:bCs/>
                <w:sz w:val="24"/>
              </w:rPr>
            </w:pPr>
            <w:r>
              <w:rPr>
                <w:rFonts w:hint="eastAsia"/>
                <w:b/>
                <w:bCs/>
                <w:sz w:val="24"/>
              </w:rPr>
              <w:t>4.3</w:t>
            </w:r>
            <w:r>
              <w:rPr>
                <w:b/>
                <w:bCs/>
                <w:sz w:val="24"/>
              </w:rPr>
              <w:t>站址比选</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10" w:name="_Toc22943"/>
            <w:r>
              <w:rPr>
                <w:rFonts w:hint="eastAsia" w:ascii="Times New Roman" w:hAnsi="Times New Roman" w:cs="Times New Roman"/>
                <w:b w:val="0"/>
                <w:bCs w:val="0"/>
                <w:sz w:val="24"/>
                <w:szCs w:val="24"/>
                <w:lang w:eastAsia="zh-CN"/>
              </w:rPr>
              <w:t>（1）站址选择</w:t>
            </w:r>
          </w:p>
          <w:bookmarkEnd w:id="110"/>
          <w:p>
            <w:pPr>
              <w:pStyle w:val="21"/>
              <w:adjustRightInd w:val="0"/>
              <w:snapToGrid w:val="0"/>
              <w:spacing w:before="120" w:beforeLines="50" w:after="0" w:line="360" w:lineRule="auto"/>
              <w:ind w:firstLine="480" w:firstLineChars="200"/>
              <w:jc w:val="both"/>
              <w:outlineLvl w:val="9"/>
              <w:rPr>
                <w:rFonts w:ascii="Times New Roman" w:hAnsi="Times New Roman" w:cs="Times New Roman"/>
                <w:b w:val="0"/>
                <w:bCs w:val="0"/>
                <w:sz w:val="24"/>
                <w:szCs w:val="24"/>
                <w:lang w:eastAsia="zh-CN"/>
              </w:rPr>
            </w:pPr>
            <w:bookmarkStart w:id="111" w:name="_Toc11811"/>
            <w:r>
              <w:rPr>
                <w:rFonts w:ascii="Times New Roman" w:hAnsi="Times New Roman" w:cs="Times New Roman"/>
                <w:b w:val="0"/>
                <w:bCs w:val="0"/>
                <w:sz w:val="24"/>
                <w:szCs w:val="24"/>
                <w:lang w:eastAsia="zh-CN"/>
              </w:rPr>
              <w:t>储能是解决弃风、弃光的有效途径之一。利用储能削峰填谷功能，在风电、光伏大发时段充电，在低谷时段放电，从而减少弃风弃光。</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hint="eastAsia" w:ascii="宋体" w:hAnsi="宋体" w:cs="宋体"/>
                <w:b w:val="0"/>
                <w:bCs w:val="0"/>
                <w:sz w:val="24"/>
                <w:szCs w:val="24"/>
                <w:lang w:eastAsia="zh-CN"/>
              </w:rPr>
              <w:t>“十四五”</w:t>
            </w:r>
            <w:r>
              <w:rPr>
                <w:rFonts w:ascii="Times New Roman" w:hAnsi="Times New Roman" w:cs="Times New Roman"/>
                <w:b w:val="0"/>
                <w:bCs w:val="0"/>
                <w:sz w:val="24"/>
                <w:szCs w:val="24"/>
                <w:lang w:eastAsia="zh-CN"/>
              </w:rPr>
              <w:t>期间，</w:t>
            </w:r>
            <w:r>
              <w:rPr>
                <w:rFonts w:hint="eastAsia" w:ascii="Times New Roman" w:hAnsi="Times New Roman" w:cs="Times New Roman"/>
                <w:b w:val="0"/>
                <w:bCs w:val="0"/>
                <w:sz w:val="24"/>
                <w:szCs w:val="24"/>
                <w:lang w:eastAsia="zh-CN"/>
              </w:rPr>
              <w:t>张掖市</w:t>
            </w:r>
            <w:r>
              <w:rPr>
                <w:rFonts w:ascii="Times New Roman" w:hAnsi="Times New Roman" w:cs="Times New Roman"/>
                <w:b w:val="0"/>
                <w:bCs w:val="0"/>
                <w:sz w:val="24"/>
                <w:szCs w:val="24"/>
                <w:lang w:eastAsia="zh-CN"/>
              </w:rPr>
              <w:t>光伏电站装机容量达到19500兆瓦</w:t>
            </w: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lang w:eastAsia="zh-CN"/>
              </w:rPr>
              <w:t>风电装机容量达到10050兆瓦。</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本项目的</w:t>
            </w:r>
            <w:r>
              <w:rPr>
                <w:rFonts w:ascii="Times New Roman" w:hAnsi="Times New Roman" w:cs="Times New Roman"/>
                <w:b w:val="0"/>
                <w:bCs w:val="0"/>
                <w:sz w:val="24"/>
                <w:szCs w:val="24"/>
                <w:lang w:eastAsia="zh-CN"/>
              </w:rPr>
              <w:t>建设具有明显优势，以共享模式缓解储能商业化推广困境，构建甘肃共享储能发展新业态，有助于解决新能源弃电问题，提升新能源消纳能力，加速甘肃张掖地区的光伏、风电等新能源的开发步伐</w:t>
            </w:r>
            <w:r>
              <w:rPr>
                <w:rFonts w:hint="eastAsia" w:ascii="Times New Roman" w:hAnsi="Times New Roman" w:cs="Times New Roman"/>
                <w:b w:val="0"/>
                <w:bCs w:val="0"/>
                <w:sz w:val="24"/>
                <w:szCs w:val="24"/>
                <w:lang w:eastAsia="zh-CN"/>
              </w:rPr>
              <w:t>。</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本项目在选择储能电站站址时，向地方政府、生态环境、林业、文物等部门进行了征询意见等工作，并根据相关部门的意见对选址进行优化。</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根据系统规划，本</w:t>
            </w:r>
            <w:r>
              <w:rPr>
                <w:rFonts w:hint="eastAsia" w:ascii="Times New Roman" w:hAnsi="Times New Roman" w:cs="Times New Roman"/>
                <w:b w:val="0"/>
                <w:bCs w:val="0"/>
                <w:sz w:val="24"/>
                <w:szCs w:val="24"/>
                <w:lang w:eastAsia="zh-CN"/>
              </w:rPr>
              <w:t>项目储能电站</w:t>
            </w:r>
            <w:r>
              <w:rPr>
                <w:rFonts w:ascii="Times New Roman" w:hAnsi="Times New Roman" w:cs="Times New Roman"/>
                <w:b w:val="0"/>
                <w:bCs w:val="0"/>
                <w:sz w:val="24"/>
                <w:szCs w:val="24"/>
                <w:lang w:eastAsia="zh-CN"/>
              </w:rPr>
              <w:t>由顺化330kV变电站</w:t>
            </w:r>
            <w:r>
              <w:rPr>
                <w:rFonts w:hint="eastAsia" w:ascii="Times New Roman" w:hAnsi="Times New Roman" w:cs="Times New Roman"/>
                <w:b w:val="0"/>
                <w:bCs w:val="0"/>
                <w:sz w:val="24"/>
                <w:szCs w:val="24"/>
                <w:lang w:eastAsia="zh-CN"/>
              </w:rPr>
              <w:t>扩建</w:t>
            </w:r>
            <w:r>
              <w:rPr>
                <w:rFonts w:ascii="Times New Roman" w:hAnsi="Times New Roman" w:cs="Times New Roman"/>
                <w:b w:val="0"/>
                <w:bCs w:val="0"/>
                <w:sz w:val="24"/>
                <w:szCs w:val="24"/>
                <w:lang w:eastAsia="zh-CN"/>
              </w:rPr>
              <w:t>一回330kV出线接至本站，因此本</w:t>
            </w:r>
            <w:r>
              <w:rPr>
                <w:rFonts w:hint="eastAsia" w:ascii="Times New Roman" w:hAnsi="Times New Roman" w:cs="Times New Roman"/>
                <w:b w:val="0"/>
                <w:bCs w:val="0"/>
                <w:sz w:val="24"/>
                <w:szCs w:val="24"/>
                <w:lang w:eastAsia="zh-CN"/>
              </w:rPr>
              <w:t>项目</w:t>
            </w:r>
            <w:r>
              <w:rPr>
                <w:rFonts w:ascii="Times New Roman" w:hAnsi="Times New Roman" w:cs="Times New Roman"/>
                <w:b w:val="0"/>
                <w:bCs w:val="0"/>
                <w:sz w:val="24"/>
                <w:szCs w:val="24"/>
                <w:lang w:eastAsia="zh-CN"/>
              </w:rPr>
              <w:t>选址原则为尽可能靠近顺化330kV变电站，以减少线路长度，</w:t>
            </w:r>
            <w:r>
              <w:rPr>
                <w:rFonts w:hint="eastAsia" w:ascii="Times New Roman" w:hAnsi="Times New Roman" w:cs="Times New Roman"/>
                <w:b w:val="0"/>
                <w:bCs w:val="0"/>
                <w:sz w:val="24"/>
                <w:szCs w:val="24"/>
                <w:lang w:eastAsia="zh-CN"/>
              </w:rPr>
              <w:t>减轻对环境的影响，并</w:t>
            </w:r>
            <w:r>
              <w:rPr>
                <w:rFonts w:ascii="Times New Roman" w:hAnsi="Times New Roman" w:cs="Times New Roman"/>
                <w:b w:val="0"/>
                <w:bCs w:val="0"/>
                <w:sz w:val="24"/>
                <w:szCs w:val="24"/>
                <w:lang w:eastAsia="zh-CN"/>
              </w:rPr>
              <w:t>降低工程投资。根据选站原则，通过踏勘顺化330kV变电站周围环境及出线现状，选择了储能</w:t>
            </w:r>
            <w:r>
              <w:rPr>
                <w:rFonts w:hint="eastAsia" w:ascii="Times New Roman" w:hAnsi="Times New Roman" w:cs="Times New Roman"/>
                <w:b w:val="0"/>
                <w:bCs w:val="0"/>
                <w:sz w:val="24"/>
                <w:szCs w:val="24"/>
                <w:lang w:eastAsia="zh-CN"/>
              </w:rPr>
              <w:t>电</w:t>
            </w:r>
            <w:r>
              <w:rPr>
                <w:rFonts w:ascii="Times New Roman" w:hAnsi="Times New Roman" w:cs="Times New Roman"/>
                <w:b w:val="0"/>
                <w:bCs w:val="0"/>
                <w:sz w:val="24"/>
                <w:szCs w:val="24"/>
                <w:lang w:eastAsia="zh-CN"/>
              </w:rPr>
              <w:t>站站址。</w:t>
            </w:r>
            <w:bookmarkEnd w:id="111"/>
            <w:bookmarkStart w:id="112" w:name="_Toc22748"/>
          </w:p>
          <w:p>
            <w:pPr>
              <w:pStyle w:val="21"/>
              <w:adjustRightInd w:val="0"/>
              <w:snapToGrid w:val="0"/>
              <w:spacing w:before="0" w:after="0" w:line="360" w:lineRule="auto"/>
              <w:ind w:firstLine="480" w:firstLineChars="200"/>
              <w:jc w:val="both"/>
              <w:outlineLvl w:val="9"/>
              <w:rPr>
                <w:rFonts w:ascii="Times New Roman" w:hAnsi="Times New Roman" w:cs="Times New Roman"/>
                <w:sz w:val="24"/>
                <w:szCs w:val="24"/>
                <w:lang w:eastAsia="zh-CN"/>
              </w:rPr>
            </w:pPr>
            <w:r>
              <w:rPr>
                <w:rFonts w:ascii="Times New Roman" w:hAnsi="Times New Roman" w:cs="Times New Roman"/>
                <w:b w:val="0"/>
                <w:bCs w:val="0"/>
                <w:sz w:val="24"/>
                <w:szCs w:val="24"/>
                <w:lang w:eastAsia="zh-CN"/>
              </w:rPr>
              <w:t>本项目</w:t>
            </w:r>
            <w:r>
              <w:rPr>
                <w:rFonts w:hint="eastAsia" w:ascii="Times New Roman" w:hAnsi="Times New Roman" w:cs="Times New Roman"/>
                <w:b w:val="0"/>
                <w:bCs w:val="0"/>
                <w:sz w:val="24"/>
                <w:szCs w:val="24"/>
                <w:lang w:eastAsia="zh-CN"/>
              </w:rPr>
              <w:t>优选站址位于民乐县六坝镇顺化330kV变电站西南侧，无其它比选站址</w:t>
            </w:r>
            <w:r>
              <w:rPr>
                <w:rFonts w:ascii="Times New Roman" w:hAnsi="Times New Roman" w:cs="Times New Roman"/>
                <w:sz w:val="24"/>
                <w:szCs w:val="24"/>
                <w:lang w:eastAsia="zh-CN"/>
              </w:rPr>
              <w:t>。</w:t>
            </w:r>
            <w:bookmarkEnd w:id="112"/>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113" w:name="_Toc29973"/>
            <w:r>
              <w:rPr>
                <w:rFonts w:hint="eastAsia" w:ascii="Times New Roman" w:hAnsi="Times New Roman" w:cs="Times New Roman"/>
                <w:sz w:val="24"/>
                <w:szCs w:val="24"/>
                <w:lang w:eastAsia="zh-CN"/>
              </w:rPr>
              <w:t>4.4</w:t>
            </w:r>
            <w:r>
              <w:rPr>
                <w:rFonts w:ascii="Times New Roman" w:hAnsi="Times New Roman" w:cs="Times New Roman"/>
                <w:sz w:val="24"/>
                <w:szCs w:val="24"/>
                <w:lang w:eastAsia="zh-CN"/>
              </w:rPr>
              <w:t>站址选择合理性分析</w:t>
            </w:r>
            <w:bookmarkEnd w:id="113"/>
          </w:p>
          <w:p>
            <w:pPr>
              <w:spacing w:line="360" w:lineRule="auto"/>
              <w:ind w:firstLine="482" w:firstLineChars="200"/>
              <w:rPr>
                <w:b/>
                <w:bCs/>
                <w:sz w:val="24"/>
              </w:rPr>
            </w:pPr>
            <w:r>
              <w:rPr>
                <w:b/>
                <w:bCs/>
                <w:sz w:val="24"/>
              </w:rPr>
              <w:t>Ⅰ</w:t>
            </w:r>
            <w:r>
              <w:rPr>
                <w:rFonts w:hint="eastAsia"/>
                <w:b/>
                <w:bCs/>
                <w:sz w:val="24"/>
              </w:rPr>
              <w:t>.环境制约性</w:t>
            </w:r>
          </w:p>
          <w:p>
            <w:pPr>
              <w:spacing w:line="360" w:lineRule="auto"/>
              <w:ind w:firstLine="480" w:firstLineChars="200"/>
              <w:rPr>
                <w:sz w:val="24"/>
              </w:rPr>
            </w:pPr>
            <w:r>
              <w:rPr>
                <w:rFonts w:hint="eastAsia"/>
                <w:sz w:val="24"/>
              </w:rPr>
              <w:t>项目站址位于民乐县</w:t>
            </w:r>
            <w:r>
              <w:rPr>
                <w:rStyle w:val="28"/>
                <w:rFonts w:hint="eastAsia"/>
                <w:kern w:val="0"/>
                <w:sz w:val="24"/>
              </w:rPr>
              <w:t>六坝镇</w:t>
            </w:r>
            <w:r>
              <w:rPr>
                <w:rFonts w:hint="eastAsia"/>
                <w:sz w:val="24"/>
              </w:rPr>
              <w:t>，场地原为未利用地及农用地，不存在与本项目相关的环境问题。根据项目可行性研究报告，站址</w:t>
            </w:r>
            <w:r>
              <w:rPr>
                <w:sz w:val="24"/>
              </w:rPr>
              <w:t>工程地质和水文气象条件较好；站址及其附近无活动断裂通过，地震活动频次较低，地震强度亦低</w:t>
            </w:r>
            <w:r>
              <w:rPr>
                <w:rFonts w:hint="eastAsia"/>
                <w:sz w:val="24"/>
              </w:rPr>
              <w:t>，场地地势开阔、地形平坦，地貌单元单一，地层结构较为简单，构造条件相对稳定</w:t>
            </w:r>
            <w:r>
              <w:rPr>
                <w:sz w:val="24"/>
              </w:rPr>
              <w:t>；站址评价范围内不涉及生态敏感区和居民类环境敏感目标，亦不压覆文物和矿藏</w:t>
            </w:r>
            <w:r>
              <w:rPr>
                <w:rFonts w:hint="eastAsia"/>
                <w:sz w:val="24"/>
              </w:rPr>
              <w:t>。</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经现场调查，本项目站界四周各环境要素评价范围内无自然保护区、风景名胜区、饮用水源保护区等需要特殊保护的地区，亦无珍稀动植物栖息地或特殊生态系统、重要湿地等生态敏感与脆弱区。站址和线路选址</w:t>
            </w:r>
            <w:r>
              <w:rPr>
                <w:rFonts w:hint="eastAsia" w:ascii="Times New Roman" w:hAnsi="Times New Roman" w:cs="Times New Roman"/>
                <w:b w:val="0"/>
                <w:bCs w:val="0"/>
                <w:sz w:val="24"/>
                <w:szCs w:val="24"/>
                <w:lang w:eastAsia="zh-CN"/>
              </w:rPr>
              <w:t>不涉及</w:t>
            </w:r>
            <w:r>
              <w:rPr>
                <w:rFonts w:ascii="Times New Roman" w:hAnsi="Times New Roman" w:cs="Times New Roman"/>
                <w:b w:val="0"/>
                <w:bCs w:val="0"/>
                <w:sz w:val="24"/>
                <w:szCs w:val="24"/>
                <w:lang w:eastAsia="zh-CN"/>
              </w:rPr>
              <w:t>甘肃祁连山国家级自然保护区。</w:t>
            </w:r>
          </w:p>
          <w:p>
            <w:pPr>
              <w:spacing w:line="360" w:lineRule="auto"/>
              <w:ind w:firstLine="480" w:firstLineChars="200"/>
              <w:rPr>
                <w:sz w:val="24"/>
              </w:rPr>
            </w:pPr>
            <w:r>
              <w:rPr>
                <w:sz w:val="24"/>
              </w:rPr>
              <w:t>站址不涉及水利工程设施，无文物遗迹，不在文物保护区域，不在区域水源地保护区范围内。</w:t>
            </w:r>
          </w:p>
          <w:p>
            <w:pPr>
              <w:pStyle w:val="21"/>
              <w:adjustRightInd w:val="0"/>
              <w:snapToGrid w:val="0"/>
              <w:spacing w:before="0" w:after="0" w:line="360" w:lineRule="auto"/>
              <w:ind w:firstLine="480" w:firstLineChars="200"/>
              <w:jc w:val="both"/>
              <w:outlineLvl w:val="9"/>
              <w:rPr>
                <w:lang w:eastAsia="zh-CN"/>
              </w:rPr>
            </w:pPr>
            <w:r>
              <w:rPr>
                <w:rFonts w:hint="eastAsia" w:ascii="Times New Roman" w:hAnsi="Times New Roman" w:cs="Times New Roman"/>
                <w:b w:val="0"/>
                <w:bCs w:val="0"/>
                <w:sz w:val="24"/>
                <w:szCs w:val="24"/>
                <w:lang w:eastAsia="zh-CN"/>
              </w:rPr>
              <w:t>各相关政府部门关于项目用地征询函的复函详见附件6，复函结论见下表。</w:t>
            </w:r>
          </w:p>
          <w:p>
            <w:pPr>
              <w:adjustRightInd w:val="0"/>
              <w:snapToGrid w:val="0"/>
              <w:spacing w:before="120" w:beforeLines="50" w:line="360" w:lineRule="auto"/>
              <w:jc w:val="center"/>
              <w:rPr>
                <w:b/>
                <w:bCs/>
                <w:sz w:val="24"/>
              </w:rPr>
            </w:pPr>
            <w:r>
              <w:rPr>
                <w:rFonts w:hint="eastAsia"/>
                <w:b/>
                <w:bCs/>
                <w:sz w:val="24"/>
              </w:rPr>
              <w:t>表4-18     各相关政府部门关于项目用地的复函一览</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326"/>
              <w:gridCol w:w="3419"/>
              <w:gridCol w:w="2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序号</w:t>
                  </w:r>
                </w:p>
              </w:tc>
              <w:tc>
                <w:tcPr>
                  <w:tcW w:w="813" w:type="pct"/>
                  <w:tcBorders>
                    <w:tl2br w:val="nil"/>
                    <w:tr2bl w:val="nil"/>
                  </w:tcBorders>
                  <w:vAlign w:val="center"/>
                </w:tcPr>
                <w:p>
                  <w:pPr>
                    <w:adjustRightInd w:val="0"/>
                    <w:snapToGrid w:val="0"/>
                    <w:jc w:val="center"/>
                    <w:rPr>
                      <w:szCs w:val="21"/>
                    </w:rPr>
                  </w:pPr>
                  <w:r>
                    <w:rPr>
                      <w:szCs w:val="21"/>
                    </w:rPr>
                    <w:t>部门</w:t>
                  </w:r>
                </w:p>
              </w:tc>
              <w:tc>
                <w:tcPr>
                  <w:tcW w:w="2096" w:type="pct"/>
                  <w:tcBorders>
                    <w:tl2br w:val="nil"/>
                    <w:tr2bl w:val="nil"/>
                  </w:tcBorders>
                  <w:vAlign w:val="center"/>
                </w:tcPr>
                <w:p>
                  <w:pPr>
                    <w:adjustRightInd w:val="0"/>
                    <w:snapToGrid w:val="0"/>
                    <w:jc w:val="center"/>
                    <w:rPr>
                      <w:szCs w:val="21"/>
                    </w:rPr>
                  </w:pPr>
                  <w:r>
                    <w:rPr>
                      <w:szCs w:val="21"/>
                    </w:rPr>
                    <w:t>文件</w:t>
                  </w:r>
                </w:p>
              </w:tc>
              <w:tc>
                <w:tcPr>
                  <w:tcW w:w="1675" w:type="pct"/>
                  <w:tcBorders>
                    <w:tl2br w:val="nil"/>
                    <w:tr2bl w:val="nil"/>
                  </w:tcBorders>
                  <w:vAlign w:val="center"/>
                </w:tcPr>
                <w:p>
                  <w:pPr>
                    <w:adjustRightInd w:val="0"/>
                    <w:snapToGrid w:val="0"/>
                    <w:jc w:val="center"/>
                    <w:rPr>
                      <w:szCs w:val="21"/>
                    </w:rPr>
                  </w:pPr>
                  <w:r>
                    <w:rPr>
                      <w:szCs w:val="21"/>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1</w:t>
                  </w:r>
                </w:p>
              </w:tc>
              <w:tc>
                <w:tcPr>
                  <w:tcW w:w="813" w:type="pct"/>
                  <w:tcBorders>
                    <w:tl2br w:val="nil"/>
                    <w:tr2bl w:val="nil"/>
                  </w:tcBorders>
                  <w:vAlign w:val="center"/>
                </w:tcPr>
                <w:p>
                  <w:pPr>
                    <w:adjustRightInd w:val="0"/>
                    <w:snapToGrid w:val="0"/>
                    <w:rPr>
                      <w:szCs w:val="21"/>
                    </w:rPr>
                  </w:pPr>
                  <w:r>
                    <w:rPr>
                      <w:szCs w:val="21"/>
                    </w:rPr>
                    <w:t>张掖市生态环境局</w:t>
                  </w:r>
                  <w:r>
                    <w:rPr>
                      <w:rFonts w:hint="eastAsia"/>
                      <w:szCs w:val="21"/>
                    </w:rPr>
                    <w:t>民乐</w:t>
                  </w:r>
                  <w:r>
                    <w:rPr>
                      <w:szCs w:val="21"/>
                    </w:rPr>
                    <w:t>分局</w:t>
                  </w:r>
                </w:p>
              </w:tc>
              <w:tc>
                <w:tcPr>
                  <w:tcW w:w="2096" w:type="pct"/>
                  <w:tcBorders>
                    <w:tl2br w:val="nil"/>
                    <w:tr2bl w:val="nil"/>
                  </w:tcBorders>
                  <w:vAlign w:val="center"/>
                </w:tcPr>
                <w:p>
                  <w:pPr>
                    <w:adjustRightInd w:val="0"/>
                    <w:snapToGrid w:val="0"/>
                    <w:rPr>
                      <w:szCs w:val="21"/>
                    </w:rPr>
                  </w:pPr>
                  <w:r>
                    <w:rPr>
                      <w:szCs w:val="21"/>
                    </w:rPr>
                    <w:t>张掖市生态环境局</w:t>
                  </w:r>
                  <w:r>
                    <w:rPr>
                      <w:rFonts w:hint="eastAsia"/>
                      <w:szCs w:val="21"/>
                    </w:rPr>
                    <w:t>民乐</w:t>
                  </w:r>
                  <w:r>
                    <w:rPr>
                      <w:szCs w:val="21"/>
                    </w:rPr>
                    <w:t>分局关于</w:t>
                  </w:r>
                  <w:r>
                    <w:rPr>
                      <w:rFonts w:hint="eastAsia"/>
                      <w:szCs w:val="21"/>
                    </w:rPr>
                    <w:t>征询民乐县500MW/1000MWh共享储能项目拟用地情况核查情况</w:t>
                  </w:r>
                  <w:r>
                    <w:rPr>
                      <w:szCs w:val="21"/>
                    </w:rPr>
                    <w:t>的复函</w:t>
                  </w:r>
                </w:p>
                <w:p>
                  <w:pPr>
                    <w:adjustRightInd w:val="0"/>
                    <w:snapToGrid w:val="0"/>
                    <w:rPr>
                      <w:szCs w:val="21"/>
                    </w:rPr>
                  </w:pPr>
                  <w:r>
                    <w:rPr>
                      <w:szCs w:val="21"/>
                    </w:rPr>
                    <w:t>张环</w:t>
                  </w:r>
                  <w:r>
                    <w:rPr>
                      <w:rFonts w:hint="eastAsia"/>
                      <w:szCs w:val="21"/>
                    </w:rPr>
                    <w:t>民</w:t>
                  </w:r>
                  <w:r>
                    <w:rPr>
                      <w:szCs w:val="21"/>
                    </w:rPr>
                    <w:t>函</w:t>
                  </w:r>
                  <w:r>
                    <w:rPr>
                      <w:rFonts w:hint="eastAsia"/>
                      <w:szCs w:val="21"/>
                    </w:rPr>
                    <w:t>〔</w:t>
                  </w:r>
                  <w:r>
                    <w:rPr>
                      <w:szCs w:val="21"/>
                    </w:rPr>
                    <w:t>2021</w:t>
                  </w:r>
                  <w:r>
                    <w:rPr>
                      <w:rFonts w:hint="eastAsia"/>
                      <w:szCs w:val="21"/>
                    </w:rPr>
                    <w:t>〕142</w:t>
                  </w:r>
                  <w:r>
                    <w:rPr>
                      <w:szCs w:val="21"/>
                    </w:rPr>
                    <w:t>号</w:t>
                  </w:r>
                </w:p>
              </w:tc>
              <w:tc>
                <w:tcPr>
                  <w:tcW w:w="1675" w:type="pct"/>
                  <w:tcBorders>
                    <w:tl2br w:val="nil"/>
                    <w:tr2bl w:val="nil"/>
                  </w:tcBorders>
                  <w:vAlign w:val="center"/>
                </w:tcPr>
                <w:p>
                  <w:pPr>
                    <w:adjustRightInd w:val="0"/>
                    <w:snapToGrid w:val="0"/>
                    <w:rPr>
                      <w:szCs w:val="21"/>
                    </w:rPr>
                  </w:pPr>
                  <w:r>
                    <w:rPr>
                      <w:rFonts w:hint="eastAsia"/>
                      <w:szCs w:val="21"/>
                    </w:rPr>
                    <w:t>项目拟用地范围</w:t>
                  </w:r>
                  <w:r>
                    <w:rPr>
                      <w:szCs w:val="21"/>
                    </w:rPr>
                    <w:t>不在我</w:t>
                  </w:r>
                  <w:r>
                    <w:rPr>
                      <w:rFonts w:hint="eastAsia"/>
                      <w:szCs w:val="21"/>
                    </w:rPr>
                    <w:t>县集中式饮用水</w:t>
                  </w:r>
                  <w:r>
                    <w:rPr>
                      <w:szCs w:val="21"/>
                    </w:rPr>
                    <w:t>水源地保护区范围内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2</w:t>
                  </w:r>
                </w:p>
              </w:tc>
              <w:tc>
                <w:tcPr>
                  <w:tcW w:w="813" w:type="pct"/>
                  <w:tcBorders>
                    <w:tl2br w:val="nil"/>
                    <w:tr2bl w:val="nil"/>
                  </w:tcBorders>
                  <w:vAlign w:val="center"/>
                </w:tcPr>
                <w:p>
                  <w:pPr>
                    <w:adjustRightInd w:val="0"/>
                    <w:snapToGrid w:val="0"/>
                    <w:rPr>
                      <w:szCs w:val="21"/>
                    </w:rPr>
                  </w:pPr>
                  <w:r>
                    <w:rPr>
                      <w:rFonts w:hint="eastAsia"/>
                      <w:szCs w:val="21"/>
                    </w:rPr>
                    <w:t>民乐县林业和草原局</w:t>
                  </w:r>
                </w:p>
              </w:tc>
              <w:tc>
                <w:tcPr>
                  <w:tcW w:w="2096" w:type="pct"/>
                  <w:tcBorders>
                    <w:tl2br w:val="nil"/>
                    <w:tr2bl w:val="nil"/>
                  </w:tcBorders>
                  <w:vAlign w:val="center"/>
                </w:tcPr>
                <w:p>
                  <w:pPr>
                    <w:adjustRightInd w:val="0"/>
                    <w:snapToGrid w:val="0"/>
                    <w:rPr>
                      <w:szCs w:val="21"/>
                    </w:rPr>
                  </w:pPr>
                  <w:r>
                    <w:rPr>
                      <w:rFonts w:hint="eastAsia"/>
                      <w:szCs w:val="21"/>
                    </w:rPr>
                    <w:t>民乐县林业和草原局</w:t>
                  </w:r>
                  <w:r>
                    <w:rPr>
                      <w:szCs w:val="21"/>
                    </w:rPr>
                    <w:t>关于</w:t>
                  </w:r>
                  <w:r>
                    <w:rPr>
                      <w:rFonts w:hint="eastAsia"/>
                      <w:szCs w:val="21"/>
                    </w:rPr>
                    <w:t>民乐县500MW/1000MWh共享储能电站项目拟占用土地属性的复函</w:t>
                  </w:r>
                </w:p>
                <w:p>
                  <w:pPr>
                    <w:adjustRightInd w:val="0"/>
                    <w:snapToGrid w:val="0"/>
                    <w:rPr>
                      <w:szCs w:val="21"/>
                    </w:rPr>
                  </w:pPr>
                  <w:r>
                    <w:rPr>
                      <w:rFonts w:hint="eastAsia"/>
                      <w:szCs w:val="21"/>
                    </w:rPr>
                    <w:t>民林草函〔</w:t>
                  </w:r>
                  <w:r>
                    <w:rPr>
                      <w:szCs w:val="21"/>
                    </w:rPr>
                    <w:t>202</w:t>
                  </w:r>
                  <w:r>
                    <w:rPr>
                      <w:rFonts w:hint="eastAsia"/>
                      <w:szCs w:val="21"/>
                    </w:rPr>
                    <w:t>2〕3</w:t>
                  </w:r>
                  <w:r>
                    <w:rPr>
                      <w:szCs w:val="21"/>
                    </w:rPr>
                    <w:t>号</w:t>
                  </w:r>
                </w:p>
              </w:tc>
              <w:tc>
                <w:tcPr>
                  <w:tcW w:w="1675" w:type="pct"/>
                  <w:tcBorders>
                    <w:tl2br w:val="nil"/>
                    <w:tr2bl w:val="nil"/>
                  </w:tcBorders>
                  <w:vAlign w:val="center"/>
                </w:tcPr>
                <w:p>
                  <w:pPr>
                    <w:adjustRightInd w:val="0"/>
                    <w:snapToGrid w:val="0"/>
                    <w:rPr>
                      <w:szCs w:val="21"/>
                    </w:rPr>
                  </w:pPr>
                  <w:r>
                    <w:rPr>
                      <w:rFonts w:hint="eastAsia"/>
                      <w:szCs w:val="21"/>
                    </w:rPr>
                    <w:t>该项目占地为非林地、非草地、非湿地，占地为其他草地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3</w:t>
                  </w:r>
                </w:p>
              </w:tc>
              <w:tc>
                <w:tcPr>
                  <w:tcW w:w="813" w:type="pct"/>
                  <w:tcBorders>
                    <w:tl2br w:val="nil"/>
                    <w:tr2bl w:val="nil"/>
                  </w:tcBorders>
                  <w:vAlign w:val="center"/>
                </w:tcPr>
                <w:p>
                  <w:pPr>
                    <w:adjustRightInd w:val="0"/>
                    <w:snapToGrid w:val="0"/>
                    <w:rPr>
                      <w:szCs w:val="21"/>
                    </w:rPr>
                  </w:pPr>
                  <w:r>
                    <w:rPr>
                      <w:rFonts w:hint="eastAsia"/>
                      <w:szCs w:val="21"/>
                    </w:rPr>
                    <w:t>民乐县</w:t>
                  </w:r>
                  <w:r>
                    <w:rPr>
                      <w:szCs w:val="21"/>
                    </w:rPr>
                    <w:t>水务局</w:t>
                  </w:r>
                </w:p>
              </w:tc>
              <w:tc>
                <w:tcPr>
                  <w:tcW w:w="2096" w:type="pct"/>
                  <w:tcBorders>
                    <w:tl2br w:val="nil"/>
                    <w:tr2bl w:val="nil"/>
                  </w:tcBorders>
                  <w:vAlign w:val="center"/>
                </w:tcPr>
                <w:p>
                  <w:pPr>
                    <w:adjustRightInd w:val="0"/>
                    <w:snapToGrid w:val="0"/>
                    <w:rPr>
                      <w:szCs w:val="21"/>
                    </w:rPr>
                  </w:pPr>
                  <w:r>
                    <w:rPr>
                      <w:rFonts w:hint="eastAsia"/>
                      <w:szCs w:val="21"/>
                    </w:rPr>
                    <w:t>民乐县</w:t>
                  </w:r>
                  <w:r>
                    <w:rPr>
                      <w:szCs w:val="21"/>
                    </w:rPr>
                    <w:t>水务局关于</w:t>
                  </w:r>
                  <w:r>
                    <w:rPr>
                      <w:rFonts w:hint="eastAsia"/>
                      <w:szCs w:val="21"/>
                    </w:rPr>
                    <w:t>征询民乐县500MW/1000MWh共享储能电站项目拟用地情况</w:t>
                  </w:r>
                  <w:r>
                    <w:rPr>
                      <w:szCs w:val="21"/>
                    </w:rPr>
                    <w:t>的复函</w:t>
                  </w:r>
                </w:p>
                <w:p>
                  <w:pPr>
                    <w:adjustRightInd w:val="0"/>
                    <w:snapToGrid w:val="0"/>
                    <w:rPr>
                      <w:szCs w:val="21"/>
                    </w:rPr>
                  </w:pPr>
                  <w:r>
                    <w:rPr>
                      <w:rFonts w:hint="eastAsia"/>
                      <w:szCs w:val="21"/>
                    </w:rPr>
                    <w:t>民</w:t>
                  </w:r>
                  <w:r>
                    <w:rPr>
                      <w:szCs w:val="21"/>
                    </w:rPr>
                    <w:t>水函</w:t>
                  </w:r>
                  <w:r>
                    <w:rPr>
                      <w:rFonts w:hint="eastAsia"/>
                      <w:szCs w:val="21"/>
                    </w:rPr>
                    <w:t>〔</w:t>
                  </w:r>
                  <w:r>
                    <w:rPr>
                      <w:szCs w:val="21"/>
                    </w:rPr>
                    <w:t>2021</w:t>
                  </w:r>
                  <w:r>
                    <w:rPr>
                      <w:rFonts w:hint="eastAsia"/>
                      <w:szCs w:val="21"/>
                    </w:rPr>
                    <w:t>〕112</w:t>
                  </w:r>
                  <w:r>
                    <w:rPr>
                      <w:szCs w:val="21"/>
                    </w:rPr>
                    <w:t>号</w:t>
                  </w:r>
                </w:p>
              </w:tc>
              <w:tc>
                <w:tcPr>
                  <w:tcW w:w="1675" w:type="pct"/>
                  <w:tcBorders>
                    <w:tl2br w:val="nil"/>
                    <w:tr2bl w:val="nil"/>
                  </w:tcBorders>
                  <w:vAlign w:val="center"/>
                </w:tcPr>
                <w:p>
                  <w:pPr>
                    <w:adjustRightInd w:val="0"/>
                    <w:snapToGrid w:val="0"/>
                    <w:rPr>
                      <w:szCs w:val="21"/>
                    </w:rPr>
                  </w:pPr>
                  <w:r>
                    <w:rPr>
                      <w:rFonts w:hint="eastAsia"/>
                      <w:szCs w:val="21"/>
                    </w:rPr>
                    <w:t>该项目建设拟用地范围不在河道管理范围内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4</w:t>
                  </w:r>
                </w:p>
              </w:tc>
              <w:tc>
                <w:tcPr>
                  <w:tcW w:w="813" w:type="pct"/>
                  <w:tcBorders>
                    <w:tl2br w:val="nil"/>
                    <w:tr2bl w:val="nil"/>
                  </w:tcBorders>
                  <w:vAlign w:val="center"/>
                </w:tcPr>
                <w:p>
                  <w:pPr>
                    <w:adjustRightInd w:val="0"/>
                    <w:snapToGrid w:val="0"/>
                    <w:rPr>
                      <w:szCs w:val="21"/>
                    </w:rPr>
                  </w:pPr>
                  <w:r>
                    <w:rPr>
                      <w:rFonts w:hint="eastAsia"/>
                      <w:szCs w:val="21"/>
                    </w:rPr>
                    <w:t>民乐县人民武装部</w:t>
                  </w:r>
                </w:p>
              </w:tc>
              <w:tc>
                <w:tcPr>
                  <w:tcW w:w="2096" w:type="pct"/>
                  <w:tcBorders>
                    <w:tl2br w:val="nil"/>
                    <w:tr2bl w:val="nil"/>
                  </w:tcBorders>
                  <w:vAlign w:val="center"/>
                </w:tcPr>
                <w:p>
                  <w:pPr>
                    <w:adjustRightInd w:val="0"/>
                    <w:snapToGrid w:val="0"/>
                    <w:rPr>
                      <w:szCs w:val="21"/>
                    </w:rPr>
                  </w:pPr>
                  <w:r>
                    <w:rPr>
                      <w:rFonts w:hint="eastAsia"/>
                    </w:rPr>
                    <w:t>复关于征询</w:t>
                  </w:r>
                  <w:r>
                    <w:rPr>
                      <w:rFonts w:hint="eastAsia"/>
                      <w:szCs w:val="21"/>
                    </w:rPr>
                    <w:t>民乐县500MW/1000MWh共享储能电站项目拟用地情况的回函</w:t>
                  </w:r>
                </w:p>
                <w:p>
                  <w:pPr>
                    <w:adjustRightInd w:val="0"/>
                    <w:snapToGrid w:val="0"/>
                  </w:pPr>
                  <w:r>
                    <w:rPr>
                      <w:rFonts w:hint="eastAsia"/>
                      <w:szCs w:val="21"/>
                    </w:rPr>
                    <w:t>民武函〔</w:t>
                  </w:r>
                  <w:r>
                    <w:rPr>
                      <w:szCs w:val="21"/>
                    </w:rPr>
                    <w:t>2021</w:t>
                  </w:r>
                  <w:r>
                    <w:rPr>
                      <w:rFonts w:hint="eastAsia"/>
                      <w:szCs w:val="21"/>
                    </w:rPr>
                    <w:t>〕6</w:t>
                  </w:r>
                  <w:r>
                    <w:rPr>
                      <w:szCs w:val="21"/>
                    </w:rPr>
                    <w:t>号</w:t>
                  </w:r>
                </w:p>
              </w:tc>
              <w:tc>
                <w:tcPr>
                  <w:tcW w:w="1675" w:type="pct"/>
                  <w:tcBorders>
                    <w:tl2br w:val="nil"/>
                    <w:tr2bl w:val="nil"/>
                  </w:tcBorders>
                  <w:vAlign w:val="center"/>
                </w:tcPr>
                <w:p>
                  <w:pPr>
                    <w:adjustRightInd w:val="0"/>
                    <w:snapToGrid w:val="0"/>
                    <w:rPr>
                      <w:szCs w:val="21"/>
                    </w:rPr>
                  </w:pPr>
                  <w:r>
                    <w:rPr>
                      <w:rFonts w:hint="eastAsia"/>
                      <w:szCs w:val="21"/>
                    </w:rPr>
                    <w:t>民乐县人武部无军事设施及军事禁区在该项目用地范围内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5</w:t>
                  </w:r>
                </w:p>
              </w:tc>
              <w:tc>
                <w:tcPr>
                  <w:tcW w:w="813" w:type="pct"/>
                  <w:tcBorders>
                    <w:tl2br w:val="nil"/>
                    <w:tr2bl w:val="nil"/>
                  </w:tcBorders>
                  <w:vAlign w:val="center"/>
                </w:tcPr>
                <w:p>
                  <w:pPr>
                    <w:adjustRightInd w:val="0"/>
                    <w:snapToGrid w:val="0"/>
                    <w:rPr>
                      <w:szCs w:val="21"/>
                    </w:rPr>
                  </w:pPr>
                  <w:r>
                    <w:rPr>
                      <w:rFonts w:hint="eastAsia"/>
                      <w:szCs w:val="21"/>
                    </w:rPr>
                    <w:t>民乐县文体广电和旅游局</w:t>
                  </w:r>
                </w:p>
              </w:tc>
              <w:tc>
                <w:tcPr>
                  <w:tcW w:w="2096" w:type="pct"/>
                  <w:tcBorders>
                    <w:tl2br w:val="nil"/>
                    <w:tr2bl w:val="nil"/>
                  </w:tcBorders>
                  <w:vAlign w:val="center"/>
                </w:tcPr>
                <w:p>
                  <w:pPr>
                    <w:adjustRightInd w:val="0"/>
                    <w:snapToGrid w:val="0"/>
                    <w:rPr>
                      <w:szCs w:val="21"/>
                    </w:rPr>
                  </w:pPr>
                  <w:r>
                    <w:rPr>
                      <w:rFonts w:hint="eastAsia"/>
                      <w:szCs w:val="21"/>
                    </w:rPr>
                    <w:t>民乐县文体广电和旅游局</w:t>
                  </w:r>
                  <w:r>
                    <w:rPr>
                      <w:szCs w:val="21"/>
                    </w:rPr>
                    <w:t>关于</w:t>
                  </w:r>
                  <w:r>
                    <w:rPr>
                      <w:rFonts w:hint="eastAsia"/>
                      <w:szCs w:val="21"/>
                    </w:rPr>
                    <w:t>对民乐县500MW/1000MWh共享储能项目拟用地文物调查的复函</w:t>
                  </w:r>
                </w:p>
                <w:p>
                  <w:pPr>
                    <w:adjustRightInd w:val="0"/>
                    <w:snapToGrid w:val="0"/>
                    <w:rPr>
                      <w:szCs w:val="21"/>
                    </w:rPr>
                  </w:pPr>
                  <w:r>
                    <w:rPr>
                      <w:rFonts w:hint="eastAsia"/>
                      <w:szCs w:val="21"/>
                    </w:rPr>
                    <w:t>民文体广旅函〔</w:t>
                  </w:r>
                  <w:r>
                    <w:rPr>
                      <w:szCs w:val="21"/>
                    </w:rPr>
                    <w:t>2021</w:t>
                  </w:r>
                  <w:r>
                    <w:rPr>
                      <w:rFonts w:hint="eastAsia"/>
                      <w:szCs w:val="21"/>
                    </w:rPr>
                    <w:t>〕62</w:t>
                  </w:r>
                  <w:r>
                    <w:rPr>
                      <w:szCs w:val="21"/>
                    </w:rPr>
                    <w:t>号</w:t>
                  </w:r>
                </w:p>
              </w:tc>
              <w:tc>
                <w:tcPr>
                  <w:tcW w:w="1675" w:type="pct"/>
                  <w:tcBorders>
                    <w:tl2br w:val="nil"/>
                    <w:tr2bl w:val="nil"/>
                  </w:tcBorders>
                  <w:vAlign w:val="center"/>
                </w:tcPr>
                <w:p>
                  <w:pPr>
                    <w:adjustRightInd w:val="0"/>
                    <w:snapToGrid w:val="0"/>
                    <w:rPr>
                      <w:szCs w:val="21"/>
                    </w:rPr>
                  </w:pPr>
                  <w:r>
                    <w:rPr>
                      <w:rFonts w:hint="eastAsia"/>
                      <w:szCs w:val="21"/>
                    </w:rPr>
                    <w:t>经调查，发现项目建设区域内没有文物保护单位和风景名胜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6" w:type="pct"/>
                  <w:tcBorders>
                    <w:tl2br w:val="nil"/>
                    <w:tr2bl w:val="nil"/>
                  </w:tcBorders>
                  <w:vAlign w:val="center"/>
                </w:tcPr>
                <w:p>
                  <w:pPr>
                    <w:adjustRightInd w:val="0"/>
                    <w:snapToGrid w:val="0"/>
                    <w:jc w:val="center"/>
                    <w:rPr>
                      <w:szCs w:val="21"/>
                    </w:rPr>
                  </w:pPr>
                  <w:r>
                    <w:rPr>
                      <w:szCs w:val="21"/>
                    </w:rPr>
                    <w:t>6</w:t>
                  </w:r>
                </w:p>
              </w:tc>
              <w:tc>
                <w:tcPr>
                  <w:tcW w:w="813" w:type="pct"/>
                  <w:tcBorders>
                    <w:tl2br w:val="nil"/>
                    <w:tr2bl w:val="nil"/>
                  </w:tcBorders>
                  <w:vAlign w:val="center"/>
                </w:tcPr>
                <w:p>
                  <w:pPr>
                    <w:adjustRightInd w:val="0"/>
                    <w:snapToGrid w:val="0"/>
                    <w:rPr>
                      <w:szCs w:val="21"/>
                    </w:rPr>
                  </w:pPr>
                  <w:r>
                    <w:rPr>
                      <w:szCs w:val="21"/>
                    </w:rPr>
                    <w:t>甘肃祁连山国家级自然保护区管护中心</w:t>
                  </w:r>
                </w:p>
              </w:tc>
              <w:tc>
                <w:tcPr>
                  <w:tcW w:w="2096" w:type="pct"/>
                  <w:tcBorders>
                    <w:tl2br w:val="nil"/>
                    <w:tr2bl w:val="nil"/>
                  </w:tcBorders>
                  <w:vAlign w:val="center"/>
                </w:tcPr>
                <w:p>
                  <w:pPr>
                    <w:adjustRightInd w:val="0"/>
                    <w:snapToGrid w:val="0"/>
                    <w:rPr>
                      <w:szCs w:val="21"/>
                    </w:rPr>
                  </w:pPr>
                  <w:r>
                    <w:rPr>
                      <w:szCs w:val="21"/>
                    </w:rPr>
                    <w:t>关于</w:t>
                  </w:r>
                  <w:r>
                    <w:rPr>
                      <w:rFonts w:hint="eastAsia"/>
                      <w:szCs w:val="21"/>
                    </w:rPr>
                    <w:t>民乐县500MW/1000MWh共享储能电站项目拟用地情况的征询复函</w:t>
                  </w:r>
                </w:p>
                <w:p>
                  <w:pPr>
                    <w:adjustRightInd w:val="0"/>
                    <w:snapToGrid w:val="0"/>
                    <w:rPr>
                      <w:szCs w:val="21"/>
                    </w:rPr>
                  </w:pPr>
                  <w:r>
                    <w:rPr>
                      <w:rFonts w:hint="eastAsia"/>
                      <w:szCs w:val="21"/>
                    </w:rPr>
                    <w:t>（2021179）号</w:t>
                  </w:r>
                </w:p>
              </w:tc>
              <w:tc>
                <w:tcPr>
                  <w:tcW w:w="1675" w:type="pct"/>
                  <w:tcBorders>
                    <w:tl2br w:val="nil"/>
                    <w:tr2bl w:val="nil"/>
                  </w:tcBorders>
                  <w:vAlign w:val="center"/>
                </w:tcPr>
                <w:p>
                  <w:pPr>
                    <w:adjustRightInd w:val="0"/>
                    <w:snapToGrid w:val="0"/>
                    <w:rPr>
                      <w:szCs w:val="21"/>
                    </w:rPr>
                  </w:pPr>
                  <w:r>
                    <w:rPr>
                      <w:rFonts w:hint="eastAsia"/>
                      <w:szCs w:val="21"/>
                    </w:rPr>
                    <w:t>该项目拟用地范围不在</w:t>
                  </w:r>
                  <w:r>
                    <w:rPr>
                      <w:szCs w:val="21"/>
                    </w:rPr>
                    <w:t>甘肃祁连山国家级自然保护区</w:t>
                  </w:r>
                  <w:r>
                    <w:rPr>
                      <w:rFonts w:hint="eastAsia"/>
                      <w:szCs w:val="21"/>
                    </w:rPr>
                    <w:t>范围和祁连山国家公园张掖分局范围内</w:t>
                  </w:r>
                </w:p>
              </w:tc>
            </w:tr>
          </w:tbl>
          <w:p>
            <w:pPr>
              <w:adjustRightInd w:val="0"/>
              <w:snapToGrid w:val="0"/>
              <w:spacing w:before="120" w:beforeLines="50" w:line="360" w:lineRule="auto"/>
              <w:ind w:firstLine="480" w:firstLineChars="200"/>
              <w:rPr>
                <w:sz w:val="24"/>
              </w:rPr>
            </w:pPr>
            <w:r>
              <w:rPr>
                <w:sz w:val="24"/>
              </w:rPr>
              <w:t>因此</w:t>
            </w:r>
            <w:r>
              <w:rPr>
                <w:rFonts w:hint="eastAsia"/>
                <w:sz w:val="24"/>
              </w:rPr>
              <w:t>，本项目储能电站</w:t>
            </w:r>
            <w:r>
              <w:rPr>
                <w:sz w:val="24"/>
              </w:rPr>
              <w:t>站址</w:t>
            </w:r>
            <w:r>
              <w:rPr>
                <w:rFonts w:hint="eastAsia"/>
                <w:sz w:val="24"/>
              </w:rPr>
              <w:t>环境制约因素较少，站址</w:t>
            </w:r>
            <w:r>
              <w:rPr>
                <w:sz w:val="24"/>
              </w:rPr>
              <w:t>选择合理。</w:t>
            </w:r>
          </w:p>
          <w:p>
            <w:pPr>
              <w:pStyle w:val="21"/>
              <w:spacing w:before="0" w:after="0" w:line="360" w:lineRule="auto"/>
              <w:ind w:firstLine="482" w:firstLineChars="200"/>
              <w:jc w:val="both"/>
              <w:outlineLvl w:val="9"/>
              <w:rPr>
                <w:rFonts w:ascii="Times New Roman" w:hAnsi="Times New Roman" w:cs="Times New Roman"/>
                <w:sz w:val="24"/>
                <w:szCs w:val="24"/>
                <w:lang w:eastAsia="zh-CN"/>
              </w:rPr>
            </w:pPr>
            <w:bookmarkStart w:id="114" w:name="_Toc19372"/>
            <w:r>
              <w:rPr>
                <w:rFonts w:ascii="Times New Roman" w:hAnsi="Times New Roman" w:cs="Times New Roman"/>
                <w:sz w:val="24"/>
                <w:szCs w:val="24"/>
                <w:lang w:eastAsia="zh-CN"/>
              </w:rPr>
              <w:t>Ⅱ</w:t>
            </w:r>
            <w:r>
              <w:rPr>
                <w:rFonts w:hint="eastAsia" w:ascii="Times New Roman" w:hAnsi="Times New Roman" w:cs="Times New Roman"/>
                <w:sz w:val="24"/>
                <w:szCs w:val="24"/>
                <w:lang w:eastAsia="zh-CN"/>
              </w:rPr>
              <w:t>.环境影响程度</w:t>
            </w:r>
            <w:bookmarkEnd w:id="114"/>
          </w:p>
          <w:p>
            <w:pPr>
              <w:pStyle w:val="21"/>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15" w:name="_Toc1237"/>
            <w:r>
              <w:rPr>
                <w:rFonts w:hint="eastAsia" w:ascii="Times New Roman" w:hAnsi="Times New Roman" w:cs="Times New Roman"/>
                <w:b w:val="0"/>
                <w:bCs w:val="0"/>
                <w:sz w:val="24"/>
                <w:szCs w:val="24"/>
                <w:lang w:eastAsia="zh-CN"/>
              </w:rPr>
              <w:t>储能电站建成后主要环境影响在于噪声、工频电场、工频磁感应强度对环境的影响，噪声和电磁影响均采取了有效治理措施；仅设置巡检人员，站内生活污水、生活垃圾等产生量很少，且均采取了治理措施并明确了处置去向；事故状态下的油水采取了事故油池等风险防范措施，事故油池具有油水分类功能，通过油水分离设施进行油水分离，变压器油由厂家回收，形成的油污水交由有危废处理资质的单位处置，不外排；储能电站建成后通过恢复施工临时占地、植草绿化等方式进行生态修复，并加强区域绿化工作，对生态环境的影响逐渐减小；项目站址区域</w:t>
            </w:r>
            <w:r>
              <w:rPr>
                <w:rFonts w:ascii="Times New Roman" w:hAnsi="Times New Roman" w:cs="Times New Roman"/>
                <w:b w:val="0"/>
                <w:bCs w:val="0"/>
                <w:sz w:val="24"/>
                <w:szCs w:val="24"/>
                <w:lang w:eastAsia="zh-CN"/>
              </w:rPr>
              <w:t>各环境要素评价范围内</w:t>
            </w:r>
            <w:r>
              <w:rPr>
                <w:rFonts w:hint="eastAsia" w:ascii="Times New Roman" w:hAnsi="Times New Roman" w:cs="Times New Roman"/>
                <w:b w:val="0"/>
                <w:bCs w:val="0"/>
                <w:sz w:val="24"/>
                <w:szCs w:val="24"/>
                <w:lang w:eastAsia="zh-CN"/>
              </w:rPr>
              <w:t>无环境保护目标，在落实各项环保措施的前提下，本项目对区域环境的影响是可接受的。</w:t>
            </w:r>
            <w:bookmarkEnd w:id="115"/>
          </w:p>
          <w:p>
            <w:pPr>
              <w:pStyle w:val="21"/>
              <w:spacing w:before="0" w:after="0" w:line="360" w:lineRule="auto"/>
              <w:ind w:firstLine="480" w:firstLineChars="200"/>
              <w:jc w:val="both"/>
              <w:outlineLvl w:val="9"/>
              <w:rPr>
                <w:rFonts w:ascii="Times New Roman" w:hAnsi="Times New Roman" w:cs="Times New Roman"/>
                <w:b w:val="0"/>
                <w:bCs w:val="0"/>
                <w:sz w:val="24"/>
                <w:szCs w:val="24"/>
                <w:highlight w:val="green"/>
                <w:lang w:eastAsia="zh-CN"/>
              </w:rPr>
            </w:pPr>
            <w:bookmarkStart w:id="116" w:name="_Toc9849"/>
            <w:r>
              <w:rPr>
                <w:rFonts w:hint="eastAsia" w:ascii="Times New Roman" w:hAnsi="Times New Roman" w:cs="Times New Roman"/>
                <w:b w:val="0"/>
                <w:bCs w:val="0"/>
                <w:sz w:val="24"/>
                <w:szCs w:val="24"/>
                <w:lang w:eastAsia="zh-CN"/>
              </w:rPr>
              <w:t>因此，从环境影响程度的角度分析，站址的选择是合理的。</w:t>
            </w:r>
            <w:bookmarkEnd w:id="116"/>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tc>
      </w:tr>
    </w:tbl>
    <w:p>
      <w:pPr>
        <w:pStyle w:val="20"/>
        <w:jc w:val="center"/>
        <w:rPr>
          <w:rFonts w:ascii="黑体" w:hAnsi="黑体" w:eastAsia="黑体"/>
          <w:snapToGrid w:val="0"/>
          <w:sz w:val="36"/>
          <w:szCs w:val="36"/>
        </w:rPr>
        <w:sectPr>
          <w:pgSz w:w="11905" w:h="16838"/>
          <w:pgMar w:top="1417" w:right="1417" w:bottom="1417" w:left="1417" w:header="851" w:footer="992" w:gutter="0"/>
          <w:cols w:space="720" w:num="1"/>
          <w:docGrid w:linePitch="312" w:charSpace="0"/>
        </w:sectPr>
      </w:pPr>
    </w:p>
    <w:p>
      <w:pPr>
        <w:pStyle w:val="20"/>
        <w:adjustRightInd w:val="0"/>
        <w:snapToGrid w:val="0"/>
        <w:spacing w:before="0" w:beforeAutospacing="0" w:after="0" w:afterAutospacing="0" w:line="14" w:lineRule="auto"/>
        <w:jc w:val="center"/>
        <w:rPr>
          <w:rFonts w:ascii="黑体" w:hAnsi="黑体" w:eastAsia="黑体"/>
          <w:snapToGrid w:val="0"/>
          <w:sz w:val="30"/>
          <w:szCs w:val="30"/>
        </w:rPr>
      </w:pPr>
    </w:p>
    <w:p>
      <w:pPr>
        <w:pStyle w:val="20"/>
        <w:jc w:val="center"/>
        <w:outlineLvl w:val="0"/>
        <w:rPr>
          <w:rFonts w:ascii="黑体" w:hAnsi="黑体" w:eastAsia="黑体"/>
          <w:snapToGrid w:val="0"/>
          <w:sz w:val="30"/>
          <w:szCs w:val="30"/>
        </w:rPr>
      </w:pPr>
      <w:bookmarkStart w:id="117" w:name="_Toc3681"/>
      <w:r>
        <w:rPr>
          <w:rFonts w:hint="eastAsia" w:ascii="黑体" w:hAnsi="黑体" w:eastAsia="黑体"/>
          <w:snapToGrid w:val="0"/>
          <w:sz w:val="30"/>
          <w:szCs w:val="30"/>
        </w:rPr>
        <w:t>五、主要生态环境保护措施</w:t>
      </w:r>
      <w:bookmarkEnd w:id="117"/>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8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rFonts w:ascii="宋体" w:hAnsi="宋体"/>
                <w:bCs/>
                <w:szCs w:val="21"/>
              </w:rPr>
            </w:pPr>
            <w:r>
              <w:rPr>
                <w:rFonts w:hint="eastAsia" w:ascii="宋体" w:hAnsi="宋体" w:cs="宋体"/>
                <w:bCs/>
                <w:spacing w:val="10"/>
                <w:szCs w:val="21"/>
              </w:rPr>
              <w:t>施工期生态环境保护措施</w:t>
            </w:r>
          </w:p>
        </w:tc>
        <w:tc>
          <w:tcPr>
            <w:tcW w:w="8457" w:type="dxa"/>
          </w:tcPr>
          <w:p>
            <w:pPr>
              <w:adjustRightInd w:val="0"/>
              <w:snapToGrid w:val="0"/>
              <w:spacing w:before="120" w:beforeLines="50" w:after="120" w:afterLines="50" w:line="360" w:lineRule="auto"/>
              <w:rPr>
                <w:b/>
                <w:bCs/>
                <w:sz w:val="24"/>
              </w:rPr>
            </w:pPr>
            <w:r>
              <w:rPr>
                <w:rFonts w:hint="eastAsia"/>
                <w:b/>
                <w:bCs/>
                <w:sz w:val="24"/>
              </w:rPr>
              <w:t>5.1施工期生态环境保护措施</w:t>
            </w:r>
          </w:p>
          <w:p>
            <w:pPr>
              <w:adjustRightInd w:val="0"/>
              <w:snapToGrid w:val="0"/>
              <w:spacing w:before="120" w:beforeLines="50" w:after="120" w:afterLines="50" w:line="360" w:lineRule="auto"/>
              <w:rPr>
                <w:b/>
                <w:bCs/>
                <w:sz w:val="24"/>
              </w:rPr>
            </w:pPr>
            <w:r>
              <w:rPr>
                <w:rFonts w:hint="eastAsia"/>
                <w:b/>
                <w:bCs/>
                <w:sz w:val="24"/>
              </w:rPr>
              <w:t>5.1.1</w:t>
            </w:r>
            <w:r>
              <w:rPr>
                <w:b/>
                <w:bCs/>
                <w:sz w:val="24"/>
              </w:rPr>
              <w:t>施工期大气环境保护措施</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18" w:name="_Toc5027"/>
            <w:r>
              <w:rPr>
                <w:rFonts w:ascii="Times New Roman" w:hAnsi="Times New Roman" w:cs="Times New Roman"/>
                <w:b w:val="0"/>
                <w:bCs w:val="0"/>
                <w:sz w:val="24"/>
                <w:szCs w:val="24"/>
                <w:lang w:eastAsia="zh-CN"/>
              </w:rPr>
              <w:t>施工过程中产生的施工扬尘、运输扬尘、汽车尾气等废气尽管是短期的，但会对周围环境带来不利的影响，所以在施工期应采取积极的措施尽量减少扬尘的产生。</w:t>
            </w:r>
            <w:r>
              <w:rPr>
                <w:rFonts w:hint="eastAsia" w:ascii="Times New Roman" w:hAnsi="Times New Roman" w:cs="Times New Roman"/>
                <w:b w:val="0"/>
                <w:bCs w:val="0"/>
                <w:sz w:val="24"/>
                <w:szCs w:val="24"/>
                <w:lang w:eastAsia="zh-CN"/>
              </w:rPr>
              <w:t>根据《张掖市大气污染防治条例》，</w:t>
            </w:r>
            <w:r>
              <w:rPr>
                <w:rFonts w:ascii="Times New Roman" w:hAnsi="Times New Roman" w:cs="Times New Roman"/>
                <w:b w:val="0"/>
                <w:bCs w:val="0"/>
                <w:sz w:val="24"/>
                <w:szCs w:val="24"/>
                <w:lang w:eastAsia="zh-CN"/>
              </w:rPr>
              <w:t>在施工场地应采取措施防</w:t>
            </w:r>
            <w:r>
              <w:rPr>
                <w:rFonts w:hint="eastAsia" w:ascii="Times New Roman" w:hAnsi="Times New Roman" w:cs="Times New Roman"/>
                <w:b w:val="0"/>
                <w:bCs w:val="0"/>
                <w:sz w:val="24"/>
                <w:szCs w:val="24"/>
                <w:lang w:eastAsia="zh-CN"/>
              </w:rPr>
              <w:t>治扬尘的污染，具体措施如下：</w:t>
            </w:r>
            <w:bookmarkEnd w:id="118"/>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19" w:name="_Toc8863"/>
            <w:r>
              <w:rPr>
                <w:rFonts w:hint="eastAsia" w:ascii="Times New Roman" w:hAnsi="Times New Roman" w:cs="Times New Roman"/>
                <w:b w:val="0"/>
                <w:bCs w:val="0"/>
                <w:sz w:val="24"/>
                <w:szCs w:val="24"/>
                <w:lang w:eastAsia="zh-CN"/>
              </w:rPr>
              <w:t>（1）建设单位应当将防治扬尘污染的费用列入工程造价，并在施工承包合同中明确施工单位扬尘污染防治责任。施工单位应当制定具体的施工扬尘污染防治实施方案。</w:t>
            </w:r>
            <w:bookmarkEnd w:id="119"/>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0" w:name="_Toc22611"/>
            <w:r>
              <w:rPr>
                <w:rFonts w:hint="eastAsia" w:ascii="Times New Roman" w:hAnsi="Times New Roman" w:cs="Times New Roman"/>
                <w:b w:val="0"/>
                <w:bCs w:val="0"/>
                <w:sz w:val="24"/>
                <w:szCs w:val="24"/>
                <w:lang w:eastAsia="zh-CN"/>
              </w:rPr>
              <w:t>（2）</w:t>
            </w:r>
            <w:r>
              <w:rPr>
                <w:rFonts w:ascii="Times New Roman" w:hAnsi="Times New Roman" w:cs="Times New Roman"/>
                <w:b w:val="0"/>
                <w:bCs w:val="0"/>
                <w:sz w:val="24"/>
                <w:szCs w:val="24"/>
                <w:lang w:eastAsia="zh-CN"/>
              </w:rPr>
              <w:t>施工作业区应配备专人负责</w:t>
            </w:r>
            <w:r>
              <w:rPr>
                <w:rFonts w:hint="eastAsia" w:ascii="Times New Roman" w:hAnsi="Times New Roman" w:cs="Times New Roman"/>
                <w:b w:val="0"/>
                <w:bCs w:val="0"/>
                <w:sz w:val="24"/>
                <w:szCs w:val="24"/>
                <w:lang w:eastAsia="zh-CN"/>
              </w:rPr>
              <w:t>施工环保管理</w:t>
            </w:r>
            <w:r>
              <w:rPr>
                <w:rFonts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eastAsia="zh-CN"/>
              </w:rPr>
              <w:t>做</w:t>
            </w:r>
            <w:r>
              <w:rPr>
                <w:rFonts w:ascii="Times New Roman" w:hAnsi="Times New Roman" w:cs="Times New Roman"/>
                <w:b w:val="0"/>
                <w:bCs w:val="0"/>
                <w:sz w:val="24"/>
                <w:szCs w:val="24"/>
                <w:lang w:eastAsia="zh-CN"/>
              </w:rPr>
              <w:t>到科学管理、文明施工；</w:t>
            </w:r>
            <w:r>
              <w:rPr>
                <w:rFonts w:hint="eastAsia" w:ascii="Times New Roman" w:hAnsi="Times New Roman" w:cs="Times New Roman"/>
                <w:b w:val="0"/>
                <w:bCs w:val="0"/>
                <w:sz w:val="24"/>
                <w:szCs w:val="24"/>
                <w:lang w:eastAsia="zh-CN"/>
              </w:rPr>
              <w:t>施工前制定施工计划，明确运输路线及运输时间、施工周期等，施工时严格按照确定的路线及时间进行运输</w:t>
            </w:r>
            <w:r>
              <w:rPr>
                <w:rFonts w:ascii="Times New Roman" w:hAnsi="Times New Roman" w:cs="Times New Roman"/>
                <w:b w:val="0"/>
                <w:bCs w:val="0"/>
                <w:sz w:val="24"/>
                <w:szCs w:val="24"/>
                <w:lang w:eastAsia="zh-CN"/>
              </w:rPr>
              <w:t>。在基础施</w:t>
            </w:r>
            <w:r>
              <w:rPr>
                <w:rFonts w:hint="eastAsia" w:ascii="Times New Roman" w:hAnsi="Times New Roman" w:cs="Times New Roman"/>
                <w:b w:val="0"/>
                <w:bCs w:val="0"/>
                <w:sz w:val="24"/>
                <w:szCs w:val="24"/>
                <w:lang w:eastAsia="zh-CN"/>
              </w:rPr>
              <w:t>工期，</w:t>
            </w:r>
            <w:r>
              <w:rPr>
                <w:rFonts w:ascii="Times New Roman" w:hAnsi="Times New Roman" w:cs="Times New Roman"/>
                <w:b w:val="0"/>
                <w:bCs w:val="0"/>
                <w:sz w:val="24"/>
                <w:szCs w:val="24"/>
                <w:lang w:eastAsia="zh-CN"/>
              </w:rPr>
              <w:t>应尽可能采取措施</w:t>
            </w:r>
            <w:r>
              <w:rPr>
                <w:rFonts w:hint="eastAsia" w:ascii="Times New Roman" w:hAnsi="Times New Roman" w:cs="Times New Roman"/>
                <w:b w:val="0"/>
                <w:bCs w:val="0"/>
                <w:sz w:val="24"/>
                <w:szCs w:val="24"/>
                <w:lang w:eastAsia="zh-CN"/>
              </w:rPr>
              <w:t>加快</w:t>
            </w:r>
            <w:r>
              <w:rPr>
                <w:rFonts w:ascii="Times New Roman" w:hAnsi="Times New Roman" w:cs="Times New Roman"/>
                <w:b w:val="0"/>
                <w:bCs w:val="0"/>
                <w:sz w:val="24"/>
                <w:szCs w:val="24"/>
                <w:lang w:eastAsia="zh-CN"/>
              </w:rPr>
              <w:t>工程进度，缩短危害周期</w:t>
            </w:r>
            <w:r>
              <w:rPr>
                <w:rFonts w:hint="eastAsia" w:ascii="Times New Roman" w:hAnsi="Times New Roman" w:cs="Times New Roman"/>
                <w:b w:val="0"/>
                <w:bCs w:val="0"/>
                <w:sz w:val="24"/>
                <w:szCs w:val="24"/>
                <w:lang w:eastAsia="zh-CN"/>
              </w:rPr>
              <w:t>。</w:t>
            </w:r>
            <w:bookmarkEnd w:id="120"/>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1" w:name="_Toc4721"/>
            <w:r>
              <w:rPr>
                <w:rFonts w:hint="eastAsia" w:ascii="Times New Roman" w:hAnsi="Times New Roman" w:cs="Times New Roman"/>
                <w:b w:val="0"/>
                <w:bCs w:val="0"/>
                <w:sz w:val="24"/>
                <w:szCs w:val="24"/>
                <w:lang w:eastAsia="zh-CN"/>
              </w:rPr>
              <w:t>（3）施工单位应当在施工工地设置硬质围挡；</w:t>
            </w:r>
            <w:r>
              <w:rPr>
                <w:rFonts w:ascii="Times New Roman" w:hAnsi="Times New Roman" w:cs="Times New Roman"/>
                <w:b w:val="0"/>
                <w:bCs w:val="0"/>
                <w:sz w:val="24"/>
                <w:szCs w:val="24"/>
                <w:lang w:eastAsia="zh-CN"/>
              </w:rPr>
              <w:t>施工期尽量避开大风、大雨天气，对施工作业面应边施工、边洒水，尽可能降低或避免对区域的扬尘污染</w:t>
            </w:r>
            <w:r>
              <w:rPr>
                <w:rFonts w:hint="eastAsia" w:ascii="Times New Roman" w:hAnsi="Times New Roman" w:cs="Times New Roman"/>
                <w:b w:val="0"/>
                <w:bCs w:val="0"/>
                <w:sz w:val="24"/>
                <w:szCs w:val="24"/>
                <w:lang w:eastAsia="zh-CN"/>
              </w:rPr>
              <w:t>。</w:t>
            </w:r>
            <w:bookmarkEnd w:id="121"/>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2" w:name="_Toc2264"/>
            <w:r>
              <w:rPr>
                <w:rFonts w:hint="eastAsia" w:ascii="Times New Roman" w:hAnsi="Times New Roman" w:cs="Times New Roman"/>
                <w:b w:val="0"/>
                <w:bCs w:val="0"/>
                <w:sz w:val="24"/>
                <w:szCs w:val="24"/>
                <w:lang w:eastAsia="zh-CN"/>
              </w:rPr>
              <w:t>（4）采取物料堆放覆盖、分段作业、择时施工、洒水抑尘、土方开挖湿法作业、路面硬化、冲洗地面和车辆、渣土车辆密闭等防尘降尘措施。</w:t>
            </w:r>
            <w:bookmarkEnd w:id="122"/>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3" w:name="_Toc21524"/>
            <w:r>
              <w:rPr>
                <w:rFonts w:hint="eastAsia" w:ascii="Times New Roman" w:hAnsi="Times New Roman" w:cs="Times New Roman"/>
                <w:b w:val="0"/>
                <w:bCs w:val="0"/>
                <w:sz w:val="24"/>
                <w:szCs w:val="24"/>
                <w:lang w:eastAsia="zh-CN"/>
              </w:rPr>
              <w:t>（5）在施工工地公示扬尘污染防治措施、负责人、扬尘监督管理部门等信息，建立工作台账，记录每日扬尘污染防治措施落实情况、覆盖面积、出入洗车洒水次数和持续时间等信息。</w:t>
            </w:r>
            <w:bookmarkEnd w:id="123"/>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4" w:name="_Toc20730"/>
            <w:r>
              <w:rPr>
                <w:rFonts w:hint="eastAsia" w:ascii="Times New Roman" w:hAnsi="Times New Roman" w:cs="Times New Roman"/>
                <w:b w:val="0"/>
                <w:bCs w:val="0"/>
                <w:sz w:val="24"/>
                <w:szCs w:val="24"/>
                <w:lang w:eastAsia="zh-CN"/>
              </w:rPr>
              <w:t>（6）机动车、非道路移动机械不得超过标准排放大气污染物；在用机动车排放大气污染物超过标准的，应当进行维修，经维修或者采用污染控制技术后，大气污染物排放仍不符合国家在用机动车排放标准的，应当强制报废。</w:t>
            </w:r>
            <w:bookmarkEnd w:id="124"/>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5" w:name="_Toc16553"/>
            <w:r>
              <w:rPr>
                <w:rFonts w:hint="eastAsia" w:ascii="Times New Roman" w:hAnsi="Times New Roman" w:cs="Times New Roman"/>
                <w:b w:val="0"/>
                <w:bCs w:val="0"/>
                <w:sz w:val="24"/>
                <w:szCs w:val="24"/>
                <w:lang w:eastAsia="zh-CN"/>
              </w:rPr>
              <w:t>（7）建筑土方、工程渣土、建筑垃圾应当及时清运；在场地内堆存的，应当采用密闭式防尘网（布）遮盖或其他表面固化措施；防尘网（布）应当符合质量标准，不得随意弃置、填埋或者焚烧，破损时应当及时修复或者更换，防止造成大气污染。</w:t>
            </w:r>
            <w:bookmarkEnd w:id="125"/>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6" w:name="_Toc30700"/>
            <w:r>
              <w:rPr>
                <w:rFonts w:hint="eastAsia" w:ascii="Times New Roman" w:hAnsi="Times New Roman" w:cs="Times New Roman"/>
                <w:b w:val="0"/>
                <w:bCs w:val="0"/>
                <w:sz w:val="24"/>
                <w:szCs w:val="24"/>
                <w:lang w:eastAsia="zh-CN"/>
              </w:rPr>
              <w:t>（8）工程渣土、建筑垃圾应当进行资源化处理。运输垃圾、渣土、砂石、土方、水泥、商品混凝土、石灰、灰浆等散装、流体物料的车辆应当采取密闭或者其他措施防止物料遗撒造成扬尘污染，并按照规定路线行驶。</w:t>
            </w:r>
            <w:bookmarkEnd w:id="126"/>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7" w:name="_Toc21214"/>
            <w:r>
              <w:rPr>
                <w:rFonts w:hint="eastAsia" w:ascii="Times New Roman" w:hAnsi="Times New Roman" w:cs="Times New Roman"/>
                <w:b w:val="0"/>
                <w:bCs w:val="0"/>
                <w:sz w:val="24"/>
                <w:szCs w:val="24"/>
                <w:lang w:eastAsia="zh-CN"/>
              </w:rPr>
              <w:t>（9）装卸物料应当采取密闭或者喷淋等方式防治扬尘污染。贮存水泥、石灰、石膏、砂土等易产尘的物料应当密闭，不能密闭的，应当设置不低于堆放高度的严密围挡，并采取有效覆盖措施防治扬尘污染。</w:t>
            </w:r>
            <w:bookmarkEnd w:id="127"/>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28" w:name="_Toc20375"/>
            <w:r>
              <w:rPr>
                <w:rFonts w:ascii="Times New Roman" w:hAnsi="Times New Roman" w:cs="Times New Roman"/>
                <w:b w:val="0"/>
                <w:bCs w:val="0"/>
                <w:sz w:val="24"/>
                <w:szCs w:val="24"/>
                <w:lang w:eastAsia="zh-CN"/>
              </w:rPr>
              <w:t>采取上述措施后，施工期对环境空气的影响能得到有效控制，对环境空气的影响</w:t>
            </w:r>
            <w:r>
              <w:rPr>
                <w:rFonts w:hint="eastAsia" w:ascii="Times New Roman" w:hAnsi="Times New Roman" w:cs="Times New Roman"/>
                <w:b w:val="0"/>
                <w:bCs w:val="0"/>
                <w:sz w:val="24"/>
                <w:szCs w:val="24"/>
                <w:lang w:eastAsia="zh-CN"/>
              </w:rPr>
              <w:t>不大，治理措施可行。</w:t>
            </w:r>
            <w:bookmarkEnd w:id="128"/>
          </w:p>
          <w:p>
            <w:pPr>
              <w:adjustRightInd w:val="0"/>
              <w:snapToGrid w:val="0"/>
              <w:spacing w:before="120" w:beforeLines="50" w:after="120" w:afterLines="50" w:line="360" w:lineRule="auto"/>
              <w:rPr>
                <w:b/>
                <w:bCs/>
                <w:sz w:val="24"/>
              </w:rPr>
            </w:pPr>
            <w:r>
              <w:rPr>
                <w:rFonts w:hint="eastAsia"/>
                <w:b/>
                <w:bCs/>
                <w:sz w:val="24"/>
              </w:rPr>
              <w:t>5.1.2</w:t>
            </w:r>
            <w:r>
              <w:rPr>
                <w:b/>
                <w:bCs/>
                <w:sz w:val="24"/>
              </w:rPr>
              <w:t>施工期地表水环境保护措施</w:t>
            </w:r>
          </w:p>
          <w:p>
            <w:pPr>
              <w:adjustRightInd w:val="0"/>
              <w:snapToGrid w:val="0"/>
              <w:spacing w:line="360" w:lineRule="auto"/>
              <w:ind w:firstLine="480" w:firstLineChars="200"/>
              <w:rPr>
                <w:sz w:val="24"/>
              </w:rPr>
            </w:pPr>
            <w:r>
              <w:rPr>
                <w:sz w:val="24"/>
              </w:rPr>
              <w:t>为尽量减少施工废水对水环境的影响，施工期拟采取的水环境保护措施如下：</w:t>
            </w:r>
          </w:p>
          <w:p>
            <w:pPr>
              <w:adjustRightInd w:val="0"/>
              <w:snapToGrid w:val="0"/>
              <w:spacing w:line="360" w:lineRule="auto"/>
              <w:ind w:firstLine="480" w:firstLineChars="200"/>
              <w:rPr>
                <w:sz w:val="24"/>
              </w:rPr>
            </w:pPr>
            <w:r>
              <w:rPr>
                <w:rFonts w:hint="eastAsia"/>
                <w:sz w:val="24"/>
              </w:rPr>
              <w:t>（1）</w:t>
            </w:r>
            <w:r>
              <w:rPr>
                <w:sz w:val="24"/>
              </w:rPr>
              <w:t>在施工场地附近设置施工废水沉淀池，将施工过程中产生的废水经沉淀处理后回用于工程用水及道路降尘等；</w:t>
            </w:r>
          </w:p>
          <w:p>
            <w:pPr>
              <w:adjustRightInd w:val="0"/>
              <w:snapToGrid w:val="0"/>
              <w:spacing w:line="360" w:lineRule="auto"/>
              <w:ind w:firstLine="480" w:firstLineChars="200"/>
              <w:rPr>
                <w:sz w:val="24"/>
              </w:rPr>
            </w:pPr>
            <w:r>
              <w:rPr>
                <w:sz w:val="24"/>
              </w:rPr>
              <w:t>（2）施工时施工人员产生的生活污水利用站区设置的临时旱厕</w:t>
            </w:r>
            <w:r>
              <w:rPr>
                <w:rFonts w:hint="eastAsia"/>
                <w:sz w:val="24"/>
              </w:rPr>
              <w:t>（防渗）</w:t>
            </w:r>
            <w:r>
              <w:rPr>
                <w:sz w:val="24"/>
              </w:rPr>
              <w:t>进行处理，定期清掏，施工结束后进行处理，并恢复迹地。此外，本项目处于戈壁地带，属于较为干旱缺水地区，施工期污水量很小，大部分污水会被自然蒸发，因此施工期排水对地表水、地下水环境影响</w:t>
            </w:r>
            <w:r>
              <w:rPr>
                <w:rFonts w:hint="eastAsia"/>
                <w:sz w:val="24"/>
              </w:rPr>
              <w:t>不大</w:t>
            </w:r>
            <w:r>
              <w:rPr>
                <w:sz w:val="24"/>
              </w:rPr>
              <w:t>；</w:t>
            </w:r>
          </w:p>
          <w:p>
            <w:pPr>
              <w:adjustRightInd w:val="0"/>
              <w:snapToGrid w:val="0"/>
              <w:spacing w:line="360" w:lineRule="auto"/>
              <w:ind w:firstLine="480" w:firstLineChars="200"/>
              <w:rPr>
                <w:sz w:val="24"/>
              </w:rPr>
            </w:pPr>
            <w:r>
              <w:rPr>
                <w:sz w:val="24"/>
              </w:rPr>
              <w:t>（3）施工单位做好施工场地周围的拦挡措施，尽量避免雨季开挖作业。</w:t>
            </w:r>
          </w:p>
          <w:p>
            <w:pPr>
              <w:adjustRightInd w:val="0"/>
              <w:snapToGrid w:val="0"/>
              <w:spacing w:line="360" w:lineRule="auto"/>
              <w:ind w:firstLine="480" w:firstLineChars="200"/>
              <w:rPr>
                <w:sz w:val="24"/>
              </w:rPr>
            </w:pPr>
            <w:r>
              <w:rPr>
                <w:sz w:val="24"/>
              </w:rPr>
              <w:t>在做好上述环保措施的基础上，施工过程中产生的废污水不会对站址周边地表水环境产生不良影响</w:t>
            </w:r>
          </w:p>
          <w:p>
            <w:pPr>
              <w:adjustRightInd w:val="0"/>
              <w:snapToGrid w:val="0"/>
              <w:spacing w:before="120" w:beforeLines="50" w:after="120" w:afterLines="50" w:line="360" w:lineRule="auto"/>
              <w:rPr>
                <w:b/>
                <w:bCs/>
                <w:sz w:val="24"/>
              </w:rPr>
            </w:pPr>
            <w:r>
              <w:rPr>
                <w:rFonts w:hint="eastAsia"/>
                <w:b/>
                <w:bCs/>
                <w:sz w:val="24"/>
              </w:rPr>
              <w:t>5.1.3</w:t>
            </w:r>
            <w:r>
              <w:rPr>
                <w:b/>
                <w:bCs/>
                <w:sz w:val="24"/>
              </w:rPr>
              <w:t>施工期声环境保护措施</w:t>
            </w:r>
          </w:p>
          <w:p>
            <w:pPr>
              <w:adjustRightInd w:val="0"/>
              <w:snapToGrid w:val="0"/>
              <w:spacing w:line="360" w:lineRule="auto"/>
              <w:ind w:firstLine="480" w:firstLineChars="200"/>
              <w:rPr>
                <w:sz w:val="24"/>
              </w:rPr>
            </w:pPr>
            <w:r>
              <w:rPr>
                <w:sz w:val="24"/>
              </w:rPr>
              <w:t>本项目拟采取的施工噪声影响保护措施如下：</w:t>
            </w:r>
          </w:p>
          <w:p>
            <w:pPr>
              <w:adjustRightInd w:val="0"/>
              <w:snapToGrid w:val="0"/>
              <w:spacing w:line="360" w:lineRule="auto"/>
              <w:ind w:firstLine="480" w:firstLineChars="200"/>
              <w:rPr>
                <w:sz w:val="24"/>
              </w:rPr>
            </w:pPr>
            <w:r>
              <w:rPr>
                <w:sz w:val="24"/>
              </w:rPr>
              <w:t>（1）施工单位采用满足国家相应噪声标准且低噪音的机械设备或带隔声、消声设备。</w:t>
            </w:r>
          </w:p>
          <w:p>
            <w:pPr>
              <w:adjustRightInd w:val="0"/>
              <w:snapToGrid w:val="0"/>
              <w:spacing w:line="360" w:lineRule="auto"/>
              <w:ind w:firstLine="480" w:firstLineChars="200"/>
              <w:rPr>
                <w:sz w:val="24"/>
              </w:rPr>
            </w:pPr>
            <w:r>
              <w:rPr>
                <w:sz w:val="24"/>
              </w:rPr>
              <w:t>（2）施工单位合理规划施工时间和安排施工场地，夜间禁止施工。严禁高</w:t>
            </w:r>
            <w:r>
              <w:rPr>
                <w:rFonts w:hint="eastAsia"/>
                <w:sz w:val="24"/>
              </w:rPr>
              <w:t>噪声</w:t>
            </w:r>
            <w:r>
              <w:rPr>
                <w:sz w:val="24"/>
              </w:rPr>
              <w:t>、高振动的设备在中午及夜间休息时间作业。</w:t>
            </w:r>
          </w:p>
          <w:p>
            <w:pPr>
              <w:adjustRightInd w:val="0"/>
              <w:snapToGrid w:val="0"/>
              <w:spacing w:line="360" w:lineRule="auto"/>
              <w:ind w:firstLine="480" w:firstLineChars="200"/>
              <w:rPr>
                <w:sz w:val="24"/>
              </w:rPr>
            </w:pPr>
            <w:r>
              <w:rPr>
                <w:sz w:val="24"/>
              </w:rPr>
              <w:t>（3）在满足工程建设要求的情况下尽量优化施工时序，避免高噪声设备同时运行，尽量缩短施工工期。</w:t>
            </w:r>
          </w:p>
          <w:p>
            <w:pPr>
              <w:adjustRightInd w:val="0"/>
              <w:snapToGrid w:val="0"/>
              <w:spacing w:line="360" w:lineRule="auto"/>
              <w:ind w:firstLine="480" w:firstLineChars="200"/>
              <w:rPr>
                <w:sz w:val="24"/>
              </w:rPr>
            </w:pPr>
            <w:r>
              <w:rPr>
                <w:sz w:val="24"/>
              </w:rPr>
              <w:t>本项目施工期较短，在采取上述措施后，施工噪声对周围声环境的影响有限，随着施工期的结束其对周围的影响也随之消失。</w:t>
            </w:r>
          </w:p>
          <w:p>
            <w:pPr>
              <w:adjustRightInd w:val="0"/>
              <w:snapToGrid w:val="0"/>
              <w:spacing w:before="120" w:beforeLines="50" w:after="120" w:afterLines="50" w:line="360" w:lineRule="auto"/>
              <w:rPr>
                <w:b/>
                <w:bCs/>
                <w:sz w:val="24"/>
              </w:rPr>
            </w:pPr>
            <w:r>
              <w:rPr>
                <w:rFonts w:hint="eastAsia"/>
                <w:b/>
                <w:bCs/>
                <w:sz w:val="24"/>
              </w:rPr>
              <w:t>5.1.4</w:t>
            </w:r>
            <w:r>
              <w:rPr>
                <w:b/>
                <w:bCs/>
                <w:sz w:val="24"/>
              </w:rPr>
              <w:t>固体废物环境保护措施</w:t>
            </w:r>
          </w:p>
          <w:p>
            <w:pPr>
              <w:adjustRightInd w:val="0"/>
              <w:snapToGrid w:val="0"/>
              <w:spacing w:line="360" w:lineRule="auto"/>
              <w:ind w:firstLine="480" w:firstLineChars="200"/>
              <w:rPr>
                <w:sz w:val="24"/>
              </w:rPr>
            </w:pPr>
            <w:r>
              <w:rPr>
                <w:sz w:val="24"/>
              </w:rPr>
              <w:t>（1）施工人员生活垃圾通过设置垃圾箱集中收集、分类堆放，定期运至环卫部门指定的地点位置。</w:t>
            </w:r>
          </w:p>
          <w:p>
            <w:pPr>
              <w:adjustRightInd w:val="0"/>
              <w:snapToGrid w:val="0"/>
              <w:spacing w:line="360" w:lineRule="auto"/>
              <w:ind w:firstLine="480" w:firstLineChars="200"/>
              <w:rPr>
                <w:sz w:val="24"/>
              </w:rPr>
            </w:pPr>
            <w:r>
              <w:rPr>
                <w:sz w:val="24"/>
              </w:rPr>
              <w:t>（2）施工过程中尽量做到土石方平衡，减少弃土的产生，对施工临时堆土，集中、合理堆放，予以苫盖，遇干燥天气时进行洒水。</w:t>
            </w:r>
          </w:p>
          <w:p>
            <w:pPr>
              <w:adjustRightInd w:val="0"/>
              <w:snapToGrid w:val="0"/>
              <w:spacing w:line="360" w:lineRule="auto"/>
              <w:ind w:firstLine="480" w:firstLineChars="200"/>
              <w:rPr>
                <w:sz w:val="24"/>
              </w:rPr>
            </w:pPr>
            <w:r>
              <w:rPr>
                <w:sz w:val="24"/>
              </w:rPr>
              <w:t>（3）建筑垃圾及弃渣由施工单位及时清运，使工程建设产生的各类垃圾处于可控状态。</w:t>
            </w:r>
          </w:p>
          <w:p>
            <w:pPr>
              <w:adjustRightInd w:val="0"/>
              <w:snapToGrid w:val="0"/>
              <w:spacing w:line="360" w:lineRule="auto"/>
              <w:ind w:firstLine="480" w:firstLineChars="200"/>
              <w:rPr>
                <w:sz w:val="24"/>
              </w:rPr>
            </w:pPr>
            <w:r>
              <w:rPr>
                <w:sz w:val="24"/>
              </w:rPr>
              <w:t>采取上述措施后，对当地环境影响</w:t>
            </w:r>
            <w:r>
              <w:rPr>
                <w:rFonts w:hint="eastAsia"/>
                <w:sz w:val="24"/>
              </w:rPr>
              <w:t>不大</w:t>
            </w:r>
            <w:r>
              <w:rPr>
                <w:sz w:val="24"/>
              </w:rPr>
              <w:t>。</w:t>
            </w:r>
          </w:p>
          <w:p>
            <w:pPr>
              <w:adjustRightInd w:val="0"/>
              <w:snapToGrid w:val="0"/>
              <w:spacing w:before="120" w:beforeLines="50" w:after="120" w:afterLines="50" w:line="360" w:lineRule="auto"/>
              <w:rPr>
                <w:b/>
                <w:bCs/>
                <w:sz w:val="24"/>
              </w:rPr>
            </w:pPr>
            <w:r>
              <w:rPr>
                <w:rFonts w:hint="eastAsia"/>
                <w:b/>
                <w:bCs/>
                <w:sz w:val="24"/>
              </w:rPr>
              <w:t>5.1.5</w:t>
            </w:r>
            <w:r>
              <w:rPr>
                <w:b/>
                <w:bCs/>
                <w:sz w:val="24"/>
              </w:rPr>
              <w:t>生态环境保护措施</w:t>
            </w:r>
          </w:p>
          <w:p>
            <w:pPr>
              <w:adjustRightInd w:val="0"/>
              <w:snapToGrid w:val="0"/>
              <w:spacing w:line="360" w:lineRule="auto"/>
              <w:ind w:firstLine="480" w:firstLineChars="200"/>
              <w:rPr>
                <w:color w:val="FF0000"/>
                <w:sz w:val="24"/>
              </w:rPr>
            </w:pPr>
            <w:r>
              <w:rPr>
                <w:color w:val="FF0000"/>
                <w:sz w:val="24"/>
              </w:rPr>
              <w:t>（1）人员行为规范</w:t>
            </w:r>
          </w:p>
          <w:p>
            <w:pPr>
              <w:adjustRightInd w:val="0"/>
              <w:snapToGrid w:val="0"/>
              <w:spacing w:line="360" w:lineRule="auto"/>
              <w:ind w:firstLine="480" w:firstLineChars="200"/>
              <w:rPr>
                <w:color w:val="FF0000"/>
                <w:sz w:val="24"/>
              </w:rPr>
            </w:pPr>
            <w:r>
              <w:rPr>
                <w:rFonts w:hint="eastAsia"/>
                <w:color w:val="FF0000"/>
                <w:sz w:val="24"/>
              </w:rPr>
              <w:t>①</w:t>
            </w:r>
            <w:r>
              <w:rPr>
                <w:color w:val="FF0000"/>
                <w:sz w:val="24"/>
              </w:rPr>
              <w:t>加强对管理人员和施工人员的教育，提高其环保意识。</w:t>
            </w:r>
          </w:p>
          <w:p>
            <w:pPr>
              <w:adjustRightInd w:val="0"/>
              <w:snapToGrid w:val="0"/>
              <w:spacing w:line="360" w:lineRule="auto"/>
              <w:ind w:firstLine="480" w:firstLineChars="200"/>
              <w:rPr>
                <w:color w:val="FF0000"/>
                <w:sz w:val="24"/>
              </w:rPr>
            </w:pPr>
            <w:r>
              <w:rPr>
                <w:rFonts w:hint="eastAsia"/>
                <w:color w:val="FF0000"/>
                <w:sz w:val="24"/>
              </w:rPr>
              <w:t>②</w:t>
            </w:r>
            <w:r>
              <w:rPr>
                <w:color w:val="FF0000"/>
                <w:sz w:val="24"/>
              </w:rPr>
              <w:t>注意保护植被，禁止</w:t>
            </w:r>
            <w:r>
              <w:rPr>
                <w:rFonts w:hint="eastAsia"/>
                <w:color w:val="FF0000"/>
                <w:sz w:val="24"/>
              </w:rPr>
              <w:t>破坏地表植被</w:t>
            </w:r>
            <w:r>
              <w:rPr>
                <w:color w:val="FF0000"/>
                <w:sz w:val="24"/>
              </w:rPr>
              <w:t>，不得偷猎、伤害、恐吓、袭击野生动物。</w:t>
            </w:r>
          </w:p>
          <w:p>
            <w:pPr>
              <w:adjustRightInd w:val="0"/>
              <w:snapToGrid w:val="0"/>
              <w:spacing w:line="360" w:lineRule="auto"/>
              <w:ind w:firstLine="480" w:firstLineChars="200"/>
              <w:rPr>
                <w:color w:val="FF0000"/>
                <w:sz w:val="24"/>
              </w:rPr>
            </w:pPr>
            <w:r>
              <w:rPr>
                <w:rFonts w:hint="eastAsia"/>
                <w:color w:val="FF0000"/>
                <w:sz w:val="24"/>
              </w:rPr>
              <w:t>③</w:t>
            </w:r>
            <w:r>
              <w:rPr>
                <w:color w:val="FF0000"/>
                <w:sz w:val="24"/>
              </w:rPr>
              <w:t>施工人员和施工机械不得在规定区域范围外随意活动和行驶。</w:t>
            </w:r>
          </w:p>
          <w:p>
            <w:pPr>
              <w:adjustRightInd w:val="0"/>
              <w:snapToGrid w:val="0"/>
              <w:spacing w:line="360" w:lineRule="auto"/>
              <w:ind w:firstLine="480" w:firstLineChars="200"/>
              <w:rPr>
                <w:color w:val="FF0000"/>
                <w:sz w:val="24"/>
              </w:rPr>
            </w:pPr>
            <w:r>
              <w:rPr>
                <w:rFonts w:hint="eastAsia"/>
                <w:color w:val="FF0000"/>
                <w:sz w:val="24"/>
              </w:rPr>
              <w:t>④</w:t>
            </w:r>
            <w:r>
              <w:rPr>
                <w:color w:val="FF0000"/>
                <w:sz w:val="24"/>
              </w:rPr>
              <w:t>生活垃圾和建筑垃圾集中收集、集中处理，不得随意丢弃。</w:t>
            </w:r>
          </w:p>
          <w:p>
            <w:pPr>
              <w:adjustRightInd w:val="0"/>
              <w:snapToGrid w:val="0"/>
              <w:spacing w:line="360" w:lineRule="auto"/>
              <w:ind w:firstLine="480" w:firstLineChars="200"/>
              <w:rPr>
                <w:color w:val="FF0000"/>
                <w:sz w:val="24"/>
              </w:rPr>
            </w:pPr>
            <w:r>
              <w:rPr>
                <w:color w:val="FF0000"/>
                <w:sz w:val="24"/>
              </w:rPr>
              <w:t>（2）植被保护措施</w:t>
            </w:r>
          </w:p>
          <w:p>
            <w:pPr>
              <w:adjustRightInd w:val="0"/>
              <w:snapToGrid w:val="0"/>
              <w:spacing w:line="360" w:lineRule="auto"/>
              <w:ind w:firstLine="480" w:firstLineChars="200"/>
              <w:rPr>
                <w:color w:val="FF0000"/>
                <w:sz w:val="24"/>
              </w:rPr>
            </w:pPr>
            <w:r>
              <w:rPr>
                <w:rFonts w:hint="eastAsia"/>
                <w:color w:val="FF0000"/>
                <w:sz w:val="24"/>
              </w:rPr>
              <w:t>严格控制施工范围，</w:t>
            </w:r>
            <w:r>
              <w:rPr>
                <w:color w:val="FF0000"/>
                <w:sz w:val="24"/>
              </w:rPr>
              <w:t>施工人员必须在界定的范围内作业，施工机械进入厂区施工时，应派专人现场指挥，避免碾压沿途的植被。</w:t>
            </w:r>
          </w:p>
          <w:p>
            <w:pPr>
              <w:adjustRightInd w:val="0"/>
              <w:snapToGrid w:val="0"/>
              <w:spacing w:line="360" w:lineRule="auto"/>
              <w:ind w:firstLine="480" w:firstLineChars="200"/>
              <w:rPr>
                <w:color w:val="FF0000"/>
                <w:sz w:val="24"/>
              </w:rPr>
            </w:pPr>
            <w:r>
              <w:rPr>
                <w:color w:val="FF0000"/>
                <w:sz w:val="24"/>
              </w:rPr>
              <w:t>（3）野生动物保护措施</w:t>
            </w:r>
          </w:p>
          <w:p>
            <w:pPr>
              <w:adjustRightInd w:val="0"/>
              <w:snapToGrid w:val="0"/>
              <w:spacing w:line="360" w:lineRule="auto"/>
              <w:ind w:firstLine="480" w:firstLineChars="200"/>
              <w:rPr>
                <w:color w:val="FF0000"/>
                <w:sz w:val="24"/>
              </w:rPr>
            </w:pPr>
            <w:r>
              <w:rPr>
                <w:rFonts w:hint="eastAsia"/>
                <w:color w:val="FF0000"/>
                <w:sz w:val="24"/>
              </w:rPr>
              <w:t>①</w:t>
            </w:r>
            <w:r>
              <w:rPr>
                <w:color w:val="FF0000"/>
                <w:sz w:val="24"/>
              </w:rPr>
              <w:t>选用低噪声的施工设备，施工活动主要集中在白天进行，减少夜间作业，避免灯光、噪声对夜间动物活动的惊扰。在施工过程中若发现野生动物的活动处，应进行保护，以防影响野生动物的栖息，同时要杜绝施工人员捕杀野生动物。</w:t>
            </w:r>
          </w:p>
          <w:p>
            <w:pPr>
              <w:adjustRightInd w:val="0"/>
              <w:snapToGrid w:val="0"/>
              <w:spacing w:line="360" w:lineRule="auto"/>
              <w:ind w:firstLine="480" w:firstLineChars="200"/>
              <w:rPr>
                <w:color w:val="FF0000"/>
                <w:sz w:val="24"/>
              </w:rPr>
            </w:pPr>
            <w:r>
              <w:rPr>
                <w:rFonts w:hint="eastAsia"/>
                <w:color w:val="FF0000"/>
                <w:sz w:val="24"/>
              </w:rPr>
              <w:t>②</w:t>
            </w:r>
            <w:r>
              <w:rPr>
                <w:color w:val="FF0000"/>
                <w:sz w:val="24"/>
              </w:rPr>
              <w:t>施工期如发现珍稀保护动物应采取妥善措施进行保护，不得杀害和损伤珍稀保护动物。对受伤的珍稀动物应及时联系野生动物保护部门，及时救治。</w:t>
            </w:r>
          </w:p>
          <w:p>
            <w:pPr>
              <w:adjustRightInd w:val="0"/>
              <w:snapToGrid w:val="0"/>
              <w:spacing w:line="360" w:lineRule="auto"/>
              <w:ind w:firstLine="480" w:firstLineChars="200"/>
              <w:rPr>
                <w:color w:val="FF0000"/>
                <w:sz w:val="24"/>
              </w:rPr>
            </w:pPr>
            <w:r>
              <w:rPr>
                <w:rFonts w:hint="eastAsia"/>
                <w:color w:val="FF0000"/>
                <w:sz w:val="24"/>
              </w:rPr>
              <w:t>（4）</w:t>
            </w:r>
            <w:r>
              <w:rPr>
                <w:color w:val="FF0000"/>
                <w:sz w:val="24"/>
              </w:rPr>
              <w:t>工程措施</w:t>
            </w:r>
          </w:p>
          <w:p>
            <w:pPr>
              <w:adjustRightInd w:val="0"/>
              <w:snapToGrid w:val="0"/>
              <w:spacing w:line="360" w:lineRule="auto"/>
              <w:ind w:firstLine="480" w:firstLineChars="200"/>
              <w:rPr>
                <w:color w:val="FF0000"/>
                <w:sz w:val="24"/>
              </w:rPr>
            </w:pPr>
            <w:r>
              <w:rPr>
                <w:rFonts w:hint="eastAsia"/>
                <w:color w:val="FF0000"/>
                <w:sz w:val="24"/>
              </w:rPr>
              <w:t>①</w:t>
            </w:r>
            <w:r>
              <w:rPr>
                <w:color w:val="FF0000"/>
                <w:sz w:val="24"/>
              </w:rPr>
              <w:t>设计中应加强土石方的调配力度，进行充分的移挖作填，减少弃土弃渣量。</w:t>
            </w:r>
          </w:p>
          <w:p>
            <w:pPr>
              <w:adjustRightInd w:val="0"/>
              <w:snapToGrid w:val="0"/>
              <w:spacing w:line="360" w:lineRule="auto"/>
              <w:ind w:firstLine="480" w:firstLineChars="200"/>
              <w:rPr>
                <w:color w:val="FF0000"/>
                <w:sz w:val="24"/>
              </w:rPr>
            </w:pPr>
            <w:r>
              <w:rPr>
                <w:rFonts w:hint="eastAsia"/>
                <w:color w:val="FF0000"/>
                <w:sz w:val="24"/>
              </w:rPr>
              <w:t>②</w:t>
            </w:r>
            <w:r>
              <w:rPr>
                <w:color w:val="FF0000"/>
                <w:sz w:val="24"/>
              </w:rPr>
              <w:t>站址区域开挖面及时平整，临时堆土安全合理堆放，</w:t>
            </w:r>
            <w:r>
              <w:rPr>
                <w:rFonts w:hint="eastAsia"/>
                <w:color w:val="FF0000"/>
                <w:sz w:val="24"/>
              </w:rPr>
              <w:t>施工弃土及时清运，</w:t>
            </w:r>
            <w:r>
              <w:rPr>
                <w:color w:val="FF0000"/>
                <w:sz w:val="24"/>
              </w:rPr>
              <w:t>减少施工用地。</w:t>
            </w:r>
          </w:p>
          <w:p>
            <w:pPr>
              <w:adjustRightInd w:val="0"/>
              <w:snapToGrid w:val="0"/>
              <w:spacing w:line="360" w:lineRule="auto"/>
              <w:ind w:firstLine="480" w:firstLineChars="200"/>
              <w:rPr>
                <w:color w:val="FF0000"/>
                <w:sz w:val="24"/>
              </w:rPr>
            </w:pPr>
            <w:r>
              <w:rPr>
                <w:rFonts w:hint="eastAsia"/>
                <w:color w:val="FF0000"/>
                <w:sz w:val="24"/>
              </w:rPr>
              <w:t>③</w:t>
            </w:r>
            <w:r>
              <w:rPr>
                <w:color w:val="FF0000"/>
                <w:sz w:val="24"/>
              </w:rPr>
              <w:t>施工期主要采取挡土墙、护坡、护面、排水沟等防护措施，剥离的表土和开挖出的土石方堆放时在堆土坡脚堆码两排双层土袋进行挡护，顶面用</w:t>
            </w:r>
            <w:r>
              <w:rPr>
                <w:rFonts w:hint="eastAsia"/>
                <w:color w:val="FF0000"/>
                <w:sz w:val="24"/>
              </w:rPr>
              <w:t>密目网</w:t>
            </w:r>
            <w:r>
              <w:rPr>
                <w:color w:val="FF0000"/>
                <w:sz w:val="24"/>
              </w:rPr>
              <w:t>进行苫盖，用剥离的表土装入编织袋挡护剩余的剥离表土和基础开挖出的土石方。</w:t>
            </w:r>
          </w:p>
          <w:p>
            <w:pPr>
              <w:adjustRightInd w:val="0"/>
              <w:snapToGrid w:val="0"/>
              <w:spacing w:line="360" w:lineRule="auto"/>
              <w:ind w:firstLine="480" w:firstLineChars="200"/>
              <w:rPr>
                <w:color w:val="FF0000"/>
                <w:sz w:val="24"/>
              </w:rPr>
            </w:pPr>
            <w:r>
              <w:rPr>
                <w:rFonts w:hint="eastAsia"/>
                <w:color w:val="FF0000"/>
                <w:sz w:val="24"/>
              </w:rPr>
              <w:t>（5）水土保持措施</w:t>
            </w:r>
          </w:p>
          <w:p>
            <w:pPr>
              <w:adjustRightInd w:val="0"/>
              <w:snapToGrid w:val="0"/>
              <w:spacing w:line="360" w:lineRule="auto"/>
              <w:ind w:firstLine="480" w:firstLineChars="200"/>
              <w:rPr>
                <w:color w:val="FF0000"/>
                <w:sz w:val="24"/>
              </w:rPr>
            </w:pPr>
            <w:r>
              <w:rPr>
                <w:color w:val="FF0000"/>
                <w:sz w:val="24"/>
              </w:rPr>
              <w:t>根据项目施工特点和水土流失影响分析，在施工过程中应切实加强预防保护措施，尽量减少施工过程中因人为因素而新增的水土流失。</w:t>
            </w:r>
          </w:p>
          <w:p>
            <w:pPr>
              <w:adjustRightInd w:val="0"/>
              <w:snapToGrid w:val="0"/>
              <w:spacing w:line="360" w:lineRule="auto"/>
              <w:ind w:firstLine="480" w:firstLineChars="200"/>
              <w:rPr>
                <w:color w:val="FF0000"/>
                <w:sz w:val="24"/>
              </w:rPr>
            </w:pPr>
            <w:r>
              <w:rPr>
                <w:color w:val="FF0000"/>
                <w:sz w:val="24"/>
              </w:rPr>
              <w:t>①选择合理施工工期，尽量避免雨季施工。若在雨天施工，可选用彩条布对临时堆方及边坡裸露地表进行覆盖，以防止临时堆料、堆土及开挖裸露地表等被雨水冲刷。</w:t>
            </w:r>
          </w:p>
          <w:p>
            <w:pPr>
              <w:adjustRightInd w:val="0"/>
              <w:snapToGrid w:val="0"/>
              <w:spacing w:line="360" w:lineRule="auto"/>
              <w:ind w:firstLine="480" w:firstLineChars="200"/>
              <w:rPr>
                <w:color w:val="FF0000"/>
                <w:sz w:val="24"/>
              </w:rPr>
            </w:pPr>
            <w:r>
              <w:rPr>
                <w:color w:val="FF0000"/>
                <w:sz w:val="24"/>
              </w:rPr>
              <w:t>②弃土临时堆放场周围设置拦挡，覆盖防雨布。</w:t>
            </w:r>
          </w:p>
          <w:p>
            <w:pPr>
              <w:adjustRightInd w:val="0"/>
              <w:snapToGrid w:val="0"/>
              <w:spacing w:line="360" w:lineRule="auto"/>
              <w:ind w:firstLine="480" w:firstLineChars="200"/>
              <w:rPr>
                <w:color w:val="FF0000"/>
                <w:sz w:val="24"/>
              </w:rPr>
            </w:pPr>
            <w:r>
              <w:rPr>
                <w:color w:val="FF0000"/>
                <w:sz w:val="24"/>
              </w:rPr>
              <w:t>③严格控制土石方的运输流失，不要装载过满，采用加盖车运输。运输途中控制车速，尽量减少土石料在运输过程中的流失。</w:t>
            </w:r>
          </w:p>
          <w:p>
            <w:pPr>
              <w:adjustRightInd w:val="0"/>
              <w:snapToGrid w:val="0"/>
              <w:spacing w:line="360" w:lineRule="auto"/>
              <w:ind w:firstLine="480" w:firstLineChars="200"/>
              <w:rPr>
                <w:color w:val="FF0000"/>
                <w:sz w:val="24"/>
              </w:rPr>
            </w:pPr>
            <w:r>
              <w:rPr>
                <w:color w:val="FF0000"/>
                <w:sz w:val="24"/>
              </w:rPr>
              <w:t>④切实做好临时排水设施，并与永久性排水设施相结合，使施工场地处于良好的排水状态，且排出的水不得危及附近设施。施工过程中应加强测量监控，边坡随开挖随修整，并及早施做边坡防护</w:t>
            </w:r>
          </w:p>
          <w:p>
            <w:pPr>
              <w:adjustRightInd w:val="0"/>
              <w:snapToGrid w:val="0"/>
              <w:spacing w:line="360" w:lineRule="auto"/>
              <w:ind w:firstLine="480" w:firstLineChars="200"/>
              <w:rPr>
                <w:color w:val="FF0000"/>
                <w:sz w:val="24"/>
              </w:rPr>
            </w:pPr>
            <w:r>
              <w:rPr>
                <w:color w:val="FF0000"/>
                <w:sz w:val="24"/>
              </w:rPr>
              <w:t>（6）</w:t>
            </w:r>
            <w:r>
              <w:rPr>
                <w:rFonts w:hint="eastAsia"/>
                <w:color w:val="FF0000"/>
                <w:sz w:val="24"/>
              </w:rPr>
              <w:t>施工结束后生态恢复措施</w:t>
            </w:r>
          </w:p>
          <w:p>
            <w:pPr>
              <w:adjustRightInd w:val="0"/>
              <w:snapToGrid w:val="0"/>
              <w:spacing w:line="360" w:lineRule="auto"/>
              <w:ind w:firstLine="480" w:firstLineChars="200"/>
              <w:rPr>
                <w:color w:val="FF0000"/>
                <w:sz w:val="24"/>
              </w:rPr>
            </w:pPr>
            <w:r>
              <w:rPr>
                <w:color w:val="FF0000"/>
                <w:sz w:val="24"/>
              </w:rPr>
              <w:t>施工结束后，临时占地等采取覆土、平整、绿化等方式恢复原有土地类型。本项目临时占地面积约</w:t>
            </w:r>
            <w:r>
              <w:rPr>
                <w:rFonts w:hint="eastAsia"/>
                <w:color w:val="FF0000"/>
                <w:sz w:val="24"/>
              </w:rPr>
              <w:t>24</w:t>
            </w:r>
            <w:r>
              <w:rPr>
                <w:color w:val="FF0000"/>
                <w:sz w:val="24"/>
              </w:rPr>
              <w:t>00m</w:t>
            </w:r>
            <w:r>
              <w:rPr>
                <w:color w:val="FF0000"/>
                <w:sz w:val="24"/>
                <w:vertAlign w:val="superscript"/>
              </w:rPr>
              <w:t>2</w:t>
            </w:r>
            <w:r>
              <w:rPr>
                <w:color w:val="FF0000"/>
                <w:sz w:val="24"/>
              </w:rPr>
              <w:t>，其中包含</w:t>
            </w:r>
            <w:r>
              <w:rPr>
                <w:rFonts w:hint="eastAsia"/>
                <w:color w:val="FF0000"/>
                <w:sz w:val="24"/>
              </w:rPr>
              <w:t>站内</w:t>
            </w:r>
            <w:r>
              <w:rPr>
                <w:color w:val="FF0000"/>
                <w:sz w:val="24"/>
              </w:rPr>
              <w:t>施工生产生活区（</w:t>
            </w:r>
            <w:r>
              <w:rPr>
                <w:rFonts w:hint="eastAsia"/>
                <w:color w:val="FF0000"/>
                <w:sz w:val="24"/>
              </w:rPr>
              <w:t>5</w:t>
            </w:r>
            <w:r>
              <w:rPr>
                <w:color w:val="FF0000"/>
                <w:sz w:val="24"/>
              </w:rPr>
              <w:t>00m</w:t>
            </w:r>
            <w:r>
              <w:rPr>
                <w:color w:val="FF0000"/>
                <w:sz w:val="24"/>
                <w:vertAlign w:val="superscript"/>
              </w:rPr>
              <w:t>2</w:t>
            </w:r>
            <w:r>
              <w:rPr>
                <w:color w:val="FF0000"/>
                <w:sz w:val="24"/>
              </w:rPr>
              <w:t>）</w:t>
            </w:r>
            <w:r>
              <w:rPr>
                <w:rFonts w:hint="eastAsia"/>
                <w:color w:val="FF0000"/>
                <w:sz w:val="24"/>
              </w:rPr>
              <w:t>、材料堆场</w:t>
            </w:r>
            <w:r>
              <w:rPr>
                <w:color w:val="FF0000"/>
                <w:sz w:val="24"/>
              </w:rPr>
              <w:t>（</w:t>
            </w:r>
            <w:r>
              <w:rPr>
                <w:rFonts w:hint="eastAsia"/>
                <w:color w:val="FF0000"/>
                <w:sz w:val="24"/>
              </w:rPr>
              <w:t>10</w:t>
            </w:r>
            <w:r>
              <w:rPr>
                <w:color w:val="FF0000"/>
                <w:sz w:val="24"/>
              </w:rPr>
              <w:t>00m</w:t>
            </w:r>
            <w:r>
              <w:rPr>
                <w:color w:val="FF0000"/>
                <w:sz w:val="24"/>
                <w:vertAlign w:val="superscript"/>
              </w:rPr>
              <w:t>2</w:t>
            </w:r>
            <w:r>
              <w:rPr>
                <w:color w:val="FF0000"/>
                <w:sz w:val="24"/>
              </w:rPr>
              <w:t>），</w:t>
            </w:r>
            <w:r>
              <w:rPr>
                <w:rFonts w:hint="eastAsia"/>
                <w:color w:val="FF0000"/>
                <w:sz w:val="24"/>
              </w:rPr>
              <w:t>站外进站道路北</w:t>
            </w:r>
            <w:r>
              <w:rPr>
                <w:color w:val="FF0000"/>
                <w:sz w:val="24"/>
              </w:rPr>
              <w:t>侧临时堆土区（</w:t>
            </w:r>
            <w:r>
              <w:rPr>
                <w:rFonts w:hint="eastAsia"/>
                <w:color w:val="FF0000"/>
                <w:sz w:val="24"/>
              </w:rPr>
              <w:t>8</w:t>
            </w:r>
            <w:r>
              <w:rPr>
                <w:color w:val="FF0000"/>
                <w:sz w:val="24"/>
              </w:rPr>
              <w:t>00m</w:t>
            </w:r>
            <w:r>
              <w:rPr>
                <w:color w:val="FF0000"/>
                <w:sz w:val="24"/>
                <w:vertAlign w:val="superscript"/>
              </w:rPr>
              <w:t>2</w:t>
            </w:r>
            <w:r>
              <w:rPr>
                <w:color w:val="FF0000"/>
                <w:sz w:val="24"/>
              </w:rPr>
              <w:t>）</w:t>
            </w:r>
            <w:r>
              <w:rPr>
                <w:rFonts w:hint="eastAsia"/>
                <w:color w:val="FF0000"/>
                <w:sz w:val="24"/>
              </w:rPr>
              <w:t>，线路牵张场</w:t>
            </w:r>
            <w:r>
              <w:rPr>
                <w:color w:val="FF0000"/>
                <w:sz w:val="24"/>
              </w:rPr>
              <w:t>（</w:t>
            </w:r>
            <w:r>
              <w:rPr>
                <w:rFonts w:hint="eastAsia"/>
                <w:color w:val="FF0000"/>
                <w:sz w:val="24"/>
              </w:rPr>
              <w:t>1</w:t>
            </w:r>
            <w:r>
              <w:rPr>
                <w:color w:val="FF0000"/>
                <w:sz w:val="24"/>
              </w:rPr>
              <w:t>00m</w:t>
            </w:r>
            <w:r>
              <w:rPr>
                <w:color w:val="FF0000"/>
                <w:sz w:val="24"/>
                <w:vertAlign w:val="superscript"/>
              </w:rPr>
              <w:t>2</w:t>
            </w:r>
            <w:r>
              <w:rPr>
                <w:color w:val="FF0000"/>
                <w:sz w:val="24"/>
              </w:rPr>
              <w:t>）。施工结束后，</w:t>
            </w:r>
            <w:r>
              <w:rPr>
                <w:rFonts w:hint="eastAsia"/>
                <w:color w:val="FF0000"/>
                <w:sz w:val="24"/>
              </w:rPr>
              <w:t>对于站内临时占地，随施工结束逐步拆除、清理地表建筑、构筑物，场地进行硬化，用于站内构筑物建设；对于站外临时占地，</w:t>
            </w:r>
            <w:r>
              <w:rPr>
                <w:color w:val="FF0000"/>
                <w:sz w:val="24"/>
              </w:rPr>
              <w:t>首先应将临时占地范围内的</w:t>
            </w:r>
            <w:r>
              <w:rPr>
                <w:rFonts w:hint="eastAsia"/>
                <w:color w:val="FF0000"/>
                <w:sz w:val="24"/>
              </w:rPr>
              <w:t>堆料</w:t>
            </w:r>
            <w:r>
              <w:rPr>
                <w:color w:val="FF0000"/>
                <w:sz w:val="24"/>
              </w:rPr>
              <w:t>全部</w:t>
            </w:r>
            <w:r>
              <w:rPr>
                <w:rFonts w:hint="eastAsia"/>
                <w:color w:val="FF0000"/>
                <w:sz w:val="24"/>
              </w:rPr>
              <w:t>清理干净</w:t>
            </w:r>
            <w:r>
              <w:rPr>
                <w:color w:val="FF0000"/>
                <w:sz w:val="24"/>
              </w:rPr>
              <w:t>，再进行土地整治，整治完成后将前期剥离的表土回铺至上述临时占地内，对表土回铺区</w:t>
            </w:r>
            <w:r>
              <w:rPr>
                <w:rFonts w:hint="eastAsia"/>
                <w:color w:val="FF0000"/>
                <w:sz w:val="24"/>
              </w:rPr>
              <w:t>采取洒水结皮措施。根据周围生态环境，以宜荒则荒、宜草则草为原则，对适宜植草的区域</w:t>
            </w:r>
            <w:r>
              <w:rPr>
                <w:color w:val="FF0000"/>
                <w:sz w:val="24"/>
              </w:rPr>
              <w:t>播撒草籽，草籽选择与本地植被群落相适应的草种，不得引进外来物种。根据草籽品种不同，每平方米草籽用量约5~35g，临时占地区域草籽撒播用量约为</w:t>
            </w:r>
            <w:r>
              <w:rPr>
                <w:rFonts w:hint="eastAsia"/>
                <w:color w:val="FF0000"/>
                <w:sz w:val="24"/>
              </w:rPr>
              <w:t>31.5</w:t>
            </w:r>
            <w:r>
              <w:rPr>
                <w:color w:val="FF0000"/>
                <w:sz w:val="24"/>
              </w:rPr>
              <w:t>kg。</w:t>
            </w:r>
          </w:p>
          <w:p>
            <w:pPr>
              <w:adjustRightInd w:val="0"/>
              <w:snapToGrid w:val="0"/>
              <w:spacing w:before="120" w:beforeLines="50" w:line="360" w:lineRule="auto"/>
              <w:jc w:val="center"/>
              <w:rPr>
                <w:b/>
                <w:bCs/>
                <w:color w:val="FF0000"/>
                <w:sz w:val="24"/>
              </w:rPr>
            </w:pPr>
            <w:r>
              <w:rPr>
                <w:b/>
                <w:bCs/>
                <w:color w:val="FF0000"/>
                <w:sz w:val="24"/>
              </w:rPr>
              <w:t>表5-1    生态恢复一览表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814"/>
              <w:gridCol w:w="1151"/>
              <w:gridCol w:w="3086"/>
              <w:gridCol w:w="1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Align w:val="center"/>
                </w:tcPr>
                <w:p>
                  <w:pPr>
                    <w:adjustRightInd w:val="0"/>
                    <w:snapToGrid w:val="0"/>
                    <w:jc w:val="center"/>
                    <w:rPr>
                      <w:color w:val="FF0000"/>
                      <w:szCs w:val="21"/>
                    </w:rPr>
                  </w:pPr>
                  <w:r>
                    <w:rPr>
                      <w:color w:val="FF0000"/>
                      <w:szCs w:val="21"/>
                    </w:rPr>
                    <w:t>序号</w:t>
                  </w:r>
                </w:p>
              </w:tc>
              <w:tc>
                <w:tcPr>
                  <w:tcW w:w="1814" w:type="dxa"/>
                  <w:vAlign w:val="center"/>
                </w:tcPr>
                <w:p>
                  <w:pPr>
                    <w:adjustRightInd w:val="0"/>
                    <w:snapToGrid w:val="0"/>
                    <w:jc w:val="center"/>
                    <w:rPr>
                      <w:color w:val="FF0000"/>
                      <w:szCs w:val="21"/>
                    </w:rPr>
                  </w:pPr>
                  <w:r>
                    <w:rPr>
                      <w:color w:val="FF0000"/>
                      <w:szCs w:val="21"/>
                    </w:rPr>
                    <w:t>区域</w:t>
                  </w:r>
                </w:p>
              </w:tc>
              <w:tc>
                <w:tcPr>
                  <w:tcW w:w="4237" w:type="dxa"/>
                  <w:gridSpan w:val="2"/>
                  <w:vAlign w:val="center"/>
                </w:tcPr>
                <w:p>
                  <w:pPr>
                    <w:adjustRightInd w:val="0"/>
                    <w:snapToGrid w:val="0"/>
                    <w:jc w:val="center"/>
                    <w:rPr>
                      <w:color w:val="FF0000"/>
                      <w:szCs w:val="21"/>
                    </w:rPr>
                  </w:pPr>
                  <w:r>
                    <w:rPr>
                      <w:color w:val="FF0000"/>
                      <w:szCs w:val="21"/>
                    </w:rPr>
                    <w:t>措施</w:t>
                  </w:r>
                </w:p>
              </w:tc>
              <w:tc>
                <w:tcPr>
                  <w:tcW w:w="1320" w:type="dxa"/>
                  <w:vAlign w:val="center"/>
                </w:tcPr>
                <w:p>
                  <w:pPr>
                    <w:adjustRightInd w:val="0"/>
                    <w:snapToGrid w:val="0"/>
                    <w:jc w:val="center"/>
                    <w:rPr>
                      <w:color w:val="FF0000"/>
                      <w:szCs w:val="21"/>
                    </w:rPr>
                  </w:pPr>
                  <w:r>
                    <w:rPr>
                      <w:color w:val="FF0000"/>
                      <w:szCs w:val="21"/>
                    </w:rPr>
                    <w:t>面积（m</w:t>
                  </w:r>
                  <w:r>
                    <w:rPr>
                      <w:color w:val="FF0000"/>
                      <w:szCs w:val="21"/>
                      <w:vertAlign w:val="superscript"/>
                    </w:rPr>
                    <w:t>2</w:t>
                  </w:r>
                  <w:r>
                    <w:rPr>
                      <w:color w:val="FF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Align w:val="center"/>
                </w:tcPr>
                <w:p>
                  <w:pPr>
                    <w:adjustRightInd w:val="0"/>
                    <w:snapToGrid w:val="0"/>
                    <w:jc w:val="center"/>
                    <w:rPr>
                      <w:color w:val="FF0000"/>
                      <w:szCs w:val="21"/>
                    </w:rPr>
                  </w:pPr>
                  <w:r>
                    <w:rPr>
                      <w:color w:val="FF0000"/>
                      <w:szCs w:val="21"/>
                    </w:rPr>
                    <w:t>1</w:t>
                  </w:r>
                </w:p>
              </w:tc>
              <w:tc>
                <w:tcPr>
                  <w:tcW w:w="1814" w:type="dxa"/>
                  <w:vAlign w:val="center"/>
                </w:tcPr>
                <w:p>
                  <w:pPr>
                    <w:adjustRightInd w:val="0"/>
                    <w:snapToGrid w:val="0"/>
                    <w:jc w:val="center"/>
                    <w:rPr>
                      <w:color w:val="FF0000"/>
                      <w:szCs w:val="21"/>
                    </w:rPr>
                  </w:pPr>
                  <w:r>
                    <w:rPr>
                      <w:color w:val="FF0000"/>
                      <w:szCs w:val="21"/>
                    </w:rPr>
                    <w:t>站址区域</w:t>
                  </w:r>
                </w:p>
              </w:tc>
              <w:tc>
                <w:tcPr>
                  <w:tcW w:w="1151" w:type="dxa"/>
                  <w:vAlign w:val="center"/>
                </w:tcPr>
                <w:p>
                  <w:pPr>
                    <w:adjustRightInd w:val="0"/>
                    <w:snapToGrid w:val="0"/>
                    <w:jc w:val="center"/>
                    <w:rPr>
                      <w:color w:val="FF0000"/>
                      <w:szCs w:val="21"/>
                    </w:rPr>
                  </w:pPr>
                  <w:r>
                    <w:rPr>
                      <w:color w:val="FF0000"/>
                      <w:szCs w:val="21"/>
                    </w:rPr>
                    <w:t>工程措施</w:t>
                  </w:r>
                </w:p>
              </w:tc>
              <w:tc>
                <w:tcPr>
                  <w:tcW w:w="3086" w:type="dxa"/>
                  <w:vAlign w:val="center"/>
                </w:tcPr>
                <w:p>
                  <w:pPr>
                    <w:adjustRightInd w:val="0"/>
                    <w:snapToGrid w:val="0"/>
                    <w:jc w:val="center"/>
                    <w:rPr>
                      <w:color w:val="FF0000"/>
                      <w:szCs w:val="21"/>
                    </w:rPr>
                  </w:pPr>
                  <w:r>
                    <w:rPr>
                      <w:color w:val="FF0000"/>
                      <w:szCs w:val="21"/>
                    </w:rPr>
                    <w:t>土地平整，场地硬化</w:t>
                  </w:r>
                </w:p>
              </w:tc>
              <w:tc>
                <w:tcPr>
                  <w:tcW w:w="1320" w:type="dxa"/>
                  <w:vAlign w:val="center"/>
                </w:tcPr>
                <w:p>
                  <w:pPr>
                    <w:adjustRightInd w:val="0"/>
                    <w:snapToGrid w:val="0"/>
                    <w:jc w:val="center"/>
                    <w:rPr>
                      <w:color w:val="FF0000"/>
                      <w:szCs w:val="21"/>
                    </w:rPr>
                  </w:pPr>
                  <w:r>
                    <w:rPr>
                      <w:color w:val="FF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Merge w:val="restart"/>
                  <w:vAlign w:val="center"/>
                </w:tcPr>
                <w:p>
                  <w:pPr>
                    <w:adjustRightInd w:val="0"/>
                    <w:snapToGrid w:val="0"/>
                    <w:jc w:val="center"/>
                    <w:rPr>
                      <w:color w:val="FF0000"/>
                      <w:szCs w:val="21"/>
                    </w:rPr>
                  </w:pPr>
                  <w:r>
                    <w:rPr>
                      <w:color w:val="FF0000"/>
                      <w:szCs w:val="21"/>
                    </w:rPr>
                    <w:t>2</w:t>
                  </w:r>
                </w:p>
              </w:tc>
              <w:tc>
                <w:tcPr>
                  <w:tcW w:w="1814" w:type="dxa"/>
                  <w:vMerge w:val="restart"/>
                  <w:vAlign w:val="center"/>
                </w:tcPr>
                <w:p>
                  <w:pPr>
                    <w:adjustRightInd w:val="0"/>
                    <w:snapToGrid w:val="0"/>
                    <w:jc w:val="center"/>
                    <w:rPr>
                      <w:color w:val="FF0000"/>
                      <w:szCs w:val="21"/>
                    </w:rPr>
                  </w:pPr>
                  <w:r>
                    <w:rPr>
                      <w:color w:val="FF0000"/>
                      <w:szCs w:val="21"/>
                    </w:rPr>
                    <w:t>进站道路</w:t>
                  </w:r>
                </w:p>
              </w:tc>
              <w:tc>
                <w:tcPr>
                  <w:tcW w:w="1151" w:type="dxa"/>
                  <w:vAlign w:val="center"/>
                </w:tcPr>
                <w:p>
                  <w:pPr>
                    <w:adjustRightInd w:val="0"/>
                    <w:snapToGrid w:val="0"/>
                    <w:jc w:val="center"/>
                    <w:rPr>
                      <w:color w:val="FF0000"/>
                      <w:szCs w:val="21"/>
                    </w:rPr>
                  </w:pPr>
                  <w:r>
                    <w:rPr>
                      <w:color w:val="FF0000"/>
                      <w:szCs w:val="21"/>
                    </w:rPr>
                    <w:t>工程措施</w:t>
                  </w:r>
                </w:p>
              </w:tc>
              <w:tc>
                <w:tcPr>
                  <w:tcW w:w="3086" w:type="dxa"/>
                  <w:vAlign w:val="center"/>
                </w:tcPr>
                <w:p>
                  <w:pPr>
                    <w:adjustRightInd w:val="0"/>
                    <w:snapToGrid w:val="0"/>
                    <w:jc w:val="center"/>
                    <w:rPr>
                      <w:color w:val="FF0000"/>
                      <w:szCs w:val="21"/>
                    </w:rPr>
                  </w:pPr>
                  <w:r>
                    <w:rPr>
                      <w:color w:val="FF0000"/>
                      <w:szCs w:val="21"/>
                    </w:rPr>
                    <w:t>路面铺垫碎石，定期洒水降尘</w:t>
                  </w:r>
                </w:p>
              </w:tc>
              <w:tc>
                <w:tcPr>
                  <w:tcW w:w="1320" w:type="dxa"/>
                  <w:vAlign w:val="center"/>
                </w:tcPr>
                <w:p>
                  <w:pPr>
                    <w:adjustRightInd w:val="0"/>
                    <w:snapToGrid w:val="0"/>
                    <w:jc w:val="center"/>
                    <w:rPr>
                      <w:color w:val="FF0000"/>
                      <w:szCs w:val="21"/>
                    </w:rPr>
                  </w:pPr>
                  <w:r>
                    <w:rPr>
                      <w:color w:val="FF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Merge w:val="continue"/>
                  <w:vAlign w:val="center"/>
                </w:tcPr>
                <w:p>
                  <w:pPr>
                    <w:adjustRightInd w:val="0"/>
                    <w:snapToGrid w:val="0"/>
                    <w:jc w:val="center"/>
                    <w:rPr>
                      <w:color w:val="FF0000"/>
                      <w:szCs w:val="21"/>
                    </w:rPr>
                  </w:pPr>
                </w:p>
              </w:tc>
              <w:tc>
                <w:tcPr>
                  <w:tcW w:w="1814" w:type="dxa"/>
                  <w:vMerge w:val="continue"/>
                  <w:vAlign w:val="center"/>
                </w:tcPr>
                <w:p>
                  <w:pPr>
                    <w:adjustRightInd w:val="0"/>
                    <w:snapToGrid w:val="0"/>
                    <w:jc w:val="center"/>
                    <w:rPr>
                      <w:color w:val="FF0000"/>
                      <w:szCs w:val="21"/>
                    </w:rPr>
                  </w:pPr>
                </w:p>
              </w:tc>
              <w:tc>
                <w:tcPr>
                  <w:tcW w:w="1151" w:type="dxa"/>
                  <w:vAlign w:val="center"/>
                </w:tcPr>
                <w:p>
                  <w:pPr>
                    <w:adjustRightInd w:val="0"/>
                    <w:snapToGrid w:val="0"/>
                    <w:jc w:val="center"/>
                    <w:rPr>
                      <w:color w:val="FF0000"/>
                      <w:szCs w:val="21"/>
                    </w:rPr>
                  </w:pPr>
                  <w:r>
                    <w:rPr>
                      <w:color w:val="FF0000"/>
                      <w:szCs w:val="21"/>
                    </w:rPr>
                    <w:t>补偿措施</w:t>
                  </w:r>
                </w:p>
              </w:tc>
              <w:tc>
                <w:tcPr>
                  <w:tcW w:w="3086" w:type="dxa"/>
                  <w:vAlign w:val="center"/>
                </w:tcPr>
                <w:p>
                  <w:pPr>
                    <w:adjustRightInd w:val="0"/>
                    <w:snapToGrid w:val="0"/>
                    <w:jc w:val="center"/>
                    <w:rPr>
                      <w:color w:val="FF0000"/>
                      <w:szCs w:val="21"/>
                    </w:rPr>
                  </w:pPr>
                  <w:r>
                    <w:rPr>
                      <w:color w:val="FF0000"/>
                      <w:szCs w:val="21"/>
                    </w:rPr>
                    <w:t>道路两侧进行绿化</w:t>
                  </w:r>
                </w:p>
              </w:tc>
              <w:tc>
                <w:tcPr>
                  <w:tcW w:w="1320" w:type="dxa"/>
                  <w:vAlign w:val="center"/>
                </w:tcPr>
                <w:p>
                  <w:pPr>
                    <w:adjustRightInd w:val="0"/>
                    <w:snapToGrid w:val="0"/>
                    <w:jc w:val="center"/>
                    <w:rPr>
                      <w:color w:val="FF0000"/>
                      <w:szCs w:val="21"/>
                    </w:rPr>
                  </w:pPr>
                  <w:r>
                    <w:rPr>
                      <w:color w:val="FF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Align w:val="center"/>
                </w:tcPr>
                <w:p>
                  <w:pPr>
                    <w:adjustRightInd w:val="0"/>
                    <w:snapToGrid w:val="0"/>
                    <w:jc w:val="center"/>
                    <w:rPr>
                      <w:color w:val="FF0000"/>
                      <w:szCs w:val="21"/>
                    </w:rPr>
                  </w:pPr>
                  <w:r>
                    <w:rPr>
                      <w:color w:val="FF0000"/>
                      <w:szCs w:val="21"/>
                    </w:rPr>
                    <w:t>3</w:t>
                  </w:r>
                </w:p>
              </w:tc>
              <w:tc>
                <w:tcPr>
                  <w:tcW w:w="1814" w:type="dxa"/>
                  <w:vAlign w:val="center"/>
                </w:tcPr>
                <w:p>
                  <w:pPr>
                    <w:adjustRightInd w:val="0"/>
                    <w:snapToGrid w:val="0"/>
                    <w:jc w:val="center"/>
                    <w:rPr>
                      <w:color w:val="FF0000"/>
                      <w:szCs w:val="21"/>
                    </w:rPr>
                  </w:pPr>
                  <w:r>
                    <w:rPr>
                      <w:color w:val="FF0000"/>
                      <w:szCs w:val="21"/>
                    </w:rPr>
                    <w:t>施工生产生活区</w:t>
                  </w:r>
                  <w:r>
                    <w:rPr>
                      <w:rFonts w:hint="eastAsia"/>
                      <w:color w:val="FF0000"/>
                      <w:szCs w:val="21"/>
                    </w:rPr>
                    <w:t>、材料堆场</w:t>
                  </w:r>
                </w:p>
              </w:tc>
              <w:tc>
                <w:tcPr>
                  <w:tcW w:w="1151" w:type="dxa"/>
                  <w:vAlign w:val="center"/>
                </w:tcPr>
                <w:p>
                  <w:pPr>
                    <w:adjustRightInd w:val="0"/>
                    <w:snapToGrid w:val="0"/>
                    <w:jc w:val="center"/>
                    <w:rPr>
                      <w:color w:val="FF0000"/>
                      <w:szCs w:val="21"/>
                    </w:rPr>
                  </w:pPr>
                  <w:r>
                    <w:rPr>
                      <w:color w:val="FF0000"/>
                      <w:szCs w:val="21"/>
                    </w:rPr>
                    <w:t>工程措施</w:t>
                  </w:r>
                </w:p>
              </w:tc>
              <w:tc>
                <w:tcPr>
                  <w:tcW w:w="3086" w:type="dxa"/>
                  <w:vAlign w:val="center"/>
                </w:tcPr>
                <w:p>
                  <w:pPr>
                    <w:adjustRightInd w:val="0"/>
                    <w:snapToGrid w:val="0"/>
                    <w:jc w:val="center"/>
                    <w:rPr>
                      <w:color w:val="FF0000"/>
                      <w:szCs w:val="21"/>
                    </w:rPr>
                  </w:pPr>
                  <w:r>
                    <w:rPr>
                      <w:rFonts w:hint="eastAsia"/>
                      <w:color w:val="FF0000"/>
                      <w:szCs w:val="21"/>
                    </w:rPr>
                    <w:t>随</w:t>
                  </w:r>
                  <w:r>
                    <w:rPr>
                      <w:color w:val="FF0000"/>
                      <w:szCs w:val="21"/>
                    </w:rPr>
                    <w:t>施工结束</w:t>
                  </w:r>
                  <w:r>
                    <w:rPr>
                      <w:rFonts w:hint="eastAsia"/>
                      <w:color w:val="FF0000"/>
                      <w:szCs w:val="21"/>
                    </w:rPr>
                    <w:t>逐步</w:t>
                  </w:r>
                  <w:r>
                    <w:rPr>
                      <w:color w:val="FF0000"/>
                      <w:szCs w:val="21"/>
                    </w:rPr>
                    <w:t>拆除、清理地表建筑、构筑物，</w:t>
                  </w:r>
                  <w:r>
                    <w:rPr>
                      <w:rFonts w:hint="eastAsia"/>
                      <w:color w:val="FF0000"/>
                      <w:szCs w:val="21"/>
                    </w:rPr>
                    <w:t>场地硬化，用于场内构筑物建设</w:t>
                  </w:r>
                </w:p>
              </w:tc>
              <w:tc>
                <w:tcPr>
                  <w:tcW w:w="1320" w:type="dxa"/>
                  <w:vAlign w:val="center"/>
                </w:tcPr>
                <w:p>
                  <w:pPr>
                    <w:adjustRightInd w:val="0"/>
                    <w:snapToGrid w:val="0"/>
                    <w:jc w:val="center"/>
                    <w:rPr>
                      <w:color w:val="FF0000"/>
                      <w:szCs w:val="21"/>
                    </w:rPr>
                  </w:pPr>
                  <w:r>
                    <w:rPr>
                      <w:rFonts w:hint="eastAsia"/>
                      <w:color w:val="FF0000"/>
                      <w:szCs w:val="21"/>
                    </w:rPr>
                    <w:t>15</w:t>
                  </w:r>
                  <w:r>
                    <w:rPr>
                      <w:color w:val="FF0000"/>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Merge w:val="restart"/>
                  <w:vAlign w:val="center"/>
                </w:tcPr>
                <w:p>
                  <w:pPr>
                    <w:adjustRightInd w:val="0"/>
                    <w:snapToGrid w:val="0"/>
                    <w:jc w:val="center"/>
                    <w:rPr>
                      <w:color w:val="FF0000"/>
                      <w:szCs w:val="21"/>
                    </w:rPr>
                  </w:pPr>
                  <w:r>
                    <w:rPr>
                      <w:color w:val="FF0000"/>
                      <w:szCs w:val="21"/>
                    </w:rPr>
                    <w:t>4</w:t>
                  </w:r>
                </w:p>
              </w:tc>
              <w:tc>
                <w:tcPr>
                  <w:tcW w:w="1814" w:type="dxa"/>
                  <w:vMerge w:val="restart"/>
                  <w:vAlign w:val="center"/>
                </w:tcPr>
                <w:p>
                  <w:pPr>
                    <w:adjustRightInd w:val="0"/>
                    <w:snapToGrid w:val="0"/>
                    <w:jc w:val="center"/>
                    <w:rPr>
                      <w:color w:val="FF0000"/>
                      <w:szCs w:val="21"/>
                    </w:rPr>
                  </w:pPr>
                  <w:r>
                    <w:rPr>
                      <w:color w:val="FF0000"/>
                      <w:szCs w:val="21"/>
                    </w:rPr>
                    <w:t>临时堆土区</w:t>
                  </w:r>
                  <w:r>
                    <w:rPr>
                      <w:rFonts w:hint="eastAsia"/>
                      <w:color w:val="FF0000"/>
                      <w:szCs w:val="21"/>
                    </w:rPr>
                    <w:t>、牵张场</w:t>
                  </w:r>
                </w:p>
              </w:tc>
              <w:tc>
                <w:tcPr>
                  <w:tcW w:w="1151" w:type="dxa"/>
                  <w:vAlign w:val="center"/>
                </w:tcPr>
                <w:p>
                  <w:pPr>
                    <w:adjustRightInd w:val="0"/>
                    <w:snapToGrid w:val="0"/>
                    <w:jc w:val="center"/>
                    <w:rPr>
                      <w:color w:val="FF0000"/>
                      <w:szCs w:val="21"/>
                    </w:rPr>
                  </w:pPr>
                  <w:r>
                    <w:rPr>
                      <w:color w:val="FF0000"/>
                      <w:szCs w:val="21"/>
                    </w:rPr>
                    <w:t>工程措施</w:t>
                  </w:r>
                </w:p>
              </w:tc>
              <w:tc>
                <w:tcPr>
                  <w:tcW w:w="3086" w:type="dxa"/>
                  <w:vAlign w:val="center"/>
                </w:tcPr>
                <w:p>
                  <w:pPr>
                    <w:adjustRightInd w:val="0"/>
                    <w:snapToGrid w:val="0"/>
                    <w:jc w:val="center"/>
                    <w:rPr>
                      <w:color w:val="FF0000"/>
                      <w:szCs w:val="21"/>
                    </w:rPr>
                  </w:pPr>
                  <w:r>
                    <w:rPr>
                      <w:color w:val="FF0000"/>
                      <w:szCs w:val="21"/>
                    </w:rPr>
                    <w:t>施工结束后平整土地，表土回覆，洒水结皮</w:t>
                  </w:r>
                </w:p>
              </w:tc>
              <w:tc>
                <w:tcPr>
                  <w:tcW w:w="1320" w:type="dxa"/>
                  <w:vMerge w:val="restart"/>
                  <w:vAlign w:val="center"/>
                </w:tcPr>
                <w:p>
                  <w:pPr>
                    <w:adjustRightInd w:val="0"/>
                    <w:snapToGrid w:val="0"/>
                    <w:jc w:val="center"/>
                    <w:rPr>
                      <w:color w:val="FF0000"/>
                      <w:szCs w:val="21"/>
                    </w:rPr>
                  </w:pPr>
                  <w:r>
                    <w:rPr>
                      <w:rFonts w:hint="eastAsia"/>
                      <w:color w:val="FF0000"/>
                      <w:szCs w:val="21"/>
                    </w:rPr>
                    <w:t>9</w:t>
                  </w:r>
                  <w:r>
                    <w:rPr>
                      <w:color w:val="FF0000"/>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7" w:type="dxa"/>
                  <w:vMerge w:val="continue"/>
                  <w:vAlign w:val="center"/>
                </w:tcPr>
                <w:p>
                  <w:pPr>
                    <w:adjustRightInd w:val="0"/>
                    <w:snapToGrid w:val="0"/>
                    <w:jc w:val="center"/>
                    <w:rPr>
                      <w:color w:val="FF0000"/>
                      <w:szCs w:val="21"/>
                    </w:rPr>
                  </w:pPr>
                </w:p>
              </w:tc>
              <w:tc>
                <w:tcPr>
                  <w:tcW w:w="1814" w:type="dxa"/>
                  <w:vMerge w:val="continue"/>
                  <w:vAlign w:val="center"/>
                </w:tcPr>
                <w:p>
                  <w:pPr>
                    <w:adjustRightInd w:val="0"/>
                    <w:snapToGrid w:val="0"/>
                    <w:jc w:val="center"/>
                    <w:rPr>
                      <w:color w:val="FF0000"/>
                      <w:szCs w:val="21"/>
                    </w:rPr>
                  </w:pPr>
                </w:p>
              </w:tc>
              <w:tc>
                <w:tcPr>
                  <w:tcW w:w="1151" w:type="dxa"/>
                  <w:vAlign w:val="center"/>
                </w:tcPr>
                <w:p>
                  <w:pPr>
                    <w:adjustRightInd w:val="0"/>
                    <w:snapToGrid w:val="0"/>
                    <w:jc w:val="center"/>
                    <w:rPr>
                      <w:color w:val="FF0000"/>
                      <w:szCs w:val="21"/>
                    </w:rPr>
                  </w:pPr>
                  <w:r>
                    <w:rPr>
                      <w:color w:val="FF0000"/>
                      <w:szCs w:val="21"/>
                    </w:rPr>
                    <w:t>植被措施</w:t>
                  </w:r>
                </w:p>
              </w:tc>
              <w:tc>
                <w:tcPr>
                  <w:tcW w:w="3086" w:type="dxa"/>
                  <w:vAlign w:val="center"/>
                </w:tcPr>
                <w:p>
                  <w:pPr>
                    <w:adjustRightInd w:val="0"/>
                    <w:snapToGrid w:val="0"/>
                    <w:jc w:val="center"/>
                    <w:rPr>
                      <w:color w:val="FF0000"/>
                      <w:szCs w:val="21"/>
                    </w:rPr>
                  </w:pPr>
                  <w:r>
                    <w:rPr>
                      <w:rFonts w:hint="eastAsia"/>
                      <w:color w:val="FF0000"/>
                      <w:szCs w:val="21"/>
                    </w:rPr>
                    <w:t>结合周边生态，宜荒则荒、宜草则草，</w:t>
                  </w:r>
                  <w:r>
                    <w:rPr>
                      <w:color w:val="FF0000"/>
                      <w:szCs w:val="21"/>
                    </w:rPr>
                    <w:t>播撒草籽，使其恢复至原有地貌</w:t>
                  </w:r>
                </w:p>
              </w:tc>
              <w:tc>
                <w:tcPr>
                  <w:tcW w:w="1320" w:type="dxa"/>
                  <w:vMerge w:val="continue"/>
                  <w:vAlign w:val="center"/>
                </w:tcPr>
                <w:p>
                  <w:pPr>
                    <w:adjustRightInd w:val="0"/>
                    <w:snapToGrid w:val="0"/>
                    <w:jc w:val="center"/>
                    <w:rPr>
                      <w:color w:val="FF0000"/>
                      <w:szCs w:val="21"/>
                    </w:rPr>
                  </w:pPr>
                </w:p>
              </w:tc>
            </w:tr>
          </w:tbl>
          <w:p>
            <w:pPr>
              <w:adjustRightInd w:val="0"/>
              <w:snapToGrid w:val="0"/>
              <w:spacing w:before="120" w:beforeLines="50" w:line="360" w:lineRule="auto"/>
              <w:ind w:firstLine="480" w:firstLineChars="200"/>
              <w:rPr>
                <w:sz w:val="24"/>
              </w:rPr>
            </w:pPr>
            <w:r>
              <w:rPr>
                <w:sz w:val="24"/>
              </w:rPr>
              <w:t>通过以上措施，施工过程对区域生态环境产生的影响</w:t>
            </w:r>
            <w:r>
              <w:rPr>
                <w:rFonts w:hint="eastAsia"/>
                <w:sz w:val="24"/>
              </w:rPr>
              <w:t>不大</w:t>
            </w:r>
            <w:r>
              <w:rPr>
                <w:sz w:val="24"/>
              </w:rPr>
              <w:t>。</w:t>
            </w:r>
          </w:p>
          <w:p>
            <w:pPr>
              <w:pStyle w:val="21"/>
              <w:adjustRightInd w:val="0"/>
              <w:snapToGrid w:val="0"/>
              <w:spacing w:before="120" w:beforeLines="50" w:after="120" w:afterLines="50" w:line="360" w:lineRule="auto"/>
              <w:jc w:val="both"/>
              <w:rPr>
                <w:rFonts w:ascii="Times New Roman" w:hAnsi="Times New Roman" w:cs="Times New Roman"/>
                <w:sz w:val="24"/>
                <w:szCs w:val="24"/>
                <w:lang w:eastAsia="zh-CN"/>
              </w:rPr>
            </w:pPr>
            <w:bookmarkStart w:id="129" w:name="_Toc20330"/>
            <w:r>
              <w:rPr>
                <w:rFonts w:hint="eastAsia" w:ascii="Times New Roman" w:hAnsi="Times New Roman" w:cs="Times New Roman"/>
                <w:sz w:val="24"/>
                <w:szCs w:val="24"/>
                <w:lang w:eastAsia="zh-CN"/>
              </w:rPr>
              <w:t>5.1.6</w:t>
            </w:r>
            <w:r>
              <w:rPr>
                <w:rFonts w:ascii="Times New Roman" w:hAnsi="Times New Roman" w:cs="Times New Roman"/>
                <w:sz w:val="24"/>
                <w:szCs w:val="24"/>
                <w:lang w:eastAsia="zh-CN"/>
              </w:rPr>
              <w:t>施工期环境管理措施</w:t>
            </w:r>
            <w:bookmarkEnd w:id="129"/>
          </w:p>
          <w:p>
            <w:pPr>
              <w:pStyle w:val="21"/>
              <w:spacing w:before="0" w:after="0" w:line="360" w:lineRule="auto"/>
              <w:ind w:firstLine="480" w:firstLineChars="200"/>
              <w:jc w:val="both"/>
              <w:rPr>
                <w:rFonts w:ascii="Times New Roman" w:hAnsi="Times New Roman" w:cs="Times New Roman"/>
                <w:sz w:val="24"/>
                <w:szCs w:val="24"/>
                <w:lang w:eastAsia="zh-CN"/>
              </w:rPr>
            </w:pPr>
            <w:bookmarkStart w:id="130" w:name="_Toc27832"/>
            <w:r>
              <w:rPr>
                <w:rFonts w:ascii="Times New Roman" w:hAnsi="Times New Roman" w:cs="Times New Roman"/>
                <w:b w:val="0"/>
                <w:bCs w:val="0"/>
                <w:sz w:val="24"/>
                <w:szCs w:val="24"/>
                <w:lang w:eastAsia="zh-CN"/>
              </w:rPr>
              <w:t>成立专门的环保组织体系，对施工人员进行文明施工和环境保护知识培训，加强施工期的环境管理及环境监控工作。</w:t>
            </w:r>
            <w:bookmarkEnd w:id="13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tcMar>
              <w:left w:w="28" w:type="dxa"/>
              <w:right w:w="28" w:type="dxa"/>
            </w:tcMar>
            <w:vAlign w:val="center"/>
          </w:tcPr>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tc>
        <w:tc>
          <w:tcPr>
            <w:tcW w:w="8457" w:type="dxa"/>
          </w:tcPr>
          <w:p>
            <w:pPr>
              <w:adjustRightInd w:val="0"/>
              <w:snapToGrid w:val="0"/>
              <w:spacing w:before="120" w:beforeLines="50" w:after="120" w:afterLines="50" w:line="360" w:lineRule="auto"/>
              <w:rPr>
                <w:b/>
                <w:bCs/>
                <w:sz w:val="24"/>
              </w:rPr>
            </w:pPr>
            <w:r>
              <w:rPr>
                <w:rFonts w:hint="eastAsia"/>
                <w:b/>
                <w:bCs/>
                <w:sz w:val="24"/>
              </w:rPr>
              <w:t>5.2运营期生态环境保护措施</w:t>
            </w:r>
          </w:p>
          <w:p>
            <w:pPr>
              <w:adjustRightInd w:val="0"/>
              <w:snapToGrid w:val="0"/>
              <w:spacing w:before="120" w:beforeLines="50" w:after="120" w:afterLines="50" w:line="360" w:lineRule="auto"/>
              <w:rPr>
                <w:sz w:val="24"/>
              </w:rPr>
            </w:pPr>
            <w:r>
              <w:rPr>
                <w:rFonts w:hint="eastAsia"/>
                <w:b/>
                <w:bCs/>
                <w:sz w:val="24"/>
              </w:rPr>
              <w:t>5.2.1电磁环境影响防治措施</w:t>
            </w:r>
          </w:p>
          <w:p>
            <w:pPr>
              <w:pStyle w:val="21"/>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31" w:name="_Toc20141"/>
            <w:r>
              <w:rPr>
                <w:rFonts w:hint="eastAsia" w:ascii="Times New Roman" w:hAnsi="Times New Roman" w:cs="Times New Roman"/>
                <w:b w:val="0"/>
                <w:bCs w:val="0"/>
                <w:sz w:val="24"/>
                <w:szCs w:val="24"/>
                <w:lang w:eastAsia="zh-CN"/>
              </w:rPr>
              <w:t>详见电磁环境影响评价专篇。</w:t>
            </w:r>
            <w:bookmarkEnd w:id="131"/>
          </w:p>
          <w:p>
            <w:pPr>
              <w:pStyle w:val="21"/>
              <w:adjustRightInd w:val="0"/>
              <w:snapToGrid w:val="0"/>
              <w:spacing w:before="120" w:beforeLines="50" w:after="120" w:afterLines="50" w:line="360" w:lineRule="auto"/>
              <w:jc w:val="both"/>
              <w:outlineLvl w:val="9"/>
              <w:rPr>
                <w:rFonts w:ascii="Times New Roman" w:hAnsi="Times New Roman" w:cs="Times New Roman"/>
                <w:sz w:val="24"/>
                <w:szCs w:val="24"/>
                <w:lang w:eastAsia="zh-CN"/>
              </w:rPr>
            </w:pPr>
            <w:bookmarkStart w:id="132" w:name="_Toc2725"/>
            <w:r>
              <w:rPr>
                <w:rFonts w:hint="eastAsia" w:ascii="Times New Roman" w:hAnsi="Times New Roman" w:cs="Times New Roman"/>
                <w:sz w:val="24"/>
                <w:szCs w:val="24"/>
                <w:lang w:eastAsia="zh-CN"/>
              </w:rPr>
              <w:t>5.2.2</w:t>
            </w:r>
            <w:r>
              <w:rPr>
                <w:rFonts w:ascii="Times New Roman" w:hAnsi="Times New Roman" w:cs="Times New Roman"/>
                <w:sz w:val="24"/>
                <w:szCs w:val="24"/>
                <w:lang w:eastAsia="zh-CN"/>
              </w:rPr>
              <w:t>地表水</w:t>
            </w:r>
            <w:r>
              <w:rPr>
                <w:rFonts w:hint="eastAsia" w:ascii="Times New Roman" w:hAnsi="Times New Roman" w:cs="Times New Roman"/>
                <w:sz w:val="24"/>
                <w:szCs w:val="24"/>
                <w:lang w:eastAsia="zh-CN"/>
              </w:rPr>
              <w:t>影响防治</w:t>
            </w:r>
            <w:r>
              <w:rPr>
                <w:rFonts w:ascii="Times New Roman" w:hAnsi="Times New Roman" w:cs="Times New Roman"/>
                <w:sz w:val="24"/>
                <w:szCs w:val="24"/>
                <w:lang w:eastAsia="zh-CN"/>
              </w:rPr>
              <w:t>措施</w:t>
            </w:r>
            <w:bookmarkEnd w:id="132"/>
          </w:p>
          <w:p>
            <w:pPr>
              <w:pStyle w:val="56"/>
              <w:adjustRightInd w:val="0"/>
              <w:snapToGrid w:val="0"/>
              <w:ind w:firstLine="480"/>
              <w:rPr>
                <w:sz w:val="24"/>
              </w:rPr>
            </w:pPr>
            <w:r>
              <w:rPr>
                <w:rFonts w:hint="eastAsia"/>
                <w:sz w:val="24"/>
              </w:rPr>
              <w:t>本项目运营期设巡检人员5人，每周巡检2次。巡检人员生活污水经化粪池（</w:t>
            </w:r>
            <w:r>
              <w:rPr>
                <w:sz w:val="24"/>
              </w:rPr>
              <w:t>5m</w:t>
            </w:r>
            <w:r>
              <w:rPr>
                <w:sz w:val="24"/>
                <w:vertAlign w:val="superscript"/>
              </w:rPr>
              <w:t>3</w:t>
            </w:r>
            <w:r>
              <w:rPr>
                <w:rFonts w:hint="eastAsia"/>
                <w:sz w:val="24"/>
              </w:rPr>
              <w:t>）预处理后，采用</w:t>
            </w:r>
            <w:r>
              <w:rPr>
                <w:sz w:val="24"/>
              </w:rPr>
              <w:t>吸污车定期抽运至</w:t>
            </w:r>
            <w:r>
              <w:rPr>
                <w:rFonts w:hint="eastAsia"/>
                <w:sz w:val="24"/>
              </w:rPr>
              <w:t>民乐生态工业园区第一污水处理厂处理。</w:t>
            </w:r>
          </w:p>
          <w:p>
            <w:pPr>
              <w:pStyle w:val="20"/>
              <w:spacing w:before="0" w:beforeAutospacing="0" w:after="0" w:afterAutospacing="0" w:line="360" w:lineRule="auto"/>
              <w:ind w:firstLine="480" w:firstLineChars="200"/>
              <w:jc w:val="both"/>
            </w:pPr>
            <w:r>
              <w:rPr>
                <w:rFonts w:hint="eastAsia" w:ascii="Times New Roman" w:hAnsi="Times New Roman" w:cs="宋体"/>
                <w:lang w:bidi="ar"/>
              </w:rPr>
              <w:t>废水排放情况见下表。</w:t>
            </w:r>
          </w:p>
          <w:p>
            <w:pPr>
              <w:pStyle w:val="20"/>
              <w:widowControl w:val="0"/>
              <w:adjustRightInd w:val="0"/>
              <w:snapToGrid w:val="0"/>
              <w:spacing w:before="120" w:beforeLines="50" w:beforeAutospacing="0" w:after="0" w:afterAutospacing="0" w:line="360" w:lineRule="auto"/>
              <w:jc w:val="center"/>
              <w:outlineLvl w:val="3"/>
              <w:rPr>
                <w:rFonts w:ascii="Times New Roman" w:hAnsi="Times New Roman"/>
                <w:b/>
                <w:bCs/>
              </w:rPr>
            </w:pPr>
            <w:r>
              <w:rPr>
                <w:rFonts w:hint="eastAsia" w:ascii="Times New Roman" w:hAnsi="Times New Roman"/>
                <w:b/>
                <w:bCs/>
                <w:kern w:val="2"/>
                <w:lang w:bidi="ar"/>
              </w:rPr>
              <w:t>表5-2</w:t>
            </w:r>
            <w:r>
              <w:rPr>
                <w:rFonts w:ascii="Times New Roman" w:hAnsi="Times New Roman"/>
                <w:b/>
                <w:bCs/>
                <w:kern w:val="2"/>
                <w:lang w:bidi="ar"/>
              </w:rPr>
              <w:t xml:space="preserve">     </w:t>
            </w:r>
            <w:r>
              <w:rPr>
                <w:rFonts w:hint="eastAsia" w:ascii="Times New Roman" w:hAnsi="Times New Roman"/>
                <w:b/>
                <w:bCs/>
                <w:kern w:val="2"/>
                <w:lang w:bidi="ar"/>
              </w:rPr>
              <w:t>生活废水产排污情况表</w:t>
            </w:r>
          </w:p>
          <w:tbl>
            <w:tblPr>
              <w:tblStyle w:val="24"/>
              <w:tblW w:w="4997"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543"/>
              <w:gridCol w:w="1043"/>
              <w:gridCol w:w="1043"/>
              <w:gridCol w:w="1044"/>
              <w:gridCol w:w="1049"/>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3" w:type="pct"/>
                  <w:gridSpan w:val="2"/>
                  <w:tcBorders>
                    <w:top w:val="single" w:color="auto" w:sz="12" w:space="0"/>
                    <w:left w:val="nil"/>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废水性质</w:t>
                  </w:r>
                </w:p>
              </w:tc>
              <w:tc>
                <w:tcPr>
                  <w:tcW w:w="643"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COD</w:t>
                  </w:r>
                </w:p>
              </w:tc>
              <w:tc>
                <w:tcPr>
                  <w:tcW w:w="643"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BOD</w:t>
                  </w:r>
                  <w:r>
                    <w:rPr>
                      <w:rFonts w:ascii="Times New Roman" w:hAnsi="Times New Roman"/>
                      <w:sz w:val="21"/>
                      <w:szCs w:val="21"/>
                      <w:vertAlign w:val="subscript"/>
                      <w:lang w:bidi="ar"/>
                    </w:rPr>
                    <w:t>5</w:t>
                  </w:r>
                </w:p>
              </w:tc>
              <w:tc>
                <w:tcPr>
                  <w:tcW w:w="643"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SS</w:t>
                  </w:r>
                </w:p>
              </w:tc>
              <w:tc>
                <w:tcPr>
                  <w:tcW w:w="643" w:type="pct"/>
                  <w:tcBorders>
                    <w:top w:val="single" w:color="auto" w:sz="12"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氨氮</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restart"/>
                  <w:tcBorders>
                    <w:top w:val="single" w:color="auto" w:sz="4" w:space="0"/>
                    <w:left w:val="nil"/>
                    <w:bottom w:val="single" w:color="auto" w:sz="12"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生活废水</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进水指标（</w:t>
                  </w:r>
                  <w:r>
                    <w:rPr>
                      <w:rFonts w:ascii="Times New Roman" w:hAnsi="Times New Roman"/>
                      <w:sz w:val="21"/>
                      <w:szCs w:val="21"/>
                      <w:lang w:bidi="ar"/>
                    </w:rPr>
                    <w:t>mg/L</w:t>
                  </w:r>
                  <w:r>
                    <w:rPr>
                      <w:rFonts w:hint="eastAsia"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400</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250</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250</w:t>
                  </w:r>
                </w:p>
              </w:tc>
              <w:tc>
                <w:tcPr>
                  <w:tcW w:w="643" w:type="pct"/>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30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产生量（</w:t>
                  </w:r>
                  <w:r>
                    <w:rPr>
                      <w:rFonts w:ascii="Times New Roman" w:hAnsi="Times New Roman"/>
                      <w:sz w:val="21"/>
                      <w:szCs w:val="21"/>
                      <w:lang w:bidi="ar"/>
                    </w:rPr>
                    <w:t>t/a</w:t>
                  </w:r>
                  <w:r>
                    <w:rPr>
                      <w:rFonts w:hint="eastAsia"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0.008</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0.005</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0.005</w:t>
                  </w:r>
                </w:p>
              </w:tc>
              <w:tc>
                <w:tcPr>
                  <w:tcW w:w="643" w:type="pct"/>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0.0006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处理措施</w:t>
                  </w:r>
                </w:p>
              </w:tc>
              <w:tc>
                <w:tcPr>
                  <w:tcW w:w="2575" w:type="pct"/>
                  <w:gridSpan w:val="4"/>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化粪池</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处理效率</w:t>
                  </w:r>
                  <w:r>
                    <w:rPr>
                      <w:rFonts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15</w:t>
                  </w:r>
                  <w:r>
                    <w:rPr>
                      <w:rFonts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10</w:t>
                  </w:r>
                  <w:r>
                    <w:rPr>
                      <w:rFonts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30</w:t>
                  </w:r>
                  <w:r>
                    <w:rPr>
                      <w:rFonts w:ascii="Times New Roman" w:hAnsi="Times New Roman"/>
                      <w:sz w:val="21"/>
                      <w:szCs w:val="21"/>
                      <w:lang w:bidi="ar"/>
                    </w:rPr>
                    <w:t>%</w:t>
                  </w:r>
                </w:p>
              </w:tc>
              <w:tc>
                <w:tcPr>
                  <w:tcW w:w="643" w:type="pct"/>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3%</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出水指标（</w:t>
                  </w:r>
                  <w:r>
                    <w:rPr>
                      <w:rFonts w:ascii="Times New Roman" w:hAnsi="Times New Roman"/>
                      <w:sz w:val="21"/>
                      <w:szCs w:val="21"/>
                      <w:lang w:bidi="ar"/>
                    </w:rPr>
                    <w:t>mg/L</w:t>
                  </w:r>
                  <w:r>
                    <w:rPr>
                      <w:rFonts w:hint="eastAsia"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340</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225</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175</w:t>
                  </w:r>
                </w:p>
              </w:tc>
              <w:tc>
                <w:tcPr>
                  <w:tcW w:w="643" w:type="pct"/>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29.1</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排放量（</w:t>
                  </w:r>
                  <w:r>
                    <w:rPr>
                      <w:rFonts w:ascii="Times New Roman" w:hAnsi="Times New Roman"/>
                      <w:sz w:val="21"/>
                      <w:szCs w:val="21"/>
                      <w:lang w:bidi="ar"/>
                    </w:rPr>
                    <w:t>t/a</w:t>
                  </w:r>
                  <w:r>
                    <w:rPr>
                      <w:rFonts w:hint="eastAsia" w:ascii="Times New Roman" w:hAnsi="Times New Roman"/>
                      <w:sz w:val="21"/>
                      <w:szCs w:val="21"/>
                      <w:lang w:bidi="ar"/>
                    </w:rPr>
                    <w:t>）</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0.0</w:t>
                  </w:r>
                  <w:r>
                    <w:rPr>
                      <w:rFonts w:ascii="Times New Roman" w:hAnsi="Calibri"/>
                      <w:sz w:val="21"/>
                      <w:szCs w:val="21"/>
                      <w:lang w:bidi="ar"/>
                    </w:rPr>
                    <w:t>07</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0.00</w:t>
                  </w:r>
                  <w:r>
                    <w:rPr>
                      <w:rFonts w:ascii="Times New Roman" w:hAnsi="Calibri"/>
                      <w:sz w:val="21"/>
                      <w:szCs w:val="21"/>
                      <w:lang w:bidi="ar"/>
                    </w:rPr>
                    <w:t>47</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0.00</w:t>
                  </w:r>
                  <w:r>
                    <w:rPr>
                      <w:rFonts w:ascii="Times New Roman" w:hAnsi="Calibri"/>
                      <w:sz w:val="21"/>
                      <w:szCs w:val="21"/>
                      <w:lang w:bidi="ar"/>
                    </w:rPr>
                    <w:t>36</w:t>
                  </w:r>
                </w:p>
              </w:tc>
              <w:tc>
                <w:tcPr>
                  <w:tcW w:w="643" w:type="pct"/>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Times New Roman"/>
                      <w:sz w:val="21"/>
                      <w:szCs w:val="21"/>
                      <w:lang w:bidi="ar"/>
                    </w:rPr>
                    <w:t>0.0</w:t>
                  </w:r>
                  <w:r>
                    <w:rPr>
                      <w:rFonts w:ascii="Times New Roman" w:hAnsi="Calibri"/>
                      <w:sz w:val="21"/>
                      <w:szCs w:val="21"/>
                      <w:lang w:bidi="ar"/>
                    </w:rPr>
                    <w:t>006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标准值</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500</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350</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400</w:t>
                  </w:r>
                </w:p>
              </w:tc>
              <w:tc>
                <w:tcPr>
                  <w:tcW w:w="643" w:type="pct"/>
                  <w:tcBorders>
                    <w:top w:val="single" w:color="auto" w:sz="4" w:space="0"/>
                    <w:left w:val="single" w:color="auto" w:sz="4" w:space="0"/>
                    <w:bottom w:val="single" w:color="auto" w:sz="4"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ascii="Times New Roman" w:hAnsi="Calibri"/>
                      <w:sz w:val="21"/>
                      <w:szCs w:val="21"/>
                      <w:lang w:bidi="ar"/>
                    </w:rPr>
                    <w:t>45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tcBorders>
                    <w:top w:val="single" w:color="auto" w:sz="4" w:space="0"/>
                    <w:left w:val="nil"/>
                    <w:bottom w:val="single" w:color="auto" w:sz="12" w:space="0"/>
                    <w:right w:val="single" w:color="auto" w:sz="4" w:space="0"/>
                  </w:tcBorders>
                  <w:shd w:val="clear" w:color="auto" w:fill="auto"/>
                  <w:vAlign w:val="center"/>
                </w:tcPr>
                <w:p>
                  <w:pPr>
                    <w:rPr>
                      <w:rFonts w:ascii="Calibri" w:hAnsi="Calibri"/>
                      <w:sz w:val="20"/>
                      <w:szCs w:val="20"/>
                    </w:rPr>
                  </w:pPr>
                </w:p>
              </w:tc>
              <w:tc>
                <w:tcPr>
                  <w:tcW w:w="1567"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达标情况</w:t>
                  </w:r>
                </w:p>
              </w:tc>
              <w:tc>
                <w:tcPr>
                  <w:tcW w:w="643"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达标</w:t>
                  </w:r>
                </w:p>
              </w:tc>
              <w:tc>
                <w:tcPr>
                  <w:tcW w:w="643"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达标</w:t>
                  </w:r>
                </w:p>
              </w:tc>
              <w:tc>
                <w:tcPr>
                  <w:tcW w:w="643"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达标</w:t>
                  </w:r>
                </w:p>
              </w:tc>
              <w:tc>
                <w:tcPr>
                  <w:tcW w:w="643" w:type="pct"/>
                  <w:tcBorders>
                    <w:top w:val="single" w:color="auto" w:sz="4" w:space="0"/>
                    <w:left w:val="single" w:color="auto" w:sz="4" w:space="0"/>
                    <w:bottom w:val="single" w:color="auto" w:sz="12" w:space="0"/>
                    <w:right w:val="nil"/>
                  </w:tcBorders>
                  <w:shd w:val="clear" w:color="auto" w:fill="auto"/>
                  <w:vAlign w:val="center"/>
                </w:tcPr>
                <w:p>
                  <w:pPr>
                    <w:pStyle w:val="20"/>
                    <w:widowControl w:val="0"/>
                    <w:adjustRightInd w:val="0"/>
                    <w:snapToGrid w:val="0"/>
                    <w:spacing w:before="24" w:beforeLines="10" w:beforeAutospacing="0" w:after="0" w:afterAutospacing="0"/>
                    <w:jc w:val="center"/>
                    <w:rPr>
                      <w:rFonts w:ascii="Times New Roman" w:hAnsi="Calibri"/>
                    </w:rPr>
                  </w:pPr>
                  <w:r>
                    <w:rPr>
                      <w:rFonts w:hint="eastAsia" w:ascii="Times New Roman" w:hAnsi="Times New Roman"/>
                      <w:sz w:val="21"/>
                      <w:szCs w:val="21"/>
                      <w:lang w:bidi="ar"/>
                    </w:rPr>
                    <w:t>达标</w:t>
                  </w:r>
                </w:p>
              </w:tc>
            </w:tr>
          </w:tbl>
          <w:p>
            <w:pPr>
              <w:widowControl/>
              <w:adjustRightInd w:val="0"/>
              <w:snapToGrid w:val="0"/>
              <w:spacing w:before="120" w:beforeLines="50" w:line="360" w:lineRule="auto"/>
              <w:ind w:firstLine="480" w:firstLineChars="200"/>
            </w:pPr>
            <w:r>
              <w:rPr>
                <w:rFonts w:hint="eastAsia"/>
                <w:snapToGrid w:val="0"/>
                <w:kern w:val="24"/>
                <w:sz w:val="24"/>
                <w:lang w:bidi="ar"/>
              </w:rPr>
              <w:t>由上表可知，项目生活废水经化粪池预处理后满足《</w:t>
            </w:r>
            <w:r>
              <w:rPr>
                <w:rFonts w:hint="eastAsia"/>
                <w:sz w:val="24"/>
                <w:lang w:bidi="ar"/>
              </w:rPr>
              <w:t>污水排入城镇下水道水质标准》（</w:t>
            </w:r>
            <w:r>
              <w:rPr>
                <w:sz w:val="24"/>
                <w:lang w:bidi="ar"/>
              </w:rPr>
              <w:t>GB/T31962-2015</w:t>
            </w:r>
            <w:r>
              <w:rPr>
                <w:rFonts w:hint="eastAsia"/>
                <w:sz w:val="24"/>
                <w:lang w:bidi="ar"/>
              </w:rPr>
              <w:t>）</w:t>
            </w:r>
            <w:r>
              <w:rPr>
                <w:sz w:val="24"/>
                <w:lang w:bidi="ar"/>
              </w:rPr>
              <w:t>A</w:t>
            </w:r>
            <w:r>
              <w:rPr>
                <w:rFonts w:hint="eastAsia"/>
                <w:sz w:val="24"/>
                <w:lang w:bidi="ar"/>
              </w:rPr>
              <w:t>级标准</w:t>
            </w:r>
            <w:r>
              <w:rPr>
                <w:rFonts w:hint="eastAsia"/>
                <w:snapToGrid w:val="0"/>
                <w:kern w:val="24"/>
                <w:sz w:val="24"/>
                <w:lang w:bidi="ar"/>
              </w:rPr>
              <w:t>，可排入</w:t>
            </w:r>
            <w:r>
              <w:rPr>
                <w:rFonts w:hint="eastAsia"/>
                <w:sz w:val="24"/>
                <w:lang w:bidi="ar"/>
              </w:rPr>
              <w:t>民乐生态工业园区第一污水处理厂处理。</w:t>
            </w:r>
          </w:p>
          <w:p>
            <w:pPr>
              <w:pStyle w:val="56"/>
              <w:adjustRightInd w:val="0"/>
              <w:snapToGrid w:val="0"/>
              <w:ind w:firstLine="480"/>
              <w:rPr>
                <w:sz w:val="24"/>
              </w:rPr>
            </w:pPr>
            <w:r>
              <w:rPr>
                <w:sz w:val="24"/>
              </w:rPr>
              <w:t>项目生活废水排放量为0.</w:t>
            </w:r>
            <w:r>
              <w:rPr>
                <w:rFonts w:hint="eastAsia"/>
                <w:sz w:val="24"/>
              </w:rPr>
              <w:t>1</w:t>
            </w:r>
            <w:r>
              <w:rPr>
                <w:sz w:val="24"/>
              </w:rPr>
              <w:t>m</w:t>
            </w:r>
            <w:r>
              <w:rPr>
                <w:sz w:val="24"/>
                <w:vertAlign w:val="superscript"/>
              </w:rPr>
              <w:t>3</w:t>
            </w:r>
            <w:r>
              <w:rPr>
                <w:sz w:val="24"/>
              </w:rPr>
              <w:t>/d，</w:t>
            </w:r>
            <w:r>
              <w:rPr>
                <w:rFonts w:hint="eastAsia"/>
                <w:sz w:val="24"/>
              </w:rPr>
              <w:t>化粪池设计容积为</w:t>
            </w:r>
            <w:r>
              <w:rPr>
                <w:sz w:val="24"/>
              </w:rPr>
              <w:t>5m</w:t>
            </w:r>
            <w:r>
              <w:rPr>
                <w:sz w:val="24"/>
                <w:vertAlign w:val="superscript"/>
              </w:rPr>
              <w:t>3</w:t>
            </w:r>
            <w:r>
              <w:rPr>
                <w:rFonts w:hint="eastAsia"/>
                <w:sz w:val="24"/>
              </w:rPr>
              <w:t>，考虑到吸污车收运频次等因素，化粪池设计规模相对较大，总体来讲</w:t>
            </w:r>
            <w:r>
              <w:rPr>
                <w:sz w:val="24"/>
              </w:rPr>
              <w:t>，化粪池</w:t>
            </w:r>
            <w:r>
              <w:rPr>
                <w:rFonts w:hint="eastAsia"/>
                <w:sz w:val="24"/>
              </w:rPr>
              <w:t>设计</w:t>
            </w:r>
            <w:r>
              <w:rPr>
                <w:sz w:val="24"/>
              </w:rPr>
              <w:t>容积可以满足</w:t>
            </w:r>
            <w:r>
              <w:rPr>
                <w:rFonts w:hint="eastAsia"/>
                <w:sz w:val="24"/>
              </w:rPr>
              <w:t>使用</w:t>
            </w:r>
            <w:r>
              <w:rPr>
                <w:sz w:val="24"/>
              </w:rPr>
              <w:t>要求；</w:t>
            </w:r>
          </w:p>
          <w:p>
            <w:pPr>
              <w:pStyle w:val="56"/>
              <w:adjustRightInd w:val="0"/>
              <w:snapToGrid w:val="0"/>
              <w:ind w:firstLine="480"/>
              <w:rPr>
                <w:sz w:val="24"/>
              </w:rPr>
            </w:pPr>
            <w:r>
              <w:rPr>
                <w:rFonts w:hint="eastAsia"/>
                <w:sz w:val="24"/>
              </w:rPr>
              <w:t>根据《民乐生态工业园区第一污水处理厂工程建设项目竣工环境保护验收监测报告》可知，民乐生态工业园区第一污水处理厂于2017年9月竣工，设计日处理规模为1万m</w:t>
            </w:r>
            <w:r>
              <w:rPr>
                <w:rFonts w:hint="eastAsia"/>
                <w:sz w:val="24"/>
                <w:vertAlign w:val="superscript"/>
              </w:rPr>
              <w:t>3</w:t>
            </w:r>
            <w:r>
              <w:rPr>
                <w:rFonts w:hint="eastAsia"/>
                <w:sz w:val="24"/>
              </w:rPr>
              <w:t>，实际日处理规模为2000m</w:t>
            </w:r>
            <w:r>
              <w:rPr>
                <w:rFonts w:hint="eastAsia"/>
                <w:sz w:val="24"/>
                <w:vertAlign w:val="superscript"/>
              </w:rPr>
              <w:t>3</w:t>
            </w:r>
            <w:r>
              <w:rPr>
                <w:rFonts w:hint="eastAsia"/>
                <w:sz w:val="24"/>
              </w:rPr>
              <w:t>，主要污水处理工艺为生物选择池+双沟型氧化沟池，出水水质均达到《城镇污水处理厂污染物排放标准》（GB189-2002）及2006年修改单中一级B标准，并同时满足《城市污水再生利用城市杂用水水质》（GB/T18920-2002）中绿化用水水质要求，尾水用于园区绿化。</w:t>
            </w:r>
          </w:p>
          <w:p>
            <w:pPr>
              <w:adjustRightInd w:val="0"/>
              <w:snapToGrid w:val="0"/>
              <w:spacing w:line="360" w:lineRule="auto"/>
              <w:ind w:firstLine="480" w:firstLineChars="200"/>
              <w:rPr>
                <w:sz w:val="24"/>
              </w:rPr>
            </w:pPr>
            <w:r>
              <w:rPr>
                <w:rFonts w:hint="eastAsia"/>
                <w:sz w:val="24"/>
              </w:rPr>
              <w:t>本项目废水排放量为</w:t>
            </w:r>
            <w:r>
              <w:rPr>
                <w:sz w:val="24"/>
              </w:rPr>
              <w:t>0.</w:t>
            </w:r>
            <w:r>
              <w:rPr>
                <w:rFonts w:hint="eastAsia"/>
                <w:sz w:val="24"/>
              </w:rPr>
              <w:t>1</w:t>
            </w:r>
            <w:r>
              <w:rPr>
                <w:sz w:val="24"/>
              </w:rPr>
              <w:t>m</w:t>
            </w:r>
            <w:r>
              <w:rPr>
                <w:sz w:val="24"/>
                <w:vertAlign w:val="superscript"/>
              </w:rPr>
              <w:t>3</w:t>
            </w:r>
            <w:r>
              <w:rPr>
                <w:sz w:val="24"/>
              </w:rPr>
              <w:t>/d</w:t>
            </w:r>
            <w:r>
              <w:rPr>
                <w:rFonts w:hint="eastAsia"/>
                <w:sz w:val="24"/>
              </w:rPr>
              <w:t>，</w:t>
            </w:r>
            <w:r>
              <w:rPr>
                <w:sz w:val="24"/>
              </w:rPr>
              <w:t>对</w:t>
            </w:r>
            <w:r>
              <w:rPr>
                <w:rFonts w:hint="eastAsia"/>
                <w:sz w:val="24"/>
              </w:rPr>
              <w:t>民乐生态工业园区第一污水处理厂</w:t>
            </w:r>
            <w:r>
              <w:rPr>
                <w:sz w:val="24"/>
              </w:rPr>
              <w:t>的负荷冲击很小，接纳项目生活污水未超出该污水处理</w:t>
            </w:r>
            <w:r>
              <w:rPr>
                <w:rFonts w:hint="eastAsia"/>
                <w:sz w:val="24"/>
              </w:rPr>
              <w:t>厂</w:t>
            </w:r>
            <w:r>
              <w:rPr>
                <w:sz w:val="24"/>
              </w:rPr>
              <w:t>的负荷能力，因此，项目生活污水运至</w:t>
            </w:r>
            <w:r>
              <w:rPr>
                <w:rFonts w:hint="eastAsia"/>
                <w:sz w:val="24"/>
              </w:rPr>
              <w:t>民乐生态工业园区第一污水处理厂</w:t>
            </w:r>
            <w:r>
              <w:rPr>
                <w:sz w:val="24"/>
              </w:rPr>
              <w:t>处理可行。</w:t>
            </w:r>
          </w:p>
          <w:p>
            <w:pPr>
              <w:spacing w:line="360" w:lineRule="auto"/>
              <w:ind w:firstLine="480" w:firstLineChars="200"/>
              <w:rPr>
                <w:sz w:val="24"/>
              </w:rPr>
            </w:pPr>
            <w:r>
              <w:rPr>
                <w:sz w:val="24"/>
              </w:rPr>
              <w:t>综上，本项目运营期废水去向明确，不会对外界水环境造成影响，治理措施可行。</w:t>
            </w:r>
          </w:p>
          <w:p>
            <w:pPr>
              <w:spacing w:line="360" w:lineRule="auto"/>
              <w:ind w:firstLine="480" w:firstLineChars="200"/>
              <w:rPr>
                <w:sz w:val="24"/>
              </w:rPr>
            </w:pPr>
            <w:r>
              <w:rPr>
                <w:sz w:val="24"/>
              </w:rPr>
              <w:t>对于</w:t>
            </w:r>
            <w:r>
              <w:rPr>
                <w:rFonts w:hint="eastAsia"/>
                <w:sz w:val="24"/>
              </w:rPr>
              <w:t>顺化33</w:t>
            </w:r>
            <w:r>
              <w:rPr>
                <w:sz w:val="24"/>
              </w:rPr>
              <w:t>0kV变电站，</w:t>
            </w:r>
            <w:r>
              <w:rPr>
                <w:rFonts w:hint="eastAsia"/>
                <w:sz w:val="24"/>
              </w:rPr>
              <w:t>间隔</w:t>
            </w:r>
            <w:r>
              <w:rPr>
                <w:sz w:val="24"/>
              </w:rPr>
              <w:t>扩建不新增生活污水量，生活污水处理设施仍利用原有设施。</w:t>
            </w:r>
          </w:p>
          <w:p>
            <w:pPr>
              <w:adjustRightInd w:val="0"/>
              <w:snapToGrid w:val="0"/>
              <w:spacing w:before="120" w:beforeLines="50" w:after="120" w:afterLines="50" w:line="360" w:lineRule="auto"/>
              <w:rPr>
                <w:sz w:val="24"/>
              </w:rPr>
            </w:pPr>
            <w:r>
              <w:rPr>
                <w:rFonts w:hint="eastAsia"/>
                <w:b/>
                <w:bCs/>
                <w:sz w:val="24"/>
              </w:rPr>
              <w:t>5.2.3</w:t>
            </w:r>
            <w:r>
              <w:rPr>
                <w:b/>
                <w:bCs/>
                <w:sz w:val="24"/>
              </w:rPr>
              <w:t>声环境</w:t>
            </w:r>
            <w:r>
              <w:rPr>
                <w:rFonts w:hint="eastAsia"/>
                <w:b/>
                <w:bCs/>
                <w:sz w:val="24"/>
              </w:rPr>
              <w:t>影响防治</w:t>
            </w:r>
            <w:r>
              <w:rPr>
                <w:b/>
                <w:bCs/>
                <w:sz w:val="24"/>
              </w:rPr>
              <w:t>措施</w:t>
            </w:r>
          </w:p>
          <w:p>
            <w:pPr>
              <w:pStyle w:val="12"/>
              <w:adjustRightInd w:val="0"/>
              <w:snapToGrid w:val="0"/>
              <w:spacing w:line="360" w:lineRule="auto"/>
              <w:ind w:firstLine="480" w:firstLineChars="200"/>
              <w:rPr>
                <w:rFonts w:ascii="Times New Roman" w:hAnsi="Times New Roman"/>
                <w:sz w:val="24"/>
                <w:lang w:bidi="ar"/>
              </w:rPr>
            </w:pPr>
            <w:r>
              <w:rPr>
                <w:rFonts w:ascii="Times New Roman" w:hAnsi="Times New Roman"/>
                <w:sz w:val="24"/>
                <w:lang w:bidi="ar"/>
              </w:rPr>
              <w:t>为防止高噪声设备对职工及周围环境的影响，针对本项目噪声源噪声强度大，连续生产等特点，本次评价提出的噪声防治措施主要有以下几个方面：</w:t>
            </w:r>
          </w:p>
          <w:p>
            <w:pPr>
              <w:pStyle w:val="12"/>
              <w:adjustRightInd w:val="0"/>
              <w:snapToGrid w:val="0"/>
              <w:spacing w:line="360" w:lineRule="auto"/>
              <w:ind w:firstLine="480" w:firstLineChars="200"/>
              <w:rPr>
                <w:rFonts w:ascii="Times New Roman" w:hAnsi="Times New Roman"/>
                <w:sz w:val="24"/>
                <w:lang w:bidi="ar"/>
              </w:rPr>
            </w:pPr>
            <w:r>
              <w:rPr>
                <w:rFonts w:ascii="Times New Roman" w:hAnsi="Times New Roman"/>
                <w:sz w:val="24"/>
                <w:lang w:bidi="ar"/>
              </w:rPr>
              <w:t>（1）尽量采用低噪声设备，从根本上源头降低噪声排放源强；</w:t>
            </w:r>
          </w:p>
          <w:p>
            <w:pPr>
              <w:pStyle w:val="12"/>
              <w:adjustRightInd w:val="0"/>
              <w:snapToGrid w:val="0"/>
              <w:spacing w:line="360" w:lineRule="auto"/>
              <w:ind w:firstLine="480" w:firstLineChars="200"/>
              <w:rPr>
                <w:rFonts w:ascii="Times New Roman" w:hAnsi="Times New Roman"/>
                <w:sz w:val="24"/>
                <w:lang w:bidi="ar"/>
              </w:rPr>
            </w:pPr>
            <w:r>
              <w:rPr>
                <w:rFonts w:ascii="Times New Roman" w:hAnsi="Times New Roman"/>
                <w:sz w:val="24"/>
                <w:lang w:bidi="ar"/>
              </w:rPr>
              <w:t>（2）对产生噪声较大的设备，应与地基应避免刚性连接，采用隔振器或自行设置隔振装置来实现弹性连接</w:t>
            </w:r>
            <w:r>
              <w:rPr>
                <w:rFonts w:hint="eastAsia" w:ascii="Times New Roman" w:hAnsi="Times New Roman"/>
                <w:sz w:val="24"/>
                <w:lang w:bidi="ar"/>
              </w:rPr>
              <w:t>；且</w:t>
            </w:r>
            <w:r>
              <w:rPr>
                <w:sz w:val="24"/>
              </w:rPr>
              <w:t>合理布局，优化平面布置</w:t>
            </w:r>
            <w:r>
              <w:rPr>
                <w:rFonts w:hint="eastAsia"/>
                <w:sz w:val="24"/>
              </w:rPr>
              <w:t>，尽可能将主变压器布置于站内中心区域，尽量远离围墙</w:t>
            </w:r>
            <w:r>
              <w:rPr>
                <w:rFonts w:ascii="Times New Roman" w:hAnsi="Times New Roman"/>
                <w:sz w:val="24"/>
                <w:lang w:bidi="ar"/>
              </w:rPr>
              <w:t>。</w:t>
            </w:r>
          </w:p>
          <w:p>
            <w:pPr>
              <w:pStyle w:val="12"/>
              <w:adjustRightInd w:val="0"/>
              <w:snapToGrid w:val="0"/>
              <w:spacing w:line="360" w:lineRule="auto"/>
              <w:ind w:firstLine="480" w:firstLineChars="200"/>
              <w:rPr>
                <w:rFonts w:ascii="Times New Roman" w:hAnsi="Times New Roman"/>
                <w:sz w:val="24"/>
                <w:lang w:bidi="ar"/>
              </w:rPr>
            </w:pPr>
            <w:r>
              <w:rPr>
                <w:rFonts w:ascii="Times New Roman" w:hAnsi="Times New Roman"/>
                <w:sz w:val="24"/>
                <w:lang w:bidi="ar"/>
              </w:rPr>
              <w:t>（3）</w:t>
            </w:r>
            <w:r>
              <w:rPr>
                <w:rFonts w:hint="eastAsia" w:ascii="Times New Roman" w:hAnsi="Times New Roman"/>
                <w:sz w:val="24"/>
                <w:lang w:bidi="ar"/>
              </w:rPr>
              <w:t>做好主</w:t>
            </w:r>
            <w:r>
              <w:rPr>
                <w:rFonts w:ascii="Times New Roman" w:hAnsi="Times New Roman"/>
                <w:bCs/>
                <w:sz w:val="24"/>
              </w:rPr>
              <w:t>变压器</w:t>
            </w:r>
            <w:r>
              <w:rPr>
                <w:sz w:val="24"/>
              </w:rPr>
              <w:t>基础减</w:t>
            </w:r>
            <w:r>
              <w:rPr>
                <w:rFonts w:hint="eastAsia"/>
                <w:sz w:val="24"/>
              </w:rPr>
              <w:t>振</w:t>
            </w:r>
            <w:r>
              <w:rPr>
                <w:sz w:val="24"/>
              </w:rPr>
              <w:t>措施</w:t>
            </w:r>
            <w:r>
              <w:rPr>
                <w:rFonts w:hint="eastAsia" w:ascii="Times New Roman" w:hAnsi="Times New Roman"/>
                <w:bCs/>
                <w:sz w:val="24"/>
              </w:rPr>
              <w:t>，</w:t>
            </w:r>
            <w:r>
              <w:rPr>
                <w:rFonts w:ascii="Times New Roman" w:hAnsi="Times New Roman"/>
                <w:bCs/>
                <w:sz w:val="24"/>
              </w:rPr>
              <w:t>储能电站设备</w:t>
            </w:r>
            <w:r>
              <w:rPr>
                <w:rFonts w:hint="eastAsia" w:ascii="Times New Roman" w:hAnsi="Times New Roman"/>
                <w:bCs/>
                <w:sz w:val="24"/>
              </w:rPr>
              <w:t>设置在预制舱内，空调、液冷机组等产噪设备采取基座减振等措施</w:t>
            </w:r>
            <w:r>
              <w:rPr>
                <w:rFonts w:ascii="Times New Roman" w:hAnsi="Times New Roman"/>
                <w:bCs/>
                <w:sz w:val="24"/>
              </w:rPr>
              <w:t>，经建筑隔声、衰减后可降低噪声源强。</w:t>
            </w:r>
          </w:p>
          <w:p>
            <w:pPr>
              <w:pStyle w:val="12"/>
              <w:adjustRightInd w:val="0"/>
              <w:snapToGrid w:val="0"/>
              <w:spacing w:line="360" w:lineRule="auto"/>
              <w:ind w:firstLine="480" w:firstLineChars="200"/>
              <w:rPr>
                <w:rFonts w:ascii="Times New Roman" w:hAnsi="Times New Roman"/>
                <w:sz w:val="24"/>
                <w:lang w:bidi="ar"/>
              </w:rPr>
            </w:pPr>
            <w:r>
              <w:rPr>
                <w:rFonts w:ascii="Times New Roman" w:hAnsi="Times New Roman"/>
                <w:sz w:val="24"/>
                <w:lang w:bidi="ar"/>
              </w:rPr>
              <w:t>（4）加强设备维护，确保其正常运转，避免故障作业。</w:t>
            </w:r>
          </w:p>
          <w:p>
            <w:pPr>
              <w:pStyle w:val="12"/>
              <w:adjustRightInd w:val="0"/>
              <w:snapToGrid w:val="0"/>
              <w:spacing w:line="360" w:lineRule="auto"/>
              <w:ind w:firstLine="480" w:firstLineChars="200"/>
              <w:rPr>
                <w:rFonts w:ascii="Times New Roman" w:hAnsi="Times New Roman"/>
                <w:sz w:val="24"/>
                <w:lang w:bidi="ar"/>
              </w:rPr>
            </w:pPr>
            <w:r>
              <w:rPr>
                <w:rFonts w:hint="eastAsia" w:ascii="Times New Roman" w:hAnsi="Times New Roman"/>
                <w:sz w:val="24"/>
                <w:lang w:bidi="ar"/>
              </w:rPr>
              <w:t>（5）</w:t>
            </w:r>
            <w:r>
              <w:rPr>
                <w:sz w:val="24"/>
              </w:rPr>
              <w:t>开展运营期</w:t>
            </w:r>
            <w:r>
              <w:rPr>
                <w:rFonts w:hint="eastAsia"/>
                <w:sz w:val="24"/>
              </w:rPr>
              <w:t>声</w:t>
            </w:r>
            <w:r>
              <w:rPr>
                <w:sz w:val="24"/>
              </w:rPr>
              <w:t>环境监测和管理工作，切实减少对周围环境的影响</w:t>
            </w:r>
            <w:r>
              <w:rPr>
                <w:rFonts w:hint="eastAsia"/>
                <w:sz w:val="24"/>
              </w:rPr>
              <w:t>。</w:t>
            </w:r>
          </w:p>
          <w:p>
            <w:pPr>
              <w:spacing w:line="360" w:lineRule="auto"/>
              <w:ind w:firstLine="480" w:firstLineChars="200"/>
              <w:rPr>
                <w:sz w:val="24"/>
              </w:rPr>
            </w:pPr>
            <w:r>
              <w:rPr>
                <w:sz w:val="24"/>
                <w:lang w:bidi="ar"/>
              </w:rPr>
              <w:t>综上，运营期在落实各项噪声治理措施后，噪声产生的影响将会得到一定程度的控制，厂界噪声满足《工业企业厂界环境噪声排放标准》（GB12348-2008）中的</w:t>
            </w:r>
            <w:r>
              <w:rPr>
                <w:rFonts w:hint="eastAsia"/>
                <w:sz w:val="24"/>
                <w:lang w:bidi="ar"/>
              </w:rPr>
              <w:t>2</w:t>
            </w:r>
            <w:r>
              <w:rPr>
                <w:sz w:val="24"/>
                <w:lang w:bidi="ar"/>
              </w:rPr>
              <w:t>类标准要求，对周围环境影响不大，治理措施可行。</w:t>
            </w:r>
          </w:p>
          <w:p>
            <w:pPr>
              <w:adjustRightInd w:val="0"/>
              <w:snapToGrid w:val="0"/>
              <w:spacing w:before="120" w:beforeLines="50" w:after="120" w:afterLines="50" w:line="360" w:lineRule="auto"/>
              <w:rPr>
                <w:sz w:val="24"/>
              </w:rPr>
            </w:pPr>
            <w:r>
              <w:rPr>
                <w:rFonts w:hint="eastAsia"/>
                <w:b/>
                <w:bCs/>
                <w:sz w:val="24"/>
              </w:rPr>
              <w:t>5.2.4</w:t>
            </w:r>
            <w:r>
              <w:rPr>
                <w:b/>
                <w:bCs/>
                <w:sz w:val="24"/>
              </w:rPr>
              <w:t>固体废物环境影响保护措施</w:t>
            </w:r>
          </w:p>
          <w:p>
            <w:pPr>
              <w:spacing w:line="360" w:lineRule="auto"/>
              <w:ind w:firstLine="480" w:firstLineChars="200"/>
              <w:rPr>
                <w:sz w:val="24"/>
              </w:rPr>
            </w:pPr>
            <w:r>
              <w:rPr>
                <w:sz w:val="24"/>
              </w:rPr>
              <w:t>（1）生活垃圾</w:t>
            </w:r>
            <w:r>
              <w:rPr>
                <w:rFonts w:hint="eastAsia"/>
                <w:sz w:val="24"/>
              </w:rPr>
              <w:t>：</w:t>
            </w:r>
            <w:r>
              <w:rPr>
                <w:sz w:val="24"/>
              </w:rPr>
              <w:t>站内设垃圾收集箱，生活垃圾经收集后由站内工作人员定期运至环卫部门指定地点</w:t>
            </w:r>
            <w:r>
              <w:rPr>
                <w:rFonts w:hint="eastAsia"/>
                <w:sz w:val="24"/>
              </w:rPr>
              <w:t>；</w:t>
            </w:r>
            <w:r>
              <w:rPr>
                <w:sz w:val="24"/>
              </w:rPr>
              <w:t>化粪池底泥定期</w:t>
            </w:r>
            <w:r>
              <w:rPr>
                <w:rFonts w:hint="eastAsia"/>
                <w:sz w:val="24"/>
              </w:rPr>
              <w:t>委托</w:t>
            </w:r>
            <w:r>
              <w:rPr>
                <w:sz w:val="24"/>
              </w:rPr>
              <w:t>清掏，交周边农户用作农肥</w:t>
            </w:r>
            <w:r>
              <w:rPr>
                <w:bCs/>
                <w:sz w:val="24"/>
              </w:rPr>
              <w:t>。</w:t>
            </w:r>
          </w:p>
          <w:p>
            <w:pPr>
              <w:adjustRightInd w:val="0"/>
              <w:snapToGrid w:val="0"/>
              <w:spacing w:line="360" w:lineRule="auto"/>
              <w:ind w:firstLine="480" w:firstLineChars="200"/>
              <w:rPr>
                <w:sz w:val="24"/>
              </w:rPr>
            </w:pPr>
            <w:r>
              <w:rPr>
                <w:sz w:val="24"/>
              </w:rPr>
              <w:t>（</w:t>
            </w:r>
            <w:r>
              <w:rPr>
                <w:rFonts w:hint="eastAsia"/>
                <w:sz w:val="24"/>
              </w:rPr>
              <w:t>2</w:t>
            </w:r>
            <w:r>
              <w:rPr>
                <w:sz w:val="24"/>
              </w:rPr>
              <w:t>）</w:t>
            </w:r>
            <w:r>
              <w:rPr>
                <w:rFonts w:hint="eastAsia"/>
                <w:sz w:val="24"/>
              </w:rPr>
              <w:t>废锂电池：</w:t>
            </w:r>
            <w:r>
              <w:rPr>
                <w:sz w:val="24"/>
              </w:rPr>
              <w:t>根据《国家危险废物名录》（2021年版）</w:t>
            </w:r>
            <w:r>
              <w:rPr>
                <w:rFonts w:hint="eastAsia"/>
                <w:sz w:val="24"/>
              </w:rPr>
              <w:t>及相关主管部门回复</w:t>
            </w:r>
            <w:r>
              <w:rPr>
                <w:sz w:val="24"/>
              </w:rPr>
              <w:t>，</w:t>
            </w:r>
            <w:r>
              <w:rPr>
                <w:rFonts w:hint="eastAsia"/>
                <w:sz w:val="24"/>
              </w:rPr>
              <w:t>废锂电池</w:t>
            </w:r>
            <w:r>
              <w:rPr>
                <w:sz w:val="24"/>
              </w:rPr>
              <w:t>不属于危险废物。根据国内</w:t>
            </w:r>
            <w:r>
              <w:rPr>
                <w:rFonts w:hint="eastAsia"/>
                <w:sz w:val="24"/>
              </w:rPr>
              <w:t>同类型项目</w:t>
            </w:r>
            <w:r>
              <w:rPr>
                <w:sz w:val="24"/>
              </w:rPr>
              <w:t>运行情况可知，</w:t>
            </w:r>
            <w:r>
              <w:rPr>
                <w:rFonts w:hint="eastAsia"/>
                <w:sz w:val="24"/>
              </w:rPr>
              <w:t>储能电站锂电池</w:t>
            </w:r>
            <w:r>
              <w:rPr>
                <w:sz w:val="24"/>
              </w:rPr>
              <w:t>在运行过程中损坏的可能性极小</w:t>
            </w:r>
            <w:r>
              <w:rPr>
                <w:rFonts w:hint="eastAsia"/>
                <w:sz w:val="24"/>
              </w:rPr>
              <w:t>。</w:t>
            </w:r>
            <w:r>
              <w:rPr>
                <w:sz w:val="24"/>
              </w:rPr>
              <w:t>一旦有</w:t>
            </w:r>
            <w:r>
              <w:rPr>
                <w:rFonts w:hint="eastAsia"/>
                <w:sz w:val="24"/>
              </w:rPr>
              <w:t>废锂电池</w:t>
            </w:r>
            <w:r>
              <w:rPr>
                <w:sz w:val="24"/>
              </w:rPr>
              <w:t>产生，</w:t>
            </w:r>
            <w:r>
              <w:rPr>
                <w:rFonts w:hint="eastAsia"/>
                <w:sz w:val="24"/>
              </w:rPr>
              <w:t>暂存于一般固废暂存间（占地面积10m</w:t>
            </w:r>
            <w:r>
              <w:rPr>
                <w:rFonts w:hint="eastAsia"/>
                <w:sz w:val="24"/>
                <w:vertAlign w:val="superscript"/>
              </w:rPr>
              <w:t>2</w:t>
            </w:r>
            <w:r>
              <w:rPr>
                <w:rFonts w:hint="eastAsia"/>
                <w:sz w:val="24"/>
              </w:rPr>
              <w:t>）内，</w:t>
            </w:r>
            <w:r>
              <w:rPr>
                <w:sz w:val="24"/>
              </w:rPr>
              <w:t>收集后由厂家定期回收。</w:t>
            </w:r>
          </w:p>
          <w:p>
            <w:pPr>
              <w:pStyle w:val="12"/>
              <w:widowControl/>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一般固废暂存间建设应满足以下要求：</w:t>
            </w:r>
          </w:p>
          <w:p>
            <w:pPr>
              <w:adjustRightInd w:val="0"/>
              <w:snapToGrid w:val="0"/>
              <w:spacing w:line="360" w:lineRule="auto"/>
              <w:ind w:firstLine="480" w:firstLineChars="200"/>
              <w:rPr>
                <w:sz w:val="24"/>
              </w:rPr>
            </w:pPr>
            <w:r>
              <w:rPr>
                <w:rFonts w:hint="eastAsia"/>
                <w:sz w:val="24"/>
              </w:rPr>
              <w:t>①要按照《一般工业固体废物贮存和填埋污染控制标准》（GB 18599-2020）的要求设置暂存场所；</w:t>
            </w:r>
          </w:p>
          <w:p>
            <w:pPr>
              <w:adjustRightInd w:val="0"/>
              <w:snapToGrid w:val="0"/>
              <w:spacing w:line="360" w:lineRule="auto"/>
              <w:ind w:firstLine="480" w:firstLineChars="200"/>
              <w:rPr>
                <w:sz w:val="24"/>
              </w:rPr>
            </w:pPr>
            <w:r>
              <w:rPr>
                <w:rFonts w:hint="eastAsia"/>
                <w:sz w:val="24"/>
              </w:rPr>
              <w:t>②一般固废暂存间的设置必须与将要堆放的一般工业固体废物的类别相一致；</w:t>
            </w:r>
          </w:p>
          <w:p>
            <w:pPr>
              <w:adjustRightInd w:val="0"/>
              <w:snapToGrid w:val="0"/>
              <w:spacing w:line="360" w:lineRule="auto"/>
              <w:ind w:firstLine="480" w:firstLineChars="200"/>
              <w:rPr>
                <w:sz w:val="24"/>
              </w:rPr>
            </w:pPr>
            <w:r>
              <w:rPr>
                <w:rFonts w:hint="eastAsia"/>
                <w:sz w:val="24"/>
              </w:rPr>
              <w:t>③不得露天堆放，防止雨水进入产生二次污染；一般固废暂存间应进行硬化，具备防渗功能，防渗性能应相当于不低于1.5m厚，渗透系数&lt;10</w:t>
            </w:r>
            <w:r>
              <w:rPr>
                <w:rFonts w:hint="eastAsia"/>
                <w:sz w:val="24"/>
                <w:vertAlign w:val="superscript"/>
              </w:rPr>
              <w:t>-7</w:t>
            </w:r>
            <w:r>
              <w:rPr>
                <w:rFonts w:hint="eastAsia"/>
                <w:sz w:val="24"/>
              </w:rPr>
              <w:t>cm/s的复合衬层的防渗性能；</w:t>
            </w:r>
          </w:p>
          <w:p>
            <w:pPr>
              <w:adjustRightInd w:val="0"/>
              <w:snapToGrid w:val="0"/>
              <w:spacing w:line="360" w:lineRule="auto"/>
              <w:ind w:firstLine="480" w:firstLineChars="200"/>
              <w:rPr>
                <w:sz w:val="24"/>
              </w:rPr>
            </w:pPr>
            <w:r>
              <w:rPr>
                <w:rFonts w:hint="eastAsia"/>
                <w:sz w:val="24"/>
              </w:rPr>
              <w:t>④建设单位应建立检查维护制度，定期检查维护设施，发现有损坏可能或异常，应及时采取必要措施，以保障正常运行；</w:t>
            </w:r>
          </w:p>
          <w:p>
            <w:pPr>
              <w:adjustRightInd w:val="0"/>
              <w:snapToGrid w:val="0"/>
              <w:spacing w:line="360" w:lineRule="auto"/>
              <w:ind w:firstLine="480" w:firstLineChars="200"/>
              <w:rPr>
                <w:sz w:val="24"/>
              </w:rPr>
            </w:pPr>
            <w:r>
              <w:rPr>
                <w:rFonts w:hint="eastAsia"/>
                <w:sz w:val="24"/>
              </w:rPr>
              <w:t>⑤单位需定期对员工进行培训，加强安全及防止污染的意识，培训通过后上岗，对于固体废弃物的收集、运输要实施专人专职管理制度并建立好档案制度。应将入场的一般工业固体废物的种类和数量以及下列资料，详细记录在案，长期保存，供随时查阅。</w:t>
            </w:r>
          </w:p>
          <w:p>
            <w:pPr>
              <w:adjustRightInd w:val="0"/>
              <w:snapToGrid w:val="0"/>
              <w:spacing w:line="360" w:lineRule="auto"/>
              <w:ind w:firstLine="480" w:firstLineChars="200"/>
              <w:rPr>
                <w:sz w:val="24"/>
              </w:rPr>
            </w:pPr>
            <w:r>
              <w:rPr>
                <w:rFonts w:hint="eastAsia"/>
                <w:sz w:val="24"/>
              </w:rPr>
              <w:t>（3）变压器废油及其容器、油抹布等危险废物按危险废物暂存要求在升压站内自建危废暂存间（占地面积10m</w:t>
            </w:r>
            <w:r>
              <w:rPr>
                <w:rFonts w:hint="eastAsia"/>
                <w:sz w:val="24"/>
                <w:vertAlign w:val="superscript"/>
              </w:rPr>
              <w:t>2</w:t>
            </w:r>
            <w:r>
              <w:rPr>
                <w:rFonts w:hint="eastAsia"/>
                <w:sz w:val="24"/>
              </w:rPr>
              <w:t>）储存；</w:t>
            </w:r>
            <w:r>
              <w:rPr>
                <w:sz w:val="24"/>
              </w:rPr>
              <w:t>项目</w:t>
            </w:r>
            <w:r>
              <w:rPr>
                <w:rFonts w:hint="eastAsia"/>
                <w:sz w:val="24"/>
              </w:rPr>
              <w:t>升压站铅酸</w:t>
            </w:r>
            <w:r>
              <w:rPr>
                <w:sz w:val="24"/>
              </w:rPr>
              <w:t>蓄电池待使用寿命到期后，通知</w:t>
            </w:r>
            <w:r>
              <w:rPr>
                <w:rFonts w:hint="eastAsia"/>
                <w:sz w:val="24"/>
              </w:rPr>
              <w:t>有资质</w:t>
            </w:r>
            <w:r>
              <w:rPr>
                <w:sz w:val="24"/>
              </w:rPr>
              <w:t>厂家及时更换，更换的废旧蓄电池交由</w:t>
            </w:r>
            <w:r>
              <w:rPr>
                <w:rFonts w:hint="eastAsia"/>
                <w:sz w:val="24"/>
              </w:rPr>
              <w:t>有资质</w:t>
            </w:r>
            <w:r>
              <w:rPr>
                <w:sz w:val="24"/>
              </w:rPr>
              <w:t>厂家清运处置，不在站内储存。</w:t>
            </w:r>
          </w:p>
          <w:p>
            <w:pPr>
              <w:adjustRightInd w:val="0"/>
              <w:snapToGrid w:val="0"/>
              <w:spacing w:line="360" w:lineRule="auto"/>
              <w:ind w:firstLine="480" w:firstLineChars="200"/>
              <w:rPr>
                <w:sz w:val="24"/>
              </w:rPr>
            </w:pPr>
            <w:r>
              <w:rPr>
                <w:rFonts w:hint="eastAsia"/>
                <w:sz w:val="24"/>
              </w:rPr>
              <w:t>（4）危废暂存间建设要求：</w:t>
            </w:r>
          </w:p>
          <w:p>
            <w:pPr>
              <w:adjustRightInd w:val="0"/>
              <w:snapToGrid w:val="0"/>
              <w:spacing w:line="360" w:lineRule="auto"/>
              <w:ind w:firstLine="480" w:firstLineChars="200"/>
              <w:rPr>
                <w:snapToGrid w:val="0"/>
                <w:sz w:val="24"/>
              </w:rPr>
            </w:pPr>
            <w:r>
              <w:rPr>
                <w:rFonts w:hint="eastAsia"/>
                <w:snapToGrid w:val="0"/>
                <w:sz w:val="24"/>
              </w:rPr>
              <w:t>①严格执行《危险废物转移管理办法》和《危险废物经营许可证管理办法》等，对进厂、使用、出厂的危险废物量进行统计，并定期向环境保护管理部门报送；</w:t>
            </w:r>
          </w:p>
          <w:p>
            <w:pPr>
              <w:adjustRightInd w:val="0"/>
              <w:snapToGrid w:val="0"/>
              <w:spacing w:line="360" w:lineRule="auto"/>
              <w:ind w:firstLine="480" w:firstLineChars="200"/>
              <w:rPr>
                <w:snapToGrid w:val="0"/>
                <w:sz w:val="24"/>
              </w:rPr>
            </w:pPr>
            <w:r>
              <w:rPr>
                <w:rFonts w:hint="eastAsia"/>
                <w:snapToGrid w:val="0"/>
                <w:sz w:val="24"/>
              </w:rPr>
              <w:t>②危险废物暂存间地面与裙角要用坚固、防渗的材料建造，建筑材料必须与危险废物相容；不相容的危险废物必须分开存放，并设有隔离间隔断；</w:t>
            </w:r>
          </w:p>
          <w:p>
            <w:pPr>
              <w:adjustRightInd w:val="0"/>
              <w:snapToGrid w:val="0"/>
              <w:spacing w:line="360" w:lineRule="auto"/>
              <w:ind w:firstLine="480" w:firstLineChars="200"/>
              <w:rPr>
                <w:snapToGrid w:val="0"/>
                <w:sz w:val="24"/>
              </w:rPr>
            </w:pPr>
            <w:r>
              <w:rPr>
                <w:rFonts w:hint="eastAsia"/>
                <w:snapToGrid w:val="0"/>
                <w:sz w:val="24"/>
              </w:rPr>
              <w:t>③危险废物暂存间必须有耐腐蚀的硬化地面，且表面无裂隙；必须有泄露液体收集装置、气体导出口及气体净化装置；</w:t>
            </w:r>
          </w:p>
          <w:p>
            <w:pPr>
              <w:adjustRightInd w:val="0"/>
              <w:snapToGrid w:val="0"/>
              <w:spacing w:line="360" w:lineRule="auto"/>
              <w:ind w:firstLine="480" w:firstLineChars="200"/>
              <w:rPr>
                <w:snapToGrid w:val="0"/>
                <w:sz w:val="24"/>
              </w:rPr>
            </w:pPr>
            <w:r>
              <w:rPr>
                <w:rFonts w:hint="eastAsia"/>
                <w:snapToGrid w:val="0"/>
                <w:sz w:val="24"/>
              </w:rPr>
              <w:t>④危废暂存间须具备基础防渗，防渗层应为至少2mm厚HDPE，渗透系数≤10</w:t>
            </w:r>
            <w:r>
              <w:rPr>
                <w:rFonts w:hint="eastAsia"/>
                <w:snapToGrid w:val="0"/>
                <w:sz w:val="24"/>
                <w:vertAlign w:val="superscript"/>
              </w:rPr>
              <w:t>-10</w:t>
            </w:r>
            <w:r>
              <w:rPr>
                <w:rFonts w:hint="eastAsia"/>
                <w:snapToGrid w:val="0"/>
                <w:sz w:val="24"/>
              </w:rPr>
              <w:t>cm/s；设施内要有安全照明设施和观察窗口。</w:t>
            </w:r>
          </w:p>
          <w:p>
            <w:pPr>
              <w:adjustRightInd w:val="0"/>
              <w:snapToGrid w:val="0"/>
              <w:spacing w:line="360" w:lineRule="auto"/>
              <w:ind w:firstLine="480" w:firstLineChars="200"/>
              <w:rPr>
                <w:snapToGrid w:val="0"/>
                <w:sz w:val="24"/>
              </w:rPr>
            </w:pPr>
            <w:r>
              <w:rPr>
                <w:rFonts w:hint="eastAsia"/>
                <w:snapToGrid w:val="0"/>
                <w:sz w:val="24"/>
              </w:rPr>
              <w:t>⑤危废暂存间要防风、防雨、防晒、防腐；同时，建设单位应按《中华人民共和国固体废物污染环境防治法》的规定向上级固体废物管理中心如实申报本项目固体废物产生量、拟采取的处置措施及去向，并按该中心的要求对本项目产生的固体废物特别是危险废物进行全过程严格管理和安全处置。</w:t>
            </w:r>
          </w:p>
          <w:p>
            <w:pPr>
              <w:adjustRightInd w:val="0"/>
              <w:snapToGrid w:val="0"/>
              <w:spacing w:line="360" w:lineRule="auto"/>
              <w:ind w:firstLine="480" w:firstLineChars="200"/>
              <w:rPr>
                <w:sz w:val="24"/>
              </w:rPr>
            </w:pPr>
            <w:r>
              <w:rPr>
                <w:rFonts w:hint="eastAsia"/>
                <w:sz w:val="24"/>
              </w:rPr>
              <w:t>（5）在危废暂存间门口张贴危废标识，注明危险废物名称、类别、危害特性、贮存负责人和应急负责人及联系方式。</w:t>
            </w:r>
          </w:p>
          <w:p>
            <w:pPr>
              <w:adjustRightInd w:val="0"/>
              <w:snapToGrid w:val="0"/>
              <w:spacing w:line="360" w:lineRule="auto"/>
              <w:ind w:firstLine="480" w:firstLineChars="200"/>
              <w:rPr>
                <w:sz w:val="24"/>
              </w:rPr>
            </w:pPr>
            <w:r>
              <w:rPr>
                <w:rFonts w:hint="eastAsia"/>
                <w:sz w:val="24"/>
              </w:rPr>
              <w:t>（6）建立危险废物转运联单，设置危废台账，委托具备相应危废处理资质的单位定期收运处置。</w:t>
            </w:r>
          </w:p>
          <w:p>
            <w:pPr>
              <w:adjustRightInd w:val="0"/>
              <w:snapToGrid w:val="0"/>
              <w:spacing w:before="120" w:beforeLines="50" w:line="360" w:lineRule="auto"/>
              <w:jc w:val="center"/>
              <w:rPr>
                <w:b/>
                <w:bCs/>
                <w:sz w:val="24"/>
              </w:rPr>
            </w:pPr>
            <w:r>
              <w:rPr>
                <w:rFonts w:hint="eastAsia"/>
                <w:b/>
                <w:bCs/>
                <w:sz w:val="24"/>
              </w:rPr>
              <w:t>表5-3   项目危险废物贮存场所基本情况表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39"/>
              <w:gridCol w:w="1095"/>
              <w:gridCol w:w="802"/>
              <w:gridCol w:w="1056"/>
              <w:gridCol w:w="779"/>
              <w:gridCol w:w="658"/>
              <w:gridCol w:w="1365"/>
              <w:gridCol w:w="532"/>
              <w:gridCol w:w="5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5" w:type="dxa"/>
                  <w:vAlign w:val="center"/>
                </w:tcPr>
                <w:p>
                  <w:pPr>
                    <w:adjustRightInd w:val="0"/>
                    <w:snapToGrid w:val="0"/>
                    <w:jc w:val="center"/>
                    <w:rPr>
                      <w:sz w:val="18"/>
                      <w:szCs w:val="18"/>
                    </w:rPr>
                  </w:pPr>
                  <w:r>
                    <w:rPr>
                      <w:sz w:val="18"/>
                      <w:szCs w:val="18"/>
                    </w:rPr>
                    <w:t>序号</w:t>
                  </w:r>
                </w:p>
              </w:tc>
              <w:tc>
                <w:tcPr>
                  <w:tcW w:w="839" w:type="dxa"/>
                  <w:vAlign w:val="center"/>
                </w:tcPr>
                <w:p>
                  <w:pPr>
                    <w:adjustRightInd w:val="0"/>
                    <w:snapToGrid w:val="0"/>
                    <w:jc w:val="center"/>
                    <w:rPr>
                      <w:sz w:val="18"/>
                      <w:szCs w:val="18"/>
                    </w:rPr>
                  </w:pPr>
                  <w:r>
                    <w:rPr>
                      <w:rFonts w:hint="eastAsia"/>
                      <w:sz w:val="18"/>
                      <w:szCs w:val="18"/>
                    </w:rPr>
                    <w:t>贮存场所名称</w:t>
                  </w:r>
                </w:p>
              </w:tc>
              <w:tc>
                <w:tcPr>
                  <w:tcW w:w="1095" w:type="dxa"/>
                  <w:vAlign w:val="center"/>
                </w:tcPr>
                <w:p>
                  <w:pPr>
                    <w:adjustRightInd w:val="0"/>
                    <w:snapToGrid w:val="0"/>
                    <w:jc w:val="center"/>
                    <w:rPr>
                      <w:sz w:val="18"/>
                      <w:szCs w:val="18"/>
                    </w:rPr>
                  </w:pPr>
                  <w:r>
                    <w:rPr>
                      <w:rFonts w:hint="eastAsia"/>
                      <w:sz w:val="18"/>
                      <w:szCs w:val="18"/>
                    </w:rPr>
                    <w:t>危险废物名称</w:t>
                  </w:r>
                </w:p>
              </w:tc>
              <w:tc>
                <w:tcPr>
                  <w:tcW w:w="802" w:type="dxa"/>
                  <w:vAlign w:val="center"/>
                </w:tcPr>
                <w:p>
                  <w:pPr>
                    <w:adjustRightInd w:val="0"/>
                    <w:snapToGrid w:val="0"/>
                    <w:jc w:val="center"/>
                    <w:rPr>
                      <w:sz w:val="18"/>
                      <w:szCs w:val="18"/>
                    </w:rPr>
                  </w:pPr>
                  <w:r>
                    <w:rPr>
                      <w:rFonts w:hint="eastAsia"/>
                      <w:sz w:val="18"/>
                      <w:szCs w:val="18"/>
                    </w:rPr>
                    <w:t>危险废物类别</w:t>
                  </w:r>
                </w:p>
              </w:tc>
              <w:tc>
                <w:tcPr>
                  <w:tcW w:w="1056" w:type="dxa"/>
                  <w:vAlign w:val="center"/>
                </w:tcPr>
                <w:p>
                  <w:pPr>
                    <w:adjustRightInd w:val="0"/>
                    <w:snapToGrid w:val="0"/>
                    <w:jc w:val="center"/>
                    <w:rPr>
                      <w:sz w:val="18"/>
                      <w:szCs w:val="18"/>
                    </w:rPr>
                  </w:pPr>
                  <w:r>
                    <w:rPr>
                      <w:rFonts w:hint="eastAsia"/>
                      <w:sz w:val="18"/>
                      <w:szCs w:val="18"/>
                    </w:rPr>
                    <w:t>危险废物代码</w:t>
                  </w:r>
                </w:p>
              </w:tc>
              <w:tc>
                <w:tcPr>
                  <w:tcW w:w="779" w:type="dxa"/>
                  <w:vAlign w:val="center"/>
                </w:tcPr>
                <w:p>
                  <w:pPr>
                    <w:adjustRightInd w:val="0"/>
                    <w:snapToGrid w:val="0"/>
                    <w:jc w:val="center"/>
                    <w:rPr>
                      <w:sz w:val="18"/>
                      <w:szCs w:val="18"/>
                    </w:rPr>
                  </w:pPr>
                  <w:r>
                    <w:rPr>
                      <w:rFonts w:hint="eastAsia"/>
                      <w:sz w:val="18"/>
                      <w:szCs w:val="18"/>
                    </w:rPr>
                    <w:t>位置</w:t>
                  </w:r>
                </w:p>
              </w:tc>
              <w:tc>
                <w:tcPr>
                  <w:tcW w:w="658" w:type="dxa"/>
                  <w:vAlign w:val="center"/>
                </w:tcPr>
                <w:p>
                  <w:pPr>
                    <w:adjustRightInd w:val="0"/>
                    <w:snapToGrid w:val="0"/>
                    <w:jc w:val="center"/>
                    <w:rPr>
                      <w:sz w:val="18"/>
                      <w:szCs w:val="18"/>
                    </w:rPr>
                  </w:pPr>
                  <w:r>
                    <w:rPr>
                      <w:rFonts w:hint="eastAsia"/>
                      <w:sz w:val="18"/>
                      <w:szCs w:val="18"/>
                    </w:rPr>
                    <w:t>占地面积m</w:t>
                  </w:r>
                  <w:r>
                    <w:rPr>
                      <w:rFonts w:hint="eastAsia"/>
                      <w:sz w:val="18"/>
                      <w:szCs w:val="18"/>
                      <w:vertAlign w:val="superscript"/>
                    </w:rPr>
                    <w:t>2</w:t>
                  </w:r>
                </w:p>
              </w:tc>
              <w:tc>
                <w:tcPr>
                  <w:tcW w:w="1365" w:type="dxa"/>
                  <w:vAlign w:val="center"/>
                </w:tcPr>
                <w:p>
                  <w:pPr>
                    <w:adjustRightInd w:val="0"/>
                    <w:snapToGrid w:val="0"/>
                    <w:jc w:val="center"/>
                    <w:rPr>
                      <w:sz w:val="18"/>
                      <w:szCs w:val="18"/>
                    </w:rPr>
                  </w:pPr>
                  <w:r>
                    <w:rPr>
                      <w:rFonts w:hint="eastAsia"/>
                      <w:sz w:val="18"/>
                      <w:szCs w:val="18"/>
                    </w:rPr>
                    <w:t>贮存方式</w:t>
                  </w:r>
                </w:p>
              </w:tc>
              <w:tc>
                <w:tcPr>
                  <w:tcW w:w="532" w:type="dxa"/>
                  <w:vAlign w:val="center"/>
                </w:tcPr>
                <w:p>
                  <w:pPr>
                    <w:adjustRightInd w:val="0"/>
                    <w:snapToGrid w:val="0"/>
                    <w:jc w:val="center"/>
                    <w:rPr>
                      <w:sz w:val="18"/>
                      <w:szCs w:val="18"/>
                    </w:rPr>
                  </w:pPr>
                  <w:r>
                    <w:rPr>
                      <w:rFonts w:hint="eastAsia"/>
                      <w:sz w:val="18"/>
                      <w:szCs w:val="18"/>
                    </w:rPr>
                    <w:t>贮存能力</w:t>
                  </w:r>
                </w:p>
              </w:tc>
              <w:tc>
                <w:tcPr>
                  <w:tcW w:w="566" w:type="dxa"/>
                  <w:vAlign w:val="center"/>
                </w:tcPr>
                <w:p>
                  <w:pPr>
                    <w:adjustRightInd w:val="0"/>
                    <w:snapToGrid w:val="0"/>
                    <w:jc w:val="center"/>
                    <w:rPr>
                      <w:sz w:val="18"/>
                      <w:szCs w:val="18"/>
                    </w:rPr>
                  </w:pPr>
                  <w:r>
                    <w:rPr>
                      <w:rFonts w:hint="eastAsia"/>
                      <w:sz w:val="18"/>
                      <w:szCs w:val="18"/>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5" w:type="dxa"/>
                  <w:vAlign w:val="center"/>
                </w:tcPr>
                <w:p>
                  <w:pPr>
                    <w:adjustRightInd w:val="0"/>
                    <w:snapToGrid w:val="0"/>
                    <w:jc w:val="center"/>
                    <w:rPr>
                      <w:sz w:val="18"/>
                      <w:szCs w:val="18"/>
                    </w:rPr>
                  </w:pPr>
                  <w:r>
                    <w:rPr>
                      <w:rFonts w:hint="eastAsia"/>
                      <w:sz w:val="18"/>
                      <w:szCs w:val="18"/>
                    </w:rPr>
                    <w:t>1</w:t>
                  </w:r>
                </w:p>
              </w:tc>
              <w:tc>
                <w:tcPr>
                  <w:tcW w:w="839" w:type="dxa"/>
                  <w:vAlign w:val="center"/>
                </w:tcPr>
                <w:p>
                  <w:pPr>
                    <w:adjustRightInd w:val="0"/>
                    <w:snapToGrid w:val="0"/>
                    <w:jc w:val="center"/>
                    <w:rPr>
                      <w:sz w:val="18"/>
                      <w:szCs w:val="18"/>
                    </w:rPr>
                  </w:pPr>
                  <w:r>
                    <w:rPr>
                      <w:rFonts w:hint="eastAsia"/>
                      <w:sz w:val="18"/>
                      <w:szCs w:val="18"/>
                    </w:rPr>
                    <w:t>危险废物暂存间</w:t>
                  </w:r>
                </w:p>
              </w:tc>
              <w:tc>
                <w:tcPr>
                  <w:tcW w:w="1095" w:type="dxa"/>
                  <w:vAlign w:val="center"/>
                </w:tcPr>
                <w:p>
                  <w:pPr>
                    <w:adjustRightInd w:val="0"/>
                    <w:snapToGrid w:val="0"/>
                    <w:jc w:val="center"/>
                    <w:rPr>
                      <w:sz w:val="18"/>
                      <w:szCs w:val="18"/>
                    </w:rPr>
                  </w:pPr>
                  <w:r>
                    <w:rPr>
                      <w:sz w:val="18"/>
                      <w:szCs w:val="18"/>
                    </w:rPr>
                    <w:t>变压器废油及其容器、油抹布</w:t>
                  </w:r>
                </w:p>
              </w:tc>
              <w:tc>
                <w:tcPr>
                  <w:tcW w:w="802" w:type="dxa"/>
                  <w:vAlign w:val="center"/>
                </w:tcPr>
                <w:p>
                  <w:pPr>
                    <w:adjustRightInd w:val="0"/>
                    <w:snapToGrid w:val="0"/>
                    <w:jc w:val="center"/>
                    <w:rPr>
                      <w:sz w:val="18"/>
                      <w:szCs w:val="18"/>
                    </w:rPr>
                  </w:pPr>
                  <w:r>
                    <w:rPr>
                      <w:sz w:val="18"/>
                      <w:szCs w:val="18"/>
                    </w:rPr>
                    <w:t>HW08</w:t>
                  </w:r>
                </w:p>
              </w:tc>
              <w:tc>
                <w:tcPr>
                  <w:tcW w:w="1056" w:type="dxa"/>
                  <w:vAlign w:val="center"/>
                </w:tcPr>
                <w:p>
                  <w:pPr>
                    <w:adjustRightInd w:val="0"/>
                    <w:snapToGrid w:val="0"/>
                    <w:jc w:val="center"/>
                    <w:rPr>
                      <w:sz w:val="18"/>
                      <w:szCs w:val="18"/>
                    </w:rPr>
                  </w:pPr>
                  <w:r>
                    <w:rPr>
                      <w:sz w:val="18"/>
                      <w:szCs w:val="18"/>
                    </w:rPr>
                    <w:t>900-220-08</w:t>
                  </w:r>
                </w:p>
              </w:tc>
              <w:tc>
                <w:tcPr>
                  <w:tcW w:w="779" w:type="dxa"/>
                  <w:vAlign w:val="center"/>
                </w:tcPr>
                <w:p>
                  <w:pPr>
                    <w:adjustRightInd w:val="0"/>
                    <w:snapToGrid w:val="0"/>
                    <w:jc w:val="center"/>
                    <w:rPr>
                      <w:sz w:val="18"/>
                      <w:szCs w:val="18"/>
                    </w:rPr>
                  </w:pPr>
                  <w:r>
                    <w:rPr>
                      <w:rFonts w:hint="eastAsia"/>
                      <w:sz w:val="18"/>
                      <w:szCs w:val="18"/>
                    </w:rPr>
                    <w:t>化粪池北侧</w:t>
                  </w:r>
                </w:p>
              </w:tc>
              <w:tc>
                <w:tcPr>
                  <w:tcW w:w="658" w:type="dxa"/>
                  <w:vAlign w:val="center"/>
                </w:tcPr>
                <w:p>
                  <w:pPr>
                    <w:adjustRightInd w:val="0"/>
                    <w:snapToGrid w:val="0"/>
                    <w:jc w:val="center"/>
                    <w:rPr>
                      <w:sz w:val="18"/>
                      <w:szCs w:val="18"/>
                    </w:rPr>
                  </w:pPr>
                  <w:r>
                    <w:rPr>
                      <w:rFonts w:hint="eastAsia"/>
                      <w:sz w:val="18"/>
                      <w:szCs w:val="18"/>
                    </w:rPr>
                    <w:t>10</w:t>
                  </w:r>
                </w:p>
              </w:tc>
              <w:tc>
                <w:tcPr>
                  <w:tcW w:w="1365" w:type="dxa"/>
                  <w:vAlign w:val="center"/>
                </w:tcPr>
                <w:p>
                  <w:pPr>
                    <w:adjustRightInd w:val="0"/>
                    <w:snapToGrid w:val="0"/>
                    <w:jc w:val="center"/>
                    <w:rPr>
                      <w:sz w:val="18"/>
                      <w:szCs w:val="18"/>
                    </w:rPr>
                  </w:pPr>
                  <w:r>
                    <w:rPr>
                      <w:rFonts w:hint="eastAsia"/>
                      <w:sz w:val="18"/>
                      <w:szCs w:val="18"/>
                    </w:rPr>
                    <w:t>袋装密封暂存，设隔断分区存放，委托处置</w:t>
                  </w:r>
                </w:p>
              </w:tc>
              <w:tc>
                <w:tcPr>
                  <w:tcW w:w="532" w:type="dxa"/>
                  <w:vAlign w:val="center"/>
                </w:tcPr>
                <w:p>
                  <w:pPr>
                    <w:adjustRightInd w:val="0"/>
                    <w:snapToGrid w:val="0"/>
                    <w:jc w:val="center"/>
                    <w:rPr>
                      <w:sz w:val="18"/>
                      <w:szCs w:val="18"/>
                    </w:rPr>
                  </w:pPr>
                  <w:r>
                    <w:rPr>
                      <w:rFonts w:hint="eastAsia"/>
                      <w:sz w:val="18"/>
                      <w:szCs w:val="18"/>
                    </w:rPr>
                    <w:t>1.0t</w:t>
                  </w:r>
                </w:p>
              </w:tc>
              <w:tc>
                <w:tcPr>
                  <w:tcW w:w="566" w:type="dxa"/>
                  <w:vAlign w:val="center"/>
                </w:tcPr>
                <w:p>
                  <w:pPr>
                    <w:adjustRightInd w:val="0"/>
                    <w:snapToGrid w:val="0"/>
                    <w:jc w:val="center"/>
                    <w:rPr>
                      <w:sz w:val="18"/>
                      <w:szCs w:val="18"/>
                    </w:rPr>
                  </w:pPr>
                  <w:r>
                    <w:rPr>
                      <w:rFonts w:hint="eastAsia"/>
                      <w:sz w:val="18"/>
                      <w:szCs w:val="18"/>
                    </w:rPr>
                    <w:t>/年</w:t>
                  </w:r>
                </w:p>
              </w:tc>
            </w:tr>
          </w:tbl>
          <w:p>
            <w:pPr>
              <w:pStyle w:val="12"/>
              <w:adjustRightInd w:val="0"/>
              <w:snapToGrid w:val="0"/>
              <w:spacing w:before="120" w:beforeLines="50" w:line="360" w:lineRule="auto"/>
              <w:ind w:firstLine="480" w:firstLineChars="200"/>
              <w:rPr>
                <w:rFonts w:ascii="Times New Roman" w:hAnsi="Times New Roman"/>
                <w:sz w:val="24"/>
              </w:rPr>
            </w:pPr>
            <w:r>
              <w:rPr>
                <w:rFonts w:ascii="Times New Roman" w:hAnsi="Times New Roman"/>
                <w:sz w:val="24"/>
              </w:rPr>
              <w:t>综上，</w:t>
            </w:r>
            <w:r>
              <w:rPr>
                <w:rFonts w:hint="eastAsia"/>
                <w:sz w:val="24"/>
              </w:rPr>
              <w:t>本项目运营期固体废物去向明确，经妥善处置后对环境的影响不大，不会造成二次污染</w:t>
            </w:r>
            <w:r>
              <w:rPr>
                <w:rFonts w:ascii="Times New Roman" w:hAnsi="Times New Roman"/>
                <w:sz w:val="24"/>
              </w:rPr>
              <w:t>。</w:t>
            </w:r>
          </w:p>
          <w:p>
            <w:pPr>
              <w:adjustRightInd w:val="0"/>
              <w:snapToGrid w:val="0"/>
              <w:spacing w:before="120" w:beforeLines="50" w:after="120" w:afterLines="50" w:line="360" w:lineRule="auto"/>
              <w:rPr>
                <w:sz w:val="24"/>
              </w:rPr>
            </w:pPr>
            <w:r>
              <w:rPr>
                <w:rFonts w:hint="eastAsia"/>
                <w:b/>
                <w:bCs/>
                <w:sz w:val="24"/>
              </w:rPr>
              <w:t>5.2.5</w:t>
            </w:r>
            <w:r>
              <w:rPr>
                <w:b/>
                <w:bCs/>
                <w:sz w:val="24"/>
              </w:rPr>
              <w:t>生态环境保护措施</w:t>
            </w:r>
          </w:p>
          <w:p>
            <w:pPr>
              <w:spacing w:line="360" w:lineRule="auto"/>
              <w:ind w:firstLine="480" w:firstLineChars="200"/>
              <w:rPr>
                <w:sz w:val="24"/>
              </w:rPr>
            </w:pPr>
            <w:r>
              <w:rPr>
                <w:rFonts w:hint="eastAsia"/>
                <w:sz w:val="24"/>
              </w:rPr>
              <w:t>本</w:t>
            </w:r>
            <w:r>
              <w:rPr>
                <w:sz w:val="24"/>
              </w:rPr>
              <w:t>项目</w:t>
            </w:r>
            <w:r>
              <w:rPr>
                <w:rFonts w:hint="eastAsia"/>
                <w:sz w:val="24"/>
              </w:rPr>
              <w:t>施工结束后对临时占地及时恢复原貌，并加强场地绿化工作，在运行过程中对周围生态环境影响不大。</w:t>
            </w:r>
          </w:p>
          <w:p>
            <w:pPr>
              <w:adjustRightInd w:val="0"/>
              <w:snapToGrid w:val="0"/>
              <w:spacing w:before="120" w:beforeLines="50" w:after="120" w:afterLines="50" w:line="360" w:lineRule="auto"/>
              <w:rPr>
                <w:sz w:val="24"/>
              </w:rPr>
            </w:pPr>
            <w:r>
              <w:rPr>
                <w:rFonts w:hint="eastAsia"/>
                <w:b/>
                <w:bCs/>
                <w:sz w:val="24"/>
              </w:rPr>
              <w:t>5.2.6环境风险防范措施</w:t>
            </w:r>
          </w:p>
          <w:p>
            <w:pPr>
              <w:spacing w:line="360" w:lineRule="auto"/>
              <w:ind w:firstLine="480" w:firstLineChars="200"/>
              <w:rPr>
                <w:sz w:val="24"/>
              </w:rPr>
            </w:pPr>
            <w:r>
              <w:rPr>
                <w:rFonts w:hint="eastAsia"/>
                <w:sz w:val="24"/>
              </w:rPr>
              <w:t>（1）输变电工程环境风险防范措施</w:t>
            </w:r>
          </w:p>
          <w:p>
            <w:pPr>
              <w:adjustRightInd w:val="0"/>
              <w:snapToGrid w:val="0"/>
              <w:spacing w:line="360" w:lineRule="auto"/>
              <w:ind w:firstLine="480" w:firstLineChars="200"/>
              <w:rPr>
                <w:sz w:val="24"/>
                <w:highlight w:val="magenta"/>
              </w:rPr>
            </w:pPr>
            <w:r>
              <w:rPr>
                <w:rFonts w:hint="eastAsia"/>
                <w:sz w:val="24"/>
              </w:rPr>
              <w:t>①</w:t>
            </w:r>
            <w:r>
              <w:rPr>
                <w:sz w:val="24"/>
              </w:rPr>
              <w:t>事故油</w:t>
            </w:r>
            <w:r>
              <w:rPr>
                <w:rFonts w:hint="eastAsia"/>
                <w:sz w:val="24"/>
              </w:rPr>
              <w:t>池</w:t>
            </w:r>
          </w:p>
          <w:p>
            <w:pPr>
              <w:adjustRightInd w:val="0"/>
              <w:snapToGrid w:val="0"/>
              <w:spacing w:line="360" w:lineRule="auto"/>
              <w:ind w:firstLine="480" w:firstLineChars="200"/>
              <w:rPr>
                <w:sz w:val="24"/>
              </w:rPr>
            </w:pPr>
            <w:r>
              <w:rPr>
                <w:rFonts w:hint="eastAsia"/>
                <w:sz w:val="24"/>
              </w:rPr>
              <w:t>本</w:t>
            </w:r>
            <w:r>
              <w:rPr>
                <w:sz w:val="24"/>
              </w:rPr>
              <w:t>项目</w:t>
            </w:r>
            <w:r>
              <w:rPr>
                <w:rFonts w:hint="eastAsia"/>
                <w:sz w:val="24"/>
              </w:rPr>
              <w:t>所包含的330kV升压站内设有1座有效容积为100m</w:t>
            </w:r>
            <w:r>
              <w:rPr>
                <w:rFonts w:hint="eastAsia"/>
                <w:sz w:val="24"/>
                <w:vertAlign w:val="superscript"/>
              </w:rPr>
              <w:t>3</w:t>
            </w:r>
            <w:r>
              <w:rPr>
                <w:rFonts w:hint="eastAsia"/>
                <w:sz w:val="24"/>
              </w:rPr>
              <w:t>的总事故油池，每台变压器下方设置20m</w:t>
            </w:r>
            <w:r>
              <w:rPr>
                <w:rFonts w:hint="eastAsia"/>
                <w:sz w:val="24"/>
                <w:vertAlign w:val="superscript"/>
              </w:rPr>
              <w:t>3</w:t>
            </w:r>
            <w:r>
              <w:rPr>
                <w:rFonts w:hint="eastAsia"/>
                <w:sz w:val="24"/>
              </w:rPr>
              <w:t>的挡油设施及排油系统，可将事故油排至总事故油池；上述设施须具备防雨、防渗等功能。</w:t>
            </w:r>
          </w:p>
          <w:p>
            <w:pPr>
              <w:adjustRightInd w:val="0"/>
              <w:snapToGrid w:val="0"/>
              <w:spacing w:line="360" w:lineRule="auto"/>
              <w:ind w:firstLine="480" w:firstLineChars="200"/>
              <w:rPr>
                <w:sz w:val="24"/>
              </w:rPr>
            </w:pPr>
            <w:r>
              <w:rPr>
                <w:rFonts w:hint="eastAsia"/>
                <w:sz w:val="24"/>
              </w:rPr>
              <w:t>根据《火力发电厂与变电站设计防火规范》（GB50229-2019）6.7.8条“户外单台油量为1000kg以上的电气设备，应设置贮油或挡油设施，其容积宜按设备油量的20％设计，并能将事故油排至总事故贮油池。总事故贮油池的容量应按其接入的油量最大的一台设备确定，并设置油水分离装置”。</w:t>
            </w:r>
          </w:p>
          <w:p>
            <w:pPr>
              <w:adjustRightInd w:val="0"/>
              <w:snapToGrid w:val="0"/>
              <w:spacing w:line="360" w:lineRule="auto"/>
              <w:ind w:firstLine="480" w:firstLineChars="200"/>
              <w:rPr>
                <w:sz w:val="24"/>
              </w:rPr>
            </w:pPr>
            <w:r>
              <w:rPr>
                <w:rFonts w:hint="eastAsia"/>
                <w:sz w:val="24"/>
              </w:rPr>
              <w:t>根据项目可行性研究报告及建设单位提供资料可知，本项目单台330kV变压器油重为85t，油密度约为0.895t/m</w:t>
            </w:r>
            <w:r>
              <w:rPr>
                <w:rFonts w:hint="eastAsia"/>
                <w:sz w:val="24"/>
                <w:vertAlign w:val="superscript"/>
              </w:rPr>
              <w:t>3</w:t>
            </w:r>
            <w:r>
              <w:rPr>
                <w:rFonts w:hint="eastAsia"/>
                <w:sz w:val="24"/>
              </w:rPr>
              <w:t>，变电站发生变压器油泄漏时，所需最大事故油池容积约为94.97m</w:t>
            </w:r>
            <w:r>
              <w:rPr>
                <w:rFonts w:hint="eastAsia"/>
                <w:sz w:val="24"/>
                <w:vertAlign w:val="superscript"/>
              </w:rPr>
              <w:t>3</w:t>
            </w:r>
            <w:r>
              <w:rPr>
                <w:rFonts w:hint="eastAsia"/>
                <w:sz w:val="24"/>
              </w:rPr>
              <w:t>，</w:t>
            </w:r>
            <w:r>
              <w:rPr>
                <w:rFonts w:hint="eastAsia"/>
                <w:color w:val="FF0000"/>
                <w:sz w:val="24"/>
              </w:rPr>
              <w:t>小于新建主变事故油池有效容积100m</w:t>
            </w:r>
            <w:r>
              <w:rPr>
                <w:rFonts w:hint="eastAsia"/>
                <w:color w:val="FF0000"/>
                <w:sz w:val="24"/>
                <w:vertAlign w:val="superscript"/>
              </w:rPr>
              <w:t>3</w:t>
            </w:r>
            <w:r>
              <w:rPr>
                <w:rFonts w:hint="eastAsia"/>
                <w:sz w:val="24"/>
              </w:rPr>
              <w:t>；330kV变压器油量的20%为19m</w:t>
            </w:r>
            <w:r>
              <w:rPr>
                <w:rFonts w:hint="eastAsia"/>
                <w:sz w:val="24"/>
                <w:vertAlign w:val="superscript"/>
              </w:rPr>
              <w:t>3</w:t>
            </w:r>
            <w:r>
              <w:rPr>
                <w:rFonts w:hint="eastAsia"/>
                <w:sz w:val="24"/>
              </w:rPr>
              <w:t>，小于20m</w:t>
            </w:r>
            <w:r>
              <w:rPr>
                <w:rFonts w:hint="eastAsia"/>
                <w:sz w:val="24"/>
                <w:vertAlign w:val="superscript"/>
              </w:rPr>
              <w:t>3</w:t>
            </w:r>
            <w:r>
              <w:rPr>
                <w:rFonts w:hint="eastAsia"/>
                <w:sz w:val="24"/>
              </w:rPr>
              <w:t>的挡油设施；挡油设施与总事故油池间设计有事故油排放系统，可将挡油设施中的事故油排至总事故池，因此，项目设置的挡油设施、排油系统及总事故油池满足《火力发电厂与变电站设计防火规范》(GB50229-2019）要求，故本</w:t>
            </w:r>
            <w:r>
              <w:rPr>
                <w:sz w:val="24"/>
              </w:rPr>
              <w:t>项目</w:t>
            </w:r>
            <w:r>
              <w:rPr>
                <w:rFonts w:hint="eastAsia"/>
                <w:sz w:val="24"/>
              </w:rPr>
              <w:t>新建事故油池的设计是合理的。</w:t>
            </w:r>
          </w:p>
          <w:p>
            <w:pPr>
              <w:spacing w:line="360" w:lineRule="auto"/>
              <w:ind w:firstLine="480" w:firstLineChars="200"/>
              <w:rPr>
                <w:sz w:val="24"/>
              </w:rPr>
            </w:pPr>
            <w:r>
              <w:rPr>
                <w:rFonts w:hint="eastAsia"/>
                <w:sz w:val="24"/>
              </w:rPr>
              <w:t>事故油池的建设也满足《输变电建设项目环境保护技术要求》(HJ1113-2020)“变电工程应设置足够容量的事故油池及其配套的拦截、防雨、防渗等措施和设施。一发生泄漏，应能及时进行拦截和处理，确保油及油水混合物全部收集、不外排”的要求。</w:t>
            </w:r>
          </w:p>
          <w:p>
            <w:pPr>
              <w:spacing w:line="360" w:lineRule="auto"/>
              <w:ind w:firstLine="480" w:firstLineChars="200"/>
              <w:rPr>
                <w:sz w:val="24"/>
              </w:rPr>
            </w:pPr>
            <w:r>
              <w:rPr>
                <w:rFonts w:hint="eastAsia"/>
                <w:sz w:val="24"/>
              </w:rPr>
              <w:t>此外，事故油池采用抗渗等级较高的混凝土建造，一旦设备发生事故时排油或漏油，事故油经挡油设施进入油池后，事故油池内设置油水分离措施，经隔油处理后，变压器油由厂家回收，形成的油污水交由有危废处理资质的单位处置，不外排，确保事故油不会外泄或下污染土壤和地下水。</w:t>
            </w:r>
          </w:p>
          <w:p>
            <w:pPr>
              <w:spacing w:line="360" w:lineRule="auto"/>
              <w:ind w:firstLine="480" w:firstLineChars="200"/>
              <w:rPr>
                <w:sz w:val="24"/>
              </w:rPr>
            </w:pPr>
            <w:r>
              <w:rPr>
                <w:rFonts w:hint="eastAsia"/>
                <w:sz w:val="24"/>
              </w:rPr>
              <w:t>②主变压器外壳配备泄漏检测报警装置；</w:t>
            </w:r>
          </w:p>
          <w:p>
            <w:pPr>
              <w:spacing w:line="360" w:lineRule="auto"/>
              <w:ind w:firstLine="480" w:firstLineChars="200"/>
              <w:rPr>
                <w:sz w:val="24"/>
              </w:rPr>
            </w:pPr>
            <w:r>
              <w:rPr>
                <w:rFonts w:hint="eastAsia"/>
                <w:sz w:val="24"/>
              </w:rPr>
              <w:t>③变压器油桶储藏室采取防渗、防火处理，并定期巡检；</w:t>
            </w:r>
          </w:p>
          <w:p>
            <w:pPr>
              <w:spacing w:line="360" w:lineRule="auto"/>
              <w:ind w:firstLine="480" w:firstLineChars="200"/>
              <w:rPr>
                <w:sz w:val="24"/>
              </w:rPr>
            </w:pPr>
            <w:r>
              <w:rPr>
                <w:rFonts w:hint="eastAsia"/>
                <w:sz w:val="24"/>
              </w:rPr>
              <w:t>④总图布置按照功能分区，各单元之间间距必须符合《建筑设计防火规范》中相应的防火、防爆要求；</w:t>
            </w:r>
          </w:p>
          <w:p>
            <w:pPr>
              <w:spacing w:line="360" w:lineRule="auto"/>
              <w:ind w:firstLine="480" w:firstLineChars="200"/>
              <w:rPr>
                <w:sz w:val="24"/>
              </w:rPr>
            </w:pPr>
            <w:r>
              <w:rPr>
                <w:rFonts w:hint="eastAsia"/>
                <w:sz w:val="24"/>
              </w:rPr>
              <w:t>⑤密切注意事故易发部位，做好运行检查与维修保养，防患于未然；</w:t>
            </w:r>
          </w:p>
          <w:p>
            <w:pPr>
              <w:spacing w:line="360" w:lineRule="auto"/>
              <w:ind w:firstLine="480" w:firstLineChars="200"/>
              <w:rPr>
                <w:sz w:val="24"/>
              </w:rPr>
            </w:pPr>
            <w:r>
              <w:rPr>
                <w:rFonts w:hint="eastAsia"/>
                <w:sz w:val="24"/>
              </w:rPr>
              <w:t>⑥配备足量的灭火器及消防设施；</w:t>
            </w:r>
          </w:p>
          <w:p>
            <w:pPr>
              <w:spacing w:line="360" w:lineRule="auto"/>
              <w:ind w:firstLine="480" w:firstLineChars="200"/>
              <w:rPr>
                <w:sz w:val="24"/>
              </w:rPr>
            </w:pPr>
            <w:r>
              <w:rPr>
                <w:rFonts w:hint="eastAsia"/>
                <w:sz w:val="24"/>
              </w:rPr>
              <w:t>⑦定期开展安全技术规范培训，安全操作规程悬挂于厂区内醒目位置，规范岗位操作，降低事故概率；</w:t>
            </w:r>
          </w:p>
          <w:p>
            <w:pPr>
              <w:pStyle w:val="12"/>
              <w:widowControl/>
              <w:adjustRightInd w:val="0"/>
              <w:snapToGrid w:val="0"/>
              <w:spacing w:line="360" w:lineRule="auto"/>
              <w:ind w:firstLine="480" w:firstLineChars="200"/>
              <w:rPr>
                <w:rFonts w:ascii="Times New Roman" w:hAnsi="Times New Roman"/>
                <w:sz w:val="24"/>
              </w:rPr>
            </w:pPr>
            <w:r>
              <w:rPr>
                <w:rFonts w:hint="eastAsia"/>
                <w:sz w:val="24"/>
              </w:rPr>
              <w:t>⑧人员须经过专业培训，熟悉危险物质的特性、事故处理办法和防护知识。</w:t>
            </w:r>
          </w:p>
          <w:p>
            <w:pPr>
              <w:pStyle w:val="12"/>
              <w:widowControl/>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w:t>
            </w:r>
            <w:r>
              <w:rPr>
                <w:rFonts w:ascii="Times New Roman" w:hAnsi="Times New Roman"/>
                <w:sz w:val="24"/>
              </w:rPr>
              <w:t>蓄电池防爆建议措施</w:t>
            </w:r>
          </w:p>
          <w:p>
            <w:pPr>
              <w:adjustRightInd w:val="0"/>
              <w:snapToGrid w:val="0"/>
              <w:spacing w:line="360" w:lineRule="auto"/>
              <w:ind w:firstLine="480" w:firstLineChars="200"/>
              <w:rPr>
                <w:sz w:val="24"/>
              </w:rPr>
            </w:pPr>
            <w:r>
              <w:rPr>
                <w:sz w:val="24"/>
              </w:rPr>
              <w:t>Ⅰ.优选储能蓄电池，选择正规、合格的品牌蓄电池，不得选用劣质产品；</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Ⅱ.从</w:t>
            </w:r>
            <w:r>
              <w:rPr>
                <w:rFonts w:hint="eastAsia" w:ascii="Times New Roman" w:hAnsi="Times New Roman"/>
                <w:sz w:val="24"/>
              </w:rPr>
              <w:t>同类</w:t>
            </w:r>
            <w:r>
              <w:rPr>
                <w:rFonts w:ascii="Times New Roman" w:hAnsi="Times New Roman"/>
                <w:sz w:val="24"/>
              </w:rPr>
              <w:t>储能项目中暴露出来的安全风险中不断总结经验，优化储能系统整体结构设计；</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Ⅲ.加强员工安全教育培训，提高安全意识，有效防范爆炸等事故发生；</w:t>
            </w:r>
          </w:p>
          <w:p>
            <w:pPr>
              <w:pStyle w:val="12"/>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Ⅵ.建议</w:t>
            </w:r>
            <w:r>
              <w:rPr>
                <w:rFonts w:hint="eastAsia" w:ascii="Times New Roman" w:hAnsi="Times New Roman"/>
                <w:sz w:val="24"/>
              </w:rPr>
              <w:t>安装</w:t>
            </w:r>
            <w:r>
              <w:rPr>
                <w:rFonts w:ascii="Times New Roman" w:hAnsi="Times New Roman"/>
                <w:sz w:val="24"/>
              </w:rPr>
              <w:t>自动监控系统，谨防事故发生；</w:t>
            </w:r>
          </w:p>
          <w:p>
            <w:pPr>
              <w:adjustRightInd w:val="0"/>
              <w:snapToGrid w:val="0"/>
              <w:spacing w:line="360" w:lineRule="auto"/>
              <w:ind w:firstLine="480" w:firstLineChars="200"/>
              <w:rPr>
                <w:sz w:val="24"/>
              </w:rPr>
            </w:pPr>
            <w:r>
              <w:rPr>
                <w:sz w:val="24"/>
              </w:rPr>
              <w:t>Ⅴ.建议设置消防废水收集池，其规模</w:t>
            </w:r>
            <w:r>
              <w:rPr>
                <w:rFonts w:hint="eastAsia"/>
                <w:sz w:val="24"/>
              </w:rPr>
              <w:t>以</w:t>
            </w:r>
            <w:r>
              <w:rPr>
                <w:sz w:val="24"/>
              </w:rPr>
              <w:t>项目制定的应急预案</w:t>
            </w:r>
            <w:r>
              <w:rPr>
                <w:rFonts w:hint="eastAsia"/>
                <w:sz w:val="24"/>
              </w:rPr>
              <w:t>为准</w:t>
            </w:r>
            <w:r>
              <w:rPr>
                <w:sz w:val="24"/>
              </w:rPr>
              <w:t>。</w:t>
            </w:r>
          </w:p>
          <w:p>
            <w:pPr>
              <w:spacing w:line="360" w:lineRule="auto"/>
              <w:ind w:firstLine="480" w:firstLineChars="200"/>
              <w:rPr>
                <w:color w:val="FF0000"/>
                <w:sz w:val="24"/>
              </w:rPr>
            </w:pPr>
            <w:r>
              <w:rPr>
                <w:rFonts w:hint="eastAsia"/>
                <w:color w:val="FF0000"/>
                <w:sz w:val="24"/>
              </w:rPr>
              <w:t>（3）环境事件应急预案</w:t>
            </w:r>
          </w:p>
          <w:p>
            <w:pPr>
              <w:spacing w:line="360" w:lineRule="auto"/>
              <w:ind w:firstLine="480" w:firstLineChars="200"/>
              <w:rPr>
                <w:rFonts w:ascii="宋体" w:hAnsi="宋体" w:cs="宋体"/>
                <w:bCs/>
                <w:spacing w:val="10"/>
                <w:szCs w:val="21"/>
              </w:rPr>
            </w:pPr>
            <w:r>
              <w:rPr>
                <w:rFonts w:hint="eastAsia"/>
                <w:color w:val="FF0000"/>
                <w:sz w:val="24"/>
              </w:rPr>
              <w:t>环境应急预案是建设单位根据实际情况预计可能发生的突发环境事件，为加强对重大事故的处理能力所预先制定的事故应急对策。建设单位应按照“关于印发《突发环境事件应急预案管理暂行办法》的通知（环发〔2010〕113号）”中有关规定编制应急预案，通过对污染事故的风险评价，应制定防止重大环境污染事故发生的工作计划，消除事故隐患的措施及突发性事故应急处理办法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vAlign w:val="center"/>
          </w:tcPr>
          <w:p>
            <w:pPr>
              <w:adjustRightInd w:val="0"/>
              <w:snapToGrid w:val="0"/>
              <w:jc w:val="center"/>
              <w:rPr>
                <w:rFonts w:ascii="宋体" w:hAnsi="宋体" w:cs="宋体"/>
                <w:bCs/>
                <w:spacing w:val="10"/>
                <w:szCs w:val="21"/>
              </w:rPr>
            </w:pPr>
            <w:r>
              <w:rPr>
                <w:rFonts w:hint="eastAsia" w:ascii="宋体" w:hAnsi="宋体"/>
                <w:bCs/>
                <w:szCs w:val="21"/>
              </w:rPr>
              <w:t>其他</w:t>
            </w:r>
          </w:p>
        </w:tc>
        <w:tc>
          <w:tcPr>
            <w:tcW w:w="8457" w:type="dxa"/>
          </w:tcPr>
          <w:p>
            <w:pPr>
              <w:adjustRightInd w:val="0"/>
              <w:snapToGrid w:val="0"/>
              <w:spacing w:before="120" w:beforeLines="50" w:after="120" w:afterLines="50" w:line="360" w:lineRule="auto"/>
              <w:rPr>
                <w:sz w:val="24"/>
              </w:rPr>
            </w:pPr>
            <w:r>
              <w:rPr>
                <w:rFonts w:hint="eastAsia"/>
                <w:b/>
                <w:bCs/>
                <w:sz w:val="24"/>
              </w:rPr>
              <w:t>5.3</w:t>
            </w:r>
            <w:r>
              <w:rPr>
                <w:b/>
                <w:bCs/>
                <w:sz w:val="24"/>
              </w:rPr>
              <w:t>环境管理与监测计划</w:t>
            </w:r>
          </w:p>
          <w:p>
            <w:pPr>
              <w:pStyle w:val="21"/>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33" w:name="_Toc17122"/>
            <w:r>
              <w:rPr>
                <w:rFonts w:hint="eastAsia" w:ascii="Times New Roman" w:hAnsi="Times New Roman" w:cs="Times New Roman"/>
                <w:b w:val="0"/>
                <w:bCs w:val="0"/>
                <w:sz w:val="24"/>
                <w:szCs w:val="24"/>
                <w:lang w:eastAsia="zh-CN"/>
              </w:rPr>
              <w:t>项目</w:t>
            </w:r>
            <w:r>
              <w:rPr>
                <w:rFonts w:ascii="Times New Roman" w:hAnsi="Times New Roman" w:cs="Times New Roman"/>
                <w:b w:val="0"/>
                <w:bCs w:val="0"/>
                <w:sz w:val="24"/>
                <w:szCs w:val="24"/>
                <w:lang w:eastAsia="zh-CN"/>
              </w:rPr>
              <w:t>建设主管部门和地方环保行政主管部门对工程环境保护工作进行监督和管理。建设单位应当遵守并执行国家环境保护工作的方针政策、法规、制度和标准，接受环境保护部门对其电磁辐射环境保护工作的监督管理和检查，做好电磁辐射污染环境的防治工作。发生电磁辐射污染事件，影响公众的生产或生活质量或对公众健康造成不利影响时，环境保护部门应会同有关部门调查处理。建设单位应指派人员具体负责执行有关的保护对策措施，并接受有关部门的监督和管理</w:t>
            </w:r>
            <w:r>
              <w:rPr>
                <w:rFonts w:hint="eastAsia" w:ascii="Times New Roman" w:hAnsi="Times New Roman" w:cs="Times New Roman"/>
                <w:b w:val="0"/>
                <w:bCs w:val="0"/>
                <w:sz w:val="24"/>
                <w:szCs w:val="24"/>
                <w:lang w:eastAsia="zh-CN"/>
              </w:rPr>
              <w:t>。</w:t>
            </w:r>
            <w:bookmarkEnd w:id="133"/>
          </w:p>
          <w:p>
            <w:pPr>
              <w:adjustRightInd w:val="0"/>
              <w:snapToGrid w:val="0"/>
              <w:spacing w:before="120" w:beforeLines="50" w:after="120" w:afterLines="50" w:line="360" w:lineRule="auto"/>
              <w:rPr>
                <w:b/>
                <w:bCs/>
                <w:sz w:val="24"/>
              </w:rPr>
            </w:pPr>
            <w:r>
              <w:rPr>
                <w:rFonts w:hint="eastAsia"/>
                <w:b/>
                <w:bCs/>
                <w:sz w:val="24"/>
              </w:rPr>
              <w:t>5.3.1</w:t>
            </w:r>
            <w:r>
              <w:rPr>
                <w:b/>
                <w:bCs/>
                <w:sz w:val="24"/>
              </w:rPr>
              <w:t>环境管理</w:t>
            </w:r>
          </w:p>
          <w:p>
            <w:pPr>
              <w:spacing w:line="360" w:lineRule="auto"/>
              <w:ind w:firstLine="480" w:firstLineChars="200"/>
              <w:rPr>
                <w:sz w:val="24"/>
              </w:rPr>
            </w:pPr>
            <w:r>
              <w:rPr>
                <w:rFonts w:hint="eastAsia"/>
                <w:sz w:val="24"/>
              </w:rPr>
              <w:t>环境管理机构的设置：</w:t>
            </w:r>
            <w:r>
              <w:rPr>
                <w:sz w:val="24"/>
              </w:rPr>
              <w:t>本项目的环境保护机构分为管理机构和监督机构。</w:t>
            </w:r>
          </w:p>
          <w:p>
            <w:pPr>
              <w:spacing w:line="360" w:lineRule="auto"/>
              <w:ind w:firstLine="480" w:firstLineChars="200"/>
              <w:rPr>
                <w:sz w:val="24"/>
              </w:rPr>
            </w:pPr>
            <w:r>
              <w:rPr>
                <w:sz w:val="24"/>
              </w:rPr>
              <w:t>建设期和运营期环境管理机构为民乐县丝路网能绿色能源科技有限公司</w:t>
            </w:r>
            <w:r>
              <w:rPr>
                <w:rFonts w:hint="eastAsia"/>
                <w:sz w:val="24"/>
              </w:rPr>
              <w:t>，</w:t>
            </w:r>
            <w:r>
              <w:rPr>
                <w:sz w:val="24"/>
              </w:rPr>
              <w:t>环境监督机构为</w:t>
            </w:r>
            <w:r>
              <w:rPr>
                <w:rFonts w:hint="eastAsia"/>
                <w:sz w:val="24"/>
              </w:rPr>
              <w:t>张掖</w:t>
            </w:r>
            <w:r>
              <w:rPr>
                <w:sz w:val="24"/>
              </w:rPr>
              <w:t>市生态环境局</w:t>
            </w:r>
            <w:r>
              <w:rPr>
                <w:rFonts w:hint="eastAsia"/>
                <w:sz w:val="24"/>
              </w:rPr>
              <w:t>、张掖市</w:t>
            </w:r>
            <w:r>
              <w:rPr>
                <w:sz w:val="24"/>
              </w:rPr>
              <w:t>生态环境局</w:t>
            </w:r>
            <w:r>
              <w:rPr>
                <w:rFonts w:hint="eastAsia"/>
                <w:sz w:val="24"/>
              </w:rPr>
              <w:t>民乐</w:t>
            </w:r>
            <w:r>
              <w:rPr>
                <w:sz w:val="24"/>
              </w:rPr>
              <w:t>分局</w:t>
            </w:r>
            <w:r>
              <w:rPr>
                <w:rFonts w:hint="eastAsia"/>
                <w:sz w:val="24"/>
              </w:rPr>
              <w:t>。</w:t>
            </w:r>
          </w:p>
          <w:p>
            <w:pPr>
              <w:spacing w:line="360" w:lineRule="auto"/>
              <w:ind w:firstLine="482" w:firstLineChars="200"/>
              <w:rPr>
                <w:b/>
                <w:bCs/>
                <w:color w:val="FF0000"/>
                <w:sz w:val="24"/>
              </w:rPr>
            </w:pPr>
            <w:r>
              <w:rPr>
                <w:rFonts w:hint="eastAsia"/>
                <w:b/>
                <w:bCs/>
                <w:color w:val="FF0000"/>
                <w:sz w:val="24"/>
              </w:rPr>
              <w:t>5.3.1.1 设计、施工招标阶段的环境管理</w:t>
            </w:r>
          </w:p>
          <w:p>
            <w:pPr>
              <w:numPr>
                <w:ilvl w:val="0"/>
                <w:numId w:val="4"/>
              </w:numPr>
              <w:spacing w:line="360" w:lineRule="auto"/>
              <w:ind w:firstLine="480" w:firstLineChars="200"/>
              <w:rPr>
                <w:color w:val="FF0000"/>
                <w:sz w:val="24"/>
              </w:rPr>
            </w:pPr>
            <w:r>
              <w:rPr>
                <w:rFonts w:hint="eastAsia"/>
                <w:color w:val="FF0000"/>
                <w:sz w:val="24"/>
              </w:rPr>
              <w:t>主体工程设计单位应在下阶段设计中，将环评报告中提出的措施纳入工程设计中。设计中应统筹安排施工工序，合理安排环保措施的施工进度。</w:t>
            </w:r>
          </w:p>
          <w:p>
            <w:pPr>
              <w:numPr>
                <w:ilvl w:val="0"/>
                <w:numId w:val="4"/>
              </w:numPr>
              <w:spacing w:line="360" w:lineRule="auto"/>
              <w:ind w:firstLine="480" w:firstLineChars="200"/>
              <w:rPr>
                <w:color w:val="FF0000"/>
                <w:sz w:val="24"/>
              </w:rPr>
            </w:pPr>
            <w:r>
              <w:rPr>
                <w:rFonts w:hint="eastAsia"/>
                <w:color w:val="FF0000"/>
                <w:sz w:val="24"/>
              </w:rPr>
              <w:t>设计单位应遵循有关环保法规、严格按有关规程和法规进行设计。设计施工文件中详细说明施工期应注意的环保问题，按设计文件执行并同时做好记录。</w:t>
            </w:r>
          </w:p>
          <w:p>
            <w:pPr>
              <w:spacing w:line="360" w:lineRule="auto"/>
              <w:ind w:firstLine="480" w:firstLineChars="200"/>
              <w:rPr>
                <w:color w:val="FF0000"/>
                <w:sz w:val="24"/>
              </w:rPr>
            </w:pPr>
            <w:r>
              <w:rPr>
                <w:rFonts w:hint="eastAsia"/>
                <w:color w:val="FF0000"/>
                <w:sz w:val="24"/>
              </w:rPr>
              <w:t>（3）建设单位应将施工环保措施纳入施工招标文件中，明确验收标准和细则。</w:t>
            </w:r>
          </w:p>
          <w:p>
            <w:pPr>
              <w:spacing w:line="360" w:lineRule="auto"/>
              <w:ind w:firstLine="482" w:firstLineChars="200"/>
              <w:rPr>
                <w:b/>
                <w:bCs/>
                <w:color w:val="FF0000"/>
                <w:sz w:val="24"/>
              </w:rPr>
            </w:pPr>
            <w:r>
              <w:rPr>
                <w:rFonts w:hint="eastAsia"/>
                <w:b/>
                <w:bCs/>
                <w:color w:val="FF0000"/>
                <w:sz w:val="24"/>
              </w:rPr>
              <w:t>5.3.1.2 施工期的环境管理</w:t>
            </w:r>
          </w:p>
          <w:p>
            <w:pPr>
              <w:spacing w:line="360" w:lineRule="auto"/>
              <w:ind w:firstLine="480" w:firstLineChars="200"/>
              <w:rPr>
                <w:color w:val="FF0000"/>
                <w:sz w:val="24"/>
              </w:rPr>
            </w:pPr>
            <w:r>
              <w:rPr>
                <w:rFonts w:hint="eastAsia"/>
                <w:color w:val="FF0000"/>
                <w:sz w:val="24"/>
              </w:rPr>
              <w:t>本工程的施工采取招投标制。施工招标中应对投标单位提出建设期间的环保要求。在施工设计文件中详细说明建设期应注意的环保问题、采取的防治措施，严格要求施工单位按设计文件施工，特别是按环保要求提出的措施要求进行施工。具体要求如下：</w:t>
            </w:r>
          </w:p>
          <w:p>
            <w:pPr>
              <w:adjustRightInd w:val="0"/>
              <w:snapToGrid w:val="0"/>
              <w:spacing w:line="360" w:lineRule="auto"/>
              <w:ind w:firstLine="480" w:firstLineChars="200"/>
              <w:rPr>
                <w:color w:val="FF0000"/>
                <w:sz w:val="24"/>
              </w:rPr>
            </w:pPr>
            <w:r>
              <w:rPr>
                <w:rFonts w:hint="eastAsia"/>
                <w:color w:val="FF0000"/>
                <w:sz w:val="24"/>
              </w:rPr>
              <w:t>（1）施工人员应严格执行设计和环境影响评价中提出的防治措施，遵守环保法规。</w:t>
            </w:r>
          </w:p>
          <w:p>
            <w:pPr>
              <w:adjustRightInd w:val="0"/>
              <w:snapToGrid w:val="0"/>
              <w:spacing w:line="360" w:lineRule="auto"/>
              <w:ind w:firstLine="480" w:firstLineChars="200"/>
              <w:rPr>
                <w:color w:val="FF0000"/>
                <w:sz w:val="24"/>
              </w:rPr>
            </w:pPr>
            <w:r>
              <w:rPr>
                <w:rFonts w:hint="eastAsia"/>
                <w:color w:val="FF0000"/>
                <w:sz w:val="24"/>
              </w:rPr>
              <w:t>（2）施工期的环境管理由施工单位具体负责，建设单位负责监督。施工单位在施工前应组织施工人员学习《中华人民共和国环境保护法》等环保法律、法规，做到施工人员知法、懂法、守法。</w:t>
            </w:r>
          </w:p>
          <w:p>
            <w:pPr>
              <w:adjustRightInd w:val="0"/>
              <w:snapToGrid w:val="0"/>
              <w:spacing w:line="360" w:lineRule="auto"/>
              <w:ind w:firstLine="480" w:firstLineChars="200"/>
              <w:rPr>
                <w:color w:val="FF0000"/>
                <w:sz w:val="24"/>
              </w:rPr>
            </w:pPr>
            <w:r>
              <w:rPr>
                <w:rFonts w:hint="eastAsia"/>
                <w:color w:val="FF0000"/>
                <w:sz w:val="24"/>
              </w:rPr>
              <w:t>（3）环境管理机构及管理人员应对施工活动进行全过程环境监督，通过严格检查确保施工中的每一道工序满足环保要求，使施工期环境保护措施得到全面落实。</w:t>
            </w:r>
          </w:p>
          <w:p>
            <w:pPr>
              <w:adjustRightInd w:val="0"/>
              <w:snapToGrid w:val="0"/>
              <w:spacing w:line="360" w:lineRule="auto"/>
              <w:ind w:firstLine="480" w:firstLineChars="200"/>
              <w:rPr>
                <w:color w:val="FF0000"/>
                <w:sz w:val="24"/>
              </w:rPr>
            </w:pPr>
            <w:r>
              <w:rPr>
                <w:rFonts w:hint="eastAsia"/>
                <w:color w:val="FF0000"/>
                <w:sz w:val="24"/>
              </w:rPr>
              <w:t>（4）做好施工中各种环境问题的收集、记录、建档和处理工作，并根据问题严重程度及时或定期向各有关部门汇报。</w:t>
            </w:r>
          </w:p>
          <w:p>
            <w:pPr>
              <w:adjustRightInd w:val="0"/>
              <w:snapToGrid w:val="0"/>
              <w:spacing w:line="360" w:lineRule="auto"/>
              <w:ind w:firstLine="480" w:firstLineChars="200"/>
              <w:rPr>
                <w:color w:val="FF0000"/>
                <w:sz w:val="24"/>
              </w:rPr>
            </w:pPr>
            <w:r>
              <w:rPr>
                <w:rFonts w:hint="eastAsia"/>
                <w:color w:val="FF0000"/>
                <w:sz w:val="24"/>
              </w:rPr>
              <w:t>（5）监督施工单位，使施工工作完成后的耕地恢复和补偿、环保设施等各项保护工程同时完成。</w:t>
            </w:r>
          </w:p>
          <w:p>
            <w:pPr>
              <w:spacing w:line="360" w:lineRule="auto"/>
              <w:ind w:firstLine="482" w:firstLineChars="200"/>
              <w:rPr>
                <w:b/>
                <w:bCs/>
                <w:color w:val="FF0000"/>
                <w:sz w:val="24"/>
              </w:rPr>
            </w:pPr>
            <w:r>
              <w:rPr>
                <w:rFonts w:hint="eastAsia"/>
                <w:b/>
                <w:bCs/>
                <w:color w:val="FF0000"/>
                <w:sz w:val="24"/>
              </w:rPr>
              <w:t>5.3.1.3 运营期的环境管理</w:t>
            </w:r>
          </w:p>
          <w:p>
            <w:pPr>
              <w:spacing w:line="360" w:lineRule="auto"/>
              <w:ind w:firstLine="480" w:firstLineChars="200"/>
              <w:rPr>
                <w:color w:val="FF0000"/>
                <w:sz w:val="24"/>
              </w:rPr>
            </w:pPr>
            <w:r>
              <w:rPr>
                <w:rFonts w:hint="eastAsia"/>
                <w:color w:val="FF0000"/>
                <w:sz w:val="24"/>
              </w:rPr>
              <w:t>环保管理人员应在各自的岗位责任制中明确所负的环保责任。监督国家法规、条例的贯彻执行情况，制订和贯彻环保管理制度，监控本工程主要污染源，对各部门、操作岗位进行环境保护监督和考核。运行期环境管理的职责如下：</w:t>
            </w:r>
          </w:p>
          <w:p>
            <w:pPr>
              <w:spacing w:line="360" w:lineRule="auto"/>
              <w:ind w:firstLine="480" w:firstLineChars="200"/>
              <w:rPr>
                <w:color w:val="FF0000"/>
                <w:sz w:val="24"/>
              </w:rPr>
            </w:pPr>
            <w:r>
              <w:rPr>
                <w:rFonts w:hint="eastAsia"/>
                <w:color w:val="FF0000"/>
                <w:sz w:val="24"/>
              </w:rPr>
              <w:t>（1）制定和实施各项环境管理计划。</w:t>
            </w:r>
          </w:p>
          <w:p>
            <w:pPr>
              <w:adjustRightInd w:val="0"/>
              <w:snapToGrid w:val="0"/>
              <w:spacing w:line="360" w:lineRule="auto"/>
              <w:ind w:firstLine="480" w:firstLineChars="200"/>
              <w:rPr>
                <w:color w:val="FF0000"/>
                <w:sz w:val="24"/>
              </w:rPr>
            </w:pPr>
            <w:r>
              <w:rPr>
                <w:rFonts w:hint="eastAsia"/>
                <w:color w:val="FF0000"/>
                <w:sz w:val="24"/>
              </w:rPr>
              <w:t>（2）建立工频电场强度、工频磁感应强度、噪声环境监测数据档案。</w:t>
            </w:r>
          </w:p>
          <w:p>
            <w:pPr>
              <w:adjustRightInd w:val="0"/>
              <w:snapToGrid w:val="0"/>
              <w:spacing w:line="360" w:lineRule="auto"/>
              <w:ind w:firstLine="480" w:firstLineChars="200"/>
              <w:rPr>
                <w:color w:val="FF0000"/>
                <w:sz w:val="24"/>
              </w:rPr>
            </w:pPr>
            <w:r>
              <w:rPr>
                <w:rFonts w:hint="eastAsia"/>
                <w:color w:val="FF0000"/>
                <w:sz w:val="24"/>
              </w:rPr>
              <w:t>（3）掌握项目所在地周围的环境特征和环境保护目标情况。</w:t>
            </w:r>
          </w:p>
          <w:p>
            <w:pPr>
              <w:adjustRightInd w:val="0"/>
              <w:snapToGrid w:val="0"/>
              <w:spacing w:line="360" w:lineRule="auto"/>
              <w:ind w:firstLine="480" w:firstLineChars="200"/>
              <w:rPr>
                <w:color w:val="FF0000"/>
                <w:sz w:val="24"/>
              </w:rPr>
            </w:pPr>
            <w:r>
              <w:rPr>
                <w:rFonts w:hint="eastAsia"/>
                <w:color w:val="FF0000"/>
                <w:sz w:val="24"/>
              </w:rPr>
              <w:t>（4）检查治理设施运行情况，及时处理出现的问题，保证治理设施的正常运行。</w:t>
            </w:r>
          </w:p>
          <w:p>
            <w:pPr>
              <w:adjustRightInd w:val="0"/>
              <w:snapToGrid w:val="0"/>
              <w:spacing w:line="360" w:lineRule="auto"/>
              <w:ind w:firstLine="480" w:firstLineChars="200"/>
              <w:rPr>
                <w:sz w:val="24"/>
              </w:rPr>
            </w:pPr>
            <w:r>
              <w:rPr>
                <w:rFonts w:hint="eastAsia"/>
                <w:color w:val="FF0000"/>
                <w:sz w:val="24"/>
              </w:rPr>
              <w:t>（5）协调配合上级环保主管部门所进行的环境调查、生态调查等活动。</w:t>
            </w:r>
          </w:p>
          <w:p>
            <w:pPr>
              <w:adjustRightInd w:val="0"/>
              <w:snapToGrid w:val="0"/>
              <w:spacing w:before="120" w:beforeLines="50" w:after="120" w:afterLines="50" w:line="360" w:lineRule="auto"/>
              <w:rPr>
                <w:b/>
                <w:bCs/>
                <w:sz w:val="24"/>
              </w:rPr>
            </w:pPr>
            <w:r>
              <w:rPr>
                <w:rFonts w:hint="eastAsia"/>
                <w:b/>
                <w:bCs/>
                <w:sz w:val="24"/>
              </w:rPr>
              <w:t>5.3.2</w:t>
            </w:r>
            <w:r>
              <w:rPr>
                <w:b/>
                <w:bCs/>
                <w:sz w:val="24"/>
              </w:rPr>
              <w:t>环境监测计划</w:t>
            </w:r>
          </w:p>
          <w:p>
            <w:pPr>
              <w:spacing w:line="360" w:lineRule="auto"/>
              <w:ind w:firstLine="480" w:firstLineChars="200"/>
              <w:rPr>
                <w:sz w:val="24"/>
              </w:rPr>
            </w:pPr>
            <w:r>
              <w:rPr>
                <w:sz w:val="24"/>
              </w:rPr>
              <w:t>本项目运营期根据《交流输变电工程电磁环境监测方法（试行）》（HJ681-2013）</w:t>
            </w:r>
            <w:r>
              <w:rPr>
                <w:rFonts w:hint="eastAsia"/>
                <w:sz w:val="24"/>
              </w:rPr>
              <w:t>及《排污单位自行监测技术指南 总则》（HJ819-2017）</w:t>
            </w:r>
            <w:r>
              <w:rPr>
                <w:sz w:val="24"/>
              </w:rPr>
              <w:t>制定相应自行监测计划，可委托具有相应资质的单位完成。</w:t>
            </w:r>
          </w:p>
          <w:p>
            <w:pPr>
              <w:spacing w:line="360" w:lineRule="auto"/>
              <w:ind w:firstLine="480" w:firstLineChars="200"/>
              <w:rPr>
                <w:sz w:val="24"/>
              </w:rPr>
            </w:pPr>
            <w:r>
              <w:rPr>
                <w:rFonts w:hint="eastAsia"/>
                <w:sz w:val="24"/>
              </w:rPr>
              <w:t>（1）</w:t>
            </w:r>
            <w:r>
              <w:rPr>
                <w:sz w:val="24"/>
              </w:rPr>
              <w:t>监测目的</w:t>
            </w:r>
          </w:p>
          <w:p>
            <w:pPr>
              <w:spacing w:line="360" w:lineRule="auto"/>
              <w:ind w:firstLine="480" w:firstLineChars="200"/>
              <w:rPr>
                <w:sz w:val="24"/>
              </w:rPr>
            </w:pPr>
            <w:r>
              <w:rPr>
                <w:sz w:val="24"/>
              </w:rPr>
              <w:t>本项目环境监测主要为营运期，其目的在于全面、及时掌握项目污染动态，了解项目运营期的环境质量动态，及时向主管部门反馈信息，为项目的环境管理提供科学依据。</w:t>
            </w:r>
          </w:p>
          <w:p>
            <w:pPr>
              <w:spacing w:line="360" w:lineRule="auto"/>
              <w:ind w:firstLine="480" w:firstLineChars="200"/>
              <w:rPr>
                <w:sz w:val="24"/>
              </w:rPr>
            </w:pPr>
            <w:r>
              <w:rPr>
                <w:rFonts w:hint="eastAsia"/>
                <w:sz w:val="24"/>
              </w:rPr>
              <w:t>（2）</w:t>
            </w:r>
            <w:r>
              <w:rPr>
                <w:sz w:val="24"/>
              </w:rPr>
              <w:t>监测</w:t>
            </w:r>
            <w:r>
              <w:rPr>
                <w:rFonts w:hint="eastAsia"/>
                <w:sz w:val="24"/>
              </w:rPr>
              <w:t>计划</w:t>
            </w:r>
          </w:p>
          <w:p>
            <w:pPr>
              <w:widowControl/>
              <w:adjustRightInd w:val="0"/>
              <w:snapToGrid w:val="0"/>
              <w:spacing w:before="120" w:beforeLines="50" w:line="360" w:lineRule="auto"/>
              <w:jc w:val="center"/>
              <w:rPr>
                <w:b/>
                <w:bCs/>
                <w:sz w:val="24"/>
              </w:rPr>
            </w:pPr>
            <w:r>
              <w:rPr>
                <w:b/>
                <w:bCs/>
                <w:sz w:val="24"/>
              </w:rPr>
              <w:t>表5-</w:t>
            </w:r>
            <w:r>
              <w:rPr>
                <w:rFonts w:hint="eastAsia"/>
                <w:b/>
                <w:bCs/>
                <w:sz w:val="24"/>
              </w:rPr>
              <w:t>4</w:t>
            </w:r>
            <w:r>
              <w:rPr>
                <w:b/>
                <w:bCs/>
                <w:sz w:val="24"/>
              </w:rPr>
              <w:t xml:space="preserve">    项目监测计划一览表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784"/>
              <w:gridCol w:w="1724"/>
              <w:gridCol w:w="2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8" w:type="pct"/>
                  <w:tcBorders>
                    <w:tl2br w:val="nil"/>
                    <w:tr2bl w:val="nil"/>
                  </w:tcBorders>
                  <w:vAlign w:val="center"/>
                </w:tcPr>
                <w:p>
                  <w:pPr>
                    <w:jc w:val="center"/>
                    <w:textAlignment w:val="baseline"/>
                  </w:pPr>
                  <w:r>
                    <w:t>监测点位</w:t>
                  </w:r>
                </w:p>
              </w:tc>
              <w:tc>
                <w:tcPr>
                  <w:tcW w:w="1099" w:type="pct"/>
                  <w:tcBorders>
                    <w:tl2br w:val="nil"/>
                    <w:tr2bl w:val="nil"/>
                  </w:tcBorders>
                  <w:vAlign w:val="center"/>
                </w:tcPr>
                <w:p>
                  <w:pPr>
                    <w:jc w:val="center"/>
                    <w:textAlignment w:val="baseline"/>
                  </w:pPr>
                  <w:r>
                    <w:t>监测指标</w:t>
                  </w:r>
                </w:p>
              </w:tc>
              <w:tc>
                <w:tcPr>
                  <w:tcW w:w="1062" w:type="pct"/>
                  <w:tcBorders>
                    <w:tl2br w:val="nil"/>
                    <w:tr2bl w:val="nil"/>
                  </w:tcBorders>
                  <w:vAlign w:val="center"/>
                </w:tcPr>
                <w:p>
                  <w:pPr>
                    <w:jc w:val="center"/>
                    <w:textAlignment w:val="baseline"/>
                  </w:pPr>
                  <w:r>
                    <w:t>监测频次</w:t>
                  </w:r>
                </w:p>
              </w:tc>
              <w:tc>
                <w:tcPr>
                  <w:tcW w:w="1810" w:type="pct"/>
                  <w:tcBorders>
                    <w:tl2br w:val="nil"/>
                    <w:tr2bl w:val="nil"/>
                  </w:tcBorders>
                  <w:vAlign w:val="center"/>
                </w:tcPr>
                <w:p>
                  <w:pPr>
                    <w:jc w:val="center"/>
                    <w:textAlignment w:val="baseline"/>
                  </w:pPr>
                  <w: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8" w:type="pct"/>
                  <w:tcBorders>
                    <w:tl2br w:val="nil"/>
                    <w:tr2bl w:val="nil"/>
                  </w:tcBorders>
                  <w:vAlign w:val="center"/>
                </w:tcPr>
                <w:p>
                  <w:pPr>
                    <w:jc w:val="center"/>
                    <w:textAlignment w:val="baseline"/>
                    <w:rPr>
                      <w:color w:val="FF0000"/>
                    </w:rPr>
                  </w:pPr>
                  <w:r>
                    <w:rPr>
                      <w:rFonts w:hint="eastAsia"/>
                      <w:color w:val="FF0000"/>
                    </w:rPr>
                    <w:t>站</w:t>
                  </w:r>
                  <w:r>
                    <w:rPr>
                      <w:color w:val="FF0000"/>
                    </w:rPr>
                    <w:t>界四周</w:t>
                  </w:r>
                </w:p>
              </w:tc>
              <w:tc>
                <w:tcPr>
                  <w:tcW w:w="1099" w:type="pct"/>
                  <w:tcBorders>
                    <w:tl2br w:val="nil"/>
                    <w:tr2bl w:val="nil"/>
                  </w:tcBorders>
                  <w:vAlign w:val="center"/>
                </w:tcPr>
                <w:p>
                  <w:pPr>
                    <w:jc w:val="center"/>
                    <w:textAlignment w:val="baseline"/>
                    <w:rPr>
                      <w:color w:val="FF0000"/>
                    </w:rPr>
                  </w:pPr>
                  <w:r>
                    <w:rPr>
                      <w:color w:val="FF0000"/>
                    </w:rPr>
                    <w:t>昼、夜等效连续A声级</w:t>
                  </w:r>
                </w:p>
              </w:tc>
              <w:tc>
                <w:tcPr>
                  <w:tcW w:w="1062" w:type="pct"/>
                  <w:vMerge w:val="restart"/>
                  <w:tcBorders>
                    <w:tl2br w:val="nil"/>
                    <w:tr2bl w:val="nil"/>
                  </w:tcBorders>
                  <w:vAlign w:val="center"/>
                </w:tcPr>
                <w:p>
                  <w:pPr>
                    <w:contextualSpacing/>
                    <w:jc w:val="center"/>
                    <w:rPr>
                      <w:color w:val="FF0000"/>
                    </w:rPr>
                  </w:pPr>
                  <w:r>
                    <w:rPr>
                      <w:rFonts w:hint="eastAsia"/>
                      <w:color w:val="FF0000"/>
                    </w:rPr>
                    <w:t>建成投运后第一年内结合竣工环境保护验收监测一次。后期必要时，根据需要进行监测</w:t>
                  </w:r>
                </w:p>
              </w:tc>
              <w:tc>
                <w:tcPr>
                  <w:tcW w:w="1810" w:type="pct"/>
                  <w:tcBorders>
                    <w:tl2br w:val="nil"/>
                    <w:tr2bl w:val="nil"/>
                  </w:tcBorders>
                  <w:vAlign w:val="center"/>
                </w:tcPr>
                <w:p>
                  <w:pPr>
                    <w:jc w:val="center"/>
                    <w:textAlignment w:val="baseline"/>
                    <w:rPr>
                      <w:color w:val="FF0000"/>
                    </w:rPr>
                  </w:pPr>
                  <w:r>
                    <w:rPr>
                      <w:color w:val="FF0000"/>
                    </w:rPr>
                    <w:t>《工业企业厂界环境噪声排放标准》</w:t>
                  </w:r>
                  <w:r>
                    <w:rPr>
                      <w:rFonts w:hint="eastAsia"/>
                      <w:color w:val="FF0000"/>
                    </w:rPr>
                    <w:t>（</w:t>
                  </w:r>
                  <w:r>
                    <w:rPr>
                      <w:color w:val="FF0000"/>
                    </w:rPr>
                    <w:t>GB12348-2008</w:t>
                  </w:r>
                  <w:r>
                    <w:rPr>
                      <w:rFonts w:hint="eastAsia"/>
                      <w:color w:val="FF0000"/>
                    </w:rPr>
                    <w:t>）2</w:t>
                  </w:r>
                  <w:r>
                    <w:rPr>
                      <w:color w:val="FF0000"/>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8" w:type="pct"/>
                  <w:tcBorders>
                    <w:tl2br w:val="nil"/>
                    <w:tr2bl w:val="nil"/>
                  </w:tcBorders>
                  <w:vAlign w:val="center"/>
                </w:tcPr>
                <w:p>
                  <w:pPr>
                    <w:jc w:val="center"/>
                    <w:textAlignment w:val="baseline"/>
                    <w:rPr>
                      <w:color w:val="FF0000"/>
                    </w:rPr>
                  </w:pPr>
                  <w:r>
                    <w:rPr>
                      <w:rFonts w:hint="eastAsia"/>
                      <w:color w:val="FF0000"/>
                    </w:rPr>
                    <w:t>升压站围墙四周（距离围墙5m，高1.5m处）；输电线路监测断面</w:t>
                  </w:r>
                </w:p>
              </w:tc>
              <w:tc>
                <w:tcPr>
                  <w:tcW w:w="1099" w:type="pct"/>
                  <w:tcBorders>
                    <w:tl2br w:val="nil"/>
                    <w:tr2bl w:val="nil"/>
                  </w:tcBorders>
                  <w:vAlign w:val="center"/>
                </w:tcPr>
                <w:p>
                  <w:pPr>
                    <w:jc w:val="center"/>
                    <w:textAlignment w:val="baseline"/>
                    <w:rPr>
                      <w:color w:val="FF0000"/>
                    </w:rPr>
                  </w:pPr>
                  <w:r>
                    <w:rPr>
                      <w:color w:val="FF0000"/>
                    </w:rPr>
                    <w:t>工频电场强度、工频磁感应强度</w:t>
                  </w:r>
                </w:p>
              </w:tc>
              <w:tc>
                <w:tcPr>
                  <w:tcW w:w="1062" w:type="pct"/>
                  <w:vMerge w:val="continue"/>
                  <w:tcBorders>
                    <w:tl2br w:val="nil"/>
                    <w:tr2bl w:val="nil"/>
                  </w:tcBorders>
                  <w:vAlign w:val="center"/>
                </w:tcPr>
                <w:p>
                  <w:pPr>
                    <w:contextualSpacing/>
                    <w:jc w:val="center"/>
                    <w:rPr>
                      <w:color w:val="FF0000"/>
                    </w:rPr>
                  </w:pPr>
                </w:p>
              </w:tc>
              <w:tc>
                <w:tcPr>
                  <w:tcW w:w="1810" w:type="pct"/>
                  <w:tcBorders>
                    <w:tl2br w:val="nil"/>
                    <w:tr2bl w:val="nil"/>
                  </w:tcBorders>
                  <w:vAlign w:val="center"/>
                </w:tcPr>
                <w:p>
                  <w:pPr>
                    <w:pStyle w:val="46"/>
                    <w:spacing w:before="24" w:after="24"/>
                    <w:rPr>
                      <w:rFonts w:ascii="Times New Roman"/>
                      <w:color w:val="FF0000"/>
                    </w:rPr>
                  </w:pPr>
                  <w:r>
                    <w:rPr>
                      <w:rFonts w:ascii="Times New Roman"/>
                      <w:color w:val="FF0000"/>
                      <w:sz w:val="21"/>
                    </w:rPr>
                    <w:t>《电磁环境控制限值》</w:t>
                  </w:r>
                  <w:r>
                    <w:rPr>
                      <w:rFonts w:hint="eastAsia" w:ascii="Times New Roman"/>
                      <w:color w:val="FF0000"/>
                      <w:sz w:val="21"/>
                    </w:rPr>
                    <w:t>（</w:t>
                  </w:r>
                  <w:r>
                    <w:rPr>
                      <w:rFonts w:ascii="Times New Roman"/>
                      <w:color w:val="FF0000"/>
                      <w:sz w:val="21"/>
                    </w:rPr>
                    <w:t>GB8702-2014</w:t>
                  </w:r>
                  <w:r>
                    <w:rPr>
                      <w:rFonts w:hint="eastAsia" w:ascii="Times New Roman"/>
                      <w:color w:val="FF0000"/>
                      <w:sz w:val="21"/>
                    </w:rPr>
                    <w:t>）</w:t>
                  </w:r>
                </w:p>
              </w:tc>
            </w:tr>
          </w:tbl>
          <w:p>
            <w:pPr>
              <w:adjustRightInd w:val="0"/>
              <w:snapToGrid w:val="0"/>
              <w:spacing w:before="120" w:beforeLines="50" w:after="120" w:afterLines="50" w:line="360" w:lineRule="auto"/>
              <w:rPr>
                <w:b/>
                <w:bCs/>
                <w:color w:val="FF0000"/>
                <w:sz w:val="24"/>
              </w:rPr>
            </w:pPr>
            <w:r>
              <w:rPr>
                <w:b/>
                <w:bCs/>
                <w:color w:val="FF0000"/>
                <w:sz w:val="24"/>
              </w:rPr>
              <w:t>5.3.3竣工环境保护验收</w:t>
            </w:r>
          </w:p>
          <w:p>
            <w:pPr>
              <w:spacing w:line="360" w:lineRule="auto"/>
              <w:ind w:firstLine="480" w:firstLineChars="200"/>
              <w:rPr>
                <w:color w:val="FF0000"/>
                <w:sz w:val="24"/>
              </w:rPr>
            </w:pPr>
            <w:r>
              <w:rPr>
                <w:color w:val="FF0000"/>
                <w:sz w:val="24"/>
              </w:rPr>
              <w:t>根据《中华人民共和国环境保护法》、《建设项目环境保护管理条例》、《建设项目竣工环境保护验收暂行办法》（国环规环评[2017]4号）及《建设项目竣工环境保护验收技术规范 输变电》（HJ705-2020），项目建设执行污染治理设施与主体工程同时设计、同时施工、同时投产使用的“三同时”制度。项目竣工后，由建设单位自行组织开展竣工环境保护验收工作，并填报“生态环境部企业自主验收平台”备案。</w:t>
            </w:r>
          </w:p>
          <w:p>
            <w:pPr>
              <w:spacing w:line="360" w:lineRule="auto"/>
              <w:ind w:firstLine="480" w:firstLineChars="200"/>
              <w:rPr>
                <w:color w:val="FF0000"/>
                <w:sz w:val="24"/>
              </w:rPr>
            </w:pPr>
            <w:r>
              <w:rPr>
                <w:color w:val="FF0000"/>
                <w:sz w:val="24"/>
              </w:rPr>
              <w:t>本项目竣工环境保护</w:t>
            </w:r>
            <w:r>
              <w:rPr>
                <w:rFonts w:hint="eastAsia" w:ascii="宋体" w:hAnsi="宋体" w:cs="宋体"/>
                <w:color w:val="FF0000"/>
                <w:sz w:val="24"/>
              </w:rPr>
              <w:t>“三同时”</w:t>
            </w:r>
            <w:r>
              <w:rPr>
                <w:color w:val="FF0000"/>
                <w:sz w:val="24"/>
              </w:rPr>
              <w:t>验收内容见下表。</w:t>
            </w:r>
            <w:r>
              <w:rPr>
                <w:rFonts w:hint="eastAsia"/>
                <w:color w:val="FF0000"/>
                <w:sz w:val="24"/>
              </w:rPr>
              <w:t>项目分二期建设，因此验收内容分期列明。</w:t>
            </w:r>
          </w:p>
          <w:p>
            <w:pPr>
              <w:adjustRightInd w:val="0"/>
              <w:snapToGrid w:val="0"/>
              <w:spacing w:before="120" w:beforeLines="50" w:line="360" w:lineRule="auto"/>
              <w:jc w:val="center"/>
              <w:rPr>
                <w:color w:val="FF0000"/>
                <w:sz w:val="24"/>
              </w:rPr>
            </w:pPr>
            <w:r>
              <w:rPr>
                <w:b/>
                <w:bCs/>
                <w:color w:val="FF0000"/>
                <w:sz w:val="24"/>
              </w:rPr>
              <w:t>表5-</w:t>
            </w:r>
            <w:r>
              <w:rPr>
                <w:rFonts w:hint="eastAsia"/>
                <w:b/>
                <w:bCs/>
                <w:color w:val="FF0000"/>
                <w:sz w:val="24"/>
              </w:rPr>
              <w:t>5</w:t>
            </w:r>
            <w:r>
              <w:rPr>
                <w:b/>
                <w:bCs/>
                <w:color w:val="FF0000"/>
                <w:sz w:val="24"/>
              </w:rPr>
              <w:t xml:space="preserve">    “三同时”验收一览表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8"/>
              <w:gridCol w:w="1688"/>
              <w:gridCol w:w="2584"/>
              <w:gridCol w:w="2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restart"/>
                  <w:vAlign w:val="center"/>
                </w:tcPr>
                <w:p>
                  <w:pPr>
                    <w:adjustRightInd w:val="0"/>
                    <w:snapToGrid w:val="0"/>
                    <w:jc w:val="center"/>
                    <w:rPr>
                      <w:color w:val="FF0000"/>
                      <w:szCs w:val="21"/>
                    </w:rPr>
                  </w:pPr>
                  <w:r>
                    <w:rPr>
                      <w:color w:val="FF0000"/>
                      <w:szCs w:val="21"/>
                    </w:rPr>
                    <w:t>序号</w:t>
                  </w:r>
                </w:p>
              </w:tc>
              <w:tc>
                <w:tcPr>
                  <w:tcW w:w="510" w:type="pct"/>
                  <w:vMerge w:val="restart"/>
                  <w:vAlign w:val="center"/>
                </w:tcPr>
                <w:p>
                  <w:pPr>
                    <w:adjustRightInd w:val="0"/>
                    <w:snapToGrid w:val="0"/>
                    <w:jc w:val="center"/>
                    <w:rPr>
                      <w:color w:val="FF0000"/>
                      <w:szCs w:val="21"/>
                    </w:rPr>
                  </w:pPr>
                  <w:r>
                    <w:rPr>
                      <w:color w:val="FF0000"/>
                      <w:szCs w:val="21"/>
                    </w:rPr>
                    <w:t>验收对象</w:t>
                  </w:r>
                </w:p>
              </w:tc>
              <w:tc>
                <w:tcPr>
                  <w:tcW w:w="1040" w:type="pct"/>
                  <w:vMerge w:val="restart"/>
                  <w:vAlign w:val="center"/>
                </w:tcPr>
                <w:p>
                  <w:pPr>
                    <w:adjustRightInd w:val="0"/>
                    <w:snapToGrid w:val="0"/>
                    <w:jc w:val="center"/>
                    <w:rPr>
                      <w:color w:val="FF0000"/>
                      <w:szCs w:val="21"/>
                    </w:rPr>
                  </w:pPr>
                  <w:r>
                    <w:rPr>
                      <w:color w:val="FF0000"/>
                      <w:szCs w:val="21"/>
                    </w:rPr>
                    <w:t>验收内容</w:t>
                  </w:r>
                </w:p>
              </w:tc>
              <w:tc>
                <w:tcPr>
                  <w:tcW w:w="3186" w:type="pct"/>
                  <w:gridSpan w:val="2"/>
                  <w:vAlign w:val="center"/>
                </w:tcPr>
                <w:p>
                  <w:pPr>
                    <w:adjustRightInd w:val="0"/>
                    <w:snapToGrid w:val="0"/>
                    <w:jc w:val="center"/>
                    <w:rPr>
                      <w:color w:val="FF0000"/>
                      <w:szCs w:val="21"/>
                    </w:rPr>
                  </w:pPr>
                  <w:r>
                    <w:rPr>
                      <w:color w:val="FF0000"/>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Merge w:val="continue"/>
                  <w:vAlign w:val="center"/>
                </w:tcPr>
                <w:p>
                  <w:pPr>
                    <w:adjustRightInd w:val="0"/>
                    <w:snapToGrid w:val="0"/>
                    <w:jc w:val="center"/>
                    <w:rPr>
                      <w:color w:val="FF0000"/>
                      <w:szCs w:val="21"/>
                    </w:rPr>
                  </w:pPr>
                </w:p>
              </w:tc>
              <w:tc>
                <w:tcPr>
                  <w:tcW w:w="510" w:type="pct"/>
                  <w:vMerge w:val="continue"/>
                  <w:vAlign w:val="center"/>
                </w:tcPr>
                <w:p>
                  <w:pPr>
                    <w:adjustRightInd w:val="0"/>
                    <w:snapToGrid w:val="0"/>
                    <w:jc w:val="center"/>
                    <w:rPr>
                      <w:color w:val="FF0000"/>
                      <w:szCs w:val="21"/>
                    </w:rPr>
                  </w:pPr>
                </w:p>
              </w:tc>
              <w:tc>
                <w:tcPr>
                  <w:tcW w:w="1040" w:type="pct"/>
                  <w:vMerge w:val="continue"/>
                  <w:vAlign w:val="center"/>
                </w:tcPr>
                <w:p>
                  <w:pPr>
                    <w:adjustRightInd w:val="0"/>
                    <w:snapToGrid w:val="0"/>
                    <w:jc w:val="center"/>
                    <w:rPr>
                      <w:color w:val="FF0000"/>
                      <w:szCs w:val="21"/>
                    </w:rPr>
                  </w:pPr>
                </w:p>
              </w:tc>
              <w:tc>
                <w:tcPr>
                  <w:tcW w:w="1592" w:type="pct"/>
                  <w:vAlign w:val="center"/>
                </w:tcPr>
                <w:p>
                  <w:pPr>
                    <w:adjustRightInd w:val="0"/>
                    <w:snapToGrid w:val="0"/>
                    <w:jc w:val="center"/>
                    <w:rPr>
                      <w:color w:val="FF0000"/>
                      <w:szCs w:val="21"/>
                    </w:rPr>
                  </w:pPr>
                  <w:r>
                    <w:rPr>
                      <w:rFonts w:hint="eastAsia"/>
                      <w:color w:val="FF0000"/>
                      <w:szCs w:val="21"/>
                    </w:rPr>
                    <w:t>一期工程</w:t>
                  </w:r>
                </w:p>
              </w:tc>
              <w:tc>
                <w:tcPr>
                  <w:tcW w:w="1594" w:type="pct"/>
                  <w:vAlign w:val="center"/>
                </w:tcPr>
                <w:p>
                  <w:pPr>
                    <w:adjustRightInd w:val="0"/>
                    <w:snapToGrid w:val="0"/>
                    <w:jc w:val="center"/>
                    <w:rPr>
                      <w:color w:val="FF0000"/>
                      <w:szCs w:val="21"/>
                    </w:rPr>
                  </w:pPr>
                  <w:r>
                    <w:rPr>
                      <w:rFonts w:hint="eastAsia"/>
                      <w:color w:val="FF0000"/>
                      <w:szCs w:val="21"/>
                    </w:rPr>
                    <w:t>二期工程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1</w:t>
                  </w:r>
                </w:p>
              </w:tc>
              <w:tc>
                <w:tcPr>
                  <w:tcW w:w="510" w:type="pct"/>
                  <w:vAlign w:val="center"/>
                </w:tcPr>
                <w:p>
                  <w:pPr>
                    <w:adjustRightInd w:val="0"/>
                    <w:snapToGrid w:val="0"/>
                    <w:jc w:val="center"/>
                    <w:rPr>
                      <w:color w:val="FF0000"/>
                      <w:szCs w:val="21"/>
                    </w:rPr>
                  </w:pPr>
                  <w:r>
                    <w:rPr>
                      <w:color w:val="FF0000"/>
                      <w:spacing w:val="-8"/>
                      <w:szCs w:val="21"/>
                    </w:rPr>
                    <w:t>相关资料、</w:t>
                  </w:r>
                  <w:r>
                    <w:rPr>
                      <w:color w:val="FF0000"/>
                      <w:spacing w:val="-5"/>
                      <w:szCs w:val="21"/>
                    </w:rPr>
                    <w:t>手续</w:t>
                  </w:r>
                </w:p>
              </w:tc>
              <w:tc>
                <w:tcPr>
                  <w:tcW w:w="1040" w:type="pct"/>
                  <w:vAlign w:val="center"/>
                </w:tcPr>
                <w:p>
                  <w:pPr>
                    <w:adjustRightInd w:val="0"/>
                    <w:snapToGrid w:val="0"/>
                    <w:jc w:val="center"/>
                    <w:rPr>
                      <w:color w:val="FF0000"/>
                      <w:szCs w:val="21"/>
                    </w:rPr>
                  </w:pPr>
                  <w:r>
                    <w:rPr>
                      <w:color w:val="FF0000"/>
                      <w:spacing w:val="-1"/>
                      <w:szCs w:val="21"/>
                    </w:rPr>
                    <w:t>项目相关批复文件（包括环评</w:t>
                  </w:r>
                  <w:r>
                    <w:rPr>
                      <w:color w:val="FF0000"/>
                      <w:spacing w:val="-16"/>
                      <w:szCs w:val="21"/>
                    </w:rPr>
                    <w:t>批复、用地批复等）是否齐备，</w:t>
                  </w:r>
                  <w:r>
                    <w:rPr>
                      <w:color w:val="FF0000"/>
                      <w:spacing w:val="-2"/>
                      <w:szCs w:val="21"/>
                    </w:rPr>
                    <w:t>项目是否具备开工条件。</w:t>
                  </w:r>
                </w:p>
              </w:tc>
              <w:tc>
                <w:tcPr>
                  <w:tcW w:w="1592" w:type="pct"/>
                  <w:vAlign w:val="center"/>
                </w:tcPr>
                <w:p>
                  <w:pPr>
                    <w:adjustRightInd w:val="0"/>
                    <w:snapToGrid w:val="0"/>
                    <w:jc w:val="center"/>
                    <w:rPr>
                      <w:color w:val="FF0000"/>
                      <w:szCs w:val="21"/>
                    </w:rPr>
                  </w:pPr>
                  <w:r>
                    <w:rPr>
                      <w:color w:val="FF0000"/>
                      <w:spacing w:val="-2"/>
                      <w:szCs w:val="21"/>
                    </w:rPr>
                    <w:t>项目取得相关批复文件</w:t>
                  </w:r>
                </w:p>
              </w:tc>
              <w:tc>
                <w:tcPr>
                  <w:tcW w:w="1594" w:type="pct"/>
                  <w:vAlign w:val="center"/>
                </w:tcPr>
                <w:p>
                  <w:pPr>
                    <w:adjustRightInd w:val="0"/>
                    <w:snapToGrid w:val="0"/>
                    <w:jc w:val="center"/>
                    <w:rPr>
                      <w:color w:val="FF0000"/>
                      <w:spacing w:val="-2"/>
                      <w:szCs w:val="21"/>
                    </w:rPr>
                  </w:pPr>
                  <w:r>
                    <w:rPr>
                      <w:rFonts w:hint="eastAsia"/>
                      <w:color w:val="FF0000"/>
                      <w:spacing w:val="-2"/>
                      <w:szCs w:val="21"/>
                    </w:rPr>
                    <w:t>根据《中华人民共和国环境影响评价法》，建设项目的环境影响评价文件自批准之日起超过五年，方决定该项目开工建设的，其环境影响评价文件应当报原审批部门重新审核；本项目批复后，若二期工程5年内未动工建设，则应重新报批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2</w:t>
                  </w:r>
                </w:p>
              </w:tc>
              <w:tc>
                <w:tcPr>
                  <w:tcW w:w="510" w:type="pct"/>
                  <w:vAlign w:val="center"/>
                </w:tcPr>
                <w:p>
                  <w:pPr>
                    <w:adjustRightInd w:val="0"/>
                    <w:snapToGrid w:val="0"/>
                    <w:jc w:val="center"/>
                    <w:rPr>
                      <w:color w:val="FF0000"/>
                      <w:szCs w:val="21"/>
                    </w:rPr>
                  </w:pPr>
                  <w:r>
                    <w:rPr>
                      <w:color w:val="FF0000"/>
                      <w:szCs w:val="21"/>
                    </w:rPr>
                    <w:t>与法规、规划的相符性</w:t>
                  </w:r>
                </w:p>
              </w:tc>
              <w:tc>
                <w:tcPr>
                  <w:tcW w:w="1040" w:type="pct"/>
                  <w:vAlign w:val="center"/>
                </w:tcPr>
                <w:p>
                  <w:pPr>
                    <w:adjustRightInd w:val="0"/>
                    <w:snapToGrid w:val="0"/>
                    <w:jc w:val="center"/>
                    <w:rPr>
                      <w:color w:val="FF0000"/>
                      <w:szCs w:val="21"/>
                    </w:rPr>
                  </w:pPr>
                  <w:r>
                    <w:rPr>
                      <w:color w:val="FF0000"/>
                      <w:spacing w:val="-2"/>
                      <w:szCs w:val="21"/>
                    </w:rPr>
                    <w:t>项目是否取得规划选址意见书，是否避让特殊及重要生态敏感区域。</w:t>
                  </w:r>
                </w:p>
              </w:tc>
              <w:tc>
                <w:tcPr>
                  <w:tcW w:w="1592" w:type="pct"/>
                  <w:vAlign w:val="center"/>
                </w:tcPr>
                <w:p>
                  <w:pPr>
                    <w:adjustRightInd w:val="0"/>
                    <w:snapToGrid w:val="0"/>
                    <w:jc w:val="center"/>
                    <w:rPr>
                      <w:color w:val="FF0000"/>
                      <w:szCs w:val="21"/>
                    </w:rPr>
                  </w:pPr>
                  <w:r>
                    <w:rPr>
                      <w:rFonts w:hint="eastAsia"/>
                      <w:color w:val="FF0000"/>
                      <w:spacing w:val="-2"/>
                      <w:szCs w:val="21"/>
                    </w:rPr>
                    <w:t>项目</w:t>
                  </w:r>
                  <w:r>
                    <w:rPr>
                      <w:color w:val="FF0000"/>
                      <w:spacing w:val="-2"/>
                      <w:szCs w:val="21"/>
                    </w:rPr>
                    <w:t>选址取得规划选址意</w:t>
                  </w:r>
                  <w:r>
                    <w:rPr>
                      <w:color w:val="FF0000"/>
                      <w:spacing w:val="-21"/>
                      <w:szCs w:val="21"/>
                    </w:rPr>
                    <w:t>见；避让特</w:t>
                  </w:r>
                  <w:r>
                    <w:rPr>
                      <w:color w:val="FF0000"/>
                      <w:spacing w:val="-2"/>
                      <w:szCs w:val="21"/>
                    </w:rPr>
                    <w:t>殊及重要生态敏感</w:t>
                  </w:r>
                  <w:r>
                    <w:rPr>
                      <w:color w:val="FF0000"/>
                      <w:spacing w:val="-13"/>
                      <w:szCs w:val="21"/>
                    </w:rPr>
                    <w:t>区域</w:t>
                  </w:r>
                </w:p>
              </w:tc>
              <w:tc>
                <w:tcPr>
                  <w:tcW w:w="1594" w:type="pct"/>
                  <w:vAlign w:val="center"/>
                </w:tcPr>
                <w:p>
                  <w:pPr>
                    <w:adjustRightInd w:val="0"/>
                    <w:snapToGrid w:val="0"/>
                    <w:jc w:val="center"/>
                    <w:rPr>
                      <w:color w:val="FF0000"/>
                      <w:spacing w:val="-2"/>
                      <w:szCs w:val="21"/>
                    </w:rPr>
                  </w:pPr>
                  <w:r>
                    <w:rPr>
                      <w:rFonts w:hint="eastAsia"/>
                      <w:color w:val="FF0000"/>
                      <w:spacing w:val="-2"/>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3</w:t>
                  </w:r>
                </w:p>
              </w:tc>
              <w:tc>
                <w:tcPr>
                  <w:tcW w:w="510" w:type="pct"/>
                  <w:vAlign w:val="center"/>
                </w:tcPr>
                <w:p>
                  <w:pPr>
                    <w:adjustRightInd w:val="0"/>
                    <w:snapToGrid w:val="0"/>
                    <w:jc w:val="center"/>
                    <w:rPr>
                      <w:color w:val="FF0000"/>
                      <w:szCs w:val="21"/>
                    </w:rPr>
                  </w:pPr>
                  <w:r>
                    <w:rPr>
                      <w:color w:val="FF0000"/>
                      <w:szCs w:val="21"/>
                    </w:rPr>
                    <w:t>各项环境保护设施落实及运行情况</w:t>
                  </w:r>
                </w:p>
              </w:tc>
              <w:tc>
                <w:tcPr>
                  <w:tcW w:w="1040" w:type="pct"/>
                  <w:vAlign w:val="center"/>
                </w:tcPr>
                <w:p>
                  <w:pPr>
                    <w:adjustRightInd w:val="0"/>
                    <w:snapToGrid w:val="0"/>
                    <w:jc w:val="center"/>
                    <w:rPr>
                      <w:color w:val="FF0000"/>
                      <w:szCs w:val="21"/>
                    </w:rPr>
                  </w:pPr>
                  <w:r>
                    <w:rPr>
                      <w:color w:val="FF0000"/>
                      <w:szCs w:val="21"/>
                    </w:rPr>
                    <w:t>项目设计资料及本环评报告表中提出的设计、施工及运行阶段的水环境、声环境、生态保护措施落实情况、实施效果</w:t>
                  </w:r>
                </w:p>
              </w:tc>
              <w:tc>
                <w:tcPr>
                  <w:tcW w:w="1592" w:type="pct"/>
                  <w:vAlign w:val="center"/>
                </w:tcPr>
                <w:p>
                  <w:pPr>
                    <w:adjustRightInd w:val="0"/>
                    <w:snapToGrid w:val="0"/>
                    <w:rPr>
                      <w:color w:val="FF0000"/>
                      <w:szCs w:val="21"/>
                    </w:rPr>
                  </w:pPr>
                  <w:r>
                    <w:rPr>
                      <w:color w:val="FF0000"/>
                      <w:szCs w:val="21"/>
                    </w:rPr>
                    <w:t>电磁环境防治措施：选用低电磁干扰的主变压器，设置安全警示标志等；</w:t>
                  </w:r>
                </w:p>
                <w:p>
                  <w:pPr>
                    <w:adjustRightInd w:val="0"/>
                    <w:snapToGrid w:val="0"/>
                    <w:rPr>
                      <w:color w:val="FF0000"/>
                      <w:szCs w:val="21"/>
                    </w:rPr>
                  </w:pPr>
                  <w:r>
                    <w:rPr>
                      <w:color w:val="FF0000"/>
                      <w:szCs w:val="21"/>
                    </w:rPr>
                    <w:t>水环境：本项目建有生活污水收集系统，收集后采用吸污车转运至民乐生态工业园区第一污水处理厂处理，须做好清运台账；</w:t>
                  </w:r>
                </w:p>
                <w:p>
                  <w:pPr>
                    <w:adjustRightInd w:val="0"/>
                    <w:snapToGrid w:val="0"/>
                    <w:rPr>
                      <w:color w:val="FF0000"/>
                      <w:szCs w:val="21"/>
                    </w:rPr>
                  </w:pPr>
                  <w:r>
                    <w:rPr>
                      <w:color w:val="FF0000"/>
                      <w:szCs w:val="21"/>
                    </w:rPr>
                    <w:t>声环境：主变设备选型为低噪声主变，落实主变压器基础减振、储能舱空调及液冷机组基座减振、建筑隔声等措施；</w:t>
                  </w:r>
                </w:p>
                <w:p>
                  <w:pPr>
                    <w:adjustRightInd w:val="0"/>
                    <w:snapToGrid w:val="0"/>
                    <w:rPr>
                      <w:color w:val="FF0000"/>
                      <w:szCs w:val="21"/>
                    </w:rPr>
                  </w:pPr>
                  <w:r>
                    <w:rPr>
                      <w:color w:val="FF0000"/>
                      <w:szCs w:val="21"/>
                    </w:rPr>
                    <w:t>施工场地通过撒播草籽、洒水结皮等措施恢复原貌；</w:t>
                  </w:r>
                </w:p>
                <w:p>
                  <w:pPr>
                    <w:pStyle w:val="31"/>
                    <w:adjustRightInd w:val="0"/>
                    <w:snapToGrid w:val="0"/>
                    <w:spacing w:line="240" w:lineRule="auto"/>
                    <w:ind w:firstLine="0"/>
                    <w:rPr>
                      <w:rFonts w:ascii="Times New Roman" w:cs="Times New Roman"/>
                      <w:color w:val="FF0000"/>
                      <w:sz w:val="21"/>
                      <w:szCs w:val="21"/>
                    </w:rPr>
                  </w:pPr>
                  <w:r>
                    <w:rPr>
                      <w:rFonts w:ascii="Times New Roman" w:cs="Times New Roman"/>
                      <w:color w:val="FF0000"/>
                      <w:sz w:val="21"/>
                      <w:szCs w:val="21"/>
                    </w:rPr>
                    <w:t>固废：站内生活垃圾集中收集后定期清运至环卫部门指定地点，站内设一般固废暂存间暂存废锂电池；设置危废暂存间用于暂存变压器废油及其容器等危险废物；</w:t>
                  </w:r>
                </w:p>
                <w:p>
                  <w:pPr>
                    <w:pStyle w:val="8"/>
                    <w:adjustRightInd w:val="0"/>
                    <w:snapToGrid w:val="0"/>
                    <w:spacing w:after="0"/>
                    <w:ind w:left="0" w:leftChars="0" w:firstLine="0" w:firstLineChars="0"/>
                    <w:rPr>
                      <w:color w:val="FF0000"/>
                      <w:szCs w:val="21"/>
                    </w:rPr>
                  </w:pPr>
                  <w:r>
                    <w:rPr>
                      <w:color w:val="FF0000"/>
                      <w:szCs w:val="21"/>
                    </w:rPr>
                    <w:t>风险防范：建有挡油设施及事故油排放系统，并设置有效容积为100m</w:t>
                  </w:r>
                  <w:r>
                    <w:rPr>
                      <w:color w:val="FF0000"/>
                      <w:szCs w:val="21"/>
                      <w:vertAlign w:val="superscript"/>
                    </w:rPr>
                    <w:t>3</w:t>
                  </w:r>
                  <w:r>
                    <w:rPr>
                      <w:color w:val="FF0000"/>
                      <w:szCs w:val="21"/>
                    </w:rPr>
                    <w:t>总事故油池，事故油池采取防渗、油水分离等措施</w:t>
                  </w:r>
                  <w:r>
                    <w:rPr>
                      <w:rFonts w:hint="eastAsia"/>
                      <w:color w:val="FF0000"/>
                      <w:szCs w:val="21"/>
                    </w:rPr>
                    <w:t>；消防废水收集池及制定环境风险应急预案</w:t>
                  </w:r>
                </w:p>
              </w:tc>
              <w:tc>
                <w:tcPr>
                  <w:tcW w:w="1594" w:type="pct"/>
                  <w:vAlign w:val="center"/>
                </w:tcPr>
                <w:p>
                  <w:pPr>
                    <w:pStyle w:val="8"/>
                    <w:adjustRightInd w:val="0"/>
                    <w:snapToGrid w:val="0"/>
                    <w:spacing w:after="0"/>
                    <w:ind w:left="0" w:leftChars="0" w:firstLine="0" w:firstLineChars="0"/>
                    <w:rPr>
                      <w:color w:val="FF0000"/>
                      <w:szCs w:val="21"/>
                    </w:rPr>
                  </w:pPr>
                  <w:r>
                    <w:rPr>
                      <w:color w:val="FF0000"/>
                      <w:szCs w:val="21"/>
                    </w:rPr>
                    <w:t>电磁环境防治措施：二期工程新建主变压器的电磁防治措施：选用低电磁干扰的主变压器，设置安全警示标志等；</w:t>
                  </w:r>
                </w:p>
                <w:p>
                  <w:pPr>
                    <w:pStyle w:val="8"/>
                    <w:adjustRightInd w:val="0"/>
                    <w:snapToGrid w:val="0"/>
                    <w:spacing w:after="0"/>
                    <w:ind w:left="0" w:leftChars="0" w:firstLine="0" w:firstLineChars="0"/>
                    <w:rPr>
                      <w:color w:val="FF0000"/>
                      <w:szCs w:val="21"/>
                    </w:rPr>
                  </w:pPr>
                  <w:r>
                    <w:rPr>
                      <w:color w:val="FF0000"/>
                      <w:szCs w:val="21"/>
                    </w:rPr>
                    <w:t>水环境：一期工程污水处理设施是否可以满足项目整体使用要求及其达标情况；</w:t>
                  </w:r>
                </w:p>
                <w:p>
                  <w:pPr>
                    <w:adjustRightInd w:val="0"/>
                    <w:snapToGrid w:val="0"/>
                    <w:rPr>
                      <w:color w:val="FF0000"/>
                      <w:szCs w:val="21"/>
                    </w:rPr>
                  </w:pPr>
                  <w:r>
                    <w:rPr>
                      <w:color w:val="FF0000"/>
                      <w:szCs w:val="21"/>
                    </w:rPr>
                    <w:t>声环境：新建主变压器及储能电池舱的噪声防治措施：落实主变压器基础减振、储能舱空调及液冷机组基座减振、建筑隔声等措施；</w:t>
                  </w:r>
                </w:p>
                <w:p>
                  <w:pPr>
                    <w:pStyle w:val="2"/>
                    <w:snapToGrid w:val="0"/>
                    <w:jc w:val="both"/>
                    <w:rPr>
                      <w:rFonts w:ascii="Times New Roman" w:hAnsi="Times New Roman" w:cs="Times New Roman"/>
                      <w:color w:val="FF0000"/>
                      <w:sz w:val="21"/>
                      <w:szCs w:val="21"/>
                    </w:rPr>
                  </w:pPr>
                  <w:r>
                    <w:rPr>
                      <w:rFonts w:ascii="Times New Roman" w:hAnsi="Times New Roman" w:cs="Times New Roman"/>
                      <w:color w:val="FF0000"/>
                      <w:sz w:val="21"/>
                      <w:szCs w:val="21"/>
                    </w:rPr>
                    <w:t>固废：站内固废设施运行情况、现有设施能否满足项目整体使用要求；是否建立一般固废、危废管理台账；危废处置协议等；</w:t>
                  </w:r>
                </w:p>
                <w:p>
                  <w:pPr>
                    <w:pStyle w:val="2"/>
                    <w:snapToGrid w:val="0"/>
                    <w:jc w:val="both"/>
                    <w:rPr>
                      <w:rFonts w:ascii="Times New Roman" w:hAnsi="Times New Roman" w:cs="Times New Roman"/>
                      <w:color w:val="FF0000"/>
                      <w:sz w:val="21"/>
                      <w:szCs w:val="21"/>
                    </w:rPr>
                  </w:pPr>
                  <w:r>
                    <w:rPr>
                      <w:rFonts w:ascii="Times New Roman" w:hAnsi="Times New Roman" w:cs="Times New Roman"/>
                      <w:color w:val="FF0000"/>
                      <w:sz w:val="21"/>
                      <w:szCs w:val="21"/>
                    </w:rPr>
                    <w:t>风险防范：事故油池运行情况、现有设施能否满足项目整体使用要求；事故油处置协议等；</w:t>
                  </w:r>
                  <w:r>
                    <w:rPr>
                      <w:rFonts w:hint="eastAsia" w:ascii="Times New Roman" w:hAnsi="Times New Roman" w:cs="Times New Roman"/>
                      <w:color w:val="FF0000"/>
                      <w:sz w:val="21"/>
                      <w:szCs w:val="21"/>
                    </w:rPr>
                    <w:t>消防废水收集池运行情况及依托可行性，环境风险应急预案修订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4</w:t>
                  </w:r>
                </w:p>
              </w:tc>
              <w:tc>
                <w:tcPr>
                  <w:tcW w:w="510" w:type="pct"/>
                  <w:vAlign w:val="center"/>
                </w:tcPr>
                <w:p>
                  <w:pPr>
                    <w:adjustRightInd w:val="0"/>
                    <w:snapToGrid w:val="0"/>
                    <w:jc w:val="center"/>
                    <w:rPr>
                      <w:color w:val="FF0000"/>
                      <w:szCs w:val="21"/>
                    </w:rPr>
                  </w:pPr>
                  <w:r>
                    <w:rPr>
                      <w:color w:val="FF0000"/>
                      <w:szCs w:val="21"/>
                    </w:rPr>
                    <w:t>敏感目标调查</w:t>
                  </w:r>
                </w:p>
              </w:tc>
              <w:tc>
                <w:tcPr>
                  <w:tcW w:w="1040" w:type="pct"/>
                </w:tcPr>
                <w:p>
                  <w:pPr>
                    <w:adjustRightInd w:val="0"/>
                    <w:snapToGrid w:val="0"/>
                    <w:jc w:val="center"/>
                    <w:rPr>
                      <w:color w:val="FF0000"/>
                      <w:szCs w:val="21"/>
                    </w:rPr>
                  </w:pPr>
                  <w:r>
                    <w:rPr>
                      <w:color w:val="FF0000"/>
                      <w:spacing w:val="-1"/>
                      <w:szCs w:val="21"/>
                    </w:rPr>
                    <w:t>调查</w:t>
                  </w:r>
                  <w:r>
                    <w:rPr>
                      <w:rFonts w:hint="eastAsia"/>
                      <w:color w:val="FF0000"/>
                      <w:spacing w:val="-2"/>
                      <w:szCs w:val="21"/>
                    </w:rPr>
                    <w:t>项目</w:t>
                  </w:r>
                  <w:r>
                    <w:rPr>
                      <w:color w:val="FF0000"/>
                      <w:spacing w:val="-1"/>
                      <w:szCs w:val="21"/>
                    </w:rPr>
                    <w:t>评价范围内是否有</w:t>
                  </w:r>
                  <w:r>
                    <w:rPr>
                      <w:color w:val="FF0000"/>
                      <w:spacing w:val="-2"/>
                      <w:szCs w:val="21"/>
                    </w:rPr>
                    <w:t>新增环境敏感目标</w:t>
                  </w:r>
                </w:p>
              </w:tc>
              <w:tc>
                <w:tcPr>
                  <w:tcW w:w="1592" w:type="pct"/>
                  <w:vAlign w:val="center"/>
                </w:tcPr>
                <w:p>
                  <w:pPr>
                    <w:adjustRightInd w:val="0"/>
                    <w:snapToGrid w:val="0"/>
                    <w:jc w:val="center"/>
                    <w:rPr>
                      <w:color w:val="FF0000"/>
                      <w:szCs w:val="21"/>
                    </w:rPr>
                  </w:pPr>
                  <w:r>
                    <w:rPr>
                      <w:color w:val="FF0000"/>
                      <w:spacing w:val="-2"/>
                      <w:szCs w:val="21"/>
                    </w:rPr>
                    <w:t>对照本报告，调查</w:t>
                  </w:r>
                  <w:r>
                    <w:rPr>
                      <w:rFonts w:hint="eastAsia"/>
                      <w:color w:val="FF0000"/>
                      <w:spacing w:val="-2"/>
                      <w:szCs w:val="21"/>
                    </w:rPr>
                    <w:t>项目</w:t>
                  </w:r>
                  <w:r>
                    <w:rPr>
                      <w:color w:val="FF0000"/>
                      <w:spacing w:val="-2"/>
                      <w:szCs w:val="21"/>
                    </w:rPr>
                    <w:t>评价范围内是否有新增环境敏</w:t>
                  </w:r>
                  <w:r>
                    <w:rPr>
                      <w:color w:val="FF0000"/>
                      <w:spacing w:val="-3"/>
                      <w:szCs w:val="21"/>
                    </w:rPr>
                    <w:t>感目标</w:t>
                  </w:r>
                </w:p>
              </w:tc>
              <w:tc>
                <w:tcPr>
                  <w:tcW w:w="1594" w:type="pct"/>
                  <w:vAlign w:val="center"/>
                </w:tcPr>
                <w:p>
                  <w:pPr>
                    <w:adjustRightInd w:val="0"/>
                    <w:snapToGrid w:val="0"/>
                    <w:jc w:val="center"/>
                    <w:rPr>
                      <w:color w:val="FF0000"/>
                      <w:spacing w:val="-2"/>
                      <w:szCs w:val="21"/>
                    </w:rPr>
                  </w:pPr>
                  <w:r>
                    <w:rPr>
                      <w:color w:val="FF0000"/>
                      <w:spacing w:val="-2"/>
                      <w:szCs w:val="21"/>
                    </w:rPr>
                    <w:t>调查</w:t>
                  </w:r>
                  <w:r>
                    <w:rPr>
                      <w:rFonts w:hint="eastAsia"/>
                      <w:color w:val="FF0000"/>
                      <w:spacing w:val="-2"/>
                      <w:szCs w:val="21"/>
                    </w:rPr>
                    <w:t>项目</w:t>
                  </w:r>
                  <w:r>
                    <w:rPr>
                      <w:color w:val="FF0000"/>
                      <w:spacing w:val="-2"/>
                      <w:szCs w:val="21"/>
                    </w:rPr>
                    <w:t>评价范围内是否有新增环境敏</w:t>
                  </w:r>
                  <w:r>
                    <w:rPr>
                      <w:color w:val="FF0000"/>
                      <w:spacing w:val="-3"/>
                      <w:szCs w:val="21"/>
                    </w:rPr>
                    <w:t>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5</w:t>
                  </w:r>
                </w:p>
              </w:tc>
              <w:tc>
                <w:tcPr>
                  <w:tcW w:w="510" w:type="pct"/>
                  <w:vAlign w:val="center"/>
                </w:tcPr>
                <w:p>
                  <w:pPr>
                    <w:adjustRightInd w:val="0"/>
                    <w:snapToGrid w:val="0"/>
                    <w:jc w:val="center"/>
                    <w:rPr>
                      <w:color w:val="FF0000"/>
                      <w:szCs w:val="21"/>
                    </w:rPr>
                  </w:pPr>
                  <w:r>
                    <w:rPr>
                      <w:color w:val="FF0000"/>
                      <w:szCs w:val="21"/>
                    </w:rPr>
                    <w:t>污染物排放</w:t>
                  </w:r>
                </w:p>
              </w:tc>
              <w:tc>
                <w:tcPr>
                  <w:tcW w:w="1040" w:type="pct"/>
                  <w:vAlign w:val="center"/>
                </w:tcPr>
                <w:p>
                  <w:pPr>
                    <w:adjustRightInd w:val="0"/>
                    <w:snapToGrid w:val="0"/>
                    <w:jc w:val="center"/>
                    <w:rPr>
                      <w:color w:val="FF0000"/>
                      <w:szCs w:val="21"/>
                    </w:rPr>
                  </w:pPr>
                  <w:r>
                    <w:rPr>
                      <w:color w:val="FF0000"/>
                      <w:szCs w:val="21"/>
                    </w:rPr>
                    <w:t>工频电场、工频磁感应强度及噪声是否满足评价标准要求</w:t>
                  </w:r>
                </w:p>
              </w:tc>
              <w:tc>
                <w:tcPr>
                  <w:tcW w:w="3186" w:type="pct"/>
                  <w:gridSpan w:val="2"/>
                  <w:vAlign w:val="center"/>
                </w:tcPr>
                <w:p>
                  <w:pPr>
                    <w:adjustRightInd w:val="0"/>
                    <w:snapToGrid w:val="0"/>
                    <w:jc w:val="center"/>
                    <w:rPr>
                      <w:color w:val="FF0000"/>
                      <w:szCs w:val="21"/>
                    </w:rPr>
                  </w:pPr>
                  <w:r>
                    <w:rPr>
                      <w:color w:val="FF0000"/>
                      <w:szCs w:val="21"/>
                    </w:rPr>
                    <w:t>工频电场强度、工频磁感应强度分别满足《电磁环境控制限值》(GB8702-2014）中4kV/m、100μT的公众曝露控制限值，厂界噪声满足《工业企业厂界环境噪声排放标准》（GB12348-2008）中2类要求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6</w:t>
                  </w:r>
                </w:p>
              </w:tc>
              <w:tc>
                <w:tcPr>
                  <w:tcW w:w="510" w:type="pct"/>
                  <w:vAlign w:val="center"/>
                </w:tcPr>
                <w:p>
                  <w:pPr>
                    <w:adjustRightInd w:val="0"/>
                    <w:snapToGrid w:val="0"/>
                    <w:jc w:val="center"/>
                    <w:rPr>
                      <w:color w:val="FF0000"/>
                      <w:szCs w:val="21"/>
                    </w:rPr>
                  </w:pPr>
                  <w:r>
                    <w:rPr>
                      <w:color w:val="FF0000"/>
                      <w:spacing w:val="-3"/>
                      <w:szCs w:val="21"/>
                    </w:rPr>
                    <w:t>环境监测</w:t>
                  </w:r>
                </w:p>
              </w:tc>
              <w:tc>
                <w:tcPr>
                  <w:tcW w:w="1040" w:type="pct"/>
                  <w:vAlign w:val="center"/>
                </w:tcPr>
                <w:p>
                  <w:pPr>
                    <w:adjustRightInd w:val="0"/>
                    <w:snapToGrid w:val="0"/>
                    <w:jc w:val="center"/>
                    <w:rPr>
                      <w:color w:val="FF0000"/>
                      <w:szCs w:val="21"/>
                    </w:rPr>
                  </w:pPr>
                  <w:r>
                    <w:rPr>
                      <w:color w:val="FF0000"/>
                      <w:szCs w:val="21"/>
                    </w:rPr>
                    <w:t>是否落实环评报告中的监测计划，竣工验收时是否对所有的影响因子，如工频电场、工频磁感应强度及噪声进行监测，对超标现象是否采取了相应的措施</w:t>
                  </w:r>
                </w:p>
              </w:tc>
              <w:tc>
                <w:tcPr>
                  <w:tcW w:w="3186" w:type="pct"/>
                  <w:gridSpan w:val="2"/>
                  <w:vAlign w:val="center"/>
                </w:tcPr>
                <w:p>
                  <w:pPr>
                    <w:adjustRightInd w:val="0"/>
                    <w:snapToGrid w:val="0"/>
                    <w:jc w:val="center"/>
                    <w:rPr>
                      <w:color w:val="FF0000"/>
                      <w:szCs w:val="21"/>
                    </w:rPr>
                  </w:pPr>
                  <w:r>
                    <w:rPr>
                      <w:color w:val="FF0000"/>
                      <w:szCs w:val="21"/>
                    </w:rPr>
                    <w:t>根据环评报告中的监测计划，</w:t>
                  </w:r>
                  <w:r>
                    <w:rPr>
                      <w:color w:val="FF0000"/>
                      <w:spacing w:val="-2"/>
                      <w:szCs w:val="21"/>
                    </w:rPr>
                    <w:t>实施竣工环保验收</w:t>
                  </w:r>
                  <w:r>
                    <w:rPr>
                      <w:rFonts w:hint="eastAsia"/>
                      <w:color w:val="FF0000"/>
                      <w:spacing w:val="-2"/>
                      <w:szCs w:val="21"/>
                    </w:rPr>
                    <w:t>监测</w:t>
                  </w:r>
                  <w:r>
                    <w:rPr>
                      <w:color w:val="FF0000"/>
                      <w:spacing w:val="-2"/>
                      <w:szCs w:val="21"/>
                    </w:rPr>
                    <w:t>，</w:t>
                  </w:r>
                  <w:r>
                    <w:rPr>
                      <w:color w:val="FF0000"/>
                      <w:spacing w:val="-4"/>
                      <w:szCs w:val="21"/>
                    </w:rPr>
                    <w:t>如有超标</w:t>
                  </w:r>
                  <w:r>
                    <w:rPr>
                      <w:color w:val="FF0000"/>
                      <w:spacing w:val="-2"/>
                      <w:szCs w:val="21"/>
                    </w:rPr>
                    <w:t>情况，采取相应措施直至达标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2" w:type="pct"/>
                  <w:vAlign w:val="center"/>
                </w:tcPr>
                <w:p>
                  <w:pPr>
                    <w:adjustRightInd w:val="0"/>
                    <w:snapToGrid w:val="0"/>
                    <w:jc w:val="center"/>
                    <w:rPr>
                      <w:color w:val="FF0000"/>
                      <w:szCs w:val="21"/>
                    </w:rPr>
                  </w:pPr>
                  <w:r>
                    <w:rPr>
                      <w:color w:val="FF0000"/>
                      <w:szCs w:val="21"/>
                    </w:rPr>
                    <w:t>7</w:t>
                  </w:r>
                </w:p>
              </w:tc>
              <w:tc>
                <w:tcPr>
                  <w:tcW w:w="510" w:type="pct"/>
                  <w:vAlign w:val="center"/>
                </w:tcPr>
                <w:p>
                  <w:pPr>
                    <w:adjustRightInd w:val="0"/>
                    <w:snapToGrid w:val="0"/>
                    <w:jc w:val="center"/>
                    <w:rPr>
                      <w:color w:val="FF0000"/>
                      <w:szCs w:val="21"/>
                    </w:rPr>
                  </w:pPr>
                  <w:r>
                    <w:rPr>
                      <w:color w:val="FF0000"/>
                      <w:szCs w:val="21"/>
                    </w:rPr>
                    <w:t>存在的问题及其改进措施与环境管理建议</w:t>
                  </w:r>
                </w:p>
              </w:tc>
              <w:tc>
                <w:tcPr>
                  <w:tcW w:w="1040" w:type="pct"/>
                  <w:vAlign w:val="center"/>
                </w:tcPr>
                <w:p>
                  <w:pPr>
                    <w:adjustRightInd w:val="0"/>
                    <w:snapToGrid w:val="0"/>
                    <w:jc w:val="center"/>
                    <w:rPr>
                      <w:color w:val="FF0000"/>
                      <w:szCs w:val="21"/>
                    </w:rPr>
                  </w:pPr>
                  <w:r>
                    <w:rPr>
                      <w:color w:val="FF0000"/>
                      <w:szCs w:val="21"/>
                    </w:rPr>
                    <w:t>通过现场调查，总结项目施工期、运行期是否存在相应的环境问题并提出改进措施与环境管理建议</w:t>
                  </w:r>
                </w:p>
              </w:tc>
              <w:tc>
                <w:tcPr>
                  <w:tcW w:w="3186" w:type="pct"/>
                  <w:gridSpan w:val="2"/>
                  <w:vAlign w:val="center"/>
                </w:tcPr>
                <w:p>
                  <w:pPr>
                    <w:adjustRightInd w:val="0"/>
                    <w:snapToGrid w:val="0"/>
                    <w:jc w:val="center"/>
                    <w:rPr>
                      <w:color w:val="FF0000"/>
                      <w:szCs w:val="21"/>
                    </w:rPr>
                  </w:pPr>
                  <w:r>
                    <w:rPr>
                      <w:rFonts w:hint="eastAsia"/>
                      <w:color w:val="FF0000"/>
                      <w:szCs w:val="21"/>
                    </w:rPr>
                    <w:t>建立环境管理制度、档案</w:t>
                  </w:r>
                </w:p>
              </w:tc>
            </w:tr>
          </w:tbl>
          <w:p>
            <w:pPr>
              <w:spacing w:line="360" w:lineRule="auto"/>
              <w:ind w:firstLine="480" w:firstLineChars="200"/>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ascii="宋体" w:hAnsi="宋体" w:cs="宋体"/>
                <w:bCs/>
                <w:spacing w:val="10"/>
                <w:szCs w:val="21"/>
              </w:rPr>
            </w:pPr>
            <w:r>
              <w:rPr>
                <w:rFonts w:hint="eastAsia" w:ascii="宋体" w:hAnsi="宋体"/>
                <w:bCs/>
                <w:szCs w:val="21"/>
              </w:rPr>
              <w:t>环保投资</w:t>
            </w:r>
          </w:p>
        </w:tc>
        <w:tc>
          <w:tcPr>
            <w:tcW w:w="8457" w:type="dxa"/>
          </w:tcPr>
          <w:p>
            <w:pPr>
              <w:adjustRightInd w:val="0"/>
              <w:snapToGrid w:val="0"/>
              <w:spacing w:before="120" w:beforeLines="50" w:after="120" w:afterLines="50" w:line="360" w:lineRule="auto"/>
              <w:rPr>
                <w:b/>
                <w:bCs/>
                <w:sz w:val="24"/>
              </w:rPr>
            </w:pPr>
            <w:r>
              <w:rPr>
                <w:rFonts w:hint="eastAsia"/>
                <w:b/>
                <w:bCs/>
                <w:sz w:val="24"/>
              </w:rPr>
              <w:t>5.4</w:t>
            </w:r>
            <w:r>
              <w:rPr>
                <w:b/>
                <w:bCs/>
                <w:sz w:val="24"/>
              </w:rPr>
              <w:t>环保投资估算</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34" w:name="_Toc24746"/>
            <w:r>
              <w:rPr>
                <w:rFonts w:ascii="Times New Roman" w:hAnsi="Times New Roman" w:cs="Times New Roman"/>
                <w:b w:val="0"/>
                <w:bCs w:val="0"/>
                <w:sz w:val="24"/>
                <w:szCs w:val="24"/>
                <w:lang w:eastAsia="zh-CN"/>
              </w:rPr>
              <w:t>本项目估算总投资为</w:t>
            </w:r>
            <w:r>
              <w:rPr>
                <w:rFonts w:hint="eastAsia" w:ascii="Times New Roman" w:hAnsi="Times New Roman" w:cs="Times New Roman"/>
                <w:b w:val="0"/>
                <w:bCs w:val="0"/>
                <w:sz w:val="24"/>
                <w:szCs w:val="24"/>
                <w:lang w:eastAsia="zh-CN"/>
              </w:rPr>
              <w:t>230000</w:t>
            </w:r>
            <w:r>
              <w:rPr>
                <w:rFonts w:ascii="Times New Roman" w:hAnsi="Times New Roman" w:cs="Times New Roman"/>
                <w:b w:val="0"/>
                <w:bCs w:val="0"/>
                <w:sz w:val="24"/>
                <w:szCs w:val="24"/>
                <w:lang w:eastAsia="zh-CN"/>
              </w:rPr>
              <w:t>万元。环保投资约</w:t>
            </w:r>
            <w:r>
              <w:rPr>
                <w:rFonts w:hint="eastAsia" w:ascii="Times New Roman" w:hAnsi="Times New Roman" w:cs="Times New Roman"/>
                <w:b w:val="0"/>
                <w:bCs w:val="0"/>
                <w:sz w:val="24"/>
                <w:szCs w:val="24"/>
                <w:lang w:eastAsia="zh-CN"/>
              </w:rPr>
              <w:t>273</w:t>
            </w:r>
            <w:r>
              <w:rPr>
                <w:rFonts w:ascii="Times New Roman" w:hAnsi="Times New Roman" w:cs="Times New Roman"/>
                <w:b w:val="0"/>
                <w:bCs w:val="0"/>
                <w:sz w:val="24"/>
                <w:szCs w:val="24"/>
                <w:lang w:eastAsia="zh-CN"/>
              </w:rPr>
              <w:t>万元，环保投资占总投资比例约为</w:t>
            </w:r>
            <w:r>
              <w:rPr>
                <w:rFonts w:hint="eastAsia" w:ascii="Times New Roman" w:hAnsi="Times New Roman" w:cs="Times New Roman"/>
                <w:b w:val="0"/>
                <w:bCs w:val="0"/>
                <w:sz w:val="24"/>
                <w:szCs w:val="24"/>
                <w:lang w:eastAsia="zh-CN"/>
              </w:rPr>
              <w:t>0.12</w:t>
            </w:r>
            <w:r>
              <w:rPr>
                <w:rFonts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eastAsia="zh-CN"/>
              </w:rPr>
              <w:t>，具体环保投资估算见下表</w:t>
            </w:r>
            <w:r>
              <w:rPr>
                <w:rFonts w:ascii="Times New Roman" w:hAnsi="Times New Roman" w:cs="Times New Roman"/>
                <w:b w:val="0"/>
                <w:bCs w:val="0"/>
                <w:sz w:val="24"/>
                <w:szCs w:val="24"/>
                <w:lang w:eastAsia="zh-CN"/>
              </w:rPr>
              <w:t>。</w:t>
            </w:r>
            <w:bookmarkEnd w:id="134"/>
          </w:p>
          <w:p>
            <w:pPr>
              <w:adjustRightInd w:val="0"/>
              <w:snapToGrid w:val="0"/>
              <w:spacing w:before="120" w:beforeLines="50" w:line="360" w:lineRule="auto"/>
              <w:jc w:val="center"/>
              <w:rPr>
                <w:bCs/>
                <w:spacing w:val="10"/>
                <w:sz w:val="24"/>
              </w:rPr>
            </w:pPr>
            <w:r>
              <w:rPr>
                <w:rFonts w:hint="eastAsia"/>
                <w:b/>
                <w:spacing w:val="10"/>
                <w:sz w:val="24"/>
              </w:rPr>
              <w:t xml:space="preserve">表5-6     </w:t>
            </w:r>
            <w:r>
              <w:rPr>
                <w:b/>
                <w:spacing w:val="10"/>
                <w:sz w:val="24"/>
              </w:rPr>
              <w:t>环保投资一览表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551"/>
              <w:gridCol w:w="4660"/>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tcBorders>
                    <w:tl2br w:val="nil"/>
                    <w:tr2bl w:val="nil"/>
                  </w:tcBorders>
                  <w:vAlign w:val="center"/>
                </w:tcPr>
                <w:p>
                  <w:pPr>
                    <w:adjustRightInd w:val="0"/>
                    <w:snapToGrid w:val="0"/>
                    <w:jc w:val="center"/>
                    <w:rPr>
                      <w:szCs w:val="21"/>
                    </w:rPr>
                  </w:pPr>
                  <w:r>
                    <w:rPr>
                      <w:szCs w:val="21"/>
                    </w:rPr>
                    <w:t>时段</w:t>
                  </w:r>
                </w:p>
              </w:tc>
              <w:tc>
                <w:tcPr>
                  <w:tcW w:w="955" w:type="pct"/>
                  <w:tcBorders>
                    <w:tl2br w:val="nil"/>
                    <w:tr2bl w:val="nil"/>
                  </w:tcBorders>
                  <w:vAlign w:val="center"/>
                </w:tcPr>
                <w:p>
                  <w:pPr>
                    <w:adjustRightInd w:val="0"/>
                    <w:snapToGrid w:val="0"/>
                    <w:jc w:val="center"/>
                    <w:rPr>
                      <w:szCs w:val="21"/>
                    </w:rPr>
                  </w:pPr>
                  <w:r>
                    <w:rPr>
                      <w:szCs w:val="21"/>
                    </w:rPr>
                    <w:t>项目</w:t>
                  </w:r>
                </w:p>
              </w:tc>
              <w:tc>
                <w:tcPr>
                  <w:tcW w:w="2870" w:type="pct"/>
                  <w:tcBorders>
                    <w:tl2br w:val="nil"/>
                    <w:tr2bl w:val="nil"/>
                  </w:tcBorders>
                  <w:vAlign w:val="center"/>
                </w:tcPr>
                <w:p>
                  <w:pPr>
                    <w:adjustRightInd w:val="0"/>
                    <w:snapToGrid w:val="0"/>
                    <w:jc w:val="center"/>
                    <w:rPr>
                      <w:szCs w:val="21"/>
                    </w:rPr>
                  </w:pPr>
                  <w:r>
                    <w:rPr>
                      <w:szCs w:val="21"/>
                    </w:rPr>
                    <w:t>环保措施</w:t>
                  </w:r>
                </w:p>
              </w:tc>
              <w:tc>
                <w:tcPr>
                  <w:tcW w:w="742" w:type="pct"/>
                  <w:tcBorders>
                    <w:tl2br w:val="nil"/>
                    <w:tr2bl w:val="nil"/>
                  </w:tcBorders>
                  <w:vAlign w:val="center"/>
                </w:tcPr>
                <w:p>
                  <w:pPr>
                    <w:adjustRightInd w:val="0"/>
                    <w:snapToGrid w:val="0"/>
                    <w:jc w:val="center"/>
                    <w:rPr>
                      <w:szCs w:val="21"/>
                    </w:rPr>
                  </w:pPr>
                  <w:r>
                    <w:rPr>
                      <w:szCs w:val="21"/>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restart"/>
                  <w:tcBorders>
                    <w:tl2br w:val="nil"/>
                    <w:tr2bl w:val="nil"/>
                  </w:tcBorders>
                  <w:vAlign w:val="center"/>
                </w:tcPr>
                <w:p>
                  <w:pPr>
                    <w:adjustRightInd w:val="0"/>
                    <w:snapToGrid w:val="0"/>
                    <w:jc w:val="center"/>
                    <w:rPr>
                      <w:szCs w:val="21"/>
                    </w:rPr>
                  </w:pPr>
                  <w:r>
                    <w:rPr>
                      <w:szCs w:val="21"/>
                    </w:rPr>
                    <w:t>施</w:t>
                  </w:r>
                </w:p>
                <w:p>
                  <w:pPr>
                    <w:adjustRightInd w:val="0"/>
                    <w:snapToGrid w:val="0"/>
                    <w:jc w:val="center"/>
                    <w:rPr>
                      <w:szCs w:val="21"/>
                    </w:rPr>
                  </w:pPr>
                  <w:r>
                    <w:rPr>
                      <w:szCs w:val="21"/>
                    </w:rPr>
                    <w:t>工</w:t>
                  </w:r>
                </w:p>
                <w:p>
                  <w:pPr>
                    <w:adjustRightInd w:val="0"/>
                    <w:snapToGrid w:val="0"/>
                    <w:jc w:val="center"/>
                    <w:rPr>
                      <w:szCs w:val="21"/>
                    </w:rPr>
                  </w:pPr>
                  <w:r>
                    <w:rPr>
                      <w:szCs w:val="21"/>
                    </w:rPr>
                    <w:t>期</w:t>
                  </w:r>
                </w:p>
              </w:tc>
              <w:tc>
                <w:tcPr>
                  <w:tcW w:w="955" w:type="pct"/>
                  <w:tcBorders>
                    <w:tl2br w:val="nil"/>
                    <w:tr2bl w:val="nil"/>
                  </w:tcBorders>
                  <w:vAlign w:val="center"/>
                </w:tcPr>
                <w:p>
                  <w:pPr>
                    <w:adjustRightInd w:val="0"/>
                    <w:snapToGrid w:val="0"/>
                    <w:jc w:val="center"/>
                    <w:rPr>
                      <w:szCs w:val="21"/>
                    </w:rPr>
                  </w:pPr>
                  <w:r>
                    <w:rPr>
                      <w:szCs w:val="21"/>
                    </w:rPr>
                    <w:t>施工扬尘</w:t>
                  </w:r>
                </w:p>
              </w:tc>
              <w:tc>
                <w:tcPr>
                  <w:tcW w:w="2870" w:type="pct"/>
                  <w:tcBorders>
                    <w:tl2br w:val="nil"/>
                    <w:tr2bl w:val="nil"/>
                  </w:tcBorders>
                  <w:vAlign w:val="center"/>
                </w:tcPr>
                <w:p>
                  <w:pPr>
                    <w:adjustRightInd w:val="0"/>
                    <w:snapToGrid w:val="0"/>
                    <w:rPr>
                      <w:spacing w:val="-5"/>
                      <w:szCs w:val="21"/>
                    </w:rPr>
                  </w:pPr>
                  <w:r>
                    <w:rPr>
                      <w:spacing w:val="-2"/>
                      <w:szCs w:val="21"/>
                    </w:rPr>
                    <w:t>①文明</w:t>
                  </w:r>
                  <w:r>
                    <w:rPr>
                      <w:spacing w:val="-5"/>
                      <w:szCs w:val="21"/>
                    </w:rPr>
                    <w:t>施工，加强施工期环</w:t>
                  </w:r>
                  <w:r>
                    <w:rPr>
                      <w:spacing w:val="-1"/>
                      <w:szCs w:val="21"/>
                    </w:rPr>
                    <w:t>境管理和环境监控</w:t>
                  </w:r>
                  <w:r>
                    <w:rPr>
                      <w:spacing w:val="-5"/>
                      <w:szCs w:val="21"/>
                    </w:rPr>
                    <w:t>；</w:t>
                  </w:r>
                </w:p>
                <w:p>
                  <w:pPr>
                    <w:adjustRightInd w:val="0"/>
                    <w:snapToGrid w:val="0"/>
                    <w:rPr>
                      <w:szCs w:val="21"/>
                    </w:rPr>
                  </w:pPr>
                  <w:r>
                    <w:rPr>
                      <w:spacing w:val="-5"/>
                      <w:szCs w:val="21"/>
                    </w:rPr>
                    <w:t>②施工时，裸露施工面定期洒水</w:t>
                  </w:r>
                  <w:r>
                    <w:rPr>
                      <w:spacing w:val="-3"/>
                      <w:szCs w:val="21"/>
                    </w:rPr>
                    <w:t>；</w:t>
                  </w:r>
                </w:p>
                <w:p>
                  <w:pPr>
                    <w:adjustRightInd w:val="0"/>
                    <w:snapToGrid w:val="0"/>
                    <w:rPr>
                      <w:spacing w:val="2"/>
                      <w:szCs w:val="21"/>
                    </w:rPr>
                  </w:pPr>
                  <w:r>
                    <w:rPr>
                      <w:spacing w:val="-2"/>
                      <w:szCs w:val="21"/>
                    </w:rPr>
                    <w:t>③车辆运输</w:t>
                  </w:r>
                  <w:r>
                    <w:rPr>
                      <w:spacing w:val="-1"/>
                      <w:szCs w:val="21"/>
                    </w:rPr>
                    <w:t>必须密</w:t>
                  </w:r>
                  <w:r>
                    <w:rPr>
                      <w:spacing w:val="-5"/>
                      <w:szCs w:val="21"/>
                    </w:rPr>
                    <w:t>闭、包扎、覆盖</w:t>
                  </w:r>
                  <w:r>
                    <w:rPr>
                      <w:spacing w:val="-17"/>
                      <w:szCs w:val="21"/>
                    </w:rPr>
                    <w:t>；运载土方的</w:t>
                  </w:r>
                  <w:r>
                    <w:rPr>
                      <w:spacing w:val="-1"/>
                      <w:szCs w:val="21"/>
                    </w:rPr>
                    <w:t>车辆必须按规定时间、路线行</w:t>
                  </w:r>
                  <w:r>
                    <w:rPr>
                      <w:spacing w:val="2"/>
                      <w:szCs w:val="21"/>
                    </w:rPr>
                    <w:t>驶，控制扬尘污染；</w:t>
                  </w:r>
                </w:p>
                <w:p>
                  <w:pPr>
                    <w:adjustRightInd w:val="0"/>
                    <w:snapToGrid w:val="0"/>
                    <w:rPr>
                      <w:spacing w:val="4"/>
                      <w:szCs w:val="21"/>
                    </w:rPr>
                  </w:pPr>
                  <w:r>
                    <w:rPr>
                      <w:spacing w:val="-2"/>
                      <w:szCs w:val="21"/>
                    </w:rPr>
                    <w:t>④材料</w:t>
                  </w:r>
                  <w:r>
                    <w:rPr>
                      <w:spacing w:val="-5"/>
                      <w:szCs w:val="21"/>
                    </w:rPr>
                    <w:t>合理装卸，</w:t>
                  </w:r>
                  <w:r>
                    <w:rPr>
                      <w:spacing w:val="4"/>
                      <w:szCs w:val="21"/>
                    </w:rPr>
                    <w:t>规范操作；</w:t>
                  </w:r>
                </w:p>
                <w:p>
                  <w:pPr>
                    <w:adjustRightInd w:val="0"/>
                    <w:snapToGrid w:val="0"/>
                    <w:rPr>
                      <w:spacing w:val="-1"/>
                      <w:szCs w:val="21"/>
                    </w:rPr>
                  </w:pPr>
                  <w:r>
                    <w:rPr>
                      <w:spacing w:val="-2"/>
                      <w:szCs w:val="21"/>
                    </w:rPr>
                    <w:t>⑤施工先</w:t>
                  </w:r>
                  <w:r>
                    <w:rPr>
                      <w:spacing w:val="-1"/>
                      <w:szCs w:val="21"/>
                    </w:rPr>
                    <w:t>行设置围挡措施；</w:t>
                  </w:r>
                </w:p>
                <w:p>
                  <w:pPr>
                    <w:adjustRightInd w:val="0"/>
                    <w:snapToGrid w:val="0"/>
                    <w:rPr>
                      <w:szCs w:val="21"/>
                    </w:rPr>
                  </w:pPr>
                  <w:r>
                    <w:rPr>
                      <w:spacing w:val="-2"/>
                      <w:szCs w:val="21"/>
                    </w:rPr>
                    <w:t>⑥限</w:t>
                  </w:r>
                  <w:r>
                    <w:rPr>
                      <w:spacing w:val="-5"/>
                      <w:szCs w:val="21"/>
                    </w:rPr>
                    <w:t>制车速，场内道路、堆场及车辆进出时洒水</w:t>
                  </w:r>
                  <w:r>
                    <w:rPr>
                      <w:spacing w:val="-2"/>
                      <w:szCs w:val="21"/>
                    </w:rPr>
                    <w:t>；</w:t>
                  </w:r>
                </w:p>
                <w:p>
                  <w:pPr>
                    <w:adjustRightInd w:val="0"/>
                    <w:snapToGrid w:val="0"/>
                    <w:jc w:val="center"/>
                    <w:rPr>
                      <w:szCs w:val="21"/>
                    </w:rPr>
                  </w:pPr>
                  <w:r>
                    <w:rPr>
                      <w:spacing w:val="-2"/>
                      <w:szCs w:val="21"/>
                    </w:rPr>
                    <w:t>⑦施工临时中转土方</w:t>
                  </w:r>
                  <w:r>
                    <w:rPr>
                      <w:spacing w:val="-4"/>
                      <w:szCs w:val="21"/>
                    </w:rPr>
                    <w:t>以及弃土弃渣等要合</w:t>
                  </w:r>
                  <w:r>
                    <w:rPr>
                      <w:spacing w:val="-5"/>
                      <w:szCs w:val="21"/>
                    </w:rPr>
                    <w:t>理堆放，采取防尘网遮盖、定期洒水等措施进行</w:t>
                  </w:r>
                  <w:r>
                    <w:rPr>
                      <w:spacing w:val="-2"/>
                      <w:szCs w:val="21"/>
                    </w:rPr>
                    <w:t>扬尘控制。</w:t>
                  </w:r>
                </w:p>
              </w:tc>
              <w:tc>
                <w:tcPr>
                  <w:tcW w:w="742" w:type="pct"/>
                  <w:tcBorders>
                    <w:tl2br w:val="nil"/>
                    <w:tr2bl w:val="nil"/>
                  </w:tcBorders>
                  <w:vAlign w:val="center"/>
                </w:tcPr>
                <w:p>
                  <w:pPr>
                    <w:adjustRightInd w:val="0"/>
                    <w:snapToGrid w:val="0"/>
                    <w:jc w:val="center"/>
                    <w:rPr>
                      <w:szCs w:val="21"/>
                    </w:rPr>
                  </w:pPr>
                  <w:r>
                    <w:rPr>
                      <w:rFonts w:hint="eastAsia"/>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tcBorders>
                    <w:tl2br w:val="nil"/>
                    <w:tr2bl w:val="nil"/>
                  </w:tcBorders>
                  <w:vAlign w:val="center"/>
                </w:tcPr>
                <w:p>
                  <w:pPr>
                    <w:adjustRightInd w:val="0"/>
                    <w:snapToGrid w:val="0"/>
                    <w:jc w:val="center"/>
                    <w:rPr>
                      <w:szCs w:val="21"/>
                    </w:rPr>
                  </w:pPr>
                  <w:r>
                    <w:t>施工噪声</w:t>
                  </w:r>
                </w:p>
              </w:tc>
              <w:tc>
                <w:tcPr>
                  <w:tcW w:w="2870" w:type="pct"/>
                  <w:tcBorders>
                    <w:tl2br w:val="nil"/>
                    <w:tr2bl w:val="nil"/>
                  </w:tcBorders>
                  <w:vAlign w:val="center"/>
                </w:tcPr>
                <w:p>
                  <w:pPr>
                    <w:adjustRightInd w:val="0"/>
                    <w:snapToGrid w:val="0"/>
                    <w:jc w:val="center"/>
                    <w:rPr>
                      <w:snapToGrid w:val="0"/>
                      <w:kern w:val="21"/>
                    </w:rPr>
                  </w:pPr>
                  <w:r>
                    <w:rPr>
                      <w:snapToGrid w:val="0"/>
                      <w:kern w:val="21"/>
                    </w:rPr>
                    <w:t>①施工单位选用满足国家相应噪声标准且低噪音的机械设备或带隔声、消声设备。</w:t>
                  </w:r>
                </w:p>
                <w:p>
                  <w:pPr>
                    <w:adjustRightInd w:val="0"/>
                    <w:snapToGrid w:val="0"/>
                    <w:jc w:val="center"/>
                    <w:rPr>
                      <w:snapToGrid w:val="0"/>
                      <w:kern w:val="21"/>
                    </w:rPr>
                  </w:pPr>
                  <w:r>
                    <w:rPr>
                      <w:snapToGrid w:val="0"/>
                      <w:kern w:val="21"/>
                    </w:rPr>
                    <w:t>②施工单位合理规划施工时间和安排施工场地，夜间禁止施工。严禁高噪声、高振动的设备在中午及夜间休息时间作业。</w:t>
                  </w:r>
                </w:p>
                <w:p>
                  <w:pPr>
                    <w:adjustRightInd w:val="0"/>
                    <w:snapToGrid w:val="0"/>
                    <w:jc w:val="center"/>
                    <w:rPr>
                      <w:spacing w:val="-2"/>
                      <w:szCs w:val="21"/>
                    </w:rPr>
                  </w:pPr>
                  <w:r>
                    <w:rPr>
                      <w:snapToGrid w:val="0"/>
                      <w:kern w:val="21"/>
                    </w:rPr>
                    <w:t>③在满足工程建设要求的情况下尽量优化施工时序，避免高噪声设备同时运行，尽量缩短施工工期。</w:t>
                  </w:r>
                </w:p>
              </w:tc>
              <w:tc>
                <w:tcPr>
                  <w:tcW w:w="742" w:type="pct"/>
                  <w:tcBorders>
                    <w:tl2br w:val="nil"/>
                    <w:tr2bl w:val="nil"/>
                  </w:tcBorders>
                  <w:vAlign w:val="center"/>
                </w:tcPr>
                <w:p>
                  <w:pPr>
                    <w:adjustRightInd w:val="0"/>
                    <w:snapToGrid w:val="0"/>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tcBorders>
                    <w:tl2br w:val="nil"/>
                    <w:tr2bl w:val="nil"/>
                  </w:tcBorders>
                  <w:vAlign w:val="center"/>
                </w:tcPr>
                <w:p>
                  <w:pPr>
                    <w:adjustRightInd w:val="0"/>
                    <w:snapToGrid w:val="0"/>
                    <w:jc w:val="center"/>
                    <w:rPr>
                      <w:szCs w:val="21"/>
                    </w:rPr>
                  </w:pPr>
                  <w:r>
                    <w:rPr>
                      <w:szCs w:val="21"/>
                    </w:rPr>
                    <w:t>施工废水</w:t>
                  </w:r>
                </w:p>
              </w:tc>
              <w:tc>
                <w:tcPr>
                  <w:tcW w:w="2870" w:type="pct"/>
                  <w:tcBorders>
                    <w:tl2br w:val="nil"/>
                    <w:tr2bl w:val="nil"/>
                  </w:tcBorders>
                  <w:vAlign w:val="center"/>
                </w:tcPr>
                <w:p>
                  <w:pPr>
                    <w:adjustRightInd w:val="0"/>
                    <w:snapToGrid w:val="0"/>
                    <w:rPr>
                      <w:szCs w:val="21"/>
                    </w:rPr>
                  </w:pPr>
                  <w:r>
                    <w:rPr>
                      <w:szCs w:val="21"/>
                    </w:rPr>
                    <w:t>①施工废水经沉淀池预处理后回用；</w:t>
                  </w:r>
                </w:p>
                <w:p>
                  <w:pPr>
                    <w:adjustRightInd w:val="0"/>
                    <w:snapToGrid w:val="0"/>
                    <w:rPr>
                      <w:szCs w:val="21"/>
                    </w:rPr>
                  </w:pPr>
                  <w:r>
                    <w:rPr>
                      <w:szCs w:val="21"/>
                    </w:rPr>
                    <w:t>②施工单位要做好施工场地周围的拦挡措施，尽量避免雨季开挖作业；</w:t>
                  </w:r>
                </w:p>
                <w:p>
                  <w:pPr>
                    <w:adjustRightInd w:val="0"/>
                    <w:snapToGrid w:val="0"/>
                    <w:rPr>
                      <w:szCs w:val="21"/>
                    </w:rPr>
                  </w:pPr>
                  <w:r>
                    <w:rPr>
                      <w:szCs w:val="21"/>
                    </w:rPr>
                    <w:t>③施工期利用临时旱厕（防渗），生活污水不外排</w:t>
                  </w:r>
                </w:p>
              </w:tc>
              <w:tc>
                <w:tcPr>
                  <w:tcW w:w="742" w:type="pct"/>
                  <w:tcBorders>
                    <w:tl2br w:val="nil"/>
                    <w:tr2bl w:val="nil"/>
                  </w:tcBorders>
                  <w:vAlign w:val="center"/>
                </w:tcPr>
                <w:p>
                  <w:pPr>
                    <w:adjustRightInd w:val="0"/>
                    <w:snapToGrid w:val="0"/>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tcBorders>
                    <w:tl2br w:val="nil"/>
                    <w:tr2bl w:val="nil"/>
                  </w:tcBorders>
                  <w:vAlign w:val="center"/>
                </w:tcPr>
                <w:p>
                  <w:pPr>
                    <w:adjustRightInd w:val="0"/>
                    <w:snapToGrid w:val="0"/>
                    <w:jc w:val="center"/>
                    <w:rPr>
                      <w:szCs w:val="21"/>
                    </w:rPr>
                  </w:pPr>
                  <w:r>
                    <w:rPr>
                      <w:szCs w:val="21"/>
                    </w:rPr>
                    <w:t>固体废物</w:t>
                  </w:r>
                </w:p>
              </w:tc>
              <w:tc>
                <w:tcPr>
                  <w:tcW w:w="2870" w:type="pct"/>
                  <w:tcBorders>
                    <w:tl2br w:val="nil"/>
                    <w:tr2bl w:val="nil"/>
                  </w:tcBorders>
                  <w:vAlign w:val="center"/>
                </w:tcPr>
                <w:p>
                  <w:pPr>
                    <w:adjustRightInd w:val="0"/>
                    <w:snapToGrid w:val="0"/>
                    <w:rPr>
                      <w:szCs w:val="21"/>
                    </w:rPr>
                  </w:pPr>
                  <w:r>
                    <w:rPr>
                      <w:szCs w:val="21"/>
                    </w:rPr>
                    <w:t>①</w:t>
                  </w:r>
                  <w:r>
                    <w:rPr>
                      <w:spacing w:val="-2"/>
                      <w:szCs w:val="21"/>
                    </w:rPr>
                    <w:t>施工人员产生的生活垃圾</w:t>
                  </w:r>
                  <w:r>
                    <w:rPr>
                      <w:spacing w:val="-5"/>
                      <w:szCs w:val="21"/>
                    </w:rPr>
                    <w:t>集中收集、分类堆放，定期清运</w:t>
                  </w:r>
                  <w:r>
                    <w:rPr>
                      <w:spacing w:val="-2"/>
                      <w:szCs w:val="21"/>
                    </w:rPr>
                    <w:t>；</w:t>
                  </w:r>
                </w:p>
                <w:p>
                  <w:pPr>
                    <w:adjustRightInd w:val="0"/>
                    <w:snapToGrid w:val="0"/>
                    <w:rPr>
                      <w:szCs w:val="21"/>
                    </w:rPr>
                  </w:pPr>
                  <w:r>
                    <w:rPr>
                      <w:szCs w:val="21"/>
                    </w:rPr>
                    <w:t>②</w:t>
                  </w:r>
                  <w:r>
                    <w:rPr>
                      <w:spacing w:val="18"/>
                      <w:szCs w:val="21"/>
                    </w:rPr>
                    <w:t>建筑</w:t>
                  </w:r>
                  <w:r>
                    <w:rPr>
                      <w:rFonts w:hint="eastAsia"/>
                      <w:spacing w:val="18"/>
                      <w:szCs w:val="21"/>
                    </w:rPr>
                    <w:t>垃圾由施工单位</w:t>
                  </w:r>
                  <w:r>
                    <w:rPr>
                      <w:spacing w:val="-5"/>
                      <w:szCs w:val="21"/>
                    </w:rPr>
                    <w:t>及时清运</w:t>
                  </w:r>
                </w:p>
              </w:tc>
              <w:tc>
                <w:tcPr>
                  <w:tcW w:w="742" w:type="pct"/>
                  <w:tcBorders>
                    <w:tl2br w:val="nil"/>
                    <w:tr2bl w:val="nil"/>
                  </w:tcBorders>
                  <w:vAlign w:val="center"/>
                </w:tcPr>
                <w:p>
                  <w:pPr>
                    <w:adjustRightInd w:val="0"/>
                    <w:snapToGrid w:val="0"/>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restart"/>
                  <w:tcBorders>
                    <w:tl2br w:val="nil"/>
                    <w:tr2bl w:val="nil"/>
                  </w:tcBorders>
                  <w:vAlign w:val="center"/>
                </w:tcPr>
                <w:p>
                  <w:pPr>
                    <w:adjustRightInd w:val="0"/>
                    <w:snapToGrid w:val="0"/>
                    <w:jc w:val="center"/>
                    <w:rPr>
                      <w:szCs w:val="21"/>
                    </w:rPr>
                  </w:pPr>
                  <w:r>
                    <w:rPr>
                      <w:szCs w:val="21"/>
                    </w:rPr>
                    <w:t>生态保护</w:t>
                  </w:r>
                </w:p>
              </w:tc>
              <w:tc>
                <w:tcPr>
                  <w:tcW w:w="2870" w:type="pct"/>
                  <w:tcBorders>
                    <w:tl2br w:val="nil"/>
                    <w:tr2bl w:val="nil"/>
                  </w:tcBorders>
                  <w:vAlign w:val="center"/>
                </w:tcPr>
                <w:p>
                  <w:pPr>
                    <w:adjustRightInd w:val="0"/>
                    <w:snapToGrid w:val="0"/>
                    <w:jc w:val="center"/>
                    <w:rPr>
                      <w:szCs w:val="21"/>
                    </w:rPr>
                  </w:pPr>
                  <w:r>
                    <w:t>对施工临时土方堆放场地采取遮蔽措施，预防水土流失；</w:t>
                  </w:r>
                </w:p>
              </w:tc>
              <w:tc>
                <w:tcPr>
                  <w:tcW w:w="742" w:type="pct"/>
                  <w:tcBorders>
                    <w:tl2br w:val="nil"/>
                    <w:tr2bl w:val="nil"/>
                  </w:tcBorders>
                  <w:vAlign w:val="center"/>
                </w:tcPr>
                <w:p>
                  <w:pPr>
                    <w:adjustRightInd w:val="0"/>
                    <w:snapToGrid w:val="0"/>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continue"/>
                  <w:tcBorders>
                    <w:tl2br w:val="nil"/>
                    <w:tr2bl w:val="nil"/>
                  </w:tcBorders>
                  <w:vAlign w:val="center"/>
                </w:tcPr>
                <w:p>
                  <w:pPr>
                    <w:adjustRightInd w:val="0"/>
                    <w:snapToGrid w:val="0"/>
                    <w:jc w:val="center"/>
                    <w:rPr>
                      <w:szCs w:val="21"/>
                    </w:rPr>
                  </w:pPr>
                </w:p>
              </w:tc>
              <w:tc>
                <w:tcPr>
                  <w:tcW w:w="2870" w:type="pct"/>
                  <w:tcBorders>
                    <w:tl2br w:val="nil"/>
                    <w:tr2bl w:val="nil"/>
                  </w:tcBorders>
                  <w:vAlign w:val="center"/>
                </w:tcPr>
                <w:p>
                  <w:pPr>
                    <w:adjustRightInd w:val="0"/>
                    <w:snapToGrid w:val="0"/>
                  </w:pPr>
                  <w:r>
                    <w:t>施工结束后，对临时用地采取土地整治</w:t>
                  </w:r>
                  <w:r>
                    <w:rPr>
                      <w:rFonts w:hint="eastAsia"/>
                    </w:rPr>
                    <w:t>、洒水结皮等</w:t>
                  </w:r>
                  <w:r>
                    <w:t>措施</w:t>
                  </w:r>
                </w:p>
              </w:tc>
              <w:tc>
                <w:tcPr>
                  <w:tcW w:w="742" w:type="pct"/>
                  <w:tcBorders>
                    <w:tl2br w:val="nil"/>
                    <w:tr2bl w:val="nil"/>
                  </w:tcBorders>
                  <w:vAlign w:val="center"/>
                </w:tcPr>
                <w:p>
                  <w:pPr>
                    <w:adjustRightInd w:val="0"/>
                    <w:snapToGrid w:val="0"/>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continue"/>
                  <w:tcBorders>
                    <w:tl2br w:val="nil"/>
                    <w:tr2bl w:val="nil"/>
                  </w:tcBorders>
                  <w:vAlign w:val="center"/>
                </w:tcPr>
                <w:p>
                  <w:pPr>
                    <w:adjustRightInd w:val="0"/>
                    <w:snapToGrid w:val="0"/>
                    <w:jc w:val="center"/>
                    <w:rPr>
                      <w:szCs w:val="21"/>
                    </w:rPr>
                  </w:pPr>
                </w:p>
              </w:tc>
              <w:tc>
                <w:tcPr>
                  <w:tcW w:w="2870" w:type="pct"/>
                  <w:tcBorders>
                    <w:tl2br w:val="nil"/>
                    <w:tr2bl w:val="nil"/>
                  </w:tcBorders>
                  <w:vAlign w:val="center"/>
                </w:tcPr>
                <w:p>
                  <w:pPr>
                    <w:adjustRightInd w:val="0"/>
                    <w:snapToGrid w:val="0"/>
                  </w:pPr>
                  <w:r>
                    <w:t>临时占地生态恢复</w:t>
                  </w:r>
                  <w:r>
                    <w:rPr>
                      <w:color w:val="FF0000"/>
                    </w:rPr>
                    <w:t>约</w:t>
                  </w:r>
                  <w:r>
                    <w:rPr>
                      <w:rFonts w:hint="eastAsia"/>
                      <w:color w:val="FF0000"/>
                    </w:rPr>
                    <w:t>9</w:t>
                  </w:r>
                  <w:r>
                    <w:rPr>
                      <w:color w:val="FF0000"/>
                    </w:rPr>
                    <w:t>00m</w:t>
                  </w:r>
                  <w:r>
                    <w:rPr>
                      <w:color w:val="FF0000"/>
                      <w:vertAlign w:val="superscript"/>
                    </w:rPr>
                    <w:t>2</w:t>
                  </w:r>
                  <w:r>
                    <w:rPr>
                      <w:color w:val="FF0000"/>
                    </w:rPr>
                    <w:t>，草籽用量约为</w:t>
                  </w:r>
                  <w:r>
                    <w:rPr>
                      <w:rFonts w:hint="eastAsia"/>
                      <w:color w:val="FF0000"/>
                    </w:rPr>
                    <w:t>31.5</w:t>
                  </w:r>
                  <w:r>
                    <w:rPr>
                      <w:color w:val="FF0000"/>
                    </w:rPr>
                    <w:t>kg</w:t>
                  </w:r>
                </w:p>
              </w:tc>
              <w:tc>
                <w:tcPr>
                  <w:tcW w:w="742" w:type="pct"/>
                  <w:tcBorders>
                    <w:tl2br w:val="nil"/>
                    <w:tr2bl w:val="nil"/>
                  </w:tcBorders>
                  <w:vAlign w:val="center"/>
                </w:tcPr>
                <w:p>
                  <w:pPr>
                    <w:adjustRightInd w:val="0"/>
                    <w:snapToGrid w:val="0"/>
                    <w:jc w:val="center"/>
                    <w:rPr>
                      <w:szCs w:val="21"/>
                    </w:rPr>
                  </w:pPr>
                  <w:r>
                    <w:rPr>
                      <w:rFonts w:hint="eastAsia"/>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continue"/>
                  <w:tcBorders>
                    <w:tl2br w:val="nil"/>
                    <w:tr2bl w:val="nil"/>
                  </w:tcBorders>
                  <w:vAlign w:val="center"/>
                </w:tcPr>
                <w:p>
                  <w:pPr>
                    <w:adjustRightInd w:val="0"/>
                    <w:snapToGrid w:val="0"/>
                    <w:jc w:val="center"/>
                    <w:rPr>
                      <w:szCs w:val="21"/>
                    </w:rPr>
                  </w:pPr>
                </w:p>
              </w:tc>
              <w:tc>
                <w:tcPr>
                  <w:tcW w:w="2870" w:type="pct"/>
                  <w:tcBorders>
                    <w:tl2br w:val="nil"/>
                    <w:tr2bl w:val="nil"/>
                  </w:tcBorders>
                  <w:vAlign w:val="center"/>
                </w:tcPr>
                <w:p>
                  <w:pPr>
                    <w:adjustRightInd w:val="0"/>
                    <w:snapToGrid w:val="0"/>
                  </w:pPr>
                  <w:r>
                    <w:t>加强施工人员的环保意识，控制施工人员活动范围，严禁施工人员至非施工区域活动</w:t>
                  </w:r>
                </w:p>
              </w:tc>
              <w:tc>
                <w:tcPr>
                  <w:tcW w:w="742" w:type="pct"/>
                  <w:tcBorders>
                    <w:tl2br w:val="nil"/>
                    <w:tr2bl w:val="nil"/>
                  </w:tcBorders>
                  <w:vAlign w:val="center"/>
                </w:tcPr>
                <w:p>
                  <w:pPr>
                    <w:adjustRightInd w:val="0"/>
                    <w:snapToGrid w:val="0"/>
                    <w:jc w:val="center"/>
                    <w:rPr>
                      <w:szCs w:val="21"/>
                    </w:rPr>
                  </w:pPr>
                  <w:r>
                    <w:rPr>
                      <w:rFonts w:hint="eastAsia"/>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restart"/>
                  <w:tcBorders>
                    <w:tl2br w:val="nil"/>
                    <w:tr2bl w:val="nil"/>
                  </w:tcBorders>
                  <w:vAlign w:val="center"/>
                </w:tcPr>
                <w:p>
                  <w:pPr>
                    <w:adjustRightInd w:val="0"/>
                    <w:snapToGrid w:val="0"/>
                    <w:jc w:val="center"/>
                    <w:rPr>
                      <w:szCs w:val="21"/>
                    </w:rPr>
                  </w:pPr>
                  <w:r>
                    <w:rPr>
                      <w:szCs w:val="21"/>
                    </w:rPr>
                    <w:t>运</w:t>
                  </w:r>
                </w:p>
                <w:p>
                  <w:pPr>
                    <w:adjustRightInd w:val="0"/>
                    <w:snapToGrid w:val="0"/>
                    <w:jc w:val="center"/>
                    <w:rPr>
                      <w:szCs w:val="21"/>
                    </w:rPr>
                  </w:pPr>
                  <w:r>
                    <w:rPr>
                      <w:szCs w:val="21"/>
                    </w:rPr>
                    <w:t>营</w:t>
                  </w:r>
                </w:p>
                <w:p>
                  <w:pPr>
                    <w:adjustRightInd w:val="0"/>
                    <w:snapToGrid w:val="0"/>
                    <w:jc w:val="center"/>
                    <w:rPr>
                      <w:szCs w:val="21"/>
                    </w:rPr>
                  </w:pPr>
                  <w:r>
                    <w:rPr>
                      <w:szCs w:val="21"/>
                    </w:rPr>
                    <w:t>期</w:t>
                  </w:r>
                </w:p>
              </w:tc>
              <w:tc>
                <w:tcPr>
                  <w:tcW w:w="955" w:type="pct"/>
                  <w:tcBorders>
                    <w:tl2br w:val="nil"/>
                    <w:tr2bl w:val="nil"/>
                  </w:tcBorders>
                  <w:vAlign w:val="center"/>
                </w:tcPr>
                <w:p>
                  <w:pPr>
                    <w:adjustRightInd w:val="0"/>
                    <w:snapToGrid w:val="0"/>
                    <w:jc w:val="center"/>
                    <w:rPr>
                      <w:szCs w:val="21"/>
                    </w:rPr>
                  </w:pPr>
                  <w:r>
                    <w:rPr>
                      <w:szCs w:val="21"/>
                    </w:rPr>
                    <w:t>电磁防护</w:t>
                  </w:r>
                </w:p>
              </w:tc>
              <w:tc>
                <w:tcPr>
                  <w:tcW w:w="2870" w:type="pct"/>
                  <w:tcBorders>
                    <w:tl2br w:val="nil"/>
                    <w:tr2bl w:val="nil"/>
                  </w:tcBorders>
                  <w:vAlign w:val="center"/>
                </w:tcPr>
                <w:p>
                  <w:pPr>
                    <w:adjustRightInd w:val="0"/>
                    <w:snapToGrid w:val="0"/>
                    <w:jc w:val="center"/>
                    <w:rPr>
                      <w:szCs w:val="21"/>
                    </w:rPr>
                  </w:pPr>
                  <w:r>
                    <w:t>合理布局</w:t>
                  </w:r>
                  <w:r>
                    <w:rPr>
                      <w:rFonts w:hint="eastAsia"/>
                    </w:rPr>
                    <w:t>，</w:t>
                  </w:r>
                  <w:r>
                    <w:rPr>
                      <w:szCs w:val="21"/>
                    </w:rPr>
                    <w:t>设置安全警示标志</w:t>
                  </w:r>
                </w:p>
              </w:tc>
              <w:tc>
                <w:tcPr>
                  <w:tcW w:w="742" w:type="pct"/>
                  <w:tcBorders>
                    <w:tl2br w:val="nil"/>
                    <w:tr2bl w:val="nil"/>
                  </w:tcBorders>
                  <w:vAlign w:val="center"/>
                </w:tcPr>
                <w:p>
                  <w:pPr>
                    <w:adjustRightInd w:val="0"/>
                    <w:snapToGrid w:val="0"/>
                    <w:jc w:val="center"/>
                    <w:rPr>
                      <w:szCs w:val="21"/>
                    </w:rPr>
                  </w:pPr>
                  <w:r>
                    <w:rPr>
                      <w:rFonts w:hint="eastAsia"/>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tcBorders>
                    <w:tl2br w:val="nil"/>
                    <w:tr2bl w:val="nil"/>
                  </w:tcBorders>
                  <w:vAlign w:val="center"/>
                </w:tcPr>
                <w:p>
                  <w:pPr>
                    <w:adjustRightInd w:val="0"/>
                    <w:snapToGrid w:val="0"/>
                    <w:jc w:val="center"/>
                    <w:rPr>
                      <w:color w:val="FF0000"/>
                      <w:szCs w:val="21"/>
                    </w:rPr>
                  </w:pPr>
                  <w:r>
                    <w:rPr>
                      <w:color w:val="FF0000"/>
                      <w:szCs w:val="21"/>
                    </w:rPr>
                    <w:t>噪声</w:t>
                  </w:r>
                </w:p>
              </w:tc>
              <w:tc>
                <w:tcPr>
                  <w:tcW w:w="2870" w:type="pct"/>
                  <w:tcBorders>
                    <w:tl2br w:val="nil"/>
                    <w:tr2bl w:val="nil"/>
                  </w:tcBorders>
                  <w:vAlign w:val="center"/>
                </w:tcPr>
                <w:p>
                  <w:pPr>
                    <w:adjustRightInd w:val="0"/>
                    <w:snapToGrid w:val="0"/>
                    <w:jc w:val="center"/>
                    <w:rPr>
                      <w:color w:val="FF0000"/>
                      <w:szCs w:val="21"/>
                    </w:rPr>
                  </w:pPr>
                  <w:r>
                    <w:rPr>
                      <w:color w:val="FF0000"/>
                    </w:rPr>
                    <w:t>优化布局，</w:t>
                  </w:r>
                  <w:r>
                    <w:rPr>
                      <w:color w:val="FF0000"/>
                      <w:szCs w:val="21"/>
                    </w:rPr>
                    <w:t>变压器基础减振</w:t>
                  </w:r>
                  <w:r>
                    <w:rPr>
                      <w:rFonts w:hint="eastAsia"/>
                      <w:color w:val="FF0000"/>
                      <w:szCs w:val="21"/>
                    </w:rPr>
                    <w:t>，储能舱空调、液冷机组基础减振、建筑隔声等</w:t>
                  </w:r>
                </w:p>
              </w:tc>
              <w:tc>
                <w:tcPr>
                  <w:tcW w:w="742" w:type="pct"/>
                  <w:tcBorders>
                    <w:tl2br w:val="nil"/>
                    <w:tr2bl w:val="nil"/>
                  </w:tcBorders>
                  <w:vAlign w:val="center"/>
                </w:tcPr>
                <w:p>
                  <w:pPr>
                    <w:adjustRightInd w:val="0"/>
                    <w:snapToGrid w:val="0"/>
                    <w:jc w:val="center"/>
                    <w:rPr>
                      <w:color w:val="FF0000"/>
                      <w:szCs w:val="21"/>
                    </w:rPr>
                  </w:pPr>
                  <w:r>
                    <w:rPr>
                      <w:rFonts w:hint="eastAsia"/>
                      <w:color w:val="FF0000"/>
                      <w:szCs w:val="21"/>
                    </w:rPr>
                    <w:t>170.0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tcBorders>
                    <w:tl2br w:val="nil"/>
                    <w:tr2bl w:val="nil"/>
                  </w:tcBorders>
                  <w:vAlign w:val="center"/>
                </w:tcPr>
                <w:p>
                  <w:pPr>
                    <w:adjustRightInd w:val="0"/>
                    <w:snapToGrid w:val="0"/>
                    <w:jc w:val="center"/>
                    <w:rPr>
                      <w:szCs w:val="21"/>
                    </w:rPr>
                  </w:pPr>
                  <w:r>
                    <w:rPr>
                      <w:szCs w:val="21"/>
                    </w:rPr>
                    <w:t>废水</w:t>
                  </w:r>
                </w:p>
              </w:tc>
              <w:tc>
                <w:tcPr>
                  <w:tcW w:w="2870" w:type="pct"/>
                  <w:tcBorders>
                    <w:tl2br w:val="nil"/>
                    <w:tr2bl w:val="nil"/>
                  </w:tcBorders>
                  <w:vAlign w:val="center"/>
                </w:tcPr>
                <w:p>
                  <w:pPr>
                    <w:adjustRightInd w:val="0"/>
                    <w:snapToGrid w:val="0"/>
                    <w:jc w:val="center"/>
                    <w:rPr>
                      <w:szCs w:val="21"/>
                      <w:highlight w:val="red"/>
                    </w:rPr>
                  </w:pPr>
                  <w:r>
                    <w:rPr>
                      <w:szCs w:val="21"/>
                    </w:rPr>
                    <w:t>化粪池</w:t>
                  </w:r>
                  <w:r>
                    <w:rPr>
                      <w:rFonts w:hint="eastAsia"/>
                      <w:szCs w:val="21"/>
                    </w:rPr>
                    <w:t>（</w:t>
                  </w:r>
                  <w:r>
                    <w:rPr>
                      <w:szCs w:val="21"/>
                    </w:rPr>
                    <w:t>5</w:t>
                  </w:r>
                  <w:r>
                    <w:t>m</w:t>
                  </w:r>
                  <w:r>
                    <w:rPr>
                      <w:vertAlign w:val="superscript"/>
                    </w:rPr>
                    <w:t>3</w:t>
                  </w:r>
                  <w:r>
                    <w:rPr>
                      <w:rFonts w:hint="eastAsia"/>
                      <w:szCs w:val="21"/>
                    </w:rPr>
                    <w:t>）</w:t>
                  </w:r>
                </w:p>
              </w:tc>
              <w:tc>
                <w:tcPr>
                  <w:tcW w:w="742" w:type="pct"/>
                  <w:tcBorders>
                    <w:tl2br w:val="nil"/>
                    <w:tr2bl w:val="nil"/>
                  </w:tcBorders>
                  <w:vAlign w:val="center"/>
                </w:tcPr>
                <w:p>
                  <w:pPr>
                    <w:adjustRightInd w:val="0"/>
                    <w:snapToGrid w:val="0"/>
                    <w:jc w:val="center"/>
                    <w:rPr>
                      <w:szCs w:val="21"/>
                    </w:rPr>
                  </w:pPr>
                  <w:r>
                    <w:rPr>
                      <w:rFonts w:hint="eastAsia"/>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restart"/>
                  <w:tcBorders>
                    <w:tl2br w:val="nil"/>
                    <w:tr2bl w:val="nil"/>
                  </w:tcBorders>
                  <w:vAlign w:val="center"/>
                </w:tcPr>
                <w:p>
                  <w:pPr>
                    <w:adjustRightInd w:val="0"/>
                    <w:snapToGrid w:val="0"/>
                    <w:jc w:val="center"/>
                    <w:rPr>
                      <w:szCs w:val="21"/>
                    </w:rPr>
                  </w:pPr>
                  <w:r>
                    <w:rPr>
                      <w:szCs w:val="21"/>
                    </w:rPr>
                    <w:t>固体废物</w:t>
                  </w:r>
                </w:p>
              </w:tc>
              <w:tc>
                <w:tcPr>
                  <w:tcW w:w="2870" w:type="pct"/>
                  <w:tcBorders>
                    <w:tl2br w:val="nil"/>
                    <w:tr2bl w:val="nil"/>
                  </w:tcBorders>
                  <w:vAlign w:val="center"/>
                </w:tcPr>
                <w:p>
                  <w:pPr>
                    <w:adjustRightInd w:val="0"/>
                    <w:snapToGrid w:val="0"/>
                    <w:jc w:val="center"/>
                  </w:pPr>
                  <w:r>
                    <w:t>生活垃圾</w:t>
                  </w:r>
                  <w:r>
                    <w:rPr>
                      <w:rFonts w:hint="eastAsia"/>
                    </w:rPr>
                    <w:t>收运、化粪池底泥清掏</w:t>
                  </w:r>
                </w:p>
              </w:tc>
              <w:tc>
                <w:tcPr>
                  <w:tcW w:w="742" w:type="pct"/>
                  <w:tcBorders>
                    <w:tl2br w:val="nil"/>
                    <w:tr2bl w:val="nil"/>
                  </w:tcBorders>
                  <w:vAlign w:val="center"/>
                </w:tcPr>
                <w:p>
                  <w:pPr>
                    <w:adjustRightInd w:val="0"/>
                    <w:snapToGrid w:val="0"/>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continue"/>
                  <w:tcBorders>
                    <w:tl2br w:val="nil"/>
                    <w:tr2bl w:val="nil"/>
                  </w:tcBorders>
                  <w:vAlign w:val="center"/>
                </w:tcPr>
                <w:p>
                  <w:pPr>
                    <w:adjustRightInd w:val="0"/>
                    <w:snapToGrid w:val="0"/>
                    <w:jc w:val="center"/>
                    <w:rPr>
                      <w:szCs w:val="21"/>
                    </w:rPr>
                  </w:pPr>
                </w:p>
              </w:tc>
              <w:tc>
                <w:tcPr>
                  <w:tcW w:w="2870" w:type="pct"/>
                  <w:tcBorders>
                    <w:tl2br w:val="nil"/>
                    <w:tr2bl w:val="nil"/>
                  </w:tcBorders>
                  <w:vAlign w:val="center"/>
                </w:tcPr>
                <w:p>
                  <w:pPr>
                    <w:adjustRightInd w:val="0"/>
                    <w:snapToGrid w:val="0"/>
                    <w:jc w:val="center"/>
                  </w:pPr>
                  <w:r>
                    <w:rPr>
                      <w:rFonts w:hint="eastAsia"/>
                      <w:szCs w:val="21"/>
                    </w:rPr>
                    <w:t>一般固废暂存间（10m</w:t>
                  </w:r>
                  <w:r>
                    <w:rPr>
                      <w:szCs w:val="21"/>
                      <w:vertAlign w:val="superscript"/>
                    </w:rPr>
                    <w:t>2</w:t>
                  </w:r>
                  <w:r>
                    <w:rPr>
                      <w:rFonts w:hint="eastAsia"/>
                      <w:szCs w:val="21"/>
                    </w:rPr>
                    <w:t>）</w:t>
                  </w:r>
                </w:p>
              </w:tc>
              <w:tc>
                <w:tcPr>
                  <w:tcW w:w="742" w:type="pct"/>
                  <w:tcBorders>
                    <w:tl2br w:val="nil"/>
                    <w:tr2bl w:val="nil"/>
                  </w:tcBorders>
                  <w:vAlign w:val="center"/>
                </w:tcPr>
                <w:p>
                  <w:pPr>
                    <w:adjustRightInd w:val="0"/>
                    <w:snapToGrid w:val="0"/>
                    <w:jc w:val="center"/>
                    <w:rPr>
                      <w:szCs w:val="21"/>
                    </w:rPr>
                  </w:pPr>
                  <w:r>
                    <w:rPr>
                      <w:rFonts w:hint="eastAsia"/>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vMerge w:val="continue"/>
                  <w:tcBorders>
                    <w:tl2br w:val="nil"/>
                    <w:tr2bl w:val="nil"/>
                  </w:tcBorders>
                  <w:vAlign w:val="center"/>
                </w:tcPr>
                <w:p>
                  <w:pPr>
                    <w:adjustRightInd w:val="0"/>
                    <w:snapToGrid w:val="0"/>
                    <w:jc w:val="center"/>
                    <w:rPr>
                      <w:szCs w:val="21"/>
                    </w:rPr>
                  </w:pPr>
                </w:p>
              </w:tc>
              <w:tc>
                <w:tcPr>
                  <w:tcW w:w="2870" w:type="pct"/>
                  <w:tcBorders>
                    <w:tl2br w:val="nil"/>
                    <w:tr2bl w:val="nil"/>
                  </w:tcBorders>
                  <w:vAlign w:val="center"/>
                </w:tcPr>
                <w:p>
                  <w:pPr>
                    <w:adjustRightInd w:val="0"/>
                    <w:snapToGrid w:val="0"/>
                    <w:jc w:val="center"/>
                  </w:pPr>
                  <w:r>
                    <w:rPr>
                      <w:rFonts w:hint="eastAsia"/>
                      <w:szCs w:val="21"/>
                    </w:rPr>
                    <w:t>危废暂存间（10m</w:t>
                  </w:r>
                  <w:r>
                    <w:rPr>
                      <w:szCs w:val="21"/>
                      <w:vertAlign w:val="superscript"/>
                    </w:rPr>
                    <w:t>2</w:t>
                  </w:r>
                  <w:r>
                    <w:rPr>
                      <w:rFonts w:hint="eastAsia"/>
                      <w:szCs w:val="21"/>
                    </w:rPr>
                    <w:t>）</w:t>
                  </w:r>
                </w:p>
              </w:tc>
              <w:tc>
                <w:tcPr>
                  <w:tcW w:w="742" w:type="pct"/>
                  <w:tcBorders>
                    <w:tl2br w:val="nil"/>
                    <w:tr2bl w:val="nil"/>
                  </w:tcBorders>
                  <w:vAlign w:val="center"/>
                </w:tcPr>
                <w:p>
                  <w:pPr>
                    <w:adjustRightInd w:val="0"/>
                    <w:snapToGrid w:val="0"/>
                    <w:jc w:val="center"/>
                    <w:rPr>
                      <w:szCs w:val="21"/>
                    </w:rPr>
                  </w:pPr>
                  <w:r>
                    <w:rPr>
                      <w:rFonts w:hint="eastAsia"/>
                      <w:szCs w:val="21"/>
                    </w:rPr>
                    <w:t>8</w:t>
                  </w: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vMerge w:val="continue"/>
                  <w:tcBorders>
                    <w:tl2br w:val="nil"/>
                    <w:tr2bl w:val="nil"/>
                  </w:tcBorders>
                  <w:vAlign w:val="center"/>
                </w:tcPr>
                <w:p>
                  <w:pPr>
                    <w:adjustRightInd w:val="0"/>
                    <w:snapToGrid w:val="0"/>
                    <w:jc w:val="center"/>
                    <w:rPr>
                      <w:szCs w:val="21"/>
                    </w:rPr>
                  </w:pPr>
                </w:p>
              </w:tc>
              <w:tc>
                <w:tcPr>
                  <w:tcW w:w="955" w:type="pct"/>
                  <w:tcBorders>
                    <w:tl2br w:val="nil"/>
                    <w:tr2bl w:val="nil"/>
                  </w:tcBorders>
                  <w:vAlign w:val="center"/>
                </w:tcPr>
                <w:p>
                  <w:pPr>
                    <w:adjustRightInd w:val="0"/>
                    <w:snapToGrid w:val="0"/>
                    <w:jc w:val="center"/>
                    <w:rPr>
                      <w:szCs w:val="21"/>
                    </w:rPr>
                  </w:pPr>
                  <w:r>
                    <w:rPr>
                      <w:szCs w:val="21"/>
                    </w:rPr>
                    <w:t>环境风险</w:t>
                  </w:r>
                </w:p>
              </w:tc>
              <w:tc>
                <w:tcPr>
                  <w:tcW w:w="2870" w:type="pct"/>
                  <w:tcBorders>
                    <w:tl2br w:val="nil"/>
                    <w:tr2bl w:val="nil"/>
                  </w:tcBorders>
                  <w:vAlign w:val="center"/>
                </w:tcPr>
                <w:p>
                  <w:pPr>
                    <w:adjustRightInd w:val="0"/>
                    <w:snapToGrid w:val="0"/>
                    <w:jc w:val="center"/>
                    <w:rPr>
                      <w:szCs w:val="21"/>
                    </w:rPr>
                  </w:pPr>
                  <w:r>
                    <w:rPr>
                      <w:rFonts w:hint="eastAsia"/>
                      <w:color w:val="FF0000"/>
                      <w:szCs w:val="21"/>
                    </w:rPr>
                    <w:t>升压站各变压器设置挡油设施及事故油排放系统以及100m</w:t>
                  </w:r>
                  <w:r>
                    <w:rPr>
                      <w:rFonts w:hint="eastAsia"/>
                      <w:color w:val="FF0000"/>
                      <w:szCs w:val="21"/>
                      <w:vertAlign w:val="superscript"/>
                    </w:rPr>
                    <w:t>3</w:t>
                  </w:r>
                  <w:r>
                    <w:rPr>
                      <w:color w:val="FF0000"/>
                      <w:szCs w:val="21"/>
                    </w:rPr>
                    <w:t>事故油池</w:t>
                  </w:r>
                  <w:r>
                    <w:rPr>
                      <w:rFonts w:hint="eastAsia"/>
                      <w:color w:val="FF0000"/>
                      <w:szCs w:val="21"/>
                    </w:rPr>
                    <w:t>（油水分离、防雨、防渗）；消防废水收集池，应急预案制定</w:t>
                  </w:r>
                </w:p>
              </w:tc>
              <w:tc>
                <w:tcPr>
                  <w:tcW w:w="742" w:type="pct"/>
                  <w:tcBorders>
                    <w:tl2br w:val="nil"/>
                    <w:tr2bl w:val="nil"/>
                  </w:tcBorders>
                  <w:vAlign w:val="center"/>
                </w:tcPr>
                <w:p>
                  <w:pPr>
                    <w:adjustRightInd w:val="0"/>
                    <w:snapToGrid w:val="0"/>
                    <w:jc w:val="center"/>
                    <w:rPr>
                      <w:szCs w:val="21"/>
                    </w:rPr>
                  </w:pPr>
                  <w:r>
                    <w:rPr>
                      <w:rFonts w:hint="eastAsia"/>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1" w:type="pct"/>
                  <w:tcBorders>
                    <w:tl2br w:val="nil"/>
                    <w:tr2bl w:val="nil"/>
                  </w:tcBorders>
                  <w:vAlign w:val="center"/>
                </w:tcPr>
                <w:p>
                  <w:pPr>
                    <w:adjustRightInd w:val="0"/>
                    <w:snapToGrid w:val="0"/>
                    <w:jc w:val="center"/>
                    <w:rPr>
                      <w:szCs w:val="21"/>
                    </w:rPr>
                  </w:pPr>
                  <w:r>
                    <w:rPr>
                      <w:szCs w:val="21"/>
                    </w:rPr>
                    <w:t>合计</w:t>
                  </w:r>
                </w:p>
              </w:tc>
              <w:tc>
                <w:tcPr>
                  <w:tcW w:w="955" w:type="pct"/>
                  <w:tcBorders>
                    <w:tl2br w:val="nil"/>
                    <w:tr2bl w:val="nil"/>
                  </w:tcBorders>
                  <w:vAlign w:val="center"/>
                </w:tcPr>
                <w:p>
                  <w:pPr>
                    <w:adjustRightInd w:val="0"/>
                    <w:snapToGrid w:val="0"/>
                    <w:jc w:val="center"/>
                    <w:rPr>
                      <w:szCs w:val="21"/>
                    </w:rPr>
                  </w:pPr>
                </w:p>
              </w:tc>
              <w:tc>
                <w:tcPr>
                  <w:tcW w:w="2870" w:type="pct"/>
                  <w:tcBorders>
                    <w:tl2br w:val="nil"/>
                    <w:tr2bl w:val="nil"/>
                  </w:tcBorders>
                  <w:vAlign w:val="center"/>
                </w:tcPr>
                <w:p>
                  <w:pPr>
                    <w:adjustRightInd w:val="0"/>
                    <w:snapToGrid w:val="0"/>
                    <w:jc w:val="center"/>
                    <w:rPr>
                      <w:szCs w:val="21"/>
                    </w:rPr>
                  </w:pPr>
                </w:p>
              </w:tc>
              <w:tc>
                <w:tcPr>
                  <w:tcW w:w="742" w:type="pct"/>
                  <w:tcBorders>
                    <w:tl2br w:val="nil"/>
                    <w:tr2bl w:val="nil"/>
                  </w:tcBorders>
                  <w:vAlign w:val="center"/>
                </w:tcPr>
                <w:p>
                  <w:pPr>
                    <w:adjustRightInd w:val="0"/>
                    <w:snapToGrid w:val="0"/>
                    <w:jc w:val="center"/>
                    <w:rPr>
                      <w:szCs w:val="21"/>
                    </w:rPr>
                  </w:pPr>
                  <w:r>
                    <w:rPr>
                      <w:rFonts w:hint="eastAsia"/>
                      <w:szCs w:val="21"/>
                    </w:rPr>
                    <w:t>273</w:t>
                  </w:r>
                  <w:r>
                    <w:rPr>
                      <w:szCs w:val="21"/>
                    </w:rPr>
                    <w:t>.0</w:t>
                  </w:r>
                </w:p>
              </w:tc>
            </w:tr>
          </w:tbl>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bCs/>
                <w:spacing w:val="10"/>
                <w:sz w:val="24"/>
              </w:rPr>
            </w:pPr>
          </w:p>
          <w:p>
            <w:pPr>
              <w:adjustRightInd w:val="0"/>
              <w:snapToGrid w:val="0"/>
              <w:spacing w:line="360" w:lineRule="auto"/>
              <w:rPr>
                <w:sz w:val="24"/>
              </w:rPr>
            </w:pPr>
          </w:p>
        </w:tc>
      </w:tr>
    </w:tbl>
    <w:p>
      <w:pPr>
        <w:sectPr>
          <w:pgSz w:w="11905" w:h="16838"/>
          <w:pgMar w:top="1417" w:right="1417" w:bottom="1417" w:left="1417" w:header="851" w:footer="992" w:gutter="0"/>
          <w:cols w:space="720" w:num="1"/>
          <w:docGrid w:linePitch="312" w:charSpace="0"/>
        </w:sectPr>
      </w:pPr>
    </w:p>
    <w:p>
      <w:pPr>
        <w:pStyle w:val="20"/>
        <w:jc w:val="center"/>
        <w:outlineLvl w:val="0"/>
        <w:rPr>
          <w:rFonts w:ascii="黑体" w:hAnsi="黑体" w:eastAsia="黑体"/>
          <w:snapToGrid w:val="0"/>
          <w:sz w:val="30"/>
          <w:szCs w:val="30"/>
        </w:rPr>
      </w:pPr>
      <w:bookmarkStart w:id="135" w:name="_Toc21255"/>
      <w:r>
        <w:rPr>
          <w:rFonts w:hint="eastAsia" w:ascii="黑体" w:hAnsi="黑体" w:eastAsia="黑体"/>
          <w:snapToGrid w:val="0"/>
          <w:sz w:val="30"/>
          <w:szCs w:val="30"/>
        </w:rPr>
        <w:t>六、生态环境保护措施监督检查清单</w:t>
      </w:r>
      <w:bookmarkEnd w:id="135"/>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772"/>
        <w:gridCol w:w="1507"/>
        <w:gridCol w:w="1903"/>
        <w:gridCol w:w="2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Merge w:val="restart"/>
            <w:tcBorders>
              <w:tl2br w:val="single" w:color="auto" w:sz="4" w:space="0"/>
            </w:tcBorders>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 xml:space="preserve"> </w:t>
            </w:r>
            <w:bookmarkStart w:id="136" w:name="_Toc31551"/>
            <w:r>
              <w:rPr>
                <w:rFonts w:hint="eastAsia" w:ascii="黑体" w:hAnsi="黑体" w:eastAsia="黑体" w:cs="宋体"/>
                <w:kern w:val="2"/>
                <w:sz w:val="21"/>
                <w:szCs w:val="21"/>
              </w:rPr>
              <w:t>内容</w:t>
            </w:r>
            <w:bookmarkEnd w:id="136"/>
          </w:p>
          <w:p>
            <w:pPr>
              <w:pStyle w:val="20"/>
              <w:adjustRightInd w:val="0"/>
              <w:snapToGrid w:val="0"/>
              <w:spacing w:before="0" w:beforeAutospacing="0" w:after="0" w:afterAutospacing="0" w:line="14" w:lineRule="auto"/>
              <w:rPr>
                <w:rFonts w:ascii="黑体" w:hAnsi="黑体" w:eastAsia="黑体" w:cs="宋体"/>
                <w:kern w:val="2"/>
                <w:sz w:val="135"/>
                <w:szCs w:val="21"/>
              </w:rPr>
            </w:pPr>
            <w:r>
              <w:rPr>
                <w:rFonts w:hint="eastAsia" w:ascii="黑体" w:hAnsi="黑体" w:eastAsia="黑体" w:cs="宋体"/>
                <w:kern w:val="2"/>
                <w:sz w:val="21"/>
                <w:szCs w:val="21"/>
              </w:rPr>
              <w:t xml:space="preserve"> </w:t>
            </w:r>
            <w:r>
              <w:rPr>
                <w:rFonts w:hint="eastAsia" w:ascii="黑体" w:hAnsi="黑体" w:eastAsia="黑体" w:cs="宋体"/>
                <w:kern w:val="2"/>
                <w:sz w:val="135"/>
                <w:szCs w:val="21"/>
              </w:rPr>
              <w:t xml:space="preserve"> </w:t>
            </w:r>
          </w:p>
          <w:p>
            <w:pPr>
              <w:pStyle w:val="20"/>
              <w:adjustRightInd w:val="0"/>
              <w:snapToGrid w:val="0"/>
              <w:spacing w:before="0" w:beforeAutospacing="0" w:after="0" w:afterAutospacing="0"/>
              <w:outlineLvl w:val="0"/>
              <w:rPr>
                <w:rFonts w:ascii="黑体" w:hAnsi="黑体" w:eastAsia="黑体" w:cs="宋体"/>
                <w:kern w:val="2"/>
                <w:sz w:val="21"/>
                <w:szCs w:val="21"/>
              </w:rPr>
            </w:pPr>
            <w:bookmarkStart w:id="137" w:name="_Toc7516"/>
          </w:p>
          <w:p>
            <w:pPr>
              <w:pStyle w:val="20"/>
              <w:adjustRightInd w:val="0"/>
              <w:snapToGrid w:val="0"/>
              <w:spacing w:before="0" w:beforeAutospacing="0" w:after="0" w:afterAutospacing="0"/>
              <w:outlineLvl w:val="0"/>
              <w:rPr>
                <w:rFonts w:ascii="黑体" w:hAnsi="黑体" w:eastAsia="黑体" w:cs="宋体"/>
                <w:kern w:val="2"/>
                <w:sz w:val="21"/>
                <w:szCs w:val="21"/>
              </w:rPr>
            </w:pPr>
          </w:p>
          <w:p>
            <w:pPr>
              <w:pStyle w:val="20"/>
              <w:adjustRightInd w:val="0"/>
              <w:snapToGrid w:val="0"/>
              <w:spacing w:before="0" w:beforeAutospacing="0" w:after="0" w:afterAutospacing="0"/>
              <w:outlineLvl w:val="0"/>
              <w:rPr>
                <w:rFonts w:ascii="黑体" w:hAnsi="黑体" w:eastAsia="黑体" w:cs="宋体"/>
                <w:kern w:val="2"/>
                <w:sz w:val="21"/>
                <w:szCs w:val="21"/>
              </w:rPr>
            </w:pPr>
            <w:r>
              <w:rPr>
                <w:rFonts w:hint="eastAsia" w:ascii="黑体" w:hAnsi="黑体" w:eastAsia="黑体" w:cs="宋体"/>
                <w:kern w:val="2"/>
                <w:sz w:val="21"/>
                <w:szCs w:val="21"/>
              </w:rPr>
              <w:t>要素</w:t>
            </w:r>
            <w:bookmarkEnd w:id="137"/>
          </w:p>
        </w:tc>
        <w:tc>
          <w:tcPr>
            <w:tcW w:w="2519" w:type="pct"/>
            <w:gridSpan w:val="2"/>
            <w:vAlign w:val="center"/>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bookmarkStart w:id="138" w:name="_Toc23720"/>
            <w:r>
              <w:rPr>
                <w:rFonts w:hint="eastAsia" w:ascii="黑体" w:hAnsi="黑体" w:eastAsia="黑体" w:cs="宋体"/>
                <w:kern w:val="2"/>
                <w:sz w:val="21"/>
                <w:szCs w:val="21"/>
              </w:rPr>
              <w:t>施工期</w:t>
            </w:r>
            <w:bookmarkEnd w:id="138"/>
          </w:p>
        </w:tc>
        <w:tc>
          <w:tcPr>
            <w:tcW w:w="1981" w:type="pct"/>
            <w:gridSpan w:val="2"/>
            <w:vAlign w:val="center"/>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bookmarkStart w:id="139" w:name="_Toc3086"/>
            <w:r>
              <w:rPr>
                <w:rFonts w:hint="eastAsia" w:ascii="黑体" w:hAnsi="黑体" w:eastAsia="黑体" w:cs="宋体"/>
                <w:kern w:val="2"/>
                <w:sz w:val="21"/>
                <w:szCs w:val="21"/>
              </w:rPr>
              <w:t>运营期</w:t>
            </w:r>
            <w:bookmarkEnd w:id="13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Merge w:val="continue"/>
          </w:tcPr>
          <w:p>
            <w:pPr>
              <w:pStyle w:val="20"/>
              <w:adjustRightInd w:val="0"/>
              <w:snapToGrid w:val="0"/>
              <w:spacing w:before="0" w:beforeAutospacing="0" w:after="0" w:afterAutospacing="0"/>
              <w:ind w:firstLine="840"/>
              <w:jc w:val="center"/>
              <w:rPr>
                <w:rFonts w:ascii="黑体" w:hAnsi="黑体" w:eastAsia="黑体" w:cs="宋体"/>
                <w:kern w:val="2"/>
                <w:sz w:val="21"/>
                <w:szCs w:val="21"/>
              </w:rPr>
            </w:pPr>
          </w:p>
        </w:tc>
        <w:tc>
          <w:tcPr>
            <w:tcW w:w="1608" w:type="pct"/>
            <w:vAlign w:val="center"/>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bookmarkStart w:id="140" w:name="_Toc23404"/>
            <w:r>
              <w:rPr>
                <w:rFonts w:hint="eastAsia" w:ascii="黑体" w:hAnsi="黑体" w:eastAsia="黑体" w:cs="宋体"/>
                <w:kern w:val="2"/>
                <w:sz w:val="21"/>
                <w:szCs w:val="21"/>
              </w:rPr>
              <w:t>环境保护措施</w:t>
            </w:r>
            <w:bookmarkEnd w:id="140"/>
          </w:p>
        </w:tc>
        <w:tc>
          <w:tcPr>
            <w:tcW w:w="911" w:type="pct"/>
            <w:vAlign w:val="center"/>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bookmarkStart w:id="141" w:name="_Toc9297"/>
            <w:r>
              <w:rPr>
                <w:rFonts w:hint="eastAsia" w:ascii="黑体" w:hAnsi="黑体" w:eastAsia="黑体" w:cs="宋体"/>
                <w:kern w:val="2"/>
                <w:sz w:val="21"/>
                <w:szCs w:val="21"/>
              </w:rPr>
              <w:t>验收要求</w:t>
            </w:r>
            <w:bookmarkEnd w:id="141"/>
          </w:p>
        </w:tc>
        <w:tc>
          <w:tcPr>
            <w:tcW w:w="1129" w:type="pct"/>
            <w:vAlign w:val="center"/>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bookmarkStart w:id="142" w:name="_Toc30101"/>
            <w:r>
              <w:rPr>
                <w:rFonts w:hint="eastAsia" w:ascii="黑体" w:hAnsi="黑体" w:eastAsia="黑体" w:cs="宋体"/>
                <w:kern w:val="2"/>
                <w:sz w:val="21"/>
                <w:szCs w:val="21"/>
              </w:rPr>
              <w:t>环境保护措施</w:t>
            </w:r>
            <w:bookmarkEnd w:id="142"/>
          </w:p>
        </w:tc>
        <w:tc>
          <w:tcPr>
            <w:tcW w:w="851" w:type="pct"/>
            <w:vAlign w:val="center"/>
          </w:tcPr>
          <w:p>
            <w:pPr>
              <w:pStyle w:val="20"/>
              <w:adjustRightInd w:val="0"/>
              <w:snapToGrid w:val="0"/>
              <w:spacing w:before="0" w:beforeAutospacing="0" w:after="0" w:afterAutospacing="0"/>
              <w:jc w:val="center"/>
              <w:outlineLvl w:val="0"/>
              <w:rPr>
                <w:rFonts w:ascii="黑体" w:hAnsi="黑体" w:eastAsia="黑体" w:cs="宋体"/>
                <w:kern w:val="2"/>
                <w:sz w:val="21"/>
                <w:szCs w:val="21"/>
              </w:rPr>
            </w:pPr>
            <w:bookmarkStart w:id="143" w:name="_Toc19235"/>
            <w:r>
              <w:rPr>
                <w:rFonts w:hint="eastAsia" w:ascii="黑体" w:hAnsi="黑体" w:eastAsia="黑体" w:cs="宋体"/>
                <w:kern w:val="2"/>
                <w:sz w:val="21"/>
                <w:szCs w:val="21"/>
              </w:rPr>
              <w:t>验收要求</w:t>
            </w:r>
            <w:bookmarkEnd w:id="14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陆生生态</w:t>
            </w:r>
          </w:p>
        </w:tc>
        <w:tc>
          <w:tcPr>
            <w:tcW w:w="1608" w:type="pct"/>
            <w:vAlign w:val="center"/>
          </w:tcPr>
          <w:p>
            <w:pPr>
              <w:adjustRightInd w:val="0"/>
              <w:snapToGrid w:val="0"/>
              <w:rPr>
                <w:kern w:val="21"/>
                <w:szCs w:val="21"/>
              </w:rPr>
            </w:pPr>
            <w:r>
              <w:rPr>
                <w:kern w:val="21"/>
                <w:szCs w:val="21"/>
              </w:rPr>
              <w:t>①</w:t>
            </w:r>
            <w:r>
              <w:rPr>
                <w:rFonts w:hint="eastAsia"/>
                <w:kern w:val="21"/>
                <w:szCs w:val="21"/>
              </w:rPr>
              <w:t>施工前表土剥离，压实、苫盖存放</w:t>
            </w:r>
            <w:r>
              <w:rPr>
                <w:kern w:val="21"/>
                <w:szCs w:val="21"/>
              </w:rPr>
              <w:t>；</w:t>
            </w:r>
          </w:p>
          <w:p>
            <w:pPr>
              <w:adjustRightInd w:val="0"/>
              <w:snapToGrid w:val="0"/>
              <w:rPr>
                <w:kern w:val="21"/>
                <w:szCs w:val="21"/>
              </w:rPr>
            </w:pPr>
            <w:r>
              <w:rPr>
                <w:kern w:val="21"/>
                <w:szCs w:val="21"/>
              </w:rPr>
              <w:t>②施工结束后，对临时用地采取土地整治措施，</w:t>
            </w:r>
            <w:r>
              <w:rPr>
                <w:rFonts w:hint="eastAsia"/>
                <w:kern w:val="21"/>
                <w:szCs w:val="21"/>
              </w:rPr>
              <w:t>临时占地生态恢复约900</w:t>
            </w:r>
            <w:bookmarkStart w:id="147" w:name="_GoBack"/>
            <w:bookmarkEnd w:id="147"/>
            <w:r>
              <w:rPr>
                <w:rFonts w:hint="eastAsia"/>
                <w:kern w:val="21"/>
                <w:szCs w:val="21"/>
              </w:rPr>
              <w:t>m</w:t>
            </w:r>
            <w:r>
              <w:rPr>
                <w:rFonts w:hint="eastAsia"/>
                <w:kern w:val="21"/>
                <w:szCs w:val="21"/>
                <w:vertAlign w:val="superscript"/>
              </w:rPr>
              <w:t>2</w:t>
            </w:r>
            <w:r>
              <w:rPr>
                <w:rFonts w:hint="eastAsia"/>
                <w:kern w:val="21"/>
                <w:szCs w:val="21"/>
              </w:rPr>
              <w:t>，草籽用量约31.5kg</w:t>
            </w:r>
            <w:r>
              <w:rPr>
                <w:kern w:val="21"/>
                <w:szCs w:val="21"/>
              </w:rPr>
              <w:t>；</w:t>
            </w:r>
          </w:p>
          <w:p>
            <w:pPr>
              <w:adjustRightInd w:val="0"/>
              <w:snapToGrid w:val="0"/>
              <w:rPr>
                <w:snapToGrid w:val="0"/>
                <w:kern w:val="21"/>
                <w:szCs w:val="21"/>
              </w:rPr>
            </w:pPr>
            <w:r>
              <w:rPr>
                <w:kern w:val="21"/>
                <w:szCs w:val="21"/>
              </w:rPr>
              <w:t>③</w:t>
            </w:r>
            <w:r>
              <w:rPr>
                <w:rFonts w:hint="eastAsia"/>
                <w:kern w:val="21"/>
              </w:rPr>
              <w:t>严格控制施工范围，严禁越界施工，以免破坏植被及野生动物生存环境</w:t>
            </w:r>
          </w:p>
        </w:tc>
        <w:tc>
          <w:tcPr>
            <w:tcW w:w="911" w:type="pct"/>
            <w:vAlign w:val="center"/>
          </w:tcPr>
          <w:p>
            <w:pPr>
              <w:adjustRightInd w:val="0"/>
              <w:snapToGrid w:val="0"/>
              <w:rPr>
                <w:snapToGrid w:val="0"/>
                <w:kern w:val="21"/>
                <w:szCs w:val="21"/>
              </w:rPr>
            </w:pPr>
            <w:r>
              <w:rPr>
                <w:kern w:val="21"/>
                <w:szCs w:val="21"/>
              </w:rPr>
              <w:t>施工迹地恢复</w:t>
            </w:r>
            <w:r>
              <w:rPr>
                <w:rFonts w:hint="eastAsia"/>
                <w:kern w:val="21"/>
                <w:szCs w:val="21"/>
              </w:rPr>
              <w:t>9</w:t>
            </w:r>
            <w:r>
              <w:rPr>
                <w:kern w:val="21"/>
                <w:szCs w:val="21"/>
              </w:rPr>
              <w:t>00m</w:t>
            </w:r>
            <w:r>
              <w:rPr>
                <w:kern w:val="21"/>
                <w:szCs w:val="21"/>
                <w:vertAlign w:val="superscript"/>
              </w:rPr>
              <w:t>2</w:t>
            </w:r>
            <w:r>
              <w:rPr>
                <w:kern w:val="21"/>
                <w:szCs w:val="21"/>
              </w:rPr>
              <w:t>，场地植被恢复至原有地貌水平</w:t>
            </w:r>
          </w:p>
        </w:tc>
        <w:tc>
          <w:tcPr>
            <w:tcW w:w="1129" w:type="pct"/>
            <w:vAlign w:val="center"/>
          </w:tcPr>
          <w:p>
            <w:pPr>
              <w:adjustRightInd w:val="0"/>
              <w:snapToGrid w:val="0"/>
              <w:rPr>
                <w:snapToGrid w:val="0"/>
                <w:kern w:val="21"/>
                <w:szCs w:val="21"/>
              </w:rPr>
            </w:pPr>
            <w:r>
              <w:rPr>
                <w:b/>
                <w:bCs/>
                <w:snapToGrid w:val="0"/>
                <w:kern w:val="21"/>
                <w:szCs w:val="21"/>
              </w:rPr>
              <w:t>/</w:t>
            </w:r>
          </w:p>
        </w:tc>
        <w:tc>
          <w:tcPr>
            <w:tcW w:w="851" w:type="pct"/>
            <w:vAlign w:val="center"/>
          </w:tcPr>
          <w:p>
            <w:pPr>
              <w:adjustRightInd w:val="0"/>
              <w:snapToGrid w:val="0"/>
              <w:rPr>
                <w:snapToGrid w:val="0"/>
                <w:kern w:val="21"/>
                <w:szCs w:val="21"/>
              </w:rPr>
            </w:pPr>
            <w:r>
              <w:rPr>
                <w:b/>
                <w:bCs/>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水生生态</w:t>
            </w:r>
          </w:p>
        </w:tc>
        <w:tc>
          <w:tcPr>
            <w:tcW w:w="1608" w:type="pct"/>
            <w:vAlign w:val="center"/>
          </w:tcPr>
          <w:p>
            <w:pPr>
              <w:adjustRightInd w:val="0"/>
              <w:snapToGrid w:val="0"/>
              <w:rPr>
                <w:snapToGrid w:val="0"/>
                <w:kern w:val="21"/>
                <w:szCs w:val="21"/>
              </w:rPr>
            </w:pPr>
            <w:r>
              <w:rPr>
                <w:b/>
                <w:bCs/>
                <w:snapToGrid w:val="0"/>
                <w:kern w:val="21"/>
                <w:szCs w:val="21"/>
              </w:rPr>
              <w:t>/</w:t>
            </w:r>
          </w:p>
        </w:tc>
        <w:tc>
          <w:tcPr>
            <w:tcW w:w="911" w:type="pct"/>
            <w:vAlign w:val="center"/>
          </w:tcPr>
          <w:p>
            <w:pPr>
              <w:adjustRightInd w:val="0"/>
              <w:snapToGrid w:val="0"/>
              <w:rPr>
                <w:snapToGrid w:val="0"/>
                <w:kern w:val="21"/>
                <w:szCs w:val="21"/>
              </w:rPr>
            </w:pPr>
            <w:r>
              <w:rPr>
                <w:b/>
                <w:bCs/>
                <w:snapToGrid w:val="0"/>
                <w:kern w:val="21"/>
                <w:szCs w:val="21"/>
              </w:rPr>
              <w:t>/</w:t>
            </w:r>
          </w:p>
        </w:tc>
        <w:tc>
          <w:tcPr>
            <w:tcW w:w="1129" w:type="pct"/>
            <w:vAlign w:val="center"/>
          </w:tcPr>
          <w:p>
            <w:pPr>
              <w:adjustRightInd w:val="0"/>
              <w:snapToGrid w:val="0"/>
              <w:rPr>
                <w:snapToGrid w:val="0"/>
                <w:kern w:val="21"/>
                <w:szCs w:val="21"/>
              </w:rPr>
            </w:pPr>
            <w:r>
              <w:rPr>
                <w:b/>
                <w:bCs/>
                <w:snapToGrid w:val="0"/>
                <w:kern w:val="21"/>
                <w:szCs w:val="21"/>
              </w:rPr>
              <w:t>/</w:t>
            </w:r>
          </w:p>
        </w:tc>
        <w:tc>
          <w:tcPr>
            <w:tcW w:w="851" w:type="pct"/>
            <w:vAlign w:val="center"/>
          </w:tcPr>
          <w:p>
            <w:pPr>
              <w:adjustRightInd w:val="0"/>
              <w:snapToGrid w:val="0"/>
              <w:rPr>
                <w:snapToGrid w:val="0"/>
                <w:kern w:val="21"/>
                <w:szCs w:val="21"/>
              </w:rPr>
            </w:pPr>
            <w:r>
              <w:rPr>
                <w:b/>
                <w:bCs/>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地表水环境</w:t>
            </w:r>
          </w:p>
        </w:tc>
        <w:tc>
          <w:tcPr>
            <w:tcW w:w="1608" w:type="pct"/>
            <w:vAlign w:val="center"/>
          </w:tcPr>
          <w:p>
            <w:pPr>
              <w:adjustRightInd w:val="0"/>
              <w:snapToGrid w:val="0"/>
              <w:rPr>
                <w:snapToGrid w:val="0"/>
                <w:kern w:val="21"/>
                <w:szCs w:val="21"/>
              </w:rPr>
            </w:pPr>
            <w:r>
              <w:rPr>
                <w:snapToGrid w:val="0"/>
                <w:kern w:val="21"/>
                <w:szCs w:val="21"/>
              </w:rPr>
              <w:t>①经沉淀池预处理后回用于工程用水及道路降尘等；</w:t>
            </w:r>
          </w:p>
          <w:p>
            <w:pPr>
              <w:adjustRightInd w:val="0"/>
              <w:snapToGrid w:val="0"/>
              <w:rPr>
                <w:snapToGrid w:val="0"/>
                <w:kern w:val="21"/>
                <w:szCs w:val="21"/>
              </w:rPr>
            </w:pPr>
            <w:r>
              <w:rPr>
                <w:snapToGrid w:val="0"/>
                <w:kern w:val="21"/>
                <w:szCs w:val="21"/>
              </w:rPr>
              <w:t>②施工单位要做好施工场地周围的拦挡措施，尽量避免雨季开挖作业；</w:t>
            </w:r>
          </w:p>
          <w:p>
            <w:pPr>
              <w:adjustRightInd w:val="0"/>
              <w:snapToGrid w:val="0"/>
              <w:rPr>
                <w:snapToGrid w:val="0"/>
                <w:kern w:val="21"/>
                <w:szCs w:val="21"/>
              </w:rPr>
            </w:pPr>
            <w:r>
              <w:rPr>
                <w:snapToGrid w:val="0"/>
                <w:kern w:val="21"/>
                <w:szCs w:val="21"/>
              </w:rPr>
              <w:t>③施工生活污水利用临时旱厕（防渗）后定期清掏，不外排</w:t>
            </w:r>
          </w:p>
        </w:tc>
        <w:tc>
          <w:tcPr>
            <w:tcW w:w="911" w:type="pct"/>
            <w:vAlign w:val="center"/>
          </w:tcPr>
          <w:p>
            <w:pPr>
              <w:adjustRightInd w:val="0"/>
              <w:snapToGrid w:val="0"/>
              <w:rPr>
                <w:snapToGrid w:val="0"/>
                <w:kern w:val="21"/>
                <w:szCs w:val="21"/>
              </w:rPr>
            </w:pPr>
            <w:r>
              <w:rPr>
                <w:snapToGrid w:val="0"/>
                <w:kern w:val="21"/>
                <w:szCs w:val="21"/>
              </w:rPr>
              <w:t>施工废水不外排，对水环境无影响</w:t>
            </w:r>
          </w:p>
        </w:tc>
        <w:tc>
          <w:tcPr>
            <w:tcW w:w="1129" w:type="pct"/>
            <w:vAlign w:val="center"/>
          </w:tcPr>
          <w:p>
            <w:pPr>
              <w:adjustRightInd w:val="0"/>
              <w:snapToGrid w:val="0"/>
              <w:rPr>
                <w:snapToGrid w:val="0"/>
                <w:kern w:val="21"/>
                <w:szCs w:val="21"/>
              </w:rPr>
            </w:pPr>
            <w:r>
              <w:rPr>
                <w:snapToGrid w:val="0"/>
                <w:kern w:val="21"/>
                <w:szCs w:val="21"/>
              </w:rPr>
              <w:t>生活污水经化粪池收集，</w:t>
            </w:r>
            <w:r>
              <w:rPr>
                <w:rFonts w:hint="eastAsia"/>
                <w:snapToGrid w:val="0"/>
                <w:kern w:val="21"/>
                <w:szCs w:val="21"/>
              </w:rPr>
              <w:t>采用</w:t>
            </w:r>
            <w:r>
              <w:rPr>
                <w:snapToGrid w:val="0"/>
                <w:kern w:val="21"/>
                <w:szCs w:val="21"/>
              </w:rPr>
              <w:t>吸污车定期抽运至</w:t>
            </w:r>
            <w:r>
              <w:rPr>
                <w:rFonts w:hint="eastAsia"/>
                <w:snapToGrid w:val="0"/>
                <w:kern w:val="21"/>
                <w:szCs w:val="21"/>
              </w:rPr>
              <w:t>民乐生态工业园区第一污水处理厂处理</w:t>
            </w:r>
          </w:p>
        </w:tc>
        <w:tc>
          <w:tcPr>
            <w:tcW w:w="851" w:type="pct"/>
            <w:vAlign w:val="center"/>
          </w:tcPr>
          <w:p>
            <w:pPr>
              <w:adjustRightInd w:val="0"/>
              <w:snapToGrid w:val="0"/>
              <w:rPr>
                <w:snapToGrid w:val="0"/>
                <w:kern w:val="21"/>
                <w:szCs w:val="21"/>
              </w:rPr>
            </w:pPr>
            <w:r>
              <w:rPr>
                <w:kern w:val="21"/>
                <w:szCs w:val="21"/>
              </w:rPr>
              <w:t>生活污水经化粪池预处理，满足《污水排入城镇下水道水质标准》（GB/T31962-2015）</w:t>
            </w:r>
            <w:r>
              <w:rPr>
                <w:rFonts w:hint="eastAsia"/>
                <w:kern w:val="21"/>
                <w:szCs w:val="21"/>
              </w:rPr>
              <w:t>A</w:t>
            </w:r>
            <w:r>
              <w:rPr>
                <w:kern w:val="21"/>
                <w:szCs w:val="21"/>
              </w:rPr>
              <w:t>级标准要求</w:t>
            </w:r>
            <w:r>
              <w:rPr>
                <w:snapToGrid w:val="0"/>
                <w:kern w:val="21"/>
                <w:szCs w:val="21"/>
              </w:rPr>
              <w:t>，采用吸污车运至</w:t>
            </w:r>
            <w:r>
              <w:rPr>
                <w:rFonts w:hint="eastAsia"/>
                <w:snapToGrid w:val="0"/>
                <w:kern w:val="21"/>
                <w:szCs w:val="21"/>
              </w:rPr>
              <w:t>民乐生态工业园区第一</w:t>
            </w:r>
            <w:r>
              <w:rPr>
                <w:snapToGrid w:val="0"/>
                <w:kern w:val="21"/>
                <w:szCs w:val="21"/>
              </w:rPr>
              <w:t>污水处理厂处理</w:t>
            </w:r>
            <w:r>
              <w:rPr>
                <w:rFonts w:hint="eastAsia"/>
                <w:snapToGrid w:val="0"/>
                <w:kern w:val="21"/>
                <w:szCs w:val="21"/>
              </w:rPr>
              <w:t>，做好污水清运台账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地下水及土壤环境</w:t>
            </w:r>
          </w:p>
        </w:tc>
        <w:tc>
          <w:tcPr>
            <w:tcW w:w="1608" w:type="pct"/>
            <w:vAlign w:val="center"/>
          </w:tcPr>
          <w:p>
            <w:pPr>
              <w:adjustRightInd w:val="0"/>
              <w:snapToGrid w:val="0"/>
              <w:rPr>
                <w:snapToGrid w:val="0"/>
                <w:kern w:val="21"/>
                <w:szCs w:val="21"/>
              </w:rPr>
            </w:pPr>
            <w:r>
              <w:rPr>
                <w:b/>
                <w:bCs/>
                <w:snapToGrid w:val="0"/>
                <w:kern w:val="21"/>
                <w:szCs w:val="21"/>
              </w:rPr>
              <w:t>/</w:t>
            </w:r>
          </w:p>
        </w:tc>
        <w:tc>
          <w:tcPr>
            <w:tcW w:w="911" w:type="pct"/>
            <w:vAlign w:val="center"/>
          </w:tcPr>
          <w:p>
            <w:pPr>
              <w:adjustRightInd w:val="0"/>
              <w:snapToGrid w:val="0"/>
              <w:rPr>
                <w:snapToGrid w:val="0"/>
                <w:kern w:val="21"/>
                <w:szCs w:val="21"/>
              </w:rPr>
            </w:pPr>
            <w:r>
              <w:rPr>
                <w:b/>
                <w:bCs/>
                <w:snapToGrid w:val="0"/>
                <w:kern w:val="21"/>
                <w:szCs w:val="21"/>
              </w:rPr>
              <w:t>/</w:t>
            </w:r>
          </w:p>
        </w:tc>
        <w:tc>
          <w:tcPr>
            <w:tcW w:w="1129" w:type="pct"/>
            <w:vAlign w:val="center"/>
          </w:tcPr>
          <w:p>
            <w:pPr>
              <w:adjustRightInd w:val="0"/>
              <w:snapToGrid w:val="0"/>
              <w:rPr>
                <w:snapToGrid w:val="0"/>
                <w:kern w:val="21"/>
                <w:szCs w:val="21"/>
              </w:rPr>
            </w:pPr>
            <w:r>
              <w:rPr>
                <w:b/>
                <w:bCs/>
                <w:snapToGrid w:val="0"/>
                <w:kern w:val="21"/>
                <w:szCs w:val="21"/>
              </w:rPr>
              <w:t>/</w:t>
            </w:r>
          </w:p>
        </w:tc>
        <w:tc>
          <w:tcPr>
            <w:tcW w:w="851" w:type="pct"/>
            <w:vAlign w:val="center"/>
          </w:tcPr>
          <w:p>
            <w:pPr>
              <w:adjustRightInd w:val="0"/>
              <w:snapToGrid w:val="0"/>
              <w:rPr>
                <w:snapToGrid w:val="0"/>
                <w:kern w:val="21"/>
                <w:szCs w:val="21"/>
              </w:rPr>
            </w:pPr>
            <w:r>
              <w:rPr>
                <w:b/>
                <w:bCs/>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声环境</w:t>
            </w:r>
          </w:p>
        </w:tc>
        <w:tc>
          <w:tcPr>
            <w:tcW w:w="1608" w:type="pct"/>
            <w:vAlign w:val="center"/>
          </w:tcPr>
          <w:p>
            <w:pPr>
              <w:adjustRightInd w:val="0"/>
              <w:snapToGrid w:val="0"/>
              <w:rPr>
                <w:snapToGrid w:val="0"/>
                <w:spacing w:val="7"/>
                <w:kern w:val="21"/>
                <w:szCs w:val="21"/>
              </w:rPr>
            </w:pPr>
            <w:r>
              <w:rPr>
                <w:snapToGrid w:val="0"/>
                <w:spacing w:val="-2"/>
                <w:kern w:val="21"/>
                <w:szCs w:val="21"/>
              </w:rPr>
              <w:t>①施工单位尽量选用</w:t>
            </w:r>
            <w:r>
              <w:rPr>
                <w:snapToGrid w:val="0"/>
                <w:spacing w:val="-1"/>
                <w:kern w:val="21"/>
                <w:szCs w:val="21"/>
              </w:rPr>
              <w:t>采用满足国家相应噪声标准且低噪音的机</w:t>
            </w:r>
            <w:r>
              <w:rPr>
                <w:snapToGrid w:val="0"/>
                <w:spacing w:val="-5"/>
                <w:kern w:val="21"/>
                <w:szCs w:val="21"/>
              </w:rPr>
              <w:t>械设备或带隔声、消声</w:t>
            </w:r>
            <w:r>
              <w:rPr>
                <w:snapToGrid w:val="0"/>
                <w:spacing w:val="7"/>
                <w:kern w:val="21"/>
                <w:szCs w:val="21"/>
              </w:rPr>
              <w:t>设备</w:t>
            </w:r>
            <w:r>
              <w:rPr>
                <w:rFonts w:hint="eastAsia"/>
                <w:snapToGrid w:val="0"/>
                <w:spacing w:val="7"/>
                <w:kern w:val="21"/>
                <w:szCs w:val="21"/>
              </w:rPr>
              <w:t>；</w:t>
            </w:r>
          </w:p>
          <w:p>
            <w:pPr>
              <w:adjustRightInd w:val="0"/>
              <w:snapToGrid w:val="0"/>
              <w:rPr>
                <w:snapToGrid w:val="0"/>
                <w:spacing w:val="3"/>
                <w:kern w:val="21"/>
                <w:szCs w:val="21"/>
              </w:rPr>
            </w:pPr>
            <w:r>
              <w:rPr>
                <w:snapToGrid w:val="0"/>
                <w:spacing w:val="-2"/>
                <w:kern w:val="21"/>
                <w:szCs w:val="21"/>
              </w:rPr>
              <w:t>②施工单位合理规划</w:t>
            </w:r>
            <w:r>
              <w:rPr>
                <w:snapToGrid w:val="0"/>
                <w:spacing w:val="-1"/>
                <w:kern w:val="21"/>
                <w:szCs w:val="21"/>
              </w:rPr>
              <w:t>施工时间和安排施工</w:t>
            </w:r>
            <w:r>
              <w:rPr>
                <w:snapToGrid w:val="0"/>
                <w:spacing w:val="-4"/>
                <w:kern w:val="21"/>
                <w:szCs w:val="21"/>
              </w:rPr>
              <w:t>场地，夜间禁止施工。</w:t>
            </w:r>
            <w:r>
              <w:rPr>
                <w:snapToGrid w:val="0"/>
                <w:spacing w:val="-5"/>
                <w:kern w:val="21"/>
                <w:szCs w:val="21"/>
              </w:rPr>
              <w:t>严禁高</w:t>
            </w:r>
            <w:r>
              <w:rPr>
                <w:rFonts w:hint="eastAsia"/>
                <w:snapToGrid w:val="0"/>
                <w:spacing w:val="-5"/>
                <w:kern w:val="21"/>
                <w:szCs w:val="21"/>
              </w:rPr>
              <w:t>噪声</w:t>
            </w:r>
            <w:r>
              <w:rPr>
                <w:snapToGrid w:val="0"/>
                <w:spacing w:val="-5"/>
                <w:kern w:val="21"/>
                <w:szCs w:val="21"/>
              </w:rPr>
              <w:t>、高振动的</w:t>
            </w:r>
            <w:r>
              <w:rPr>
                <w:snapToGrid w:val="0"/>
                <w:spacing w:val="-1"/>
                <w:kern w:val="21"/>
                <w:szCs w:val="21"/>
              </w:rPr>
              <w:t>设备在中午及夜间休</w:t>
            </w:r>
            <w:r>
              <w:rPr>
                <w:snapToGrid w:val="0"/>
                <w:spacing w:val="3"/>
                <w:kern w:val="21"/>
                <w:szCs w:val="21"/>
              </w:rPr>
              <w:t>息时间作业</w:t>
            </w:r>
            <w:r>
              <w:rPr>
                <w:rFonts w:hint="eastAsia"/>
                <w:snapToGrid w:val="0"/>
                <w:spacing w:val="3"/>
                <w:kern w:val="21"/>
                <w:szCs w:val="21"/>
              </w:rPr>
              <w:t>；</w:t>
            </w:r>
          </w:p>
          <w:p>
            <w:pPr>
              <w:adjustRightInd w:val="0"/>
              <w:snapToGrid w:val="0"/>
              <w:rPr>
                <w:snapToGrid w:val="0"/>
                <w:kern w:val="21"/>
                <w:szCs w:val="21"/>
              </w:rPr>
            </w:pPr>
            <w:r>
              <w:rPr>
                <w:snapToGrid w:val="0"/>
                <w:spacing w:val="-2"/>
                <w:kern w:val="21"/>
                <w:szCs w:val="21"/>
              </w:rPr>
              <w:t>③在满足工程建设要</w:t>
            </w:r>
            <w:r>
              <w:rPr>
                <w:snapToGrid w:val="0"/>
                <w:spacing w:val="-3"/>
                <w:kern w:val="21"/>
                <w:szCs w:val="21"/>
              </w:rPr>
              <w:t>求的情况下尽量优化</w:t>
            </w:r>
            <w:r>
              <w:rPr>
                <w:snapToGrid w:val="0"/>
                <w:spacing w:val="-5"/>
                <w:kern w:val="21"/>
                <w:szCs w:val="21"/>
              </w:rPr>
              <w:t>施工时序，避免高噪声设备同时运行，尽量缩</w:t>
            </w:r>
            <w:r>
              <w:rPr>
                <w:snapToGrid w:val="0"/>
                <w:spacing w:val="-2"/>
                <w:kern w:val="21"/>
                <w:szCs w:val="21"/>
              </w:rPr>
              <w:t>短施工工期</w:t>
            </w:r>
          </w:p>
        </w:tc>
        <w:tc>
          <w:tcPr>
            <w:tcW w:w="911" w:type="pct"/>
            <w:vAlign w:val="center"/>
          </w:tcPr>
          <w:p>
            <w:pPr>
              <w:adjustRightInd w:val="0"/>
              <w:snapToGrid w:val="0"/>
              <w:rPr>
                <w:snapToGrid w:val="0"/>
                <w:kern w:val="21"/>
                <w:szCs w:val="21"/>
              </w:rPr>
            </w:pPr>
            <w:r>
              <w:rPr>
                <w:snapToGrid w:val="0"/>
                <w:spacing w:val="-2"/>
                <w:kern w:val="21"/>
                <w:szCs w:val="21"/>
              </w:rPr>
              <w:t>施工期噪声执行</w:t>
            </w:r>
            <w:r>
              <w:rPr>
                <w:snapToGrid w:val="0"/>
                <w:spacing w:val="-1"/>
                <w:kern w:val="21"/>
                <w:szCs w:val="21"/>
              </w:rPr>
              <w:t>《建筑施工场界环</w:t>
            </w:r>
            <w:r>
              <w:rPr>
                <w:snapToGrid w:val="0"/>
                <w:spacing w:val="-2"/>
                <w:kern w:val="21"/>
                <w:szCs w:val="21"/>
              </w:rPr>
              <w:t>境噪声排放标准》（GB12523-</w:t>
            </w:r>
            <w:r>
              <w:rPr>
                <w:snapToGrid w:val="0"/>
                <w:kern w:val="21"/>
                <w:szCs w:val="21"/>
              </w:rPr>
              <w:t xml:space="preserve">          </w:t>
            </w:r>
            <w:r>
              <w:rPr>
                <w:snapToGrid w:val="0"/>
                <w:spacing w:val="-1"/>
                <w:kern w:val="21"/>
                <w:szCs w:val="21"/>
              </w:rPr>
              <w:t>2011）</w:t>
            </w:r>
          </w:p>
        </w:tc>
        <w:tc>
          <w:tcPr>
            <w:tcW w:w="1129" w:type="pct"/>
            <w:vAlign w:val="center"/>
          </w:tcPr>
          <w:p>
            <w:pPr>
              <w:adjustRightInd w:val="0"/>
              <w:snapToGrid w:val="0"/>
              <w:rPr>
                <w:snapToGrid w:val="0"/>
                <w:kern w:val="21"/>
                <w:szCs w:val="21"/>
              </w:rPr>
            </w:pPr>
            <w:r>
              <w:rPr>
                <w:snapToGrid w:val="0"/>
                <w:kern w:val="21"/>
                <w:szCs w:val="21"/>
              </w:rPr>
              <w:t>①主变设备选型时，应尽量选择低噪声主变，加强设备的运行管理，减少因设备陈旧产生的噪声；</w:t>
            </w:r>
          </w:p>
          <w:p>
            <w:pPr>
              <w:adjustRightInd w:val="0"/>
              <w:snapToGrid w:val="0"/>
              <w:rPr>
                <w:snapToGrid w:val="0"/>
                <w:kern w:val="21"/>
                <w:szCs w:val="21"/>
              </w:rPr>
            </w:pPr>
            <w:r>
              <w:rPr>
                <w:snapToGrid w:val="0"/>
                <w:kern w:val="21"/>
                <w:szCs w:val="21"/>
              </w:rPr>
              <w:t>②做好变压器基础减震措施</w:t>
            </w:r>
            <w:r>
              <w:rPr>
                <w:rFonts w:hint="eastAsia"/>
                <w:snapToGrid w:val="0"/>
                <w:kern w:val="21"/>
                <w:szCs w:val="21"/>
              </w:rPr>
              <w:t>，</w:t>
            </w:r>
            <w:r>
              <w:rPr>
                <w:rFonts w:hint="eastAsia"/>
                <w:snapToGrid w:val="0"/>
                <w:color w:val="FF0000"/>
                <w:kern w:val="21"/>
                <w:szCs w:val="21"/>
              </w:rPr>
              <w:t>储能舱空调、液冷机组基础减振、建筑隔声等措施</w:t>
            </w:r>
          </w:p>
        </w:tc>
        <w:tc>
          <w:tcPr>
            <w:tcW w:w="851" w:type="pct"/>
            <w:vAlign w:val="center"/>
          </w:tcPr>
          <w:p>
            <w:pPr>
              <w:adjustRightInd w:val="0"/>
              <w:snapToGrid w:val="0"/>
              <w:rPr>
                <w:snapToGrid w:val="0"/>
                <w:kern w:val="21"/>
                <w:szCs w:val="21"/>
                <w:highlight w:val="yellow"/>
              </w:rPr>
            </w:pPr>
            <w:r>
              <w:rPr>
                <w:snapToGrid w:val="0"/>
                <w:kern w:val="21"/>
                <w:szCs w:val="21"/>
              </w:rPr>
              <w:t>噪声</w:t>
            </w:r>
            <w:r>
              <w:rPr>
                <w:rFonts w:hint="eastAsia"/>
                <w:snapToGrid w:val="0"/>
                <w:kern w:val="21"/>
                <w:szCs w:val="21"/>
              </w:rPr>
              <w:t>排放</w:t>
            </w:r>
            <w:r>
              <w:rPr>
                <w:snapToGrid w:val="0"/>
                <w:kern w:val="21"/>
                <w:szCs w:val="21"/>
              </w:rPr>
              <w:t>满足《工业企业厂界环境噪声排放标准》</w:t>
            </w:r>
            <w:r>
              <w:rPr>
                <w:rFonts w:hint="eastAsia"/>
                <w:snapToGrid w:val="0"/>
                <w:kern w:val="21"/>
                <w:szCs w:val="21"/>
              </w:rPr>
              <w:t>（</w:t>
            </w:r>
            <w:r>
              <w:rPr>
                <w:snapToGrid w:val="0"/>
                <w:kern w:val="21"/>
                <w:szCs w:val="21"/>
              </w:rPr>
              <w:t>GB12348-2008</w:t>
            </w:r>
            <w:r>
              <w:rPr>
                <w:rFonts w:hint="eastAsia"/>
                <w:snapToGrid w:val="0"/>
                <w:kern w:val="21"/>
                <w:szCs w:val="21"/>
              </w:rPr>
              <w:t>）</w:t>
            </w:r>
            <w:r>
              <w:rPr>
                <w:rFonts w:hint="eastAsia"/>
                <w:snapToGrid w:val="0"/>
                <w:color w:val="FF0000"/>
                <w:kern w:val="21"/>
                <w:szCs w:val="21"/>
              </w:rPr>
              <w:t>2</w:t>
            </w:r>
            <w:r>
              <w:rPr>
                <w:snapToGrid w:val="0"/>
                <w:color w:val="FF0000"/>
                <w:kern w:val="21"/>
                <w:szCs w:val="21"/>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振动</w:t>
            </w:r>
          </w:p>
        </w:tc>
        <w:tc>
          <w:tcPr>
            <w:tcW w:w="1608" w:type="pct"/>
            <w:vAlign w:val="center"/>
          </w:tcPr>
          <w:p>
            <w:pPr>
              <w:adjustRightInd w:val="0"/>
              <w:snapToGrid w:val="0"/>
              <w:rPr>
                <w:snapToGrid w:val="0"/>
                <w:kern w:val="21"/>
                <w:szCs w:val="21"/>
              </w:rPr>
            </w:pPr>
            <w:r>
              <w:rPr>
                <w:b/>
                <w:bCs/>
                <w:snapToGrid w:val="0"/>
                <w:kern w:val="21"/>
                <w:szCs w:val="21"/>
              </w:rPr>
              <w:t>/</w:t>
            </w:r>
          </w:p>
        </w:tc>
        <w:tc>
          <w:tcPr>
            <w:tcW w:w="911" w:type="pct"/>
            <w:vAlign w:val="center"/>
          </w:tcPr>
          <w:p>
            <w:pPr>
              <w:adjustRightInd w:val="0"/>
              <w:snapToGrid w:val="0"/>
              <w:rPr>
                <w:snapToGrid w:val="0"/>
                <w:kern w:val="21"/>
                <w:szCs w:val="21"/>
              </w:rPr>
            </w:pPr>
            <w:r>
              <w:rPr>
                <w:b/>
                <w:bCs/>
                <w:snapToGrid w:val="0"/>
                <w:kern w:val="21"/>
                <w:szCs w:val="21"/>
              </w:rPr>
              <w:t>/</w:t>
            </w:r>
          </w:p>
        </w:tc>
        <w:tc>
          <w:tcPr>
            <w:tcW w:w="1129" w:type="pct"/>
            <w:vAlign w:val="center"/>
          </w:tcPr>
          <w:p>
            <w:pPr>
              <w:adjustRightInd w:val="0"/>
              <w:snapToGrid w:val="0"/>
              <w:rPr>
                <w:snapToGrid w:val="0"/>
                <w:kern w:val="21"/>
                <w:szCs w:val="21"/>
              </w:rPr>
            </w:pPr>
            <w:r>
              <w:rPr>
                <w:b/>
                <w:bCs/>
                <w:snapToGrid w:val="0"/>
                <w:kern w:val="21"/>
                <w:szCs w:val="21"/>
              </w:rPr>
              <w:t>/</w:t>
            </w:r>
          </w:p>
        </w:tc>
        <w:tc>
          <w:tcPr>
            <w:tcW w:w="851" w:type="pct"/>
            <w:vAlign w:val="center"/>
          </w:tcPr>
          <w:p>
            <w:pPr>
              <w:adjustRightInd w:val="0"/>
              <w:snapToGrid w:val="0"/>
              <w:rPr>
                <w:snapToGrid w:val="0"/>
                <w:kern w:val="21"/>
                <w:szCs w:val="21"/>
              </w:rPr>
            </w:pPr>
            <w:r>
              <w:rPr>
                <w:b/>
                <w:bCs/>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大气环境</w:t>
            </w:r>
          </w:p>
        </w:tc>
        <w:tc>
          <w:tcPr>
            <w:tcW w:w="1608" w:type="pct"/>
            <w:vAlign w:val="center"/>
          </w:tcPr>
          <w:p>
            <w:pPr>
              <w:adjustRightInd w:val="0"/>
              <w:snapToGrid w:val="0"/>
              <w:rPr>
                <w:snapToGrid w:val="0"/>
                <w:spacing w:val="-5"/>
                <w:kern w:val="21"/>
                <w:szCs w:val="21"/>
              </w:rPr>
            </w:pPr>
            <w:r>
              <w:rPr>
                <w:snapToGrid w:val="0"/>
                <w:spacing w:val="-2"/>
                <w:kern w:val="21"/>
                <w:szCs w:val="21"/>
              </w:rPr>
              <w:t>①要求施工单位文明</w:t>
            </w:r>
            <w:r>
              <w:rPr>
                <w:snapToGrid w:val="0"/>
                <w:spacing w:val="-5"/>
                <w:kern w:val="21"/>
                <w:szCs w:val="21"/>
              </w:rPr>
              <w:t>施工，加强施工期的环</w:t>
            </w:r>
            <w:r>
              <w:rPr>
                <w:snapToGrid w:val="0"/>
                <w:spacing w:val="-1"/>
                <w:kern w:val="21"/>
                <w:szCs w:val="21"/>
              </w:rPr>
              <w:t>境管理和环境监控工</w:t>
            </w:r>
            <w:r>
              <w:rPr>
                <w:snapToGrid w:val="0"/>
                <w:spacing w:val="-5"/>
                <w:kern w:val="21"/>
                <w:szCs w:val="21"/>
              </w:rPr>
              <w:t>作；</w:t>
            </w:r>
          </w:p>
          <w:p>
            <w:pPr>
              <w:adjustRightInd w:val="0"/>
              <w:snapToGrid w:val="0"/>
              <w:rPr>
                <w:snapToGrid w:val="0"/>
                <w:kern w:val="21"/>
                <w:szCs w:val="21"/>
              </w:rPr>
            </w:pPr>
            <w:r>
              <w:rPr>
                <w:snapToGrid w:val="0"/>
                <w:spacing w:val="-5"/>
                <w:kern w:val="21"/>
                <w:szCs w:val="21"/>
              </w:rPr>
              <w:t>②施工时，对于裸露施工面定期洒水，减少施</w:t>
            </w:r>
            <w:r>
              <w:rPr>
                <w:snapToGrid w:val="0"/>
                <w:spacing w:val="-3"/>
                <w:kern w:val="21"/>
                <w:szCs w:val="21"/>
              </w:rPr>
              <w:t>工扬尘；</w:t>
            </w:r>
          </w:p>
          <w:p>
            <w:pPr>
              <w:adjustRightInd w:val="0"/>
              <w:snapToGrid w:val="0"/>
              <w:rPr>
                <w:snapToGrid w:val="0"/>
                <w:spacing w:val="2"/>
                <w:kern w:val="21"/>
                <w:szCs w:val="21"/>
              </w:rPr>
            </w:pPr>
            <w:r>
              <w:rPr>
                <w:snapToGrid w:val="0"/>
                <w:spacing w:val="-2"/>
                <w:kern w:val="21"/>
                <w:szCs w:val="21"/>
              </w:rPr>
              <w:t>③车辆运输</w:t>
            </w:r>
            <w:r>
              <w:rPr>
                <w:snapToGrid w:val="0"/>
                <w:spacing w:val="-1"/>
                <w:kern w:val="21"/>
                <w:szCs w:val="21"/>
              </w:rPr>
              <w:t>必须密</w:t>
            </w:r>
            <w:r>
              <w:rPr>
                <w:snapToGrid w:val="0"/>
                <w:spacing w:val="-5"/>
                <w:kern w:val="21"/>
                <w:szCs w:val="21"/>
              </w:rPr>
              <w:t>闭、包扎、覆盖，</w:t>
            </w:r>
            <w:r>
              <w:rPr>
                <w:snapToGrid w:val="0"/>
                <w:kern w:val="21"/>
                <w:szCs w:val="21"/>
              </w:rPr>
              <w:t>避免沿途漏撒</w:t>
            </w:r>
            <w:r>
              <w:rPr>
                <w:snapToGrid w:val="0"/>
                <w:spacing w:val="-17"/>
                <w:kern w:val="21"/>
                <w:szCs w:val="21"/>
              </w:rPr>
              <w:t>；运载土方的</w:t>
            </w:r>
            <w:r>
              <w:rPr>
                <w:snapToGrid w:val="0"/>
                <w:spacing w:val="-1"/>
                <w:kern w:val="21"/>
                <w:szCs w:val="21"/>
              </w:rPr>
              <w:t>车辆必须在规定的时间内，按指定路段行</w:t>
            </w:r>
            <w:r>
              <w:rPr>
                <w:snapToGrid w:val="0"/>
                <w:spacing w:val="2"/>
                <w:kern w:val="21"/>
                <w:szCs w:val="21"/>
              </w:rPr>
              <w:t>驶，控制扬尘污染；</w:t>
            </w:r>
          </w:p>
          <w:p>
            <w:pPr>
              <w:adjustRightInd w:val="0"/>
              <w:snapToGrid w:val="0"/>
              <w:rPr>
                <w:snapToGrid w:val="0"/>
                <w:spacing w:val="4"/>
                <w:kern w:val="21"/>
                <w:szCs w:val="21"/>
              </w:rPr>
            </w:pPr>
            <w:r>
              <w:rPr>
                <w:snapToGrid w:val="0"/>
                <w:spacing w:val="-2"/>
                <w:kern w:val="21"/>
                <w:szCs w:val="21"/>
              </w:rPr>
              <w:t>④加强材料转运与使</w:t>
            </w:r>
            <w:r>
              <w:rPr>
                <w:snapToGrid w:val="0"/>
                <w:spacing w:val="-5"/>
                <w:kern w:val="21"/>
                <w:szCs w:val="21"/>
              </w:rPr>
              <w:t>用的管理，合理装卸，</w:t>
            </w:r>
            <w:r>
              <w:rPr>
                <w:snapToGrid w:val="0"/>
                <w:spacing w:val="4"/>
                <w:kern w:val="21"/>
                <w:szCs w:val="21"/>
              </w:rPr>
              <w:t>规范操作；</w:t>
            </w:r>
          </w:p>
          <w:p>
            <w:pPr>
              <w:adjustRightInd w:val="0"/>
              <w:snapToGrid w:val="0"/>
              <w:rPr>
                <w:snapToGrid w:val="0"/>
                <w:spacing w:val="-1"/>
                <w:kern w:val="21"/>
                <w:szCs w:val="21"/>
              </w:rPr>
            </w:pPr>
            <w:r>
              <w:rPr>
                <w:snapToGrid w:val="0"/>
                <w:spacing w:val="-2"/>
                <w:kern w:val="21"/>
                <w:szCs w:val="21"/>
              </w:rPr>
              <w:t>⑤站址施工先</w:t>
            </w:r>
            <w:r>
              <w:rPr>
                <w:snapToGrid w:val="0"/>
                <w:spacing w:val="-1"/>
                <w:kern w:val="21"/>
                <w:szCs w:val="21"/>
              </w:rPr>
              <w:t>行设置围挡措施；</w:t>
            </w:r>
          </w:p>
          <w:p>
            <w:pPr>
              <w:adjustRightInd w:val="0"/>
              <w:snapToGrid w:val="0"/>
              <w:rPr>
                <w:snapToGrid w:val="0"/>
                <w:kern w:val="21"/>
                <w:szCs w:val="21"/>
              </w:rPr>
            </w:pPr>
            <w:r>
              <w:rPr>
                <w:snapToGrid w:val="0"/>
                <w:spacing w:val="-2"/>
                <w:kern w:val="21"/>
                <w:szCs w:val="21"/>
              </w:rPr>
              <w:t>⑥进出场地的车辆限</w:t>
            </w:r>
            <w:r>
              <w:rPr>
                <w:snapToGrid w:val="0"/>
                <w:spacing w:val="-5"/>
                <w:kern w:val="21"/>
                <w:szCs w:val="21"/>
              </w:rPr>
              <w:t>制车速，场内道路、堆场及车辆进出时洒水，保持湿润，减少或避免</w:t>
            </w:r>
            <w:r>
              <w:rPr>
                <w:snapToGrid w:val="0"/>
                <w:spacing w:val="-2"/>
                <w:kern w:val="21"/>
                <w:szCs w:val="21"/>
              </w:rPr>
              <w:t>产生扬尘；</w:t>
            </w:r>
          </w:p>
          <w:p>
            <w:pPr>
              <w:adjustRightInd w:val="0"/>
              <w:snapToGrid w:val="0"/>
              <w:rPr>
                <w:snapToGrid w:val="0"/>
                <w:kern w:val="21"/>
                <w:szCs w:val="21"/>
              </w:rPr>
            </w:pPr>
            <w:r>
              <w:rPr>
                <w:snapToGrid w:val="0"/>
                <w:spacing w:val="-2"/>
                <w:kern w:val="21"/>
                <w:szCs w:val="21"/>
              </w:rPr>
              <w:t>⑦施工临时中转土方</w:t>
            </w:r>
            <w:r>
              <w:rPr>
                <w:snapToGrid w:val="0"/>
                <w:spacing w:val="-4"/>
                <w:kern w:val="21"/>
                <w:szCs w:val="21"/>
              </w:rPr>
              <w:t>以及弃土弃渣等要合</w:t>
            </w:r>
            <w:r>
              <w:rPr>
                <w:snapToGrid w:val="0"/>
                <w:spacing w:val="-5"/>
                <w:kern w:val="21"/>
                <w:szCs w:val="21"/>
              </w:rPr>
              <w:t>理堆放，采取防尘网遮盖、定期洒水等措施进行</w:t>
            </w:r>
            <w:r>
              <w:rPr>
                <w:snapToGrid w:val="0"/>
                <w:spacing w:val="-2"/>
                <w:kern w:val="21"/>
                <w:szCs w:val="21"/>
              </w:rPr>
              <w:t>扬尘控制</w:t>
            </w:r>
          </w:p>
        </w:tc>
        <w:tc>
          <w:tcPr>
            <w:tcW w:w="911" w:type="pct"/>
            <w:vAlign w:val="center"/>
          </w:tcPr>
          <w:p>
            <w:pPr>
              <w:adjustRightInd w:val="0"/>
              <w:snapToGrid w:val="0"/>
              <w:rPr>
                <w:snapToGrid w:val="0"/>
                <w:kern w:val="21"/>
                <w:szCs w:val="21"/>
              </w:rPr>
            </w:pPr>
            <w:r>
              <w:rPr>
                <w:snapToGrid w:val="0"/>
                <w:kern w:val="21"/>
                <w:szCs w:val="21"/>
              </w:rPr>
              <w:t>合理设置抑尘措施，对周边环境影响</w:t>
            </w:r>
            <w:r>
              <w:rPr>
                <w:rFonts w:hint="eastAsia"/>
                <w:snapToGrid w:val="0"/>
                <w:kern w:val="21"/>
                <w:szCs w:val="21"/>
              </w:rPr>
              <w:t>不大</w:t>
            </w:r>
          </w:p>
        </w:tc>
        <w:tc>
          <w:tcPr>
            <w:tcW w:w="1129" w:type="pct"/>
            <w:vAlign w:val="center"/>
          </w:tcPr>
          <w:p>
            <w:pPr>
              <w:adjustRightInd w:val="0"/>
              <w:snapToGrid w:val="0"/>
              <w:rPr>
                <w:snapToGrid w:val="0"/>
                <w:kern w:val="21"/>
                <w:szCs w:val="21"/>
              </w:rPr>
            </w:pPr>
            <w:r>
              <w:rPr>
                <w:b/>
                <w:bCs/>
                <w:snapToGrid w:val="0"/>
                <w:kern w:val="21"/>
                <w:szCs w:val="21"/>
              </w:rPr>
              <w:t>/</w:t>
            </w:r>
          </w:p>
        </w:tc>
        <w:tc>
          <w:tcPr>
            <w:tcW w:w="851" w:type="pct"/>
            <w:vAlign w:val="center"/>
          </w:tcPr>
          <w:p>
            <w:pPr>
              <w:adjustRightInd w:val="0"/>
              <w:snapToGrid w:val="0"/>
              <w:rPr>
                <w:snapToGrid w:val="0"/>
                <w:kern w:val="21"/>
                <w:szCs w:val="21"/>
              </w:rPr>
            </w:pPr>
            <w:r>
              <w:rPr>
                <w:b/>
                <w:bCs/>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固体废物</w:t>
            </w:r>
          </w:p>
        </w:tc>
        <w:tc>
          <w:tcPr>
            <w:tcW w:w="1608" w:type="pct"/>
            <w:vAlign w:val="center"/>
          </w:tcPr>
          <w:p>
            <w:pPr>
              <w:adjustRightInd w:val="0"/>
              <w:snapToGrid w:val="0"/>
              <w:rPr>
                <w:snapToGrid w:val="0"/>
                <w:kern w:val="21"/>
                <w:szCs w:val="21"/>
              </w:rPr>
            </w:pPr>
            <w:r>
              <w:rPr>
                <w:snapToGrid w:val="0"/>
                <w:spacing w:val="-4"/>
                <w:kern w:val="21"/>
                <w:szCs w:val="21"/>
              </w:rPr>
              <w:t>①施工垃圾及时清理、</w:t>
            </w:r>
            <w:r>
              <w:rPr>
                <w:snapToGrid w:val="0"/>
                <w:spacing w:val="-5"/>
                <w:kern w:val="21"/>
                <w:szCs w:val="21"/>
              </w:rPr>
              <w:t>集中堆放，及时转运。</w:t>
            </w:r>
          </w:p>
          <w:p>
            <w:pPr>
              <w:adjustRightInd w:val="0"/>
              <w:snapToGrid w:val="0"/>
              <w:rPr>
                <w:snapToGrid w:val="0"/>
                <w:kern w:val="21"/>
                <w:szCs w:val="21"/>
              </w:rPr>
            </w:pPr>
            <w:r>
              <w:rPr>
                <w:snapToGrid w:val="0"/>
                <w:spacing w:val="-2"/>
                <w:kern w:val="21"/>
                <w:szCs w:val="21"/>
              </w:rPr>
              <w:t>②施工人员产生的生活垃圾可通过设置垃</w:t>
            </w:r>
            <w:r>
              <w:rPr>
                <w:snapToGrid w:val="0"/>
                <w:spacing w:val="-5"/>
                <w:kern w:val="21"/>
                <w:szCs w:val="21"/>
              </w:rPr>
              <w:t>圾箱集中收集、分类堆放，定期运至环卫部门</w:t>
            </w:r>
            <w:r>
              <w:rPr>
                <w:snapToGrid w:val="0"/>
                <w:spacing w:val="-2"/>
                <w:kern w:val="21"/>
                <w:szCs w:val="21"/>
              </w:rPr>
              <w:t>指定的地点位置。</w:t>
            </w:r>
          </w:p>
          <w:p>
            <w:pPr>
              <w:adjustRightInd w:val="0"/>
              <w:snapToGrid w:val="0"/>
              <w:rPr>
                <w:snapToGrid w:val="0"/>
                <w:kern w:val="21"/>
                <w:szCs w:val="21"/>
              </w:rPr>
            </w:pPr>
            <w:r>
              <w:rPr>
                <w:snapToGrid w:val="0"/>
                <w:spacing w:val="18"/>
                <w:kern w:val="21"/>
                <w:szCs w:val="21"/>
              </w:rPr>
              <w:t>③建筑垃圾由施工单</w:t>
            </w:r>
            <w:r>
              <w:rPr>
                <w:snapToGrid w:val="0"/>
                <w:spacing w:val="-5"/>
                <w:kern w:val="21"/>
                <w:szCs w:val="21"/>
              </w:rPr>
              <w:t>位及时清运，使工程建</w:t>
            </w:r>
            <w:r>
              <w:rPr>
                <w:snapToGrid w:val="0"/>
                <w:spacing w:val="18"/>
                <w:kern w:val="21"/>
                <w:szCs w:val="21"/>
              </w:rPr>
              <w:t>设产生的各类垃圾处</w:t>
            </w:r>
            <w:r>
              <w:rPr>
                <w:snapToGrid w:val="0"/>
                <w:spacing w:val="-2"/>
                <w:kern w:val="21"/>
                <w:szCs w:val="21"/>
              </w:rPr>
              <w:t>于可控状态</w:t>
            </w:r>
          </w:p>
        </w:tc>
        <w:tc>
          <w:tcPr>
            <w:tcW w:w="911" w:type="pct"/>
            <w:vAlign w:val="center"/>
          </w:tcPr>
          <w:p>
            <w:pPr>
              <w:adjustRightInd w:val="0"/>
              <w:snapToGrid w:val="0"/>
              <w:rPr>
                <w:snapToGrid w:val="0"/>
                <w:kern w:val="21"/>
                <w:szCs w:val="21"/>
              </w:rPr>
            </w:pPr>
            <w:r>
              <w:rPr>
                <w:snapToGrid w:val="0"/>
                <w:spacing w:val="-2"/>
                <w:kern w:val="21"/>
                <w:szCs w:val="21"/>
              </w:rPr>
              <w:t>施工垃圾、生活垃圾、建筑垃圾处置</w:t>
            </w:r>
            <w:r>
              <w:rPr>
                <w:snapToGrid w:val="0"/>
                <w:spacing w:val="-5"/>
                <w:kern w:val="21"/>
                <w:szCs w:val="21"/>
              </w:rPr>
              <w:t>得当</w:t>
            </w:r>
          </w:p>
        </w:tc>
        <w:tc>
          <w:tcPr>
            <w:tcW w:w="1129" w:type="pct"/>
            <w:vAlign w:val="center"/>
          </w:tcPr>
          <w:p>
            <w:pPr>
              <w:adjustRightInd w:val="0"/>
              <w:snapToGrid w:val="0"/>
              <w:rPr>
                <w:snapToGrid w:val="0"/>
                <w:spacing w:val="7"/>
                <w:kern w:val="21"/>
                <w:szCs w:val="21"/>
              </w:rPr>
            </w:pPr>
            <w:r>
              <w:rPr>
                <w:snapToGrid w:val="0"/>
                <w:spacing w:val="-2"/>
                <w:kern w:val="21"/>
                <w:szCs w:val="21"/>
              </w:rPr>
              <w:t>①</w:t>
            </w:r>
            <w:r>
              <w:rPr>
                <w:rFonts w:hint="eastAsia"/>
                <w:snapToGrid w:val="0"/>
                <w:spacing w:val="-2"/>
                <w:kern w:val="21"/>
                <w:szCs w:val="21"/>
              </w:rPr>
              <w:t>运营期</w:t>
            </w:r>
            <w:r>
              <w:rPr>
                <w:snapToGrid w:val="0"/>
                <w:spacing w:val="-2"/>
                <w:kern w:val="21"/>
                <w:szCs w:val="21"/>
              </w:rPr>
              <w:t>值守人员产生的少量生活垃圾经站内垃圾箱集中收集后，</w:t>
            </w:r>
            <w:r>
              <w:rPr>
                <w:rFonts w:hint="eastAsia"/>
                <w:snapToGrid w:val="0"/>
                <w:spacing w:val="-2"/>
                <w:kern w:val="21"/>
                <w:szCs w:val="21"/>
              </w:rPr>
              <w:t>送至</w:t>
            </w:r>
            <w:r>
              <w:rPr>
                <w:snapToGrid w:val="0"/>
                <w:spacing w:val="-2"/>
                <w:kern w:val="21"/>
                <w:szCs w:val="21"/>
              </w:rPr>
              <w:t>环卫部门</w:t>
            </w:r>
            <w:r>
              <w:rPr>
                <w:rFonts w:hint="eastAsia"/>
                <w:snapToGrid w:val="0"/>
                <w:spacing w:val="-2"/>
                <w:kern w:val="21"/>
                <w:szCs w:val="21"/>
              </w:rPr>
              <w:t>指定地点</w:t>
            </w:r>
            <w:r>
              <w:rPr>
                <w:rFonts w:hint="eastAsia"/>
                <w:snapToGrid w:val="0"/>
                <w:spacing w:val="7"/>
                <w:kern w:val="21"/>
                <w:szCs w:val="21"/>
              </w:rPr>
              <w:t>；化粪池底泥定期清掏；废锂电池等设一般固废暂存间</w:t>
            </w:r>
            <w:r>
              <w:rPr>
                <w:rFonts w:hint="eastAsia"/>
                <w:kern w:val="21"/>
                <w:szCs w:val="21"/>
              </w:rPr>
              <w:t>（10m</w:t>
            </w:r>
            <w:r>
              <w:rPr>
                <w:rFonts w:hint="eastAsia"/>
                <w:kern w:val="21"/>
                <w:szCs w:val="21"/>
                <w:vertAlign w:val="superscript"/>
              </w:rPr>
              <w:t>2</w:t>
            </w:r>
            <w:r>
              <w:rPr>
                <w:rFonts w:hint="eastAsia"/>
                <w:kern w:val="21"/>
                <w:szCs w:val="21"/>
              </w:rPr>
              <w:t>）</w:t>
            </w:r>
            <w:r>
              <w:rPr>
                <w:rFonts w:hint="eastAsia"/>
                <w:snapToGrid w:val="0"/>
                <w:spacing w:val="7"/>
                <w:kern w:val="21"/>
                <w:szCs w:val="21"/>
              </w:rPr>
              <w:t>暂存后由厂家回收；</w:t>
            </w:r>
          </w:p>
          <w:p>
            <w:pPr>
              <w:adjustRightInd w:val="0"/>
              <w:snapToGrid w:val="0"/>
              <w:rPr>
                <w:snapToGrid w:val="0"/>
                <w:kern w:val="21"/>
                <w:szCs w:val="21"/>
              </w:rPr>
            </w:pPr>
            <w:r>
              <w:rPr>
                <w:snapToGrid w:val="0"/>
                <w:spacing w:val="-2"/>
                <w:kern w:val="21"/>
                <w:szCs w:val="21"/>
              </w:rPr>
              <w:t>②</w:t>
            </w:r>
            <w:r>
              <w:rPr>
                <w:rFonts w:hint="eastAsia"/>
                <w:kern w:val="21"/>
                <w:szCs w:val="21"/>
              </w:rPr>
              <w:t>变压器废油及其容器、油抹布等设置危废暂存间（10m</w:t>
            </w:r>
            <w:r>
              <w:rPr>
                <w:rFonts w:hint="eastAsia"/>
                <w:kern w:val="21"/>
                <w:szCs w:val="21"/>
                <w:vertAlign w:val="superscript"/>
              </w:rPr>
              <w:t>2</w:t>
            </w:r>
            <w:r>
              <w:rPr>
                <w:rFonts w:hint="eastAsia"/>
                <w:kern w:val="21"/>
                <w:szCs w:val="21"/>
              </w:rPr>
              <w:t>）暂存，委托具备危废处理资质的单位清运、处置；废铅酸蓄电池由具备资质厂家更换清运处置</w:t>
            </w:r>
          </w:p>
        </w:tc>
        <w:tc>
          <w:tcPr>
            <w:tcW w:w="851" w:type="pct"/>
            <w:vAlign w:val="center"/>
          </w:tcPr>
          <w:p>
            <w:pPr>
              <w:adjustRightInd w:val="0"/>
              <w:snapToGrid w:val="0"/>
              <w:rPr>
                <w:snapToGrid w:val="0"/>
                <w:spacing w:val="7"/>
                <w:kern w:val="21"/>
                <w:szCs w:val="21"/>
              </w:rPr>
            </w:pPr>
            <w:r>
              <w:rPr>
                <w:snapToGrid w:val="0"/>
                <w:spacing w:val="-3"/>
                <w:kern w:val="21"/>
                <w:szCs w:val="21"/>
              </w:rPr>
              <w:t>生活垃圾分类</w:t>
            </w:r>
            <w:r>
              <w:rPr>
                <w:snapToGrid w:val="0"/>
                <w:spacing w:val="-2"/>
                <w:kern w:val="21"/>
                <w:szCs w:val="21"/>
              </w:rPr>
              <w:t>集中存放，定</w:t>
            </w:r>
            <w:r>
              <w:rPr>
                <w:snapToGrid w:val="0"/>
                <w:spacing w:val="1"/>
                <w:kern w:val="21"/>
                <w:szCs w:val="21"/>
              </w:rPr>
              <w:t>期清运</w:t>
            </w:r>
            <w:r>
              <w:rPr>
                <w:rFonts w:hint="eastAsia"/>
                <w:snapToGrid w:val="0"/>
                <w:spacing w:val="1"/>
                <w:kern w:val="21"/>
                <w:szCs w:val="21"/>
              </w:rPr>
              <w:t>；化粪池底泥定期清掏</w:t>
            </w:r>
            <w:r>
              <w:rPr>
                <w:snapToGrid w:val="0"/>
                <w:spacing w:val="1"/>
                <w:kern w:val="21"/>
                <w:szCs w:val="21"/>
              </w:rPr>
              <w:t>；</w:t>
            </w:r>
            <w:r>
              <w:rPr>
                <w:rFonts w:hint="eastAsia"/>
                <w:snapToGrid w:val="0"/>
                <w:spacing w:val="7"/>
                <w:kern w:val="21"/>
                <w:szCs w:val="21"/>
              </w:rPr>
              <w:t>废锂电池等设一般固废暂存间暂存后由厂家回收；</w:t>
            </w:r>
          </w:p>
          <w:p>
            <w:pPr>
              <w:adjustRightInd w:val="0"/>
              <w:snapToGrid w:val="0"/>
              <w:rPr>
                <w:snapToGrid w:val="0"/>
                <w:kern w:val="21"/>
                <w:szCs w:val="21"/>
              </w:rPr>
            </w:pPr>
            <w:r>
              <w:rPr>
                <w:snapToGrid w:val="0"/>
                <w:spacing w:val="-2"/>
                <w:kern w:val="21"/>
                <w:szCs w:val="21"/>
              </w:rPr>
              <w:t>②</w:t>
            </w:r>
            <w:r>
              <w:rPr>
                <w:rFonts w:hint="eastAsia"/>
                <w:kern w:val="21"/>
                <w:szCs w:val="21"/>
              </w:rPr>
              <w:t>变压器废油及其容器、油抹布等设置危废暂存间（10m</w:t>
            </w:r>
            <w:r>
              <w:rPr>
                <w:rFonts w:hint="eastAsia"/>
                <w:kern w:val="21"/>
                <w:szCs w:val="21"/>
                <w:vertAlign w:val="superscript"/>
              </w:rPr>
              <w:t>2</w:t>
            </w:r>
            <w:r>
              <w:rPr>
                <w:rFonts w:hint="eastAsia"/>
                <w:kern w:val="21"/>
                <w:szCs w:val="21"/>
              </w:rPr>
              <w:t>）暂存，委托具备危废处理资质的单位清运、处置；废铅酸蓄电池由具备资质厂家更换清运处置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99" w:type="pct"/>
            <w:vAlign w:val="center"/>
          </w:tcPr>
          <w:p>
            <w:pPr>
              <w:adjustRightInd w:val="0"/>
              <w:snapToGrid w:val="0"/>
              <w:rPr>
                <w:kern w:val="21"/>
                <w:szCs w:val="21"/>
              </w:rPr>
            </w:pPr>
            <w:r>
              <w:rPr>
                <w:kern w:val="21"/>
                <w:szCs w:val="21"/>
              </w:rPr>
              <w:t>电磁环境</w:t>
            </w:r>
          </w:p>
        </w:tc>
        <w:tc>
          <w:tcPr>
            <w:tcW w:w="1608" w:type="pct"/>
            <w:vAlign w:val="center"/>
          </w:tcPr>
          <w:p>
            <w:pPr>
              <w:adjustRightInd w:val="0"/>
              <w:snapToGrid w:val="0"/>
              <w:rPr>
                <w:snapToGrid w:val="0"/>
                <w:kern w:val="21"/>
                <w:szCs w:val="21"/>
              </w:rPr>
            </w:pPr>
            <w:r>
              <w:rPr>
                <w:b/>
                <w:bCs/>
                <w:snapToGrid w:val="0"/>
                <w:kern w:val="21"/>
                <w:szCs w:val="21"/>
              </w:rPr>
              <w:t>/</w:t>
            </w:r>
          </w:p>
        </w:tc>
        <w:tc>
          <w:tcPr>
            <w:tcW w:w="911" w:type="pct"/>
            <w:vAlign w:val="center"/>
          </w:tcPr>
          <w:p>
            <w:pPr>
              <w:adjustRightInd w:val="0"/>
              <w:snapToGrid w:val="0"/>
              <w:rPr>
                <w:snapToGrid w:val="0"/>
                <w:kern w:val="21"/>
                <w:szCs w:val="21"/>
              </w:rPr>
            </w:pPr>
            <w:r>
              <w:rPr>
                <w:b/>
                <w:bCs/>
                <w:snapToGrid w:val="0"/>
                <w:kern w:val="21"/>
                <w:szCs w:val="21"/>
              </w:rPr>
              <w:t>/</w:t>
            </w:r>
          </w:p>
        </w:tc>
        <w:tc>
          <w:tcPr>
            <w:tcW w:w="1129" w:type="pct"/>
            <w:vAlign w:val="center"/>
          </w:tcPr>
          <w:p>
            <w:pPr>
              <w:adjustRightInd w:val="0"/>
              <w:snapToGrid w:val="0"/>
              <w:rPr>
                <w:snapToGrid w:val="0"/>
                <w:spacing w:val="-13"/>
                <w:kern w:val="21"/>
                <w:szCs w:val="21"/>
              </w:rPr>
            </w:pPr>
            <w:r>
              <w:rPr>
                <w:snapToGrid w:val="0"/>
                <w:spacing w:val="-2"/>
                <w:kern w:val="21"/>
                <w:szCs w:val="21"/>
              </w:rPr>
              <w:t>①使用低电磁</w:t>
            </w:r>
            <w:r>
              <w:rPr>
                <w:snapToGrid w:val="0"/>
                <w:spacing w:val="-3"/>
                <w:kern w:val="21"/>
                <w:szCs w:val="21"/>
              </w:rPr>
              <w:t>干扰的主</w:t>
            </w:r>
            <w:r>
              <w:rPr>
                <w:snapToGrid w:val="0"/>
                <w:spacing w:val="-13"/>
                <w:kern w:val="21"/>
                <w:szCs w:val="21"/>
              </w:rPr>
              <w:t>变压器；</w:t>
            </w:r>
          </w:p>
          <w:p>
            <w:pPr>
              <w:adjustRightInd w:val="0"/>
              <w:snapToGrid w:val="0"/>
              <w:rPr>
                <w:snapToGrid w:val="0"/>
                <w:spacing w:val="-10"/>
                <w:kern w:val="21"/>
                <w:szCs w:val="21"/>
              </w:rPr>
            </w:pPr>
            <w:r>
              <w:rPr>
                <w:snapToGrid w:val="0"/>
                <w:spacing w:val="-2"/>
                <w:kern w:val="21"/>
                <w:szCs w:val="21"/>
              </w:rPr>
              <w:t>②设置安全警示标志与</w:t>
            </w:r>
            <w:r>
              <w:rPr>
                <w:snapToGrid w:val="0"/>
                <w:spacing w:val="-10"/>
                <w:kern w:val="21"/>
                <w:szCs w:val="21"/>
              </w:rPr>
              <w:t>加强宣传；</w:t>
            </w:r>
          </w:p>
          <w:p>
            <w:pPr>
              <w:adjustRightInd w:val="0"/>
              <w:snapToGrid w:val="0"/>
              <w:rPr>
                <w:snapToGrid w:val="0"/>
                <w:spacing w:val="-10"/>
                <w:kern w:val="21"/>
                <w:szCs w:val="21"/>
              </w:rPr>
            </w:pPr>
            <w:r>
              <w:rPr>
                <w:snapToGrid w:val="0"/>
                <w:spacing w:val="-2"/>
                <w:kern w:val="21"/>
                <w:szCs w:val="21"/>
              </w:rPr>
              <w:t>③做好站</w:t>
            </w:r>
            <w:r>
              <w:rPr>
                <w:rFonts w:hint="eastAsia"/>
                <w:snapToGrid w:val="0"/>
                <w:spacing w:val="-2"/>
                <w:kern w:val="21"/>
                <w:szCs w:val="21"/>
              </w:rPr>
              <w:t>区</w:t>
            </w:r>
            <w:r>
              <w:rPr>
                <w:snapToGrid w:val="0"/>
                <w:spacing w:val="-2"/>
                <w:kern w:val="21"/>
                <w:szCs w:val="21"/>
              </w:rPr>
              <w:t>磁防护与</w:t>
            </w:r>
            <w:r>
              <w:rPr>
                <w:snapToGrid w:val="0"/>
                <w:spacing w:val="-10"/>
                <w:kern w:val="21"/>
                <w:szCs w:val="21"/>
              </w:rPr>
              <w:t>屏蔽措施；</w:t>
            </w:r>
          </w:p>
          <w:p>
            <w:pPr>
              <w:adjustRightInd w:val="0"/>
              <w:snapToGrid w:val="0"/>
              <w:rPr>
                <w:snapToGrid w:val="0"/>
                <w:spacing w:val="-17"/>
                <w:kern w:val="21"/>
                <w:szCs w:val="21"/>
              </w:rPr>
            </w:pPr>
            <w:r>
              <w:rPr>
                <w:snapToGrid w:val="0"/>
                <w:spacing w:val="-2"/>
                <w:kern w:val="21"/>
                <w:szCs w:val="21"/>
              </w:rPr>
              <w:t>④合理选择配</w:t>
            </w:r>
            <w:r>
              <w:rPr>
                <w:snapToGrid w:val="0"/>
                <w:spacing w:val="-3"/>
                <w:kern w:val="21"/>
                <w:szCs w:val="21"/>
              </w:rPr>
              <w:t>电架构高</w:t>
            </w:r>
            <w:r>
              <w:rPr>
                <w:snapToGrid w:val="0"/>
                <w:spacing w:val="-2"/>
                <w:kern w:val="21"/>
                <w:szCs w:val="21"/>
              </w:rPr>
              <w:t>度、对地和相间距离，控制设备间连</w:t>
            </w:r>
            <w:r>
              <w:rPr>
                <w:snapToGrid w:val="0"/>
                <w:spacing w:val="-3"/>
                <w:kern w:val="21"/>
                <w:szCs w:val="21"/>
              </w:rPr>
              <w:t>线离地面</w:t>
            </w:r>
            <w:r>
              <w:rPr>
                <w:snapToGrid w:val="0"/>
                <w:spacing w:val="-5"/>
                <w:kern w:val="21"/>
                <w:szCs w:val="21"/>
              </w:rPr>
              <w:t>的最低高度等</w:t>
            </w:r>
            <w:r>
              <w:rPr>
                <w:snapToGrid w:val="0"/>
                <w:spacing w:val="-9"/>
                <w:kern w:val="21"/>
                <w:szCs w:val="21"/>
              </w:rPr>
              <w:t>以保证变</w:t>
            </w:r>
            <w:r>
              <w:rPr>
                <w:snapToGrid w:val="0"/>
                <w:spacing w:val="-6"/>
                <w:kern w:val="21"/>
                <w:szCs w:val="21"/>
              </w:rPr>
              <w:t>电站地面工频</w:t>
            </w:r>
            <w:r>
              <w:rPr>
                <w:snapToGrid w:val="0"/>
                <w:spacing w:val="-9"/>
                <w:kern w:val="21"/>
                <w:szCs w:val="21"/>
              </w:rPr>
              <w:t>电场和磁</w:t>
            </w:r>
            <w:r>
              <w:rPr>
                <w:snapToGrid w:val="0"/>
                <w:spacing w:val="-2"/>
                <w:kern w:val="21"/>
                <w:szCs w:val="21"/>
              </w:rPr>
              <w:t>感应强度符合</w:t>
            </w:r>
            <w:r>
              <w:rPr>
                <w:snapToGrid w:val="0"/>
                <w:spacing w:val="-17"/>
                <w:kern w:val="21"/>
                <w:szCs w:val="21"/>
              </w:rPr>
              <w:t>标准；</w:t>
            </w:r>
          </w:p>
          <w:p>
            <w:pPr>
              <w:adjustRightInd w:val="0"/>
              <w:snapToGrid w:val="0"/>
              <w:rPr>
                <w:snapToGrid w:val="0"/>
                <w:kern w:val="21"/>
                <w:szCs w:val="21"/>
              </w:rPr>
            </w:pPr>
            <w:r>
              <w:rPr>
                <w:snapToGrid w:val="0"/>
                <w:spacing w:val="-2"/>
                <w:kern w:val="21"/>
                <w:szCs w:val="21"/>
              </w:rPr>
              <w:t>⑤开展运营期电磁环境监测和管理工</w:t>
            </w:r>
            <w:r>
              <w:rPr>
                <w:snapToGrid w:val="0"/>
                <w:spacing w:val="-3"/>
                <w:kern w:val="21"/>
                <w:szCs w:val="21"/>
              </w:rPr>
              <w:t>作，切实</w:t>
            </w:r>
            <w:r>
              <w:rPr>
                <w:snapToGrid w:val="0"/>
                <w:spacing w:val="-2"/>
                <w:kern w:val="21"/>
                <w:szCs w:val="21"/>
              </w:rPr>
              <w:t>减少对周围环</w:t>
            </w:r>
            <w:r>
              <w:rPr>
                <w:snapToGrid w:val="0"/>
                <w:spacing w:val="-3"/>
                <w:kern w:val="21"/>
                <w:szCs w:val="21"/>
              </w:rPr>
              <w:t>境的电磁影响</w:t>
            </w:r>
          </w:p>
        </w:tc>
        <w:tc>
          <w:tcPr>
            <w:tcW w:w="851" w:type="pct"/>
            <w:vAlign w:val="center"/>
          </w:tcPr>
          <w:p>
            <w:pPr>
              <w:adjustRightInd w:val="0"/>
              <w:snapToGrid w:val="0"/>
              <w:rPr>
                <w:snapToGrid w:val="0"/>
                <w:kern w:val="21"/>
                <w:szCs w:val="21"/>
              </w:rPr>
            </w:pPr>
            <w:r>
              <w:rPr>
                <w:snapToGrid w:val="0"/>
                <w:kern w:val="21"/>
                <w:szCs w:val="21"/>
              </w:rPr>
              <w:t>满足《电磁环境控制限值》</w:t>
            </w:r>
            <w:r>
              <w:rPr>
                <w:rFonts w:hint="eastAsia"/>
                <w:snapToGrid w:val="0"/>
                <w:kern w:val="21"/>
                <w:szCs w:val="21"/>
              </w:rPr>
              <w:t>（</w:t>
            </w:r>
            <w:r>
              <w:rPr>
                <w:snapToGrid w:val="0"/>
                <w:kern w:val="21"/>
                <w:szCs w:val="21"/>
              </w:rPr>
              <w:t>GB8702-2014</w:t>
            </w:r>
            <w:r>
              <w:rPr>
                <w:rFonts w:hint="eastAsia"/>
                <w:snapToGrid w:val="0"/>
                <w:kern w:val="21"/>
                <w:szCs w:val="21"/>
              </w:rPr>
              <w:t>）</w:t>
            </w:r>
            <w:r>
              <w:rPr>
                <w:snapToGrid w:val="0"/>
                <w:kern w:val="21"/>
                <w:szCs w:val="21"/>
              </w:rPr>
              <w:t>：工频电场≤4000V/m，工频磁感应强度≤100μT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环境风险</w:t>
            </w:r>
          </w:p>
        </w:tc>
        <w:tc>
          <w:tcPr>
            <w:tcW w:w="1608" w:type="pct"/>
            <w:vAlign w:val="center"/>
          </w:tcPr>
          <w:p>
            <w:pPr>
              <w:adjustRightInd w:val="0"/>
              <w:snapToGrid w:val="0"/>
              <w:rPr>
                <w:snapToGrid w:val="0"/>
                <w:kern w:val="21"/>
                <w:szCs w:val="21"/>
              </w:rPr>
            </w:pPr>
            <w:r>
              <w:rPr>
                <w:snapToGrid w:val="0"/>
                <w:kern w:val="21"/>
                <w:szCs w:val="21"/>
              </w:rPr>
              <w:t>/</w:t>
            </w:r>
          </w:p>
        </w:tc>
        <w:tc>
          <w:tcPr>
            <w:tcW w:w="911" w:type="pct"/>
            <w:vAlign w:val="center"/>
          </w:tcPr>
          <w:p>
            <w:pPr>
              <w:adjustRightInd w:val="0"/>
              <w:snapToGrid w:val="0"/>
              <w:rPr>
                <w:snapToGrid w:val="0"/>
                <w:kern w:val="21"/>
                <w:szCs w:val="21"/>
              </w:rPr>
            </w:pPr>
            <w:r>
              <w:rPr>
                <w:snapToGrid w:val="0"/>
                <w:kern w:val="21"/>
                <w:szCs w:val="21"/>
              </w:rPr>
              <w:t>/</w:t>
            </w:r>
          </w:p>
        </w:tc>
        <w:tc>
          <w:tcPr>
            <w:tcW w:w="1129" w:type="pct"/>
            <w:vAlign w:val="center"/>
          </w:tcPr>
          <w:p>
            <w:pPr>
              <w:adjustRightInd w:val="0"/>
              <w:snapToGrid w:val="0"/>
              <w:rPr>
                <w:snapToGrid w:val="0"/>
                <w:color w:val="FF0000"/>
                <w:kern w:val="21"/>
                <w:szCs w:val="21"/>
              </w:rPr>
            </w:pPr>
            <w:r>
              <w:rPr>
                <w:snapToGrid w:val="0"/>
                <w:color w:val="FF0000"/>
                <w:kern w:val="21"/>
                <w:szCs w:val="21"/>
              </w:rPr>
              <w:t>站内</w:t>
            </w:r>
            <w:r>
              <w:rPr>
                <w:color w:val="FF0000"/>
                <w:kern w:val="21"/>
                <w:szCs w:val="21"/>
              </w:rPr>
              <w:t>各台变压器设置20</w:t>
            </w:r>
            <w:r>
              <w:rPr>
                <w:snapToGrid w:val="0"/>
                <w:color w:val="FF0000"/>
                <w:kern w:val="21"/>
                <w:szCs w:val="21"/>
              </w:rPr>
              <w:t>m</w:t>
            </w:r>
            <w:r>
              <w:rPr>
                <w:snapToGrid w:val="0"/>
                <w:color w:val="FF0000"/>
                <w:kern w:val="21"/>
                <w:szCs w:val="21"/>
                <w:vertAlign w:val="superscript"/>
              </w:rPr>
              <w:t>3</w:t>
            </w:r>
            <w:r>
              <w:rPr>
                <w:color w:val="FF0000"/>
                <w:kern w:val="21"/>
                <w:szCs w:val="21"/>
              </w:rPr>
              <w:t>挡油设施+事故油排放系统+</w:t>
            </w:r>
            <w:r>
              <w:rPr>
                <w:rFonts w:hint="eastAsia"/>
                <w:color w:val="FF0000"/>
                <w:kern w:val="21"/>
                <w:szCs w:val="21"/>
              </w:rPr>
              <w:t>100</w:t>
            </w:r>
            <w:r>
              <w:rPr>
                <w:snapToGrid w:val="0"/>
                <w:color w:val="FF0000"/>
                <w:kern w:val="21"/>
                <w:szCs w:val="21"/>
              </w:rPr>
              <w:t>m</w:t>
            </w:r>
            <w:r>
              <w:rPr>
                <w:snapToGrid w:val="0"/>
                <w:color w:val="FF0000"/>
                <w:kern w:val="21"/>
                <w:szCs w:val="21"/>
                <w:vertAlign w:val="superscript"/>
              </w:rPr>
              <w:t>3</w:t>
            </w:r>
            <w:r>
              <w:rPr>
                <w:snapToGrid w:val="0"/>
                <w:color w:val="FF0000"/>
                <w:kern w:val="21"/>
                <w:szCs w:val="21"/>
              </w:rPr>
              <w:t>总事故油池；事故油池设置油水分离措施，经隔油处理后，变压器油由厂家回收，形成的油污水交由有危废处理资质的单位处置，不外排</w:t>
            </w:r>
            <w:r>
              <w:rPr>
                <w:rFonts w:hint="eastAsia"/>
                <w:snapToGrid w:val="0"/>
                <w:color w:val="FF0000"/>
                <w:kern w:val="21"/>
                <w:szCs w:val="21"/>
              </w:rPr>
              <w:t>；设置消防废水收集池，制定环境风险应急预案</w:t>
            </w:r>
          </w:p>
        </w:tc>
        <w:tc>
          <w:tcPr>
            <w:tcW w:w="851" w:type="pct"/>
            <w:vAlign w:val="center"/>
          </w:tcPr>
          <w:p>
            <w:pPr>
              <w:adjustRightInd w:val="0"/>
              <w:snapToGrid w:val="0"/>
              <w:rPr>
                <w:snapToGrid w:val="0"/>
                <w:color w:val="FF0000"/>
                <w:kern w:val="21"/>
                <w:szCs w:val="21"/>
              </w:rPr>
            </w:pPr>
            <w:r>
              <w:rPr>
                <w:snapToGrid w:val="0"/>
                <w:color w:val="FF0000"/>
                <w:kern w:val="21"/>
                <w:szCs w:val="21"/>
              </w:rPr>
              <w:t>事故油池按要求建设，事故油池设置油水分离措施，经隔油处理后，变压器油由厂家回收，形成的油污水交由有危废处理资质的单位处置，不外排</w:t>
            </w:r>
            <w:r>
              <w:rPr>
                <w:rFonts w:hint="eastAsia"/>
                <w:snapToGrid w:val="0"/>
                <w:color w:val="FF0000"/>
                <w:kern w:val="21"/>
                <w:szCs w:val="21"/>
              </w:rPr>
              <w:t>；设置消防废水收集池，制定环境风险应急预案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kern w:val="21"/>
                <w:szCs w:val="21"/>
              </w:rPr>
            </w:pPr>
            <w:r>
              <w:rPr>
                <w:kern w:val="21"/>
                <w:szCs w:val="21"/>
              </w:rPr>
              <w:t>环境监测</w:t>
            </w:r>
          </w:p>
        </w:tc>
        <w:tc>
          <w:tcPr>
            <w:tcW w:w="1608" w:type="pct"/>
            <w:vAlign w:val="center"/>
          </w:tcPr>
          <w:p>
            <w:pPr>
              <w:adjustRightInd w:val="0"/>
              <w:snapToGrid w:val="0"/>
              <w:rPr>
                <w:snapToGrid w:val="0"/>
                <w:kern w:val="21"/>
                <w:szCs w:val="21"/>
              </w:rPr>
            </w:pPr>
            <w:r>
              <w:rPr>
                <w:snapToGrid w:val="0"/>
                <w:kern w:val="21"/>
                <w:szCs w:val="21"/>
              </w:rPr>
              <w:t>/</w:t>
            </w:r>
          </w:p>
        </w:tc>
        <w:tc>
          <w:tcPr>
            <w:tcW w:w="911" w:type="pct"/>
            <w:vAlign w:val="center"/>
          </w:tcPr>
          <w:p>
            <w:pPr>
              <w:adjustRightInd w:val="0"/>
              <w:snapToGrid w:val="0"/>
              <w:rPr>
                <w:snapToGrid w:val="0"/>
                <w:kern w:val="21"/>
                <w:szCs w:val="21"/>
              </w:rPr>
            </w:pPr>
            <w:r>
              <w:rPr>
                <w:snapToGrid w:val="0"/>
                <w:kern w:val="21"/>
                <w:szCs w:val="21"/>
              </w:rPr>
              <w:t>/</w:t>
            </w:r>
          </w:p>
        </w:tc>
        <w:tc>
          <w:tcPr>
            <w:tcW w:w="1129" w:type="pct"/>
            <w:vAlign w:val="center"/>
          </w:tcPr>
          <w:p>
            <w:pPr>
              <w:adjustRightInd w:val="0"/>
              <w:snapToGrid w:val="0"/>
              <w:rPr>
                <w:snapToGrid w:val="0"/>
                <w:kern w:val="21"/>
                <w:szCs w:val="21"/>
              </w:rPr>
            </w:pPr>
            <w:r>
              <w:rPr>
                <w:kern w:val="21"/>
                <w:szCs w:val="21"/>
              </w:rPr>
              <w:t>场界四周噪声</w:t>
            </w:r>
            <w:r>
              <w:rPr>
                <w:rFonts w:hint="eastAsia"/>
                <w:kern w:val="21"/>
                <w:szCs w:val="21"/>
              </w:rPr>
              <w:t>、电磁环境监测</w:t>
            </w:r>
          </w:p>
        </w:tc>
        <w:tc>
          <w:tcPr>
            <w:tcW w:w="851" w:type="pct"/>
            <w:vAlign w:val="center"/>
          </w:tcPr>
          <w:p>
            <w:pPr>
              <w:adjustRightInd w:val="0"/>
              <w:snapToGrid w:val="0"/>
              <w:rPr>
                <w:snapToGrid w:val="0"/>
                <w:kern w:val="21"/>
                <w:szCs w:val="21"/>
              </w:rPr>
            </w:pPr>
            <w:r>
              <w:rPr>
                <w:snapToGrid w:val="0"/>
                <w:spacing w:val="-2"/>
                <w:kern w:val="21"/>
                <w:szCs w:val="21"/>
              </w:rPr>
              <w:t>建立工频电场、工频</w:t>
            </w:r>
            <w:r>
              <w:rPr>
                <w:rFonts w:hint="eastAsia"/>
                <w:snapToGrid w:val="0"/>
                <w:spacing w:val="-2"/>
                <w:kern w:val="21"/>
                <w:szCs w:val="21"/>
              </w:rPr>
              <w:t>磁感应强度</w:t>
            </w:r>
            <w:r>
              <w:rPr>
                <w:snapToGrid w:val="0"/>
                <w:spacing w:val="-2"/>
                <w:kern w:val="21"/>
                <w:szCs w:val="21"/>
              </w:rPr>
              <w:t>及噪声等环境监测现状</w:t>
            </w:r>
            <w:r>
              <w:rPr>
                <w:snapToGrid w:val="0"/>
                <w:spacing w:val="-3"/>
                <w:kern w:val="21"/>
                <w:szCs w:val="21"/>
              </w:rPr>
              <w:t>数据档案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 w:type="pct"/>
            <w:vAlign w:val="center"/>
          </w:tcPr>
          <w:p>
            <w:pPr>
              <w:adjustRightInd w:val="0"/>
              <w:snapToGrid w:val="0"/>
              <w:rPr>
                <w:rFonts w:ascii="宋体" w:hAnsi="宋体" w:cs="宋体"/>
                <w:szCs w:val="21"/>
              </w:rPr>
            </w:pPr>
            <w:r>
              <w:rPr>
                <w:rFonts w:hint="eastAsia" w:ascii="宋体" w:hAnsi="宋体" w:cs="宋体"/>
                <w:szCs w:val="21"/>
              </w:rPr>
              <w:t>其他</w:t>
            </w:r>
          </w:p>
        </w:tc>
        <w:tc>
          <w:tcPr>
            <w:tcW w:w="1608" w:type="pct"/>
            <w:vAlign w:val="center"/>
          </w:tcPr>
          <w:p>
            <w:pPr>
              <w:adjustRightInd w:val="0"/>
              <w:snapToGrid w:val="0"/>
              <w:rPr>
                <w:rFonts w:ascii="宋体" w:hAnsi="宋体" w:cs="宋体"/>
                <w:szCs w:val="21"/>
              </w:rPr>
            </w:pPr>
            <w:r>
              <w:rPr>
                <w:rFonts w:hint="eastAsia" w:ascii="宋体" w:hAnsi="宋体" w:cs="宋体"/>
                <w:szCs w:val="21"/>
              </w:rPr>
              <w:t>/</w:t>
            </w:r>
          </w:p>
        </w:tc>
        <w:tc>
          <w:tcPr>
            <w:tcW w:w="911" w:type="pct"/>
            <w:vAlign w:val="center"/>
          </w:tcPr>
          <w:p>
            <w:pPr>
              <w:adjustRightInd w:val="0"/>
              <w:snapToGrid w:val="0"/>
              <w:rPr>
                <w:rFonts w:ascii="宋体" w:hAnsi="宋体" w:cs="宋体"/>
                <w:szCs w:val="21"/>
              </w:rPr>
            </w:pPr>
            <w:r>
              <w:rPr>
                <w:rFonts w:hint="eastAsia" w:ascii="宋体" w:hAnsi="宋体" w:cs="宋体"/>
                <w:szCs w:val="21"/>
              </w:rPr>
              <w:t>/</w:t>
            </w:r>
          </w:p>
        </w:tc>
        <w:tc>
          <w:tcPr>
            <w:tcW w:w="1129" w:type="pct"/>
            <w:vAlign w:val="center"/>
          </w:tcPr>
          <w:p>
            <w:pPr>
              <w:adjustRightInd w:val="0"/>
              <w:snapToGrid w:val="0"/>
              <w:rPr>
                <w:rFonts w:ascii="宋体" w:hAnsi="宋体" w:cs="宋体"/>
                <w:szCs w:val="21"/>
              </w:rPr>
            </w:pPr>
            <w:r>
              <w:rPr>
                <w:rFonts w:hint="eastAsia" w:ascii="宋体" w:hAnsi="宋体" w:cs="宋体"/>
                <w:szCs w:val="21"/>
              </w:rPr>
              <w:t>/</w:t>
            </w:r>
          </w:p>
        </w:tc>
        <w:tc>
          <w:tcPr>
            <w:tcW w:w="851" w:type="pct"/>
            <w:vAlign w:val="center"/>
          </w:tcPr>
          <w:p>
            <w:pPr>
              <w:adjustRightInd w:val="0"/>
              <w:snapToGrid w:val="0"/>
              <w:rPr>
                <w:rFonts w:ascii="宋体" w:hAnsi="宋体" w:cs="宋体"/>
                <w:szCs w:val="21"/>
              </w:rPr>
            </w:pPr>
            <w:r>
              <w:rPr>
                <w:rFonts w:hint="eastAsia" w:ascii="宋体" w:hAnsi="宋体" w:cs="宋体"/>
                <w:szCs w:val="21"/>
              </w:rPr>
              <w:t>/</w:t>
            </w:r>
          </w:p>
        </w:tc>
      </w:tr>
    </w:tbl>
    <w:p>
      <w:pPr>
        <w:pStyle w:val="20"/>
        <w:jc w:val="center"/>
        <w:rPr>
          <w:rFonts w:ascii="黑体" w:hAnsi="黑体" w:eastAsia="黑体"/>
          <w:snapToGrid w:val="0"/>
          <w:sz w:val="30"/>
          <w:szCs w:val="30"/>
        </w:rPr>
      </w:pPr>
    </w:p>
    <w:p>
      <w:pPr>
        <w:pStyle w:val="20"/>
        <w:spacing w:before="0" w:beforeAutospacing="0" w:line="14" w:lineRule="auto"/>
        <w:jc w:val="center"/>
        <w:rPr>
          <w:rFonts w:ascii="黑体" w:hAnsi="黑体" w:eastAsia="黑体"/>
          <w:snapToGrid w:val="0"/>
          <w:sz w:val="30"/>
          <w:szCs w:val="30"/>
        </w:rPr>
      </w:pPr>
      <w:r>
        <w:rPr>
          <w:rFonts w:ascii="黑体" w:hAnsi="黑体" w:eastAsia="黑体"/>
          <w:snapToGrid w:val="0"/>
          <w:sz w:val="30"/>
          <w:szCs w:val="30"/>
        </w:rPr>
        <w:br w:type="page"/>
      </w:r>
    </w:p>
    <w:p>
      <w:pPr>
        <w:pStyle w:val="20"/>
        <w:spacing w:before="192" w:beforeLines="80" w:beforeAutospacing="0"/>
        <w:jc w:val="center"/>
        <w:outlineLvl w:val="0"/>
        <w:rPr>
          <w:rFonts w:ascii="黑体" w:hAnsi="黑体" w:eastAsia="黑体"/>
          <w:snapToGrid w:val="0"/>
          <w:sz w:val="30"/>
          <w:szCs w:val="30"/>
        </w:rPr>
      </w:pPr>
      <w:bookmarkStart w:id="144" w:name="_Toc18136"/>
      <w:r>
        <w:rPr>
          <w:rFonts w:hint="eastAsia" w:ascii="黑体" w:hAnsi="黑体" w:eastAsia="黑体"/>
          <w:snapToGrid w:val="0"/>
          <w:sz w:val="30"/>
          <w:szCs w:val="30"/>
        </w:rPr>
        <w:t>七、结论</w:t>
      </w:r>
      <w:bookmarkEnd w:id="144"/>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8" w:hRule="atLeast"/>
          <w:jc w:val="center"/>
        </w:trPr>
        <w:tc>
          <w:tcPr>
            <w:tcW w:w="9289" w:type="dxa"/>
          </w:tcPr>
          <w:p>
            <w:pPr>
              <w:adjustRightInd w:val="0"/>
              <w:snapToGrid w:val="0"/>
              <w:spacing w:before="120" w:beforeLines="50" w:after="120" w:afterLines="50" w:line="360" w:lineRule="auto"/>
              <w:rPr>
                <w:b/>
                <w:bCs/>
                <w:sz w:val="24"/>
              </w:rPr>
            </w:pPr>
            <w:r>
              <w:rPr>
                <w:b/>
                <w:bCs/>
                <w:sz w:val="24"/>
              </w:rPr>
              <w:t>7.1环评结论</w:t>
            </w:r>
          </w:p>
          <w:p>
            <w:pPr>
              <w:adjustRightInd w:val="0"/>
              <w:snapToGrid w:val="0"/>
              <w:spacing w:line="360" w:lineRule="auto"/>
              <w:ind w:firstLine="480" w:firstLineChars="200"/>
              <w:rPr>
                <w:sz w:val="24"/>
              </w:rPr>
            </w:pPr>
            <w:r>
              <w:rPr>
                <w:rFonts w:hint="eastAsia"/>
                <w:sz w:val="24"/>
              </w:rPr>
              <w:t>民乐县500MW/1000MWh共享储能电站项目</w:t>
            </w:r>
            <w:r>
              <w:rPr>
                <w:sz w:val="24"/>
              </w:rPr>
              <w:t>符合国家相关产业政策。项目在建设、运行过程中将对环境产生一定的影响</w:t>
            </w:r>
            <w:r>
              <w:rPr>
                <w:rFonts w:hint="eastAsia"/>
                <w:sz w:val="24"/>
              </w:rPr>
              <w:t>，</w:t>
            </w:r>
            <w:r>
              <w:rPr>
                <w:sz w:val="24"/>
              </w:rPr>
              <w:t>建设单位只要切实落实本报告表提出的各项环保措施，可有效减轻各种不利影响，在充分保证环保投资的前提下，可使该项目对环境的不利影响降至可接受水平。从环保角度看，本项目的建设是可行的。</w:t>
            </w:r>
          </w:p>
          <w:p>
            <w:pPr>
              <w:adjustRightInd w:val="0"/>
              <w:snapToGrid w:val="0"/>
              <w:spacing w:before="120" w:beforeLines="50" w:after="120" w:afterLines="50" w:line="360" w:lineRule="auto"/>
              <w:rPr>
                <w:sz w:val="24"/>
              </w:rPr>
            </w:pPr>
            <w:r>
              <w:rPr>
                <w:b/>
                <w:bCs/>
                <w:sz w:val="24"/>
              </w:rPr>
              <w:t>7.2建议</w:t>
            </w:r>
          </w:p>
          <w:p>
            <w:pPr>
              <w:pStyle w:val="21"/>
              <w:adjustRightInd w:val="0"/>
              <w:snapToGrid w:val="0"/>
              <w:spacing w:before="0" w:after="0" w:line="360" w:lineRule="auto"/>
              <w:ind w:firstLine="480" w:firstLineChars="200"/>
              <w:jc w:val="both"/>
              <w:outlineLvl w:val="9"/>
              <w:rPr>
                <w:rFonts w:ascii="Times New Roman" w:hAnsi="Times New Roman" w:cs="Times New Roman"/>
                <w:b w:val="0"/>
                <w:bCs w:val="0"/>
                <w:sz w:val="24"/>
                <w:szCs w:val="24"/>
                <w:lang w:eastAsia="zh-CN"/>
              </w:rPr>
            </w:pPr>
            <w:bookmarkStart w:id="145" w:name="_Toc5456"/>
            <w:r>
              <w:rPr>
                <w:rFonts w:ascii="Times New Roman" w:hAnsi="Times New Roman" w:cs="Times New Roman"/>
                <w:b w:val="0"/>
                <w:bCs w:val="0"/>
                <w:sz w:val="24"/>
                <w:szCs w:val="24"/>
                <w:lang w:eastAsia="zh-CN"/>
              </w:rPr>
              <w:t>（1）建设单位应当对工作人员进行生态环境安全教育，加强技术培训，提高环保意识，防范环境污染及生态破坏事件发生；</w:t>
            </w:r>
            <w:bookmarkEnd w:id="145"/>
          </w:p>
          <w:p>
            <w:pPr>
              <w:pStyle w:val="21"/>
              <w:adjustRightInd w:val="0"/>
              <w:snapToGrid w:val="0"/>
              <w:spacing w:before="0" w:after="0" w:line="360" w:lineRule="auto"/>
              <w:ind w:firstLine="480" w:firstLineChars="200"/>
              <w:jc w:val="both"/>
              <w:outlineLvl w:val="9"/>
              <w:rPr>
                <w:lang w:eastAsia="zh-CN"/>
              </w:rPr>
            </w:pPr>
            <w:bookmarkStart w:id="146" w:name="_Toc276"/>
            <w:r>
              <w:rPr>
                <w:rFonts w:ascii="Times New Roman" w:hAnsi="Times New Roman" w:cs="Times New Roman"/>
                <w:b w:val="0"/>
                <w:bCs w:val="0"/>
                <w:sz w:val="24"/>
                <w:szCs w:val="24"/>
                <w:lang w:eastAsia="zh-CN"/>
              </w:rPr>
              <w:t>（2）对于环评报告等提出的环保措施，定期检查维护，杜绝因措施失效、设施破坏而产生</w:t>
            </w:r>
            <w:r>
              <w:rPr>
                <w:rFonts w:hint="eastAsia" w:ascii="Times New Roman" w:hAnsi="Times New Roman" w:cs="Times New Roman"/>
                <w:b w:val="0"/>
                <w:bCs w:val="0"/>
                <w:sz w:val="24"/>
                <w:szCs w:val="24"/>
                <w:lang w:eastAsia="zh-CN"/>
              </w:rPr>
              <w:t>的</w:t>
            </w:r>
            <w:r>
              <w:rPr>
                <w:rFonts w:ascii="Times New Roman" w:hAnsi="Times New Roman" w:cs="Times New Roman"/>
                <w:b w:val="0"/>
                <w:bCs w:val="0"/>
                <w:sz w:val="24"/>
                <w:szCs w:val="24"/>
                <w:lang w:eastAsia="zh-CN"/>
              </w:rPr>
              <w:t>环境事件发生。</w:t>
            </w:r>
            <w:bookmarkEnd w:id="146"/>
          </w:p>
        </w:tc>
      </w:tr>
    </w:tbl>
    <w:p>
      <w:pPr>
        <w:pStyle w:val="21"/>
        <w:adjustRightInd w:val="0"/>
        <w:snapToGrid w:val="0"/>
        <w:spacing w:before="0" w:after="0" w:line="360" w:lineRule="auto"/>
        <w:ind w:firstLine="643" w:firstLineChars="200"/>
        <w:jc w:val="both"/>
        <w:outlineLvl w:val="9"/>
        <w:rPr>
          <w:lang w:eastAsia="zh-CN"/>
        </w:rPr>
      </w:pPr>
    </w:p>
    <w:sectPr>
      <w:footerReference r:id="rId6" w:type="default"/>
      <w:pgSz w:w="11905" w:h="16838"/>
      <w:pgMar w:top="1417" w:right="1417" w:bottom="1417"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7"/>
      </w:rPr>
    </w:pPr>
    <w:r>
      <w:fldChar w:fldCharType="begin"/>
    </w:r>
    <w:r>
      <w:rPr>
        <w:rStyle w:val="27"/>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OOS1zLXAQAAswMAAA4AAAAAAAAAAQAgAAAA&#10;HgEAAGRycy9lMm9Eb2MueG1sUEsFBgAAAAAGAAYAWQEAAGcFAAAAAA==&#10;">
              <v:fill on="f" focussize="0,0"/>
              <v:stroke on="f"/>
              <v:imagedata o:title=""/>
              <o:lock v:ext="edit" aspectratio="f"/>
              <v:textbox inset="0mm,0mm,0mm,0mm" style="mso-fit-shape-to-text:t;">
                <w:txbxContent>
                  <w:p>
                    <w:pPr>
                      <w:pStyle w:val="1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3"/>
      <w:rPr>
        <w:rFonts w:eastAsia="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T7adt2AEAALMDAAAOAAAAAAAAAAEAIAAA&#10;AB4BAABkcnMvZTJvRG9jLnhtbFBLBQYAAAAABgAGAFkBAABoBQAAAAA=&#10;">
              <v:fill on="f" focussize="0,0"/>
              <v:stroke on="f"/>
              <v:imagedata o:title=""/>
              <o:lock v:ext="edit" aspectratio="f"/>
              <v:textbox inset="0mm,0mm,0mm,0mm" style="mso-fit-shape-to-text:t;">
                <w:txbxContent>
                  <w:p>
                    <w:pPr>
                      <w:pStyle w:val="1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A3564"/>
    <w:multiLevelType w:val="singleLevel"/>
    <w:tmpl w:val="93DA3564"/>
    <w:lvl w:ilvl="0" w:tentative="0">
      <w:start w:val="1"/>
      <w:numFmt w:val="decimal"/>
      <w:suff w:val="nothing"/>
      <w:lvlText w:val="（%1）"/>
      <w:lvlJc w:val="left"/>
    </w:lvl>
  </w:abstractNum>
  <w:abstractNum w:abstractNumId="1">
    <w:nsid w:val="D64571A8"/>
    <w:multiLevelType w:val="singleLevel"/>
    <w:tmpl w:val="D64571A8"/>
    <w:lvl w:ilvl="0" w:tentative="0">
      <w:start w:val="1"/>
      <w:numFmt w:val="decimal"/>
      <w:suff w:val="nothing"/>
      <w:lvlText w:val="（%1）"/>
      <w:lvlJc w:val="left"/>
    </w:lvl>
  </w:abstractNum>
  <w:abstractNum w:abstractNumId="2">
    <w:nsid w:val="E26B8E55"/>
    <w:multiLevelType w:val="singleLevel"/>
    <w:tmpl w:val="E26B8E55"/>
    <w:lvl w:ilvl="0" w:tentative="0">
      <w:start w:val="8"/>
      <w:numFmt w:val="decimal"/>
      <w:suff w:val="nothing"/>
      <w:lvlText w:val="（%1）"/>
      <w:lvlJc w:val="left"/>
    </w:lvl>
  </w:abstractNum>
  <w:abstractNum w:abstractNumId="3">
    <w:nsid w:val="2DB8C79A"/>
    <w:multiLevelType w:val="singleLevel"/>
    <w:tmpl w:val="2DB8C79A"/>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D595D"/>
    <w:rsid w:val="000D769A"/>
    <w:rsid w:val="000E5F16"/>
    <w:rsid w:val="000F4452"/>
    <w:rsid w:val="000F6DA1"/>
    <w:rsid w:val="000F701B"/>
    <w:rsid w:val="00101C24"/>
    <w:rsid w:val="001056A0"/>
    <w:rsid w:val="001142C4"/>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0FAF"/>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85B4A"/>
    <w:rsid w:val="002A168C"/>
    <w:rsid w:val="002A2C48"/>
    <w:rsid w:val="002A3EED"/>
    <w:rsid w:val="002A4A39"/>
    <w:rsid w:val="002A5A17"/>
    <w:rsid w:val="002A6425"/>
    <w:rsid w:val="002B49E2"/>
    <w:rsid w:val="002B7B00"/>
    <w:rsid w:val="002B7C44"/>
    <w:rsid w:val="002C1388"/>
    <w:rsid w:val="002C3C6A"/>
    <w:rsid w:val="002D1615"/>
    <w:rsid w:val="002D42DB"/>
    <w:rsid w:val="002E1F3A"/>
    <w:rsid w:val="002E298A"/>
    <w:rsid w:val="002F02A4"/>
    <w:rsid w:val="002F272B"/>
    <w:rsid w:val="002F7C6D"/>
    <w:rsid w:val="003027E4"/>
    <w:rsid w:val="0030332C"/>
    <w:rsid w:val="00311F3C"/>
    <w:rsid w:val="00312296"/>
    <w:rsid w:val="003128EC"/>
    <w:rsid w:val="0031340E"/>
    <w:rsid w:val="00316464"/>
    <w:rsid w:val="0032073A"/>
    <w:rsid w:val="00321D8E"/>
    <w:rsid w:val="00334996"/>
    <w:rsid w:val="00336423"/>
    <w:rsid w:val="00336969"/>
    <w:rsid w:val="00336C52"/>
    <w:rsid w:val="00341B3E"/>
    <w:rsid w:val="00341B42"/>
    <w:rsid w:val="00345154"/>
    <w:rsid w:val="0034560E"/>
    <w:rsid w:val="00350523"/>
    <w:rsid w:val="00352975"/>
    <w:rsid w:val="00356868"/>
    <w:rsid w:val="00362AA3"/>
    <w:rsid w:val="0036485B"/>
    <w:rsid w:val="003700C0"/>
    <w:rsid w:val="00373B0D"/>
    <w:rsid w:val="00376988"/>
    <w:rsid w:val="00381A72"/>
    <w:rsid w:val="00387FFA"/>
    <w:rsid w:val="003A1948"/>
    <w:rsid w:val="003A35D0"/>
    <w:rsid w:val="003A734C"/>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499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41DA"/>
    <w:rsid w:val="004C55BE"/>
    <w:rsid w:val="004E21AA"/>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C3B1C"/>
    <w:rsid w:val="005D00B4"/>
    <w:rsid w:val="005D02E0"/>
    <w:rsid w:val="005D0306"/>
    <w:rsid w:val="005D0369"/>
    <w:rsid w:val="005D53FE"/>
    <w:rsid w:val="005D7A0F"/>
    <w:rsid w:val="005E0438"/>
    <w:rsid w:val="005E1791"/>
    <w:rsid w:val="005E2CE6"/>
    <w:rsid w:val="005E6324"/>
    <w:rsid w:val="005F228B"/>
    <w:rsid w:val="005F29CD"/>
    <w:rsid w:val="005F4DFB"/>
    <w:rsid w:val="005F6CC0"/>
    <w:rsid w:val="00603E5B"/>
    <w:rsid w:val="00604BC8"/>
    <w:rsid w:val="00614CCA"/>
    <w:rsid w:val="00615B4C"/>
    <w:rsid w:val="00615B5D"/>
    <w:rsid w:val="0062146F"/>
    <w:rsid w:val="00623C83"/>
    <w:rsid w:val="00630136"/>
    <w:rsid w:val="006343AF"/>
    <w:rsid w:val="0063634A"/>
    <w:rsid w:val="0064250D"/>
    <w:rsid w:val="006535EB"/>
    <w:rsid w:val="006617DB"/>
    <w:rsid w:val="00663016"/>
    <w:rsid w:val="00674605"/>
    <w:rsid w:val="006748B8"/>
    <w:rsid w:val="0068535B"/>
    <w:rsid w:val="0068736E"/>
    <w:rsid w:val="0069290A"/>
    <w:rsid w:val="00697032"/>
    <w:rsid w:val="0069755D"/>
    <w:rsid w:val="006975AC"/>
    <w:rsid w:val="006A15FB"/>
    <w:rsid w:val="006A72BF"/>
    <w:rsid w:val="006B332A"/>
    <w:rsid w:val="006B33BD"/>
    <w:rsid w:val="006C3F75"/>
    <w:rsid w:val="006D170E"/>
    <w:rsid w:val="006E06AF"/>
    <w:rsid w:val="006F1789"/>
    <w:rsid w:val="00706C5D"/>
    <w:rsid w:val="00710B38"/>
    <w:rsid w:val="007118E6"/>
    <w:rsid w:val="00722502"/>
    <w:rsid w:val="007225C9"/>
    <w:rsid w:val="00722DC2"/>
    <w:rsid w:val="00735CD7"/>
    <w:rsid w:val="00741120"/>
    <w:rsid w:val="00754034"/>
    <w:rsid w:val="00754BF1"/>
    <w:rsid w:val="00755A30"/>
    <w:rsid w:val="00755E1C"/>
    <w:rsid w:val="00756556"/>
    <w:rsid w:val="0076132B"/>
    <w:rsid w:val="007623AE"/>
    <w:rsid w:val="00763547"/>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178C"/>
    <w:rsid w:val="007D7ECB"/>
    <w:rsid w:val="007E25A1"/>
    <w:rsid w:val="007E4BD2"/>
    <w:rsid w:val="007E7145"/>
    <w:rsid w:val="007F3916"/>
    <w:rsid w:val="00801179"/>
    <w:rsid w:val="00802479"/>
    <w:rsid w:val="00805372"/>
    <w:rsid w:val="00805B7B"/>
    <w:rsid w:val="0081293E"/>
    <w:rsid w:val="00812EB7"/>
    <w:rsid w:val="00814FFB"/>
    <w:rsid w:val="00820568"/>
    <w:rsid w:val="00831A80"/>
    <w:rsid w:val="008332C8"/>
    <w:rsid w:val="00833743"/>
    <w:rsid w:val="008340A4"/>
    <w:rsid w:val="00836799"/>
    <w:rsid w:val="00837028"/>
    <w:rsid w:val="00837131"/>
    <w:rsid w:val="00843B9E"/>
    <w:rsid w:val="00845F57"/>
    <w:rsid w:val="008521E0"/>
    <w:rsid w:val="008525B0"/>
    <w:rsid w:val="00855D3B"/>
    <w:rsid w:val="00860061"/>
    <w:rsid w:val="00860DA1"/>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284"/>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4AA1"/>
    <w:rsid w:val="00975CC5"/>
    <w:rsid w:val="00976328"/>
    <w:rsid w:val="00976B4E"/>
    <w:rsid w:val="00984458"/>
    <w:rsid w:val="00985283"/>
    <w:rsid w:val="00987322"/>
    <w:rsid w:val="009907B6"/>
    <w:rsid w:val="009A0F3B"/>
    <w:rsid w:val="009A72C7"/>
    <w:rsid w:val="009B0897"/>
    <w:rsid w:val="009D0852"/>
    <w:rsid w:val="009D1FBF"/>
    <w:rsid w:val="009E399C"/>
    <w:rsid w:val="009E43C1"/>
    <w:rsid w:val="009E7E95"/>
    <w:rsid w:val="009F116F"/>
    <w:rsid w:val="009F329E"/>
    <w:rsid w:val="009F7ED3"/>
    <w:rsid w:val="00A00204"/>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56B2C"/>
    <w:rsid w:val="00A61496"/>
    <w:rsid w:val="00A61833"/>
    <w:rsid w:val="00A624C6"/>
    <w:rsid w:val="00A63CEC"/>
    <w:rsid w:val="00A7031E"/>
    <w:rsid w:val="00A728B1"/>
    <w:rsid w:val="00A7469A"/>
    <w:rsid w:val="00A75A3F"/>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16D8"/>
    <w:rsid w:val="00AC2532"/>
    <w:rsid w:val="00AD1507"/>
    <w:rsid w:val="00AD5A70"/>
    <w:rsid w:val="00AD738B"/>
    <w:rsid w:val="00AE1BF4"/>
    <w:rsid w:val="00AE5D97"/>
    <w:rsid w:val="00AE6794"/>
    <w:rsid w:val="00B01110"/>
    <w:rsid w:val="00B02262"/>
    <w:rsid w:val="00B03CEC"/>
    <w:rsid w:val="00B1209F"/>
    <w:rsid w:val="00B12AD0"/>
    <w:rsid w:val="00B13C16"/>
    <w:rsid w:val="00B24F30"/>
    <w:rsid w:val="00B31ABF"/>
    <w:rsid w:val="00B335AE"/>
    <w:rsid w:val="00B37CE1"/>
    <w:rsid w:val="00B40ACF"/>
    <w:rsid w:val="00B46BAA"/>
    <w:rsid w:val="00B50B5F"/>
    <w:rsid w:val="00B54128"/>
    <w:rsid w:val="00B55826"/>
    <w:rsid w:val="00B60426"/>
    <w:rsid w:val="00B622DD"/>
    <w:rsid w:val="00B63522"/>
    <w:rsid w:val="00B638AA"/>
    <w:rsid w:val="00B7096F"/>
    <w:rsid w:val="00B76F1D"/>
    <w:rsid w:val="00B92A19"/>
    <w:rsid w:val="00B92F8F"/>
    <w:rsid w:val="00B9544C"/>
    <w:rsid w:val="00BA0EF8"/>
    <w:rsid w:val="00BA29E9"/>
    <w:rsid w:val="00BB3618"/>
    <w:rsid w:val="00BC0C9E"/>
    <w:rsid w:val="00BC0EBD"/>
    <w:rsid w:val="00BC32DC"/>
    <w:rsid w:val="00BD1B51"/>
    <w:rsid w:val="00BD47F6"/>
    <w:rsid w:val="00BE312D"/>
    <w:rsid w:val="00BE3FCA"/>
    <w:rsid w:val="00BE79C3"/>
    <w:rsid w:val="00C05719"/>
    <w:rsid w:val="00C10578"/>
    <w:rsid w:val="00C17D62"/>
    <w:rsid w:val="00C21FDC"/>
    <w:rsid w:val="00C24EE7"/>
    <w:rsid w:val="00C2596A"/>
    <w:rsid w:val="00C271BE"/>
    <w:rsid w:val="00C27425"/>
    <w:rsid w:val="00C328FE"/>
    <w:rsid w:val="00C33A05"/>
    <w:rsid w:val="00C42500"/>
    <w:rsid w:val="00C4409D"/>
    <w:rsid w:val="00C45326"/>
    <w:rsid w:val="00C455BE"/>
    <w:rsid w:val="00C51E5F"/>
    <w:rsid w:val="00C53B64"/>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020"/>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740"/>
    <w:rsid w:val="00D56CF0"/>
    <w:rsid w:val="00D56F5C"/>
    <w:rsid w:val="00D704B1"/>
    <w:rsid w:val="00D70B63"/>
    <w:rsid w:val="00D72B92"/>
    <w:rsid w:val="00D72ED4"/>
    <w:rsid w:val="00D73F61"/>
    <w:rsid w:val="00D754C0"/>
    <w:rsid w:val="00D776A2"/>
    <w:rsid w:val="00D80029"/>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3CED"/>
    <w:rsid w:val="00E76D1D"/>
    <w:rsid w:val="00E806F8"/>
    <w:rsid w:val="00E87752"/>
    <w:rsid w:val="00E8793B"/>
    <w:rsid w:val="00E90F81"/>
    <w:rsid w:val="00E91A6D"/>
    <w:rsid w:val="00E9242D"/>
    <w:rsid w:val="00EA1C11"/>
    <w:rsid w:val="00EB041C"/>
    <w:rsid w:val="00EC5874"/>
    <w:rsid w:val="00ED192D"/>
    <w:rsid w:val="00ED30B4"/>
    <w:rsid w:val="00ED31F5"/>
    <w:rsid w:val="00EF2759"/>
    <w:rsid w:val="00EF45EB"/>
    <w:rsid w:val="00EF5099"/>
    <w:rsid w:val="00EF5E33"/>
    <w:rsid w:val="00F00075"/>
    <w:rsid w:val="00F07822"/>
    <w:rsid w:val="00F158D0"/>
    <w:rsid w:val="00F15C95"/>
    <w:rsid w:val="00F21A91"/>
    <w:rsid w:val="00F22985"/>
    <w:rsid w:val="00F241AB"/>
    <w:rsid w:val="00F25CA1"/>
    <w:rsid w:val="00F31382"/>
    <w:rsid w:val="00F35829"/>
    <w:rsid w:val="00F36523"/>
    <w:rsid w:val="00F4142B"/>
    <w:rsid w:val="00F42868"/>
    <w:rsid w:val="00F465A7"/>
    <w:rsid w:val="00F46AA6"/>
    <w:rsid w:val="00F50B7C"/>
    <w:rsid w:val="00F5202D"/>
    <w:rsid w:val="00F52CF6"/>
    <w:rsid w:val="00F54496"/>
    <w:rsid w:val="00F61097"/>
    <w:rsid w:val="00F74345"/>
    <w:rsid w:val="00F74441"/>
    <w:rsid w:val="00F77F30"/>
    <w:rsid w:val="00F82589"/>
    <w:rsid w:val="00F82B19"/>
    <w:rsid w:val="00F85ED3"/>
    <w:rsid w:val="00F90AA7"/>
    <w:rsid w:val="00F9212D"/>
    <w:rsid w:val="00FA301A"/>
    <w:rsid w:val="00FA406A"/>
    <w:rsid w:val="00FA5CB6"/>
    <w:rsid w:val="00FA6953"/>
    <w:rsid w:val="00FC66AC"/>
    <w:rsid w:val="00FD18F4"/>
    <w:rsid w:val="00FD74B4"/>
    <w:rsid w:val="00FF6FCE"/>
    <w:rsid w:val="00FF7518"/>
    <w:rsid w:val="00FF7FD8"/>
    <w:rsid w:val="01D31020"/>
    <w:rsid w:val="01EF6693"/>
    <w:rsid w:val="02E36A4E"/>
    <w:rsid w:val="03136E3D"/>
    <w:rsid w:val="03991225"/>
    <w:rsid w:val="03D16FFC"/>
    <w:rsid w:val="042F4233"/>
    <w:rsid w:val="04EB1F10"/>
    <w:rsid w:val="053F69CD"/>
    <w:rsid w:val="05742AC8"/>
    <w:rsid w:val="05C27ED4"/>
    <w:rsid w:val="05E02F2E"/>
    <w:rsid w:val="06352F05"/>
    <w:rsid w:val="063E7D85"/>
    <w:rsid w:val="06471B89"/>
    <w:rsid w:val="06796339"/>
    <w:rsid w:val="06A35E25"/>
    <w:rsid w:val="06CE3609"/>
    <w:rsid w:val="06DC1126"/>
    <w:rsid w:val="070875E0"/>
    <w:rsid w:val="07293586"/>
    <w:rsid w:val="07295285"/>
    <w:rsid w:val="07770C56"/>
    <w:rsid w:val="0822060B"/>
    <w:rsid w:val="08AF7C05"/>
    <w:rsid w:val="08B003E0"/>
    <w:rsid w:val="092217DD"/>
    <w:rsid w:val="093A7294"/>
    <w:rsid w:val="09A92972"/>
    <w:rsid w:val="0AB51048"/>
    <w:rsid w:val="0AB539B9"/>
    <w:rsid w:val="0ADF4592"/>
    <w:rsid w:val="0B293662"/>
    <w:rsid w:val="0B3D39AE"/>
    <w:rsid w:val="0BD27BF6"/>
    <w:rsid w:val="0CAF268A"/>
    <w:rsid w:val="0D6C7DE3"/>
    <w:rsid w:val="0DAB493F"/>
    <w:rsid w:val="0DEA396F"/>
    <w:rsid w:val="0E110D06"/>
    <w:rsid w:val="0E7D69BD"/>
    <w:rsid w:val="0E927CD7"/>
    <w:rsid w:val="0EEC232E"/>
    <w:rsid w:val="0F13775A"/>
    <w:rsid w:val="0F9A112B"/>
    <w:rsid w:val="0FAE50DD"/>
    <w:rsid w:val="0FD0001F"/>
    <w:rsid w:val="10360519"/>
    <w:rsid w:val="106D2F64"/>
    <w:rsid w:val="106F4E12"/>
    <w:rsid w:val="10B63710"/>
    <w:rsid w:val="10C22D1E"/>
    <w:rsid w:val="10E044A1"/>
    <w:rsid w:val="10E16293"/>
    <w:rsid w:val="111C2F7A"/>
    <w:rsid w:val="113013DE"/>
    <w:rsid w:val="113F2525"/>
    <w:rsid w:val="11771122"/>
    <w:rsid w:val="11813316"/>
    <w:rsid w:val="118C4305"/>
    <w:rsid w:val="11A11963"/>
    <w:rsid w:val="11EF6B14"/>
    <w:rsid w:val="12115852"/>
    <w:rsid w:val="122B06C2"/>
    <w:rsid w:val="123F695B"/>
    <w:rsid w:val="132863E0"/>
    <w:rsid w:val="136650A9"/>
    <w:rsid w:val="137D4721"/>
    <w:rsid w:val="13951726"/>
    <w:rsid w:val="13B127AE"/>
    <w:rsid w:val="142879B5"/>
    <w:rsid w:val="14396509"/>
    <w:rsid w:val="1447165C"/>
    <w:rsid w:val="144B3CAB"/>
    <w:rsid w:val="145273D6"/>
    <w:rsid w:val="15010445"/>
    <w:rsid w:val="150D54B8"/>
    <w:rsid w:val="1583006A"/>
    <w:rsid w:val="15D860E6"/>
    <w:rsid w:val="15EA512F"/>
    <w:rsid w:val="15F56672"/>
    <w:rsid w:val="169752F5"/>
    <w:rsid w:val="17075CEC"/>
    <w:rsid w:val="1747542B"/>
    <w:rsid w:val="17735226"/>
    <w:rsid w:val="17C04E7B"/>
    <w:rsid w:val="182A2813"/>
    <w:rsid w:val="18573E9B"/>
    <w:rsid w:val="193D57B6"/>
    <w:rsid w:val="19A54D18"/>
    <w:rsid w:val="1A1C66C0"/>
    <w:rsid w:val="1A42393B"/>
    <w:rsid w:val="1AED7567"/>
    <w:rsid w:val="1B046F80"/>
    <w:rsid w:val="1B0D35A9"/>
    <w:rsid w:val="1B3267B5"/>
    <w:rsid w:val="1BC25DC8"/>
    <w:rsid w:val="1C5E7925"/>
    <w:rsid w:val="1C887FC8"/>
    <w:rsid w:val="1CEB2D64"/>
    <w:rsid w:val="1D4E560E"/>
    <w:rsid w:val="1D5031B8"/>
    <w:rsid w:val="1D5F6196"/>
    <w:rsid w:val="1D6132A5"/>
    <w:rsid w:val="1D8E56D5"/>
    <w:rsid w:val="1DF26D0E"/>
    <w:rsid w:val="1DFD12C3"/>
    <w:rsid w:val="1E5A1091"/>
    <w:rsid w:val="1E7A43DA"/>
    <w:rsid w:val="1EB277FE"/>
    <w:rsid w:val="1EB655EF"/>
    <w:rsid w:val="1EEA3A5C"/>
    <w:rsid w:val="1EF70BBB"/>
    <w:rsid w:val="1F8D23B7"/>
    <w:rsid w:val="1FA63478"/>
    <w:rsid w:val="1FE7539E"/>
    <w:rsid w:val="20020B49"/>
    <w:rsid w:val="202608D8"/>
    <w:rsid w:val="20963CB8"/>
    <w:rsid w:val="20A953AC"/>
    <w:rsid w:val="20B07FB6"/>
    <w:rsid w:val="212E0A02"/>
    <w:rsid w:val="213B74B1"/>
    <w:rsid w:val="215A2310"/>
    <w:rsid w:val="21DE318A"/>
    <w:rsid w:val="21EF5B80"/>
    <w:rsid w:val="22316FE5"/>
    <w:rsid w:val="2250198B"/>
    <w:rsid w:val="22576990"/>
    <w:rsid w:val="229C4EAB"/>
    <w:rsid w:val="23860D46"/>
    <w:rsid w:val="23DC435A"/>
    <w:rsid w:val="243724A6"/>
    <w:rsid w:val="24477EF7"/>
    <w:rsid w:val="245C2C9F"/>
    <w:rsid w:val="246201C1"/>
    <w:rsid w:val="24EB45C1"/>
    <w:rsid w:val="24F84776"/>
    <w:rsid w:val="24FB4900"/>
    <w:rsid w:val="25172F31"/>
    <w:rsid w:val="252C028F"/>
    <w:rsid w:val="252D53FE"/>
    <w:rsid w:val="256C3268"/>
    <w:rsid w:val="258C1E47"/>
    <w:rsid w:val="25EC2D81"/>
    <w:rsid w:val="264528BD"/>
    <w:rsid w:val="26A061A7"/>
    <w:rsid w:val="26BF7722"/>
    <w:rsid w:val="26DD6BEB"/>
    <w:rsid w:val="277F0794"/>
    <w:rsid w:val="27D15DD1"/>
    <w:rsid w:val="27F74FA1"/>
    <w:rsid w:val="28197678"/>
    <w:rsid w:val="281A6643"/>
    <w:rsid w:val="28296C3E"/>
    <w:rsid w:val="287F22BF"/>
    <w:rsid w:val="28A76295"/>
    <w:rsid w:val="28E170E4"/>
    <w:rsid w:val="28F9360B"/>
    <w:rsid w:val="29206EB8"/>
    <w:rsid w:val="297D5A88"/>
    <w:rsid w:val="29B24510"/>
    <w:rsid w:val="29E325E0"/>
    <w:rsid w:val="2A452503"/>
    <w:rsid w:val="2AC56052"/>
    <w:rsid w:val="2B824804"/>
    <w:rsid w:val="2BA936A8"/>
    <w:rsid w:val="2C315A5A"/>
    <w:rsid w:val="2C7025D8"/>
    <w:rsid w:val="2C917BE9"/>
    <w:rsid w:val="2CB913C4"/>
    <w:rsid w:val="2D9E56F5"/>
    <w:rsid w:val="2E1B3890"/>
    <w:rsid w:val="2E667F96"/>
    <w:rsid w:val="2E8226AB"/>
    <w:rsid w:val="2EE30245"/>
    <w:rsid w:val="2F0A4C54"/>
    <w:rsid w:val="2F2C2DF5"/>
    <w:rsid w:val="2F5B614B"/>
    <w:rsid w:val="2F832C79"/>
    <w:rsid w:val="2FCD10FB"/>
    <w:rsid w:val="2FEF2D58"/>
    <w:rsid w:val="304C090D"/>
    <w:rsid w:val="30580BC9"/>
    <w:rsid w:val="307F417F"/>
    <w:rsid w:val="30AF5679"/>
    <w:rsid w:val="30C7448F"/>
    <w:rsid w:val="311E2ED7"/>
    <w:rsid w:val="314E6920"/>
    <w:rsid w:val="315C449C"/>
    <w:rsid w:val="31B33AD3"/>
    <w:rsid w:val="31B82709"/>
    <w:rsid w:val="32400B34"/>
    <w:rsid w:val="329E6876"/>
    <w:rsid w:val="32C10194"/>
    <w:rsid w:val="32F36A76"/>
    <w:rsid w:val="333D642F"/>
    <w:rsid w:val="33764BC7"/>
    <w:rsid w:val="337B7501"/>
    <w:rsid w:val="33D17FB8"/>
    <w:rsid w:val="33D934D4"/>
    <w:rsid w:val="33ED7605"/>
    <w:rsid w:val="33FE2F6A"/>
    <w:rsid w:val="34AF6494"/>
    <w:rsid w:val="34C12D93"/>
    <w:rsid w:val="35223149"/>
    <w:rsid w:val="35AA6518"/>
    <w:rsid w:val="35BC7573"/>
    <w:rsid w:val="35D777AA"/>
    <w:rsid w:val="35F461A2"/>
    <w:rsid w:val="35F51433"/>
    <w:rsid w:val="36001F72"/>
    <w:rsid w:val="36074A7F"/>
    <w:rsid w:val="361C1380"/>
    <w:rsid w:val="36641B36"/>
    <w:rsid w:val="36923549"/>
    <w:rsid w:val="36B75FBF"/>
    <w:rsid w:val="36ED7149"/>
    <w:rsid w:val="36FB4891"/>
    <w:rsid w:val="3736198C"/>
    <w:rsid w:val="375A1333"/>
    <w:rsid w:val="377356F1"/>
    <w:rsid w:val="3793032E"/>
    <w:rsid w:val="38F12CD3"/>
    <w:rsid w:val="38F94775"/>
    <w:rsid w:val="392971ED"/>
    <w:rsid w:val="39726953"/>
    <w:rsid w:val="397B7F0A"/>
    <w:rsid w:val="39F3728E"/>
    <w:rsid w:val="3AAE3070"/>
    <w:rsid w:val="3B3763D1"/>
    <w:rsid w:val="3B5A5DC7"/>
    <w:rsid w:val="3C961EE6"/>
    <w:rsid w:val="3C973D25"/>
    <w:rsid w:val="3CDA245A"/>
    <w:rsid w:val="3CEE0A37"/>
    <w:rsid w:val="3D497558"/>
    <w:rsid w:val="3DBC72C2"/>
    <w:rsid w:val="3DEE239C"/>
    <w:rsid w:val="3EED09A6"/>
    <w:rsid w:val="3EF6197C"/>
    <w:rsid w:val="3F620D8A"/>
    <w:rsid w:val="3F660E74"/>
    <w:rsid w:val="3F6D674B"/>
    <w:rsid w:val="3FA67673"/>
    <w:rsid w:val="407A6407"/>
    <w:rsid w:val="409E6267"/>
    <w:rsid w:val="40C04A3C"/>
    <w:rsid w:val="423A3BCC"/>
    <w:rsid w:val="42973045"/>
    <w:rsid w:val="432D61FA"/>
    <w:rsid w:val="433A6FE6"/>
    <w:rsid w:val="4350713C"/>
    <w:rsid w:val="436653E0"/>
    <w:rsid w:val="43882D11"/>
    <w:rsid w:val="43D42766"/>
    <w:rsid w:val="43D9356D"/>
    <w:rsid w:val="44CD14E0"/>
    <w:rsid w:val="45595339"/>
    <w:rsid w:val="458946E9"/>
    <w:rsid w:val="45A54999"/>
    <w:rsid w:val="45BF192D"/>
    <w:rsid w:val="461B6FEF"/>
    <w:rsid w:val="46280B98"/>
    <w:rsid w:val="4656442B"/>
    <w:rsid w:val="4681753D"/>
    <w:rsid w:val="469453DD"/>
    <w:rsid w:val="46D955A7"/>
    <w:rsid w:val="47133957"/>
    <w:rsid w:val="4779329E"/>
    <w:rsid w:val="478D354E"/>
    <w:rsid w:val="47A07E0C"/>
    <w:rsid w:val="47C26A73"/>
    <w:rsid w:val="47EA6D45"/>
    <w:rsid w:val="4870272E"/>
    <w:rsid w:val="48846369"/>
    <w:rsid w:val="48B34307"/>
    <w:rsid w:val="48DF5182"/>
    <w:rsid w:val="48EE5FEC"/>
    <w:rsid w:val="490D791A"/>
    <w:rsid w:val="491B227F"/>
    <w:rsid w:val="49DC7715"/>
    <w:rsid w:val="4A023139"/>
    <w:rsid w:val="4A703DC8"/>
    <w:rsid w:val="4A7B576F"/>
    <w:rsid w:val="4A9C3497"/>
    <w:rsid w:val="4AF81DC9"/>
    <w:rsid w:val="4B225AB1"/>
    <w:rsid w:val="4B5C64C5"/>
    <w:rsid w:val="4B645B81"/>
    <w:rsid w:val="4BA052BF"/>
    <w:rsid w:val="4BA55B79"/>
    <w:rsid w:val="4BAB11B7"/>
    <w:rsid w:val="4BDF7D00"/>
    <w:rsid w:val="4BEE0783"/>
    <w:rsid w:val="4C0F7996"/>
    <w:rsid w:val="4C3E7DAB"/>
    <w:rsid w:val="4C4A0649"/>
    <w:rsid w:val="4C4A219A"/>
    <w:rsid w:val="4C7D40EC"/>
    <w:rsid w:val="4CE470D3"/>
    <w:rsid w:val="4D2770F7"/>
    <w:rsid w:val="4D43011D"/>
    <w:rsid w:val="4D6C7E3A"/>
    <w:rsid w:val="4D700A9E"/>
    <w:rsid w:val="4DD80905"/>
    <w:rsid w:val="4DE9156D"/>
    <w:rsid w:val="4DEC4FB0"/>
    <w:rsid w:val="4E075D8A"/>
    <w:rsid w:val="4EEB64BB"/>
    <w:rsid w:val="4F7F76BE"/>
    <w:rsid w:val="4FAB1220"/>
    <w:rsid w:val="4FBD1627"/>
    <w:rsid w:val="4FC62A8C"/>
    <w:rsid w:val="4FD465DC"/>
    <w:rsid w:val="4FE20F0D"/>
    <w:rsid w:val="50366C4E"/>
    <w:rsid w:val="50504C4B"/>
    <w:rsid w:val="509C6E7C"/>
    <w:rsid w:val="50C03AEB"/>
    <w:rsid w:val="50EF4C88"/>
    <w:rsid w:val="5162104E"/>
    <w:rsid w:val="51972402"/>
    <w:rsid w:val="51F576EB"/>
    <w:rsid w:val="520541F8"/>
    <w:rsid w:val="520B0FC9"/>
    <w:rsid w:val="529625D0"/>
    <w:rsid w:val="52AB0028"/>
    <w:rsid w:val="52D876D3"/>
    <w:rsid w:val="535E75EB"/>
    <w:rsid w:val="538D1969"/>
    <w:rsid w:val="53A039CC"/>
    <w:rsid w:val="53A1505A"/>
    <w:rsid w:val="53F83788"/>
    <w:rsid w:val="54063E08"/>
    <w:rsid w:val="543437E8"/>
    <w:rsid w:val="54B62810"/>
    <w:rsid w:val="54E47D98"/>
    <w:rsid w:val="550430FA"/>
    <w:rsid w:val="55935847"/>
    <w:rsid w:val="559B174B"/>
    <w:rsid w:val="55A42E30"/>
    <w:rsid w:val="55CE0CF4"/>
    <w:rsid w:val="560E012E"/>
    <w:rsid w:val="5616170A"/>
    <w:rsid w:val="5630593B"/>
    <w:rsid w:val="56573787"/>
    <w:rsid w:val="56867B02"/>
    <w:rsid w:val="56B22A9C"/>
    <w:rsid w:val="57405985"/>
    <w:rsid w:val="57B72A76"/>
    <w:rsid w:val="582B30DF"/>
    <w:rsid w:val="59060BC2"/>
    <w:rsid w:val="59565334"/>
    <w:rsid w:val="59961F63"/>
    <w:rsid w:val="59AA5338"/>
    <w:rsid w:val="5A3C747D"/>
    <w:rsid w:val="5A94216A"/>
    <w:rsid w:val="5ABE2233"/>
    <w:rsid w:val="5B1402B4"/>
    <w:rsid w:val="5B276D18"/>
    <w:rsid w:val="5BB97C6A"/>
    <w:rsid w:val="5BBB436B"/>
    <w:rsid w:val="5BDF5D95"/>
    <w:rsid w:val="5C2D4F86"/>
    <w:rsid w:val="5C3714DE"/>
    <w:rsid w:val="5D205871"/>
    <w:rsid w:val="5D9D3621"/>
    <w:rsid w:val="5D9E78A2"/>
    <w:rsid w:val="5DD36E86"/>
    <w:rsid w:val="5DF64FF0"/>
    <w:rsid w:val="5DF87A0F"/>
    <w:rsid w:val="5DFC2720"/>
    <w:rsid w:val="5E225DE5"/>
    <w:rsid w:val="5E6A3A53"/>
    <w:rsid w:val="5E7432A7"/>
    <w:rsid w:val="5E90274A"/>
    <w:rsid w:val="5E96232F"/>
    <w:rsid w:val="5EA75760"/>
    <w:rsid w:val="5F1A2B43"/>
    <w:rsid w:val="5F29112D"/>
    <w:rsid w:val="5FA20610"/>
    <w:rsid w:val="5FB837BB"/>
    <w:rsid w:val="5FC07FAC"/>
    <w:rsid w:val="5FCD3215"/>
    <w:rsid w:val="60427C95"/>
    <w:rsid w:val="610572F8"/>
    <w:rsid w:val="61494C23"/>
    <w:rsid w:val="617E3AF8"/>
    <w:rsid w:val="61932B55"/>
    <w:rsid w:val="62364782"/>
    <w:rsid w:val="626C2D2F"/>
    <w:rsid w:val="62C46022"/>
    <w:rsid w:val="6321457D"/>
    <w:rsid w:val="636F18F1"/>
    <w:rsid w:val="63B954FD"/>
    <w:rsid w:val="63D40BE9"/>
    <w:rsid w:val="63E0211F"/>
    <w:rsid w:val="64061D04"/>
    <w:rsid w:val="64CF3021"/>
    <w:rsid w:val="64D07E7B"/>
    <w:rsid w:val="64F11F11"/>
    <w:rsid w:val="65373578"/>
    <w:rsid w:val="66230E2C"/>
    <w:rsid w:val="666E6599"/>
    <w:rsid w:val="66EB35F2"/>
    <w:rsid w:val="673F2C7A"/>
    <w:rsid w:val="67FC7065"/>
    <w:rsid w:val="67FE123F"/>
    <w:rsid w:val="681F6961"/>
    <w:rsid w:val="68610A2F"/>
    <w:rsid w:val="68805514"/>
    <w:rsid w:val="68C66B84"/>
    <w:rsid w:val="694E2071"/>
    <w:rsid w:val="697A3B33"/>
    <w:rsid w:val="699E2456"/>
    <w:rsid w:val="69BA7888"/>
    <w:rsid w:val="6A222CC8"/>
    <w:rsid w:val="6A5A5549"/>
    <w:rsid w:val="6B014147"/>
    <w:rsid w:val="6B322639"/>
    <w:rsid w:val="6B5F35EE"/>
    <w:rsid w:val="6B865094"/>
    <w:rsid w:val="6B8A3DD1"/>
    <w:rsid w:val="6B903C09"/>
    <w:rsid w:val="6BC16D72"/>
    <w:rsid w:val="6C4E249B"/>
    <w:rsid w:val="6C636C38"/>
    <w:rsid w:val="6C637DD7"/>
    <w:rsid w:val="6CC2051A"/>
    <w:rsid w:val="6CCC086C"/>
    <w:rsid w:val="6CEA5453"/>
    <w:rsid w:val="6D0D54C7"/>
    <w:rsid w:val="6D200E7E"/>
    <w:rsid w:val="6D643293"/>
    <w:rsid w:val="6D8D46EA"/>
    <w:rsid w:val="6D98512D"/>
    <w:rsid w:val="6DA12D41"/>
    <w:rsid w:val="6DA5294D"/>
    <w:rsid w:val="6DB34098"/>
    <w:rsid w:val="6DB545B6"/>
    <w:rsid w:val="6DDB3EA1"/>
    <w:rsid w:val="6E1763AE"/>
    <w:rsid w:val="6E4375A0"/>
    <w:rsid w:val="6E514CED"/>
    <w:rsid w:val="6E5F2C1E"/>
    <w:rsid w:val="6E79491A"/>
    <w:rsid w:val="6EB563D5"/>
    <w:rsid w:val="6F207344"/>
    <w:rsid w:val="6F225983"/>
    <w:rsid w:val="6F2A4AF9"/>
    <w:rsid w:val="6F702817"/>
    <w:rsid w:val="6F71468C"/>
    <w:rsid w:val="6FAA2D4B"/>
    <w:rsid w:val="6FDC0C53"/>
    <w:rsid w:val="6FE100DB"/>
    <w:rsid w:val="6FE25D24"/>
    <w:rsid w:val="6FFC5590"/>
    <w:rsid w:val="702D721B"/>
    <w:rsid w:val="70301DA3"/>
    <w:rsid w:val="703724AA"/>
    <w:rsid w:val="70454A23"/>
    <w:rsid w:val="706D1DD0"/>
    <w:rsid w:val="70856B87"/>
    <w:rsid w:val="70D078A9"/>
    <w:rsid w:val="70D527EE"/>
    <w:rsid w:val="715B5300"/>
    <w:rsid w:val="715F4BD7"/>
    <w:rsid w:val="71AC1F74"/>
    <w:rsid w:val="71D27F8A"/>
    <w:rsid w:val="71F744C6"/>
    <w:rsid w:val="71F960CF"/>
    <w:rsid w:val="720C21C7"/>
    <w:rsid w:val="723B2A53"/>
    <w:rsid w:val="72BF7175"/>
    <w:rsid w:val="72E34228"/>
    <w:rsid w:val="731F5D5E"/>
    <w:rsid w:val="737750A1"/>
    <w:rsid w:val="73C42D65"/>
    <w:rsid w:val="741E793C"/>
    <w:rsid w:val="74255BE5"/>
    <w:rsid w:val="74506821"/>
    <w:rsid w:val="74BD6E64"/>
    <w:rsid w:val="74D468C0"/>
    <w:rsid w:val="7568355A"/>
    <w:rsid w:val="758D75E2"/>
    <w:rsid w:val="75C77E7C"/>
    <w:rsid w:val="75C869D2"/>
    <w:rsid w:val="766703E1"/>
    <w:rsid w:val="76AB6803"/>
    <w:rsid w:val="76C1197C"/>
    <w:rsid w:val="77762421"/>
    <w:rsid w:val="77E06011"/>
    <w:rsid w:val="780F09F4"/>
    <w:rsid w:val="78634EA9"/>
    <w:rsid w:val="78733B32"/>
    <w:rsid w:val="78875FBF"/>
    <w:rsid w:val="789C4F47"/>
    <w:rsid w:val="78A90480"/>
    <w:rsid w:val="78BD0488"/>
    <w:rsid w:val="78E363A5"/>
    <w:rsid w:val="79811327"/>
    <w:rsid w:val="79FA5A10"/>
    <w:rsid w:val="7A122D59"/>
    <w:rsid w:val="7A364017"/>
    <w:rsid w:val="7A5926D1"/>
    <w:rsid w:val="7A5D42D0"/>
    <w:rsid w:val="7A735DDD"/>
    <w:rsid w:val="7A8265E1"/>
    <w:rsid w:val="7A8A422C"/>
    <w:rsid w:val="7ACF6516"/>
    <w:rsid w:val="7AE2308F"/>
    <w:rsid w:val="7B1F24FE"/>
    <w:rsid w:val="7B452441"/>
    <w:rsid w:val="7B686D42"/>
    <w:rsid w:val="7B790DF3"/>
    <w:rsid w:val="7B841746"/>
    <w:rsid w:val="7BC44128"/>
    <w:rsid w:val="7BE473DC"/>
    <w:rsid w:val="7C326149"/>
    <w:rsid w:val="7C7F5AEE"/>
    <w:rsid w:val="7D0239FF"/>
    <w:rsid w:val="7D2268A6"/>
    <w:rsid w:val="7D5E40CD"/>
    <w:rsid w:val="7D693BED"/>
    <w:rsid w:val="7D80356B"/>
    <w:rsid w:val="7DB44995"/>
    <w:rsid w:val="7DD547CA"/>
    <w:rsid w:val="7EC419C8"/>
    <w:rsid w:val="7FE47E50"/>
    <w:rsid w:val="7FEC5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ocked="1"/>
    <w:lsdException w:unhideWhenUsed="0" w:uiPriority="0" w:semiHidden="0" w:name="heading 3" w:locked="1"/>
    <w:lsdException w:qFormat="1" w:unhideWhenUsed="0" w:uiPriority="0" w:semiHidden="0" w:name="heading 4" w:locked="1"/>
    <w:lsdException w:qFormat="1" w:unhideWhenUsed="0" w:uiPriority="1" w:semiHidden="0" w:name="heading 5" w:locked="1"/>
    <w:lsdException w:qFormat="1" w:unhideWhenUsed="0" w:uiPriority="1"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1"/>
    <w:next w:val="1"/>
    <w:qFormat/>
    <w:locked/>
    <w:uiPriority w:val="0"/>
    <w:pPr>
      <w:keepNext/>
      <w:keepLines/>
      <w:spacing w:before="280" w:after="290" w:line="372" w:lineRule="auto"/>
      <w:outlineLvl w:val="3"/>
    </w:pPr>
    <w:rPr>
      <w:rFonts w:ascii="Arial" w:hAnsi="Arial" w:eastAsia="黑体"/>
      <w:b/>
      <w:sz w:val="28"/>
    </w:rPr>
  </w:style>
  <w:style w:type="paragraph" w:styleId="5">
    <w:name w:val="heading 5"/>
    <w:basedOn w:val="1"/>
    <w:next w:val="1"/>
    <w:qFormat/>
    <w:locked/>
    <w:uiPriority w:val="1"/>
    <w:pPr>
      <w:ind w:left="907" w:hanging="428"/>
      <w:outlineLvl w:val="4"/>
    </w:pPr>
    <w:rPr>
      <w:rFonts w:ascii="宋体" w:hAnsi="宋体" w:cs="宋体"/>
      <w:b/>
      <w:bCs/>
      <w:sz w:val="28"/>
      <w:szCs w:val="28"/>
    </w:rPr>
  </w:style>
  <w:style w:type="paragraph" w:styleId="6">
    <w:name w:val="heading 6"/>
    <w:basedOn w:val="1"/>
    <w:next w:val="1"/>
    <w:qFormat/>
    <w:locked/>
    <w:uiPriority w:val="1"/>
    <w:pPr>
      <w:ind w:left="1258" w:hanging="901"/>
      <w:outlineLvl w:val="5"/>
    </w:pPr>
    <w:rPr>
      <w:rFonts w:ascii="宋体" w:hAnsi="宋体" w:cs="宋体"/>
      <w:b/>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7">
    <w:name w:val="Normal Indent"/>
    <w:basedOn w:val="1"/>
    <w:next w:val="8"/>
    <w:qFormat/>
    <w:uiPriority w:val="0"/>
    <w:pPr>
      <w:ind w:firstLine="420"/>
    </w:pPr>
    <w:rPr>
      <w:rFonts w:ascii="宋体"/>
    </w:rPr>
  </w:style>
  <w:style w:type="paragraph" w:styleId="8">
    <w:name w:val="Body Text First Indent 2"/>
    <w:basedOn w:val="9"/>
    <w:next w:val="1"/>
    <w:qFormat/>
    <w:uiPriority w:val="0"/>
    <w:pPr>
      <w:ind w:firstLine="420" w:firstLineChars="200"/>
    </w:pPr>
  </w:style>
  <w:style w:type="paragraph" w:styleId="9">
    <w:name w:val="Body Text Indent"/>
    <w:basedOn w:val="1"/>
    <w:next w:val="1"/>
    <w:link w:val="32"/>
    <w:semiHidden/>
    <w:qFormat/>
    <w:uiPriority w:val="0"/>
    <w:pPr>
      <w:spacing w:after="120"/>
      <w:ind w:left="420" w:leftChars="200"/>
    </w:pPr>
  </w:style>
  <w:style w:type="paragraph" w:styleId="10">
    <w:name w:val="annotation text"/>
    <w:basedOn w:val="1"/>
    <w:link w:val="33"/>
    <w:semiHidden/>
    <w:qFormat/>
    <w:uiPriority w:val="0"/>
    <w:pPr>
      <w:jc w:val="left"/>
    </w:pPr>
    <w:rPr>
      <w:kern w:val="0"/>
      <w:sz w:val="20"/>
    </w:rPr>
  </w:style>
  <w:style w:type="paragraph" w:styleId="11">
    <w:name w:val="Body Text"/>
    <w:basedOn w:val="1"/>
    <w:link w:val="34"/>
    <w:qFormat/>
    <w:uiPriority w:val="0"/>
    <w:pPr>
      <w:widowControl/>
      <w:snapToGrid w:val="0"/>
      <w:spacing w:before="60" w:after="160" w:line="259" w:lineRule="auto"/>
      <w:ind w:right="113"/>
    </w:pPr>
    <w:rPr>
      <w:kern w:val="0"/>
      <w:sz w:val="18"/>
      <w:szCs w:val="18"/>
    </w:rPr>
  </w:style>
  <w:style w:type="paragraph" w:styleId="12">
    <w:name w:val="Plain Text"/>
    <w:basedOn w:val="1"/>
    <w:next w:val="1"/>
    <w:qFormat/>
    <w:uiPriority w:val="0"/>
    <w:rPr>
      <w:rFonts w:ascii="宋体" w:hAnsi="Courier New"/>
    </w:rPr>
  </w:style>
  <w:style w:type="paragraph" w:styleId="13">
    <w:name w:val="Date"/>
    <w:basedOn w:val="1"/>
    <w:next w:val="1"/>
    <w:link w:val="35"/>
    <w:qFormat/>
    <w:uiPriority w:val="0"/>
    <w:pPr>
      <w:ind w:left="100" w:leftChars="2500"/>
    </w:pPr>
    <w:rPr>
      <w:kern w:val="0"/>
      <w:sz w:val="20"/>
    </w:rPr>
  </w:style>
  <w:style w:type="paragraph" w:styleId="14">
    <w:name w:val="Body Text Indent 2"/>
    <w:basedOn w:val="1"/>
    <w:qFormat/>
    <w:uiPriority w:val="0"/>
    <w:pPr>
      <w:ind w:firstLine="573"/>
    </w:pPr>
    <w:rPr>
      <w:sz w:val="28"/>
    </w:rPr>
  </w:style>
  <w:style w:type="paragraph" w:styleId="15">
    <w:name w:val="Balloon Text"/>
    <w:basedOn w:val="1"/>
    <w:link w:val="36"/>
    <w:semiHidden/>
    <w:qFormat/>
    <w:uiPriority w:val="0"/>
    <w:rPr>
      <w:sz w:val="18"/>
      <w:szCs w:val="18"/>
    </w:rPr>
  </w:style>
  <w:style w:type="paragraph" w:styleId="16">
    <w:name w:val="footer"/>
    <w:basedOn w:val="1"/>
    <w:link w:val="37"/>
    <w:qFormat/>
    <w:uiPriority w:val="0"/>
    <w:pPr>
      <w:tabs>
        <w:tab w:val="center" w:pos="4153"/>
        <w:tab w:val="right" w:pos="8306"/>
      </w:tabs>
      <w:snapToGrid w:val="0"/>
      <w:jc w:val="left"/>
    </w:pPr>
    <w:rPr>
      <w:sz w:val="18"/>
      <w:szCs w:val="18"/>
    </w:rPr>
  </w:style>
  <w:style w:type="paragraph" w:styleId="17">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ind w:left="200" w:hanging="200" w:hangingChars="200"/>
    </w:pPr>
  </w:style>
  <w:style w:type="paragraph" w:styleId="19">
    <w:name w:val="table of figures"/>
    <w:basedOn w:val="1"/>
    <w:next w:val="1"/>
    <w:qFormat/>
    <w:uiPriority w:val="0"/>
    <w:pPr>
      <w:ind w:left="200" w:leftChars="200" w:hanging="200" w:hangingChars="200"/>
    </w:pPr>
  </w:style>
  <w:style w:type="paragraph" w:styleId="20">
    <w:name w:val="Normal (Web)"/>
    <w:basedOn w:val="1"/>
    <w:link w:val="39"/>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locked/>
    <w:uiPriority w:val="99"/>
    <w:pPr>
      <w:widowControl/>
      <w:spacing w:before="240" w:after="60"/>
      <w:jc w:val="center"/>
      <w:outlineLvl w:val="0"/>
    </w:pPr>
    <w:rPr>
      <w:rFonts w:ascii="Cambria" w:hAnsi="Cambria" w:cs="Cambria"/>
      <w:b/>
      <w:bCs/>
      <w:kern w:val="28"/>
      <w:sz w:val="32"/>
      <w:szCs w:val="32"/>
      <w:lang w:eastAsia="en-US"/>
    </w:rPr>
  </w:style>
  <w:style w:type="paragraph" w:styleId="22">
    <w:name w:val="annotation subject"/>
    <w:basedOn w:val="10"/>
    <w:next w:val="10"/>
    <w:link w:val="40"/>
    <w:semiHidden/>
    <w:qFormat/>
    <w:uiPriority w:val="0"/>
    <w:rPr>
      <w:b/>
      <w:bCs/>
    </w:rPr>
  </w:style>
  <w:style w:type="paragraph" w:styleId="23">
    <w:name w:val="Body Text First Indent"/>
    <w:basedOn w:val="11"/>
    <w:qFormat/>
    <w:uiPriority w:val="0"/>
    <w:pPr>
      <w:ind w:firstLine="420" w:firstLineChars="10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annotation reference"/>
    <w:basedOn w:val="26"/>
    <w:semiHidden/>
    <w:qFormat/>
    <w:uiPriority w:val="0"/>
    <w:rPr>
      <w:sz w:val="21"/>
    </w:rPr>
  </w:style>
  <w:style w:type="paragraph" w:customStyle="1" w:styleId="29">
    <w:name w:val="正文文本缩进 21"/>
    <w:basedOn w:val="1"/>
    <w:qFormat/>
    <w:uiPriority w:val="0"/>
    <w:pPr>
      <w:spacing w:line="480" w:lineRule="auto"/>
      <w:ind w:left="420" w:leftChars="200"/>
    </w:pPr>
  </w:style>
  <w:style w:type="paragraph" w:customStyle="1" w:styleId="30">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样式 正文缩进正文缩进2正文缩进 Char Char正文缩进 Char Char Char Char正文缩进 Char ..."/>
    <w:basedOn w:val="7"/>
    <w:qFormat/>
    <w:uiPriority w:val="0"/>
    <w:pPr>
      <w:spacing w:line="360" w:lineRule="auto"/>
      <w:ind w:firstLine="200"/>
    </w:pPr>
    <w:rPr>
      <w:rFonts w:cs="宋体"/>
      <w:sz w:val="24"/>
    </w:rPr>
  </w:style>
  <w:style w:type="character" w:customStyle="1" w:styleId="32">
    <w:name w:val="正文文本缩进 字符"/>
    <w:basedOn w:val="26"/>
    <w:link w:val="9"/>
    <w:semiHidden/>
    <w:qFormat/>
    <w:locked/>
    <w:uiPriority w:val="0"/>
    <w:rPr>
      <w:rFonts w:ascii="Times New Roman" w:hAnsi="Times New Roman" w:eastAsia="宋体" w:cs="Times New Roman"/>
      <w:sz w:val="24"/>
      <w:szCs w:val="24"/>
    </w:rPr>
  </w:style>
  <w:style w:type="character" w:customStyle="1" w:styleId="33">
    <w:name w:val="批注文字 字符"/>
    <w:link w:val="10"/>
    <w:qFormat/>
    <w:locked/>
    <w:uiPriority w:val="0"/>
    <w:rPr>
      <w:rFonts w:ascii="Times New Roman" w:hAnsi="Times New Roman" w:eastAsia="宋体"/>
      <w:sz w:val="24"/>
    </w:rPr>
  </w:style>
  <w:style w:type="character" w:customStyle="1" w:styleId="34">
    <w:name w:val="正文文本 字符"/>
    <w:link w:val="11"/>
    <w:qFormat/>
    <w:locked/>
    <w:uiPriority w:val="0"/>
    <w:rPr>
      <w:sz w:val="18"/>
    </w:rPr>
  </w:style>
  <w:style w:type="character" w:customStyle="1" w:styleId="35">
    <w:name w:val="日期 字符1"/>
    <w:link w:val="13"/>
    <w:qFormat/>
    <w:locked/>
    <w:uiPriority w:val="0"/>
    <w:rPr>
      <w:rFonts w:ascii="Times New Roman" w:hAnsi="Times New Roman" w:eastAsia="宋体"/>
      <w:sz w:val="24"/>
    </w:rPr>
  </w:style>
  <w:style w:type="character" w:customStyle="1" w:styleId="36">
    <w:name w:val="批注框文本 字符"/>
    <w:basedOn w:val="26"/>
    <w:link w:val="15"/>
    <w:semiHidden/>
    <w:qFormat/>
    <w:locked/>
    <w:uiPriority w:val="0"/>
    <w:rPr>
      <w:rFonts w:ascii="Times New Roman" w:hAnsi="Times New Roman" w:eastAsia="宋体" w:cs="Times New Roman"/>
      <w:sz w:val="18"/>
      <w:szCs w:val="18"/>
    </w:rPr>
  </w:style>
  <w:style w:type="character" w:customStyle="1" w:styleId="37">
    <w:name w:val="页脚 字符"/>
    <w:basedOn w:val="26"/>
    <w:link w:val="16"/>
    <w:qFormat/>
    <w:locked/>
    <w:uiPriority w:val="0"/>
    <w:rPr>
      <w:rFonts w:cs="Times New Roman"/>
      <w:sz w:val="18"/>
      <w:szCs w:val="18"/>
    </w:rPr>
  </w:style>
  <w:style w:type="character" w:customStyle="1" w:styleId="38">
    <w:name w:val="页眉 字符"/>
    <w:basedOn w:val="26"/>
    <w:link w:val="17"/>
    <w:qFormat/>
    <w:locked/>
    <w:uiPriority w:val="0"/>
    <w:rPr>
      <w:rFonts w:cs="Times New Roman"/>
      <w:sz w:val="18"/>
      <w:szCs w:val="18"/>
    </w:rPr>
  </w:style>
  <w:style w:type="character" w:customStyle="1" w:styleId="39">
    <w:name w:val="普通(网站) 字符"/>
    <w:link w:val="20"/>
    <w:qFormat/>
    <w:locked/>
    <w:uiPriority w:val="0"/>
    <w:rPr>
      <w:rFonts w:ascii="宋体" w:hAnsi="宋体" w:eastAsia="宋体"/>
      <w:sz w:val="24"/>
    </w:rPr>
  </w:style>
  <w:style w:type="character" w:customStyle="1" w:styleId="40">
    <w:name w:val="批注主题 字符"/>
    <w:basedOn w:val="33"/>
    <w:link w:val="22"/>
    <w:semiHidden/>
    <w:qFormat/>
    <w:locked/>
    <w:uiPriority w:val="0"/>
    <w:rPr>
      <w:rFonts w:ascii="Times New Roman" w:hAnsi="Times New Roman" w:eastAsia="宋体" w:cs="Times New Roman"/>
      <w:b/>
      <w:bCs/>
      <w:kern w:val="2"/>
      <w:sz w:val="24"/>
      <w:szCs w:val="24"/>
    </w:rPr>
  </w:style>
  <w:style w:type="character" w:customStyle="1" w:styleId="41">
    <w:name w:val="普通(网站) Char"/>
    <w:qFormat/>
    <w:locked/>
    <w:uiPriority w:val="0"/>
    <w:rPr>
      <w:rFonts w:ascii="宋体" w:hAnsi="宋体" w:eastAsia="宋体"/>
      <w:sz w:val="24"/>
    </w:rPr>
  </w:style>
  <w:style w:type="character" w:customStyle="1" w:styleId="42">
    <w:name w:val="日期 字符"/>
    <w:basedOn w:val="26"/>
    <w:semiHidden/>
    <w:qFormat/>
    <w:uiPriority w:val="0"/>
    <w:rPr>
      <w:rFonts w:ascii="Times New Roman" w:hAnsi="Times New Roman" w:eastAsia="宋体" w:cs="Times New Roman"/>
      <w:sz w:val="24"/>
      <w:szCs w:val="24"/>
    </w:rPr>
  </w:style>
  <w:style w:type="character" w:customStyle="1" w:styleId="43">
    <w:name w:val="正文文本 字符1"/>
    <w:basedOn w:val="26"/>
    <w:semiHidden/>
    <w:qFormat/>
    <w:uiPriority w:val="0"/>
    <w:rPr>
      <w:rFonts w:ascii="Times New Roman" w:hAnsi="Times New Roman" w:eastAsia="宋体" w:cs="Times New Roman"/>
      <w:sz w:val="24"/>
      <w:szCs w:val="24"/>
    </w:rPr>
  </w:style>
  <w:style w:type="character" w:customStyle="1" w:styleId="44">
    <w:name w:val="批注文字 字符1"/>
    <w:basedOn w:val="26"/>
    <w:semiHidden/>
    <w:qFormat/>
    <w:uiPriority w:val="0"/>
    <w:rPr>
      <w:rFonts w:ascii="Times New Roman" w:hAnsi="Times New Roman" w:eastAsia="宋体" w:cs="Times New Roman"/>
      <w:sz w:val="24"/>
      <w:szCs w:val="24"/>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 w:val="20"/>
      <w:szCs w:val="21"/>
    </w:rPr>
  </w:style>
  <w:style w:type="paragraph" w:customStyle="1" w:styleId="47">
    <w:name w:val="Table Paragraph"/>
    <w:basedOn w:val="1"/>
    <w:qFormat/>
    <w:uiPriority w:val="1"/>
    <w:pPr>
      <w:jc w:val="center"/>
    </w:pPr>
    <w:rPr>
      <w:rFonts w:ascii="宋体" w:hAnsi="宋体" w:cs="宋体"/>
    </w:rPr>
  </w:style>
  <w:style w:type="paragraph" w:styleId="48">
    <w:name w:val="List Paragraph"/>
    <w:basedOn w:val="1"/>
    <w:qFormat/>
    <w:uiPriority w:val="1"/>
    <w:pPr>
      <w:ind w:left="1217" w:hanging="400"/>
    </w:pPr>
    <w:rPr>
      <w:rFonts w:ascii="宋体" w:hAnsi="宋体" w:cs="宋体"/>
    </w:rPr>
  </w:style>
  <w:style w:type="paragraph" w:customStyle="1" w:styleId="49">
    <w:name w:val="表头"/>
    <w:basedOn w:val="18"/>
    <w:next w:val="1"/>
    <w:qFormat/>
    <w:uiPriority w:val="0"/>
    <w:pPr>
      <w:spacing w:line="560" w:lineRule="exact"/>
      <w:ind w:firstLine="100" w:firstLineChars="100"/>
      <w:jc w:val="left"/>
      <w:outlineLvl w:val="3"/>
    </w:pPr>
    <w:rPr>
      <w:rFonts w:ascii="宋体" w:hAnsi="宋体" w:eastAsia="黑体"/>
      <w:sz w:val="24"/>
      <w:szCs w:val="28"/>
    </w:rPr>
  </w:style>
  <w:style w:type="paragraph" w:customStyle="1" w:styleId="50">
    <w:name w:val="表内字"/>
    <w:basedOn w:val="1"/>
    <w:qFormat/>
    <w:uiPriority w:val="0"/>
    <w:pPr>
      <w:spacing w:line="300" w:lineRule="atLeast"/>
      <w:jc w:val="center"/>
    </w:pPr>
    <w:rPr>
      <w:kern w:val="0"/>
    </w:rPr>
  </w:style>
  <w:style w:type="paragraph" w:customStyle="1" w:styleId="51">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52">
    <w:name w:val="Table Normal"/>
    <w:unhideWhenUsed/>
    <w:qFormat/>
    <w:uiPriority w:val="0"/>
    <w:tblPr>
      <w:tblCellMar>
        <w:top w:w="0" w:type="dxa"/>
        <w:left w:w="0" w:type="dxa"/>
        <w:bottom w:w="0" w:type="dxa"/>
        <w:right w:w="0" w:type="dxa"/>
      </w:tblCellMar>
    </w:tblPr>
  </w:style>
  <w:style w:type="paragraph" w:customStyle="1" w:styleId="53">
    <w:name w:val="一级标题"/>
    <w:basedOn w:val="1"/>
    <w:qFormat/>
    <w:uiPriority w:val="0"/>
    <w:pPr>
      <w:overflowPunct w:val="0"/>
      <w:spacing w:before="60" w:line="460" w:lineRule="exact"/>
      <w:outlineLvl w:val="0"/>
    </w:pPr>
    <w:rPr>
      <w:b/>
      <w:kern w:val="0"/>
      <w:sz w:val="32"/>
      <w:szCs w:val="32"/>
    </w:rPr>
  </w:style>
  <w:style w:type="paragraph" w:customStyle="1" w:styleId="54">
    <w:name w:val="样式 正文文本缩进 + 行距: 1.5 倍行距"/>
    <w:basedOn w:val="1"/>
    <w:qFormat/>
    <w:uiPriority w:val="0"/>
    <w:pPr>
      <w:spacing w:after="120"/>
      <w:ind w:left="90" w:leftChars="32" w:firstLine="560"/>
    </w:pPr>
    <w:rPr>
      <w:rFonts w:cs="宋体"/>
    </w:rPr>
  </w:style>
  <w:style w:type="paragraph" w:customStyle="1" w:styleId="55">
    <w:name w:val="样式 环保正文 + Times New Roman 首行缩进:  2 字符"/>
    <w:basedOn w:val="1"/>
    <w:qFormat/>
    <w:uiPriority w:val="0"/>
    <w:pPr>
      <w:keepNext/>
      <w:widowControl/>
      <w:tabs>
        <w:tab w:val="left" w:pos="0"/>
        <w:tab w:val="left" w:pos="7012"/>
      </w:tabs>
      <w:autoSpaceDE w:val="0"/>
      <w:autoSpaceDN w:val="0"/>
      <w:spacing w:line="360" w:lineRule="auto"/>
      <w:jc w:val="left"/>
    </w:pPr>
    <w:rPr>
      <w:rFonts w:ascii="宋体" w:hAnsi="宋体"/>
      <w:kern w:val="0"/>
      <w:sz w:val="26"/>
      <w:szCs w:val="20"/>
    </w:rPr>
  </w:style>
  <w:style w:type="paragraph" w:customStyle="1" w:styleId="56">
    <w:name w:val="正文五号"/>
    <w:qFormat/>
    <w:uiPriority w:val="0"/>
    <w:pPr>
      <w:spacing w:line="360" w:lineRule="auto"/>
      <w:ind w:firstLine="720" w:firstLineChars="200"/>
      <w:jc w:val="both"/>
    </w:pPr>
    <w:rPr>
      <w:rFonts w:ascii="Times New Roman" w:hAnsi="Times New Roman" w:eastAsia="宋体" w:cs="Times New Roman"/>
      <w:sz w:val="21"/>
      <w:szCs w:val="24"/>
      <w:lang w:val="en-US" w:eastAsia="zh-CN" w:bidi="ar-SA"/>
    </w:rPr>
  </w:style>
  <w:style w:type="paragraph" w:customStyle="1" w:styleId="57">
    <w:name w:val="表格内容"/>
    <w:next w:val="1"/>
    <w:qFormat/>
    <w:uiPriority w:val="0"/>
    <w:pPr>
      <w:adjustRightInd w:val="0"/>
      <w:snapToGrid w:val="0"/>
      <w:jc w:val="center"/>
    </w:pPr>
    <w:rPr>
      <w:rFonts w:ascii="Times New Roman" w:hAnsi="Times New Roman" w:eastAsia="仿宋" w:cs="Times New Roman"/>
      <w:sz w:val="21"/>
      <w:lang w:val="en-US" w:eastAsia="zh-CN" w:bidi="ar-SA"/>
    </w:rPr>
  </w:style>
  <w:style w:type="paragraph" w:customStyle="1" w:styleId="58">
    <w:name w:val="表格内容1"/>
    <w:basedOn w:val="1"/>
    <w:qFormat/>
    <w:uiPriority w:val="0"/>
    <w:pPr>
      <w:adjustRightInd w:val="0"/>
      <w:snapToGrid w:val="0"/>
    </w:pPr>
    <w:rPr>
      <w:color w:val="000000"/>
      <w:szCs w:val="18"/>
    </w:rPr>
  </w:style>
  <w:style w:type="paragraph" w:customStyle="1" w:styleId="59">
    <w:name w:val="图表抬头"/>
    <w:basedOn w:val="1"/>
    <w:qFormat/>
    <w:uiPriority w:val="0"/>
    <w:pPr>
      <w:jc w:val="center"/>
    </w:pPr>
    <w:rPr>
      <w:rFonts w:eastAsia="黑体" w:cs="黑体"/>
      <w:b/>
    </w:rPr>
  </w:style>
  <w:style w:type="paragraph" w:customStyle="1" w:styleId="60">
    <w:name w:val="表内容"/>
    <w:basedOn w:val="1"/>
    <w:next w:val="1"/>
    <w:qFormat/>
    <w:uiPriority w:val="0"/>
    <w:pPr>
      <w:spacing w:line="360" w:lineRule="exact"/>
      <w:jc w:val="center"/>
    </w:pPr>
    <w:rPr>
      <w:szCs w:val="21"/>
    </w:rPr>
  </w:style>
  <w:style w:type="paragraph" w:customStyle="1" w:styleId="61">
    <w:name w:val="WPSOffice手动目录 1"/>
    <w:qFormat/>
    <w:uiPriority w:val="0"/>
    <w:rPr>
      <w:rFonts w:ascii="Times New Roman" w:hAnsi="Times New Roman" w:eastAsia="宋体" w:cs="Times New Roman"/>
      <w:lang w:val="en-US" w:eastAsia="zh-CN" w:bidi="ar-SA"/>
    </w:rPr>
  </w:style>
  <w:style w:type="character" w:customStyle="1" w:styleId="62">
    <w:name w:val="15"/>
    <w:basedOn w:val="26"/>
    <w:qFormat/>
    <w:uiPriority w:val="0"/>
    <w:rPr>
      <w:rFonts w:hint="default" w:ascii="Times New Roman" w:hAnsi="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QzNDkwNTMxOTc3IiwKCSJHcm91cElkIiA6ICI0MjQxNTY2NjIiLAoJIkltYWdlIiA6ICJpVkJPUncwS0dnb0FBQUFOU1VoRVVnQUFBbUFBQUFJYUNBWUFBQUNIMHZGM0FBQUFDWEJJV1hNQUFBc1RBQUFMRXdFQW1wd1lBQUFnQUVsRVFWUjRuT3pkZVhoY1ZmMC84UGVkeVN4MzlwbE1KdnZTTkUxUzBpUmtpcFZWeW1JVmZvZ0lzaW1DQWxLS0lpQ2diSXJ3VlJGRUZORXZnbEkyeXlwU0VGRkJvUzRnQlpwKzI5SXRUWk0yMjJTZEpKT1p1YlBlKy9zam1UQ2RUTktrVFpNbWZiK2VwMDg3Wjd1Zm02ZE5QajNuM0hNQk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QTlmZ3ZIRFNyMU9zTDZ1NEFBQUFBU1VWT1JLNUNZSUk9IiwKCSJUaGVtZSIgOiAiIiwKCSJUeXBlIiA6ICJmbG93IiwKCSJWZXJzaW9uIiA6ICIiCn0K"/>
    </extobj>
    <extobj name="ECB019B1-382A-4266-B25C-5B523AA43C14-2">
      <extobjdata type="ECB019B1-382A-4266-B25C-5B523AA43C14" data="ewoJIkZpbGVJZCIgOiAiMTYzNzIyNTk5NDg4IiwKCSJHcm91cElkIiA6ICI0MjQxNTY2NjIiLAoJIkltYWdlIiA6ICJpVkJPUncwS0dnb0FBQUFOU1VoRVVnQUFBL29BQUFKeUNBWUFBQUIwY3J1Z0FBQUFDWEJJV1hNQUFBc1RBQUFMRXdFQW1wd1lBQUFnQUVsRVFWUjRuT3pkZVZ4YzliMy84ZmNNdzZ3TSs3NkZMWkFOQ01SOWlkRzR4THEwMVRiV3VOMXF4ZTFXcnphL1dyZFcwMFZ2YTN0ZDdsV3JWazIxdHJZMXJacHFXcmU0UkkyMmNXbGlBdGxJUWdnaGhIVUdobUdZK2YwQmd3TU1CR0lDZ2J5ZWp3ZVBNTi96UGQvelBSUG1NK2R6enZkOGp3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BmNzIvd0dIZGJKZG84UXBaQUFBQUFCSlJVNUVya0pnZ2c9PS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8F51B2-1237-4C3F-9726-4F47C4292B6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95</Pages>
  <Words>52695</Words>
  <Characters>60476</Characters>
  <Lines>461</Lines>
  <Paragraphs>130</Paragraphs>
  <TotalTime>1</TotalTime>
  <ScaleCrop>false</ScaleCrop>
  <LinksUpToDate>false</LinksUpToDate>
  <CharactersWithSpaces>61028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峰</cp:lastModifiedBy>
  <cp:lastPrinted>2020-12-24T01:50:00Z</cp:lastPrinted>
  <dcterms:modified xsi:type="dcterms:W3CDTF">2022-04-21T07:44:07Z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C3DC3DA580EA48D49B909BA2FA21E433</vt:lpwstr>
  </property>
</Properties>
</file>