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8E5B3" w:themeColor="accent4" w:themeTint="66"/>
  <w:body>
    <w:p w14:paraId="7331BC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小标宋简体" w:hAnsi="方正小标宋简体" w:eastAsia="方正小标宋简体" w:cs="方正小标宋简体"/>
          <w:sz w:val="44"/>
          <w:szCs w:val="44"/>
          <w:lang w:val="en-US" w:eastAsia="zh-CN"/>
        </w:rPr>
      </w:pPr>
    </w:p>
    <w:p w14:paraId="3C11DA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关于加快推进县域经济高质量发展的实施方案（2026-2030年）</w:t>
      </w:r>
    </w:p>
    <w:p w14:paraId="6F0276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eastAsia="仿宋_GB2312"/>
          <w:b/>
          <w:bCs/>
          <w:sz w:val="32"/>
          <w:szCs w:val="32"/>
          <w:lang w:val="en-US" w:eastAsia="zh-CN"/>
        </w:rPr>
      </w:pPr>
    </w:p>
    <w:p w14:paraId="1886EA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（征求意见稿）</w:t>
      </w:r>
    </w:p>
    <w:p w14:paraId="3F6EA8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eastAsia="仿宋_GB2312"/>
          <w:sz w:val="32"/>
          <w:szCs w:val="32"/>
          <w:lang w:val="en-US" w:eastAsia="zh-CN"/>
        </w:rPr>
      </w:pPr>
    </w:p>
    <w:p w14:paraId="27685B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为</w:t>
      </w:r>
      <w:r>
        <w:rPr>
          <w:rFonts w:hint="eastAsia" w:ascii="仿宋_GB2312" w:eastAsia="仿宋_GB2312"/>
          <w:sz w:val="32"/>
          <w:szCs w:val="32"/>
          <w:lang w:val="en-US" w:eastAsia="zh-CN"/>
        </w:rPr>
        <w:t>全面落实省委、省政府及市委、市政府关于推动县域经济高质量发展的决策部署和工作要求，持续推进“强县</w:t>
      </w:r>
      <w:bookmarkStart w:id="0" w:name="_GoBack"/>
      <w:bookmarkEnd w:id="0"/>
      <w:r>
        <w:rPr>
          <w:rFonts w:hint="eastAsia" w:ascii="仿宋_GB2312" w:eastAsia="仿宋_GB2312"/>
          <w:sz w:val="32"/>
          <w:szCs w:val="32"/>
          <w:lang w:val="en-US" w:eastAsia="zh-CN"/>
        </w:rPr>
        <w:t>域”行动重</w:t>
      </w:r>
      <w:r>
        <w:rPr>
          <w:rFonts w:hint="eastAsia" w:ascii="仿宋_GB2312" w:eastAsia="仿宋_GB2312"/>
          <w:spacing w:val="-6"/>
          <w:sz w:val="32"/>
          <w:szCs w:val="32"/>
          <w:lang w:val="en-US" w:eastAsia="zh-CN"/>
        </w:rPr>
        <w:t>点任务落细落实，助力经济社会稳健发展，结合实际，制定本方案。</w:t>
      </w:r>
    </w:p>
    <w:p w14:paraId="0FFB16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14:paraId="082FBF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cs="仿宋_GB2312"/>
          <w:b w:val="0"/>
          <w:bCs w:val="0"/>
          <w:color w:val="auto"/>
          <w:sz w:val="32"/>
          <w:szCs w:val="32"/>
          <w:highlight w:val="none"/>
          <w:lang w:val="en-US" w:eastAsia="zh-CN" w:bidi="ar"/>
        </w:rPr>
      </w:pPr>
      <w:r>
        <w:rPr>
          <w:rFonts w:hint="eastAsia" w:ascii="仿宋_GB2312" w:eastAsia="仿宋_GB2312" w:hAnsiTheme="minorHAnsi" w:cstheme="minorBidi"/>
          <w:b w:val="0"/>
          <w:bCs w:val="0"/>
          <w:kern w:val="2"/>
          <w:sz w:val="32"/>
          <w:szCs w:val="32"/>
          <w:lang w:val="en-US" w:eastAsia="zh-CN" w:bidi="ar-SA"/>
        </w:rPr>
        <w:t>以习近平</w:t>
      </w:r>
      <w:r>
        <w:rPr>
          <w:rFonts w:hint="eastAsia" w:ascii="仿宋_GB2312" w:eastAsia="仿宋_GB2312" w:cstheme="minorBidi"/>
          <w:b w:val="0"/>
          <w:bCs w:val="0"/>
          <w:kern w:val="2"/>
          <w:sz w:val="32"/>
          <w:szCs w:val="32"/>
          <w:lang w:val="en-US" w:eastAsia="zh-CN" w:bidi="ar-SA"/>
        </w:rPr>
        <w:t>新时代中国特色社会主义思想为指导，深入贯彻党的二十大和二十届历次全会精神，完整准确全面贯彻新发展理念，坚持工业主导、农业优先、城市服务、文旅赋能、生态功能五大发展类型，统筹产业发展、基础设施布局和公共资源配置，推动兴业、强县、富民一体发展</w:t>
      </w:r>
      <w:r>
        <w:rPr>
          <w:rFonts w:hint="eastAsia" w:ascii="仿宋_GB2312" w:eastAsia="仿宋_GB2312" w:cs="仿宋_GB2312"/>
          <w:b w:val="0"/>
          <w:bCs w:val="0"/>
          <w:color w:val="auto"/>
          <w:sz w:val="32"/>
          <w:szCs w:val="32"/>
          <w:highlight w:val="none"/>
          <w:lang w:val="en-US" w:eastAsia="zh-CN" w:bidi="ar"/>
        </w:rPr>
        <w:t>，为加快建设幸福美好新张掖提供县域支撑。</w:t>
      </w:r>
    </w:p>
    <w:p w14:paraId="7EC23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二、发展方向及目标</w:t>
      </w:r>
    </w:p>
    <w:p w14:paraId="315BC5A2">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立足现有选型定位和发展基础，</w:t>
      </w:r>
      <w:r>
        <w:rPr>
          <w:rFonts w:hint="eastAsia" w:ascii="仿宋_GB2312" w:eastAsia="仿宋_GB2312" w:cstheme="minorBidi"/>
          <w:b w:val="0"/>
          <w:bCs w:val="0"/>
          <w:kern w:val="2"/>
          <w:sz w:val="32"/>
          <w:szCs w:val="32"/>
          <w:lang w:val="en-US" w:eastAsia="zh-CN" w:bidi="ar-SA"/>
        </w:rPr>
        <w:t>运用</w:t>
      </w:r>
      <w:r>
        <w:rPr>
          <w:rFonts w:hint="eastAsia" w:ascii="仿宋_GB2312" w:eastAsia="仿宋_GB2312" w:hAnsiTheme="minorHAnsi" w:cstheme="minorBidi"/>
          <w:b w:val="0"/>
          <w:bCs w:val="0"/>
          <w:kern w:val="2"/>
          <w:sz w:val="32"/>
          <w:szCs w:val="32"/>
          <w:lang w:val="en-US" w:eastAsia="zh-CN" w:bidi="ar-SA"/>
        </w:rPr>
        <w:t>“田忌赛马”</w:t>
      </w:r>
      <w:r>
        <w:rPr>
          <w:rFonts w:hint="eastAsia" w:ascii="仿宋_GB2312" w:eastAsia="仿宋_GB2312" w:cstheme="minorBidi"/>
          <w:b w:val="0"/>
          <w:bCs w:val="0"/>
          <w:kern w:val="2"/>
          <w:sz w:val="32"/>
          <w:szCs w:val="32"/>
          <w:lang w:val="en-US" w:eastAsia="zh-CN" w:bidi="ar-SA"/>
        </w:rPr>
        <w:t>差异化竞争方式，实施“一县一主导、一域一特色、错位竞发展”，找准赛道、扬长避短、各展所长，构建特色鲜明、优势互补、错位发展的县域经济高质量发展新格局。</w:t>
      </w:r>
      <w:r>
        <w:rPr>
          <w:rFonts w:hint="eastAsia" w:ascii="仿宋_GB2312" w:eastAsia="仿宋_GB2312" w:hAnsiTheme="minorHAnsi" w:cstheme="minorBidi"/>
          <w:b/>
          <w:bCs/>
          <w:kern w:val="2"/>
          <w:sz w:val="32"/>
          <w:szCs w:val="32"/>
          <w:lang w:val="en-US" w:eastAsia="zh-CN" w:bidi="ar-SA"/>
        </w:rPr>
        <w:t>甘州区</w:t>
      </w:r>
      <w:r>
        <w:rPr>
          <w:rFonts w:hint="eastAsia" w:ascii="仿宋_GB2312" w:eastAsia="仿宋_GB2312" w:hAnsiTheme="minorHAnsi" w:cstheme="minorBidi"/>
          <w:b w:val="0"/>
          <w:bCs w:val="0"/>
          <w:kern w:val="2"/>
          <w:sz w:val="32"/>
          <w:szCs w:val="32"/>
          <w:lang w:val="en-US" w:eastAsia="zh-CN" w:bidi="ar-SA"/>
        </w:rPr>
        <w:t>立足城市服务型</w:t>
      </w:r>
      <w:r>
        <w:rPr>
          <w:rFonts w:hint="eastAsia" w:ascii="仿宋_GB2312" w:eastAsia="仿宋_GB2312" w:cstheme="minorBidi"/>
          <w:b w:val="0"/>
          <w:bCs w:val="0"/>
          <w:kern w:val="2"/>
          <w:sz w:val="32"/>
          <w:szCs w:val="32"/>
          <w:lang w:val="en-US" w:eastAsia="zh-CN" w:bidi="ar-SA"/>
        </w:rPr>
        <w:t>和</w:t>
      </w:r>
      <w:r>
        <w:rPr>
          <w:rFonts w:hint="eastAsia" w:ascii="仿宋_GB2312" w:eastAsia="仿宋_GB2312" w:hAnsiTheme="minorHAnsi" w:cstheme="minorBidi"/>
          <w:b w:val="0"/>
          <w:bCs w:val="0"/>
          <w:kern w:val="2"/>
          <w:sz w:val="32"/>
          <w:szCs w:val="32"/>
          <w:lang w:val="en-US" w:eastAsia="zh-CN" w:bidi="ar-SA"/>
        </w:rPr>
        <w:t>工业主导型</w:t>
      </w:r>
      <w:r>
        <w:rPr>
          <w:rFonts w:hint="eastAsia" w:ascii="仿宋_GB2312" w:eastAsia="仿宋_GB2312" w:cstheme="minorBidi"/>
          <w:b w:val="0"/>
          <w:bCs w:val="0"/>
          <w:kern w:val="2"/>
          <w:sz w:val="32"/>
          <w:szCs w:val="32"/>
          <w:lang w:val="en-US" w:eastAsia="zh-CN" w:bidi="ar-SA"/>
        </w:rPr>
        <w:t>功能</w:t>
      </w:r>
      <w:r>
        <w:rPr>
          <w:rFonts w:hint="eastAsia" w:ascii="仿宋_GB2312" w:eastAsia="仿宋_GB2312" w:hAnsiTheme="minorHAnsi" w:cstheme="minorBidi"/>
          <w:b w:val="0"/>
          <w:bCs w:val="0"/>
          <w:kern w:val="2"/>
          <w:sz w:val="32"/>
          <w:szCs w:val="32"/>
          <w:lang w:val="en-US" w:eastAsia="zh-CN" w:bidi="ar-SA"/>
        </w:rPr>
        <w:t>定位，</w:t>
      </w:r>
      <w:r>
        <w:rPr>
          <w:rFonts w:hint="eastAsia" w:ascii="仿宋_GB2312" w:eastAsia="仿宋_GB2312" w:cstheme="minorBidi"/>
          <w:b w:val="0"/>
          <w:bCs w:val="0"/>
          <w:kern w:val="2"/>
          <w:sz w:val="32"/>
          <w:szCs w:val="32"/>
          <w:lang w:val="en-US" w:eastAsia="zh-CN" w:bidi="ar-SA"/>
        </w:rPr>
        <w:t>加力发展现代寒旱特色农业，聚力建设平山湖综合能源基地，推动发展硅系新材料产业，</w:t>
      </w:r>
      <w:r>
        <w:rPr>
          <w:rFonts w:hint="eastAsia" w:ascii="仿宋_GB2312" w:eastAsia="仿宋_GB2312" w:hAnsiTheme="minorHAnsi" w:cstheme="minorBidi"/>
          <w:b w:val="0"/>
          <w:bCs w:val="0"/>
          <w:kern w:val="2"/>
          <w:sz w:val="32"/>
          <w:szCs w:val="32"/>
          <w:lang w:val="en-US" w:eastAsia="zh-CN" w:bidi="ar-SA"/>
        </w:rPr>
        <w:t>培育壮大新能源、新材料、煤化工、装备制造、智能制造、种业及农畜产品精深加工、数字经济等产业集群</w:t>
      </w:r>
      <w:r>
        <w:rPr>
          <w:rFonts w:hint="eastAsia" w:ascii="仿宋_GB2312" w:eastAsia="仿宋_GB2312" w:cstheme="minorBidi"/>
          <w:b w:val="0"/>
          <w:bCs w:val="0"/>
          <w:kern w:val="2"/>
          <w:sz w:val="32"/>
          <w:szCs w:val="32"/>
          <w:lang w:val="en-US" w:eastAsia="zh-CN" w:bidi="ar-SA"/>
        </w:rPr>
        <w:t>，</w:t>
      </w:r>
      <w:r>
        <w:rPr>
          <w:rFonts w:hint="eastAsia" w:ascii="仿宋_GB2312" w:hAnsi="仿宋_GB2312" w:eastAsia="仿宋_GB2312" w:cs="仿宋_GB2312"/>
          <w:w w:val="96"/>
          <w:sz w:val="32"/>
          <w:szCs w:val="32"/>
          <w:lang w:val="en-US" w:eastAsia="zh-CN"/>
        </w:rPr>
        <w:t>逐步推进平山湖工业集中区建</w:t>
      </w:r>
      <w:r>
        <w:rPr>
          <w:rFonts w:hint="eastAsia" w:ascii="仿宋_GB2312" w:hAnsi="仿宋_GB2312" w:eastAsia="仿宋_GB2312" w:cs="仿宋_GB2312"/>
          <w:sz w:val="32"/>
          <w:szCs w:val="32"/>
          <w:lang w:val="en-US" w:eastAsia="zh-CN"/>
        </w:rPr>
        <w:t>设</w:t>
      </w:r>
      <w:r>
        <w:rPr>
          <w:rFonts w:hint="eastAsia" w:ascii="仿宋_GB2312" w:eastAsia="仿宋_GB2312" w:hAnsiTheme="minorHAnsi" w:cstheme="minorBidi"/>
          <w:b w:val="0"/>
          <w:bCs w:val="0"/>
          <w:kern w:val="2"/>
          <w:sz w:val="32"/>
          <w:szCs w:val="32"/>
          <w:lang w:val="en-US" w:eastAsia="zh-CN" w:bidi="ar-SA"/>
        </w:rPr>
        <w:t>。</w:t>
      </w:r>
      <w:r>
        <w:rPr>
          <w:rFonts w:hint="eastAsia" w:ascii="仿宋_GB2312" w:eastAsia="仿宋_GB2312" w:hAnsiTheme="minorHAnsi" w:cstheme="minorBidi"/>
          <w:b/>
          <w:bCs/>
          <w:kern w:val="2"/>
          <w:sz w:val="32"/>
          <w:szCs w:val="32"/>
          <w:lang w:val="en-US" w:eastAsia="zh-CN" w:bidi="ar-SA"/>
        </w:rPr>
        <w:t>临泽县</w:t>
      </w:r>
      <w:r>
        <w:rPr>
          <w:rFonts w:hint="eastAsia" w:ascii="仿宋_GB2312" w:eastAsia="仿宋_GB2312" w:hAnsiTheme="minorHAnsi" w:cstheme="minorBidi"/>
          <w:b w:val="0"/>
          <w:bCs w:val="0"/>
          <w:kern w:val="2"/>
          <w:sz w:val="32"/>
          <w:szCs w:val="32"/>
          <w:lang w:val="en-US" w:eastAsia="zh-CN" w:bidi="ar-SA"/>
        </w:rPr>
        <w:t>立足农业优先型和文旅赋能型功能定位，强化文化旅游首位产业支撑，培育壮大现代种业、畜牧养殖、绿色蔬菜、特色林果、富锶水产、综合能源、新材料、通航产业、农产品精深加工等产业集群。</w:t>
      </w:r>
      <w:r>
        <w:rPr>
          <w:rFonts w:hint="eastAsia" w:ascii="仿宋_GB2312" w:eastAsia="仿宋_GB2312" w:hAnsiTheme="minorHAnsi" w:cstheme="minorBidi"/>
          <w:b/>
          <w:bCs/>
          <w:kern w:val="2"/>
          <w:sz w:val="32"/>
          <w:szCs w:val="32"/>
          <w:lang w:val="en-US" w:eastAsia="zh-CN" w:bidi="ar-SA"/>
        </w:rPr>
        <w:t>高台县</w:t>
      </w:r>
      <w:r>
        <w:rPr>
          <w:rFonts w:hint="eastAsia" w:ascii="仿宋_GB2312" w:eastAsia="仿宋_GB2312" w:hAnsiTheme="minorHAnsi" w:cstheme="minorBidi"/>
          <w:b w:val="0"/>
          <w:bCs w:val="0"/>
          <w:kern w:val="2"/>
          <w:sz w:val="32"/>
          <w:szCs w:val="32"/>
          <w:lang w:val="en-US" w:eastAsia="zh-CN" w:bidi="ar-SA"/>
        </w:rPr>
        <w:t>立足工业主导型和农业优先型功能定位，</w:t>
      </w:r>
      <w:r>
        <w:rPr>
          <w:rFonts w:hint="eastAsia" w:ascii="仿宋_GB2312" w:eastAsia="仿宋_GB2312" w:cstheme="minorBidi"/>
          <w:b w:val="0"/>
          <w:bCs w:val="0"/>
          <w:kern w:val="2"/>
          <w:sz w:val="32"/>
          <w:szCs w:val="32"/>
          <w:lang w:val="en-US" w:eastAsia="zh-CN" w:bidi="ar-SA"/>
        </w:rPr>
        <w:t>加力打造新能源大基地，在新能源装备制造、新型储能等方面不断深化，发展壮大现代种业、农畜产品精深加工、煤化工、精细化工、化工新材料等产业集群</w:t>
      </w:r>
      <w:r>
        <w:rPr>
          <w:rFonts w:hint="eastAsia" w:ascii="仿宋_GB2312" w:eastAsia="仿宋_GB2312" w:hAnsiTheme="minorHAnsi" w:cstheme="minorBidi"/>
          <w:b w:val="0"/>
          <w:bCs w:val="0"/>
          <w:kern w:val="2"/>
          <w:sz w:val="32"/>
          <w:szCs w:val="32"/>
          <w:lang w:val="en-US" w:eastAsia="zh-CN" w:bidi="ar-SA"/>
        </w:rPr>
        <w:t>。</w:t>
      </w:r>
      <w:r>
        <w:rPr>
          <w:rFonts w:hint="eastAsia" w:ascii="仿宋_GB2312" w:eastAsia="仿宋_GB2312" w:hAnsiTheme="minorHAnsi" w:cstheme="minorBidi"/>
          <w:b/>
          <w:bCs/>
          <w:kern w:val="2"/>
          <w:sz w:val="32"/>
          <w:szCs w:val="32"/>
          <w:lang w:val="en-US" w:eastAsia="zh-CN" w:bidi="ar-SA"/>
        </w:rPr>
        <w:t>山丹县</w:t>
      </w:r>
      <w:r>
        <w:rPr>
          <w:rFonts w:hint="eastAsia" w:ascii="仿宋_GB2312" w:eastAsia="仿宋_GB2312" w:hAnsiTheme="minorHAnsi" w:cstheme="minorBidi"/>
          <w:b w:val="0"/>
          <w:bCs w:val="0"/>
          <w:kern w:val="2"/>
          <w:sz w:val="32"/>
          <w:szCs w:val="32"/>
          <w:lang w:val="en-US" w:eastAsia="zh-CN" w:bidi="ar-SA"/>
        </w:rPr>
        <w:t>立足工业主导型和生态功能型功能定位，做大做强煤炭清洁高效开发利用</w:t>
      </w:r>
      <w:r>
        <w:rPr>
          <w:rFonts w:hint="eastAsia" w:ascii="仿宋_GB2312" w:eastAsia="仿宋_GB2312" w:cstheme="minorBidi"/>
          <w:b w:val="0"/>
          <w:bCs w:val="0"/>
          <w:kern w:val="2"/>
          <w:sz w:val="32"/>
          <w:szCs w:val="32"/>
          <w:lang w:val="en-US" w:eastAsia="zh-CN" w:bidi="ar-SA"/>
        </w:rPr>
        <w:t>、</w:t>
      </w:r>
      <w:r>
        <w:rPr>
          <w:rFonts w:hint="eastAsia" w:ascii="仿宋_GB2312" w:eastAsia="仿宋_GB2312" w:hAnsiTheme="minorHAnsi" w:cstheme="minorBidi"/>
          <w:b w:val="0"/>
          <w:bCs w:val="0"/>
          <w:kern w:val="2"/>
          <w:sz w:val="32"/>
          <w:szCs w:val="32"/>
          <w:lang w:val="en-US" w:eastAsia="zh-CN" w:bidi="ar-SA"/>
        </w:rPr>
        <w:t>新能源综合开发利用、农畜产品精深加工等产业</w:t>
      </w:r>
      <w:r>
        <w:rPr>
          <w:rFonts w:hint="eastAsia" w:ascii="仿宋_GB2312" w:eastAsia="仿宋_GB2312" w:cstheme="minorBidi"/>
          <w:b w:val="0"/>
          <w:bCs w:val="0"/>
          <w:kern w:val="2"/>
          <w:sz w:val="32"/>
          <w:szCs w:val="32"/>
          <w:lang w:val="en-US" w:eastAsia="zh-CN" w:bidi="ar-SA"/>
        </w:rPr>
        <w:t>集群，加快建设河西煤炭集散中心</w:t>
      </w:r>
      <w:r>
        <w:rPr>
          <w:rFonts w:hint="eastAsia" w:ascii="仿宋_GB2312" w:eastAsia="仿宋_GB2312" w:hAnsiTheme="minorHAnsi" w:cstheme="minorBidi"/>
          <w:b w:val="0"/>
          <w:bCs w:val="0"/>
          <w:kern w:val="2"/>
          <w:sz w:val="32"/>
          <w:szCs w:val="32"/>
          <w:lang w:val="en-US" w:eastAsia="zh-CN" w:bidi="ar-SA"/>
        </w:rPr>
        <w:t>。</w:t>
      </w:r>
      <w:r>
        <w:rPr>
          <w:rFonts w:hint="eastAsia" w:ascii="仿宋_GB2312" w:eastAsia="仿宋_GB2312" w:hAnsiTheme="minorHAnsi" w:cstheme="minorBidi"/>
          <w:b/>
          <w:bCs/>
          <w:kern w:val="2"/>
          <w:sz w:val="32"/>
          <w:szCs w:val="32"/>
          <w:lang w:val="en-US" w:eastAsia="zh-CN" w:bidi="ar-SA"/>
        </w:rPr>
        <w:t>民乐县</w:t>
      </w:r>
      <w:r>
        <w:rPr>
          <w:rFonts w:hint="eastAsia" w:ascii="仿宋_GB2312" w:eastAsia="仿宋_GB2312" w:hAnsiTheme="minorHAnsi" w:cstheme="minorBidi"/>
          <w:b w:val="0"/>
          <w:bCs w:val="0"/>
          <w:kern w:val="2"/>
          <w:sz w:val="32"/>
          <w:szCs w:val="32"/>
          <w:lang w:val="en-US" w:eastAsia="zh-CN" w:bidi="ar-SA"/>
        </w:rPr>
        <w:t>立足工业主导型和生态功能型功</w:t>
      </w:r>
      <w:r>
        <w:rPr>
          <w:rFonts w:hint="eastAsia" w:ascii="仿宋_GB2312" w:eastAsia="仿宋_GB2312" w:cstheme="minorBidi"/>
          <w:b w:val="0"/>
          <w:bCs w:val="0"/>
          <w:kern w:val="2"/>
          <w:sz w:val="32"/>
          <w:szCs w:val="32"/>
          <w:lang w:val="en-US" w:eastAsia="zh-CN" w:bidi="ar-SA"/>
        </w:rPr>
        <w:t>能定位，做大做强酒类酿造、新能源及装备制造、现代化工等主导产业，重点建设百亿级现代寒旱农业智能温室产业园</w:t>
      </w:r>
      <w:r>
        <w:rPr>
          <w:rFonts w:hint="eastAsia" w:ascii="仿宋_GB2312" w:eastAsia="仿宋_GB2312" w:hAnsiTheme="minorHAnsi" w:cstheme="minorBidi"/>
          <w:b w:val="0"/>
          <w:bCs w:val="0"/>
          <w:kern w:val="2"/>
          <w:sz w:val="32"/>
          <w:szCs w:val="32"/>
          <w:lang w:val="en-US" w:eastAsia="zh-CN" w:bidi="ar-SA"/>
        </w:rPr>
        <w:t>。</w:t>
      </w:r>
      <w:r>
        <w:rPr>
          <w:rFonts w:hint="eastAsia" w:ascii="仿宋_GB2312" w:eastAsia="仿宋_GB2312" w:hAnsiTheme="minorHAnsi" w:cstheme="minorBidi"/>
          <w:b/>
          <w:bCs/>
          <w:kern w:val="2"/>
          <w:sz w:val="32"/>
          <w:szCs w:val="32"/>
          <w:lang w:val="en-US" w:eastAsia="zh-CN" w:bidi="ar-SA"/>
        </w:rPr>
        <w:t>肃南县</w:t>
      </w:r>
      <w:r>
        <w:rPr>
          <w:rFonts w:hint="eastAsia" w:ascii="仿宋_GB2312" w:eastAsia="仿宋_GB2312" w:hAnsiTheme="minorHAnsi" w:cstheme="minorBidi"/>
          <w:b w:val="0"/>
          <w:bCs w:val="0"/>
          <w:kern w:val="2"/>
          <w:sz w:val="32"/>
          <w:szCs w:val="32"/>
          <w:lang w:val="en-US" w:eastAsia="zh-CN" w:bidi="ar-SA"/>
        </w:rPr>
        <w:t>立足生态功能型和农业优先型功能定位，做大做强现代绿色畜牧业</w:t>
      </w:r>
      <w:r>
        <w:rPr>
          <w:rFonts w:hint="eastAsia" w:ascii="仿宋_GB2312" w:eastAsia="仿宋_GB2312" w:cstheme="minorBidi"/>
          <w:b w:val="0"/>
          <w:bCs w:val="0"/>
          <w:kern w:val="2"/>
          <w:sz w:val="32"/>
          <w:szCs w:val="32"/>
          <w:lang w:val="en-US" w:eastAsia="zh-CN" w:bidi="ar-SA"/>
        </w:rPr>
        <w:t>、绿色</w:t>
      </w:r>
      <w:r>
        <w:rPr>
          <w:rFonts w:hint="eastAsia" w:ascii="仿宋_GB2312" w:eastAsia="仿宋_GB2312" w:hAnsiTheme="minorHAnsi" w:cstheme="minorBidi"/>
          <w:b w:val="0"/>
          <w:bCs w:val="0"/>
          <w:kern w:val="2"/>
          <w:sz w:val="32"/>
          <w:szCs w:val="32"/>
          <w:lang w:val="en-US" w:eastAsia="zh-CN" w:bidi="ar-SA"/>
        </w:rPr>
        <w:t>矿产品精深加工等产业，</w:t>
      </w:r>
      <w:r>
        <w:rPr>
          <w:rFonts w:hint="eastAsia" w:ascii="仿宋_GB2312" w:eastAsia="仿宋_GB2312" w:cstheme="minorBidi"/>
          <w:b w:val="0"/>
          <w:bCs w:val="0"/>
          <w:kern w:val="2"/>
          <w:sz w:val="32"/>
          <w:szCs w:val="32"/>
          <w:lang w:val="en-US" w:eastAsia="zh-CN" w:bidi="ar-SA"/>
        </w:rPr>
        <w:t>着力打造抽蓄电站集群</w:t>
      </w:r>
      <w:r>
        <w:rPr>
          <w:rFonts w:hint="eastAsia" w:ascii="仿宋_GB2312" w:eastAsia="仿宋_GB2312" w:hAnsiTheme="minorHAnsi" w:cstheme="minorBidi"/>
          <w:b w:val="0"/>
          <w:bCs w:val="0"/>
          <w:kern w:val="2"/>
          <w:sz w:val="32"/>
          <w:szCs w:val="32"/>
          <w:lang w:val="en-US" w:eastAsia="zh-CN" w:bidi="ar-SA"/>
        </w:rPr>
        <w:t>。</w:t>
      </w:r>
    </w:p>
    <w:p w14:paraId="72A4E2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力争到20</w:t>
      </w:r>
      <w:r>
        <w:rPr>
          <w:rFonts w:hint="eastAsia" w:ascii="仿宋_GB2312" w:eastAsia="仿宋_GB2312" w:cstheme="minorBidi"/>
          <w:b w:val="0"/>
          <w:bCs w:val="0"/>
          <w:kern w:val="2"/>
          <w:sz w:val="32"/>
          <w:szCs w:val="32"/>
          <w:lang w:val="en-US" w:eastAsia="zh-CN" w:bidi="ar-SA"/>
        </w:rPr>
        <w:t>30</w:t>
      </w:r>
      <w:r>
        <w:rPr>
          <w:rFonts w:hint="eastAsia" w:ascii="仿宋_GB2312" w:eastAsia="仿宋_GB2312" w:hAnsiTheme="minorHAnsi" w:cstheme="minorBidi"/>
          <w:b w:val="0"/>
          <w:bCs w:val="0"/>
          <w:kern w:val="2"/>
          <w:sz w:val="32"/>
          <w:szCs w:val="32"/>
          <w:lang w:val="en-US" w:eastAsia="zh-CN" w:bidi="ar-SA"/>
        </w:rPr>
        <w:t>年，</w:t>
      </w:r>
      <w:r>
        <w:rPr>
          <w:rFonts w:hint="eastAsia" w:ascii="仿宋_GB2312" w:eastAsia="仿宋_GB2312" w:cstheme="minorBidi"/>
          <w:b w:val="0"/>
          <w:bCs w:val="0"/>
          <w:kern w:val="2"/>
          <w:sz w:val="32"/>
          <w:szCs w:val="32"/>
          <w:lang w:val="en-US" w:eastAsia="zh-CN" w:bidi="ar-SA"/>
        </w:rPr>
        <w:t>县域地区</w:t>
      </w:r>
      <w:r>
        <w:rPr>
          <w:rFonts w:hint="eastAsia" w:ascii="仿宋_GB2312" w:eastAsia="仿宋_GB2312" w:hAnsiTheme="minorHAnsi" w:cstheme="minorBidi"/>
          <w:b w:val="0"/>
          <w:bCs w:val="0"/>
          <w:kern w:val="2"/>
          <w:sz w:val="32"/>
          <w:szCs w:val="32"/>
          <w:lang w:val="en-US" w:eastAsia="zh-CN" w:bidi="ar-SA"/>
        </w:rPr>
        <w:t>生产总值甘州区突破460亿元，山丹县、民乐县突破145亿元，临泽县、高台县超过130亿元，肃南县</w:t>
      </w:r>
      <w:r>
        <w:rPr>
          <w:rFonts w:hint="eastAsia" w:ascii="仿宋_GB2312" w:eastAsia="仿宋_GB2312" w:cstheme="minorBidi"/>
          <w:b w:val="0"/>
          <w:bCs w:val="0"/>
          <w:kern w:val="2"/>
          <w:sz w:val="32"/>
          <w:szCs w:val="32"/>
          <w:lang w:val="en-US" w:eastAsia="zh-CN" w:bidi="ar-SA"/>
        </w:rPr>
        <w:t>达到</w:t>
      </w:r>
      <w:r>
        <w:rPr>
          <w:rFonts w:hint="eastAsia" w:ascii="仿宋_GB2312" w:eastAsia="仿宋_GB2312" w:hAnsiTheme="minorHAnsi" w:cstheme="minorBidi"/>
          <w:b w:val="0"/>
          <w:bCs w:val="0"/>
          <w:kern w:val="2"/>
          <w:sz w:val="32"/>
          <w:szCs w:val="32"/>
          <w:lang w:val="en-US" w:eastAsia="zh-CN" w:bidi="ar-SA"/>
        </w:rPr>
        <w:t>70亿元。县域经济规模和综合实力大幅提升，县域主导产业特色更加鲜明，以县城为重要载体的新型城镇化建设深入推进，基本公共服务能力持续提升。</w:t>
      </w:r>
    </w:p>
    <w:p w14:paraId="3AB07E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二、重点任务</w:t>
      </w:r>
    </w:p>
    <w:p w14:paraId="6FCED3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hAnsiTheme="minorHAnsi" w:cstheme="minorBidi"/>
          <w:b w:val="0"/>
          <w:bCs w:val="0"/>
          <w:kern w:val="2"/>
          <w:sz w:val="32"/>
          <w:szCs w:val="32"/>
          <w:lang w:val="en-US" w:eastAsia="zh-CN" w:bidi="ar-SA"/>
        </w:rPr>
      </w:pPr>
      <w:r>
        <w:rPr>
          <w:rFonts w:hint="eastAsia" w:ascii="楷体_GB2312" w:hAnsi="楷体_GB2312" w:eastAsia="楷体_GB2312" w:cs="楷体_GB2312"/>
          <w:b w:val="0"/>
          <w:bCs w:val="0"/>
          <w:color w:val="auto"/>
          <w:kern w:val="0"/>
          <w:sz w:val="32"/>
          <w:szCs w:val="32"/>
          <w:u w:val="none"/>
        </w:rPr>
        <w:t>（一）</w:t>
      </w:r>
      <w:r>
        <w:rPr>
          <w:rFonts w:hint="eastAsia" w:ascii="楷体_GB2312" w:hAnsi="楷体_GB2312" w:eastAsia="楷体_GB2312" w:cs="楷体_GB2312"/>
          <w:b w:val="0"/>
          <w:bCs w:val="0"/>
          <w:color w:val="auto"/>
          <w:kern w:val="0"/>
          <w:sz w:val="32"/>
          <w:szCs w:val="32"/>
          <w:u w:val="none"/>
          <w:lang w:val="en-US" w:eastAsia="zh-CN"/>
        </w:rPr>
        <w:t>全力以赴提升县域综合实力。</w:t>
      </w:r>
      <w:r>
        <w:rPr>
          <w:rFonts w:hint="eastAsia" w:ascii="仿宋_GB2312" w:eastAsia="仿宋_GB2312" w:hAnsiTheme="minorHAnsi" w:cstheme="minorBidi"/>
          <w:b w:val="0"/>
          <w:bCs w:val="0"/>
          <w:kern w:val="2"/>
          <w:sz w:val="32"/>
          <w:szCs w:val="32"/>
          <w:lang w:val="en-US" w:eastAsia="zh-CN" w:bidi="ar-SA"/>
        </w:rPr>
        <w:t>充分发挥县域主动性和能动性，推动县域产业结构持续优化、经济总量加快提升，确保甘州区稳居全省第一方阵，山丹县、民乐县提速并跑，临泽县、高台县蓄力跟跑，肃南县全力追赶，力争在全省综合实力县域占据更多优势席位。</w:t>
      </w:r>
    </w:p>
    <w:p w14:paraId="1838C9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楷体_GB2312" w:hAnsi="楷体_GB2312" w:eastAsia="楷体_GB2312" w:cs="楷体_GB2312"/>
          <w:b/>
          <w:bCs/>
          <w:snapToGrid/>
          <w:color w:val="000000"/>
          <w:spacing w:val="0"/>
          <w:kern w:val="21"/>
          <w:sz w:val="32"/>
          <w:szCs w:val="32"/>
          <w:u w:val="none" w:color="auto"/>
          <w:lang w:val="en-US" w:eastAsia="zh-CN"/>
        </w:rPr>
        <w:t>1.培育壮大根植性主导产业。</w:t>
      </w:r>
      <w:r>
        <w:rPr>
          <w:rFonts w:hint="default" w:ascii="仿宋_GB2312" w:hAnsi="仿宋_GB2312" w:eastAsia="仿宋_GB2312" w:cs="仿宋_GB2312"/>
          <w:b w:val="0"/>
          <w:bCs w:val="0"/>
          <w:snapToGrid/>
          <w:color w:val="000000"/>
          <w:spacing w:val="0"/>
          <w:kern w:val="21"/>
          <w:sz w:val="32"/>
          <w:szCs w:val="32"/>
          <w:u w:val="none" w:color="auto"/>
          <w:lang w:val="en-US" w:eastAsia="zh-CN"/>
        </w:rPr>
        <w:t>主动融入全省产业发展规划布局，</w:t>
      </w:r>
      <w:r>
        <w:rPr>
          <w:rFonts w:hint="eastAsia" w:ascii="仿宋_GB2312" w:hAnsi="仿宋_GB2312" w:eastAsia="仿宋_GB2312" w:cs="仿宋_GB2312"/>
          <w:b w:val="0"/>
          <w:bCs w:val="0"/>
          <w:snapToGrid/>
          <w:color w:val="000000"/>
          <w:spacing w:val="0"/>
          <w:kern w:val="21"/>
          <w:sz w:val="32"/>
          <w:szCs w:val="32"/>
          <w:u w:val="none" w:color="auto"/>
          <w:lang w:val="en-US" w:eastAsia="zh-CN"/>
        </w:rPr>
        <w:t>以“一屏三地”为牵引，</w:t>
      </w:r>
      <w:r>
        <w:rPr>
          <w:rFonts w:hint="eastAsia" w:ascii="仿宋_GB2312" w:hAnsi="仿宋_GB2312" w:eastAsia="仿宋_GB2312" w:cs="仿宋_GB2312"/>
          <w:color w:val="auto"/>
          <w:spacing w:val="-6"/>
          <w:kern w:val="2"/>
          <w:sz w:val="32"/>
          <w:szCs w:val="32"/>
          <w:lang w:val="en-US" w:eastAsia="zh-CN" w:bidi="ar-SA"/>
        </w:rPr>
        <w:t>加快打造现代农业、现代工业、现代服务业体系，</w:t>
      </w:r>
      <w:r>
        <w:rPr>
          <w:rFonts w:hint="default" w:ascii="仿宋_GB2312" w:hAnsi="仿宋_GB2312" w:eastAsia="仿宋_GB2312" w:cs="仿宋_GB2312"/>
          <w:b w:val="0"/>
          <w:bCs w:val="0"/>
          <w:snapToGrid/>
          <w:color w:val="000000"/>
          <w:spacing w:val="0"/>
          <w:kern w:val="21"/>
          <w:sz w:val="32"/>
          <w:szCs w:val="32"/>
          <w:u w:val="none" w:color="auto"/>
          <w:lang w:val="en-US" w:eastAsia="zh-CN"/>
        </w:rPr>
        <w:t>聚焦优势资源嵌入产业链供应链分工体系，</w:t>
      </w:r>
      <w:r>
        <w:rPr>
          <w:rFonts w:hint="eastAsia" w:ascii="仿宋_GB2312" w:hAnsi="仿宋_GB2312" w:eastAsia="仿宋_GB2312" w:cs="仿宋_GB2312"/>
          <w:b w:val="0"/>
          <w:bCs w:val="0"/>
          <w:snapToGrid/>
          <w:color w:val="000000"/>
          <w:spacing w:val="0"/>
          <w:kern w:val="21"/>
          <w:sz w:val="32"/>
          <w:szCs w:val="32"/>
          <w:u w:val="none" w:color="auto"/>
          <w:lang w:val="en-US" w:eastAsia="zh-CN"/>
        </w:rPr>
        <w:t>各县</w:t>
      </w:r>
      <w:r>
        <w:rPr>
          <w:rFonts w:hint="default" w:ascii="仿宋_GB2312" w:hAnsi="仿宋_GB2312" w:eastAsia="仿宋_GB2312" w:cs="仿宋_GB2312"/>
          <w:b w:val="0"/>
          <w:bCs w:val="0"/>
          <w:snapToGrid/>
          <w:color w:val="000000"/>
          <w:spacing w:val="0"/>
          <w:kern w:val="21"/>
          <w:sz w:val="32"/>
          <w:szCs w:val="32"/>
          <w:u w:val="none" w:color="auto"/>
          <w:lang w:val="en-US" w:eastAsia="zh-CN"/>
        </w:rPr>
        <w:t>精准培育打造1-2个具有比较优势的主导产业。加快传统产业升级改造，</w:t>
      </w:r>
      <w:r>
        <w:rPr>
          <w:rFonts w:hint="eastAsia" w:ascii="仿宋_GB2312" w:hAnsi="仿宋_GB2312" w:eastAsia="仿宋_GB2312" w:cs="仿宋_GB2312"/>
          <w:b w:val="0"/>
          <w:bCs w:val="0"/>
          <w:snapToGrid/>
          <w:color w:val="000000"/>
          <w:spacing w:val="0"/>
          <w:kern w:val="21"/>
          <w:sz w:val="32"/>
          <w:szCs w:val="32"/>
          <w:u w:val="none" w:color="auto"/>
          <w:lang w:val="en-US" w:eastAsia="zh-CN"/>
        </w:rPr>
        <w:t>实施农畜产品精深加工提质增效行动，培育壮大新材料、现代化工、数据信息、中医药、现代物流、矿产资源开发利用等重点产业。</w:t>
      </w:r>
      <w:r>
        <w:rPr>
          <w:rFonts w:hint="eastAsia" w:ascii="仿宋_GB2312" w:hAnsi="仿宋_GB2312" w:eastAsia="仿宋_GB2312" w:cs="仿宋_GB2312"/>
          <w:b w:val="0"/>
          <w:bCs w:val="0"/>
          <w:sz w:val="32"/>
          <w:szCs w:val="32"/>
          <w:highlight w:val="none"/>
          <w:lang w:val="en-US" w:eastAsia="zh-CN"/>
        </w:rPr>
        <w:t>因地制宜拓展新型应用场景</w:t>
      </w:r>
      <w:r>
        <w:rPr>
          <w:rFonts w:hint="default" w:ascii="仿宋_GB2312" w:hAnsi="仿宋_GB2312" w:eastAsia="仿宋_GB2312" w:cs="仿宋_GB2312"/>
          <w:b w:val="0"/>
          <w:bCs w:val="0"/>
          <w:snapToGrid/>
          <w:color w:val="000000"/>
          <w:spacing w:val="0"/>
          <w:kern w:val="21"/>
          <w:sz w:val="32"/>
          <w:szCs w:val="32"/>
          <w:u w:val="none" w:color="auto"/>
          <w:lang w:val="en-US" w:eastAsia="zh-CN"/>
        </w:rPr>
        <w:t>，构建县域未来竞争优势。</w:t>
      </w:r>
      <w:r>
        <w:rPr>
          <w:rFonts w:hint="eastAsia" w:ascii="仿宋_GB2312" w:hAnsi="仿宋_GB2312" w:eastAsia="仿宋_GB2312" w:cs="仿宋_GB2312"/>
          <w:b w:val="0"/>
          <w:bCs w:val="0"/>
          <w:snapToGrid/>
          <w:color w:val="000000"/>
          <w:spacing w:val="0"/>
          <w:kern w:val="21"/>
          <w:sz w:val="32"/>
          <w:szCs w:val="32"/>
          <w:u w:val="none" w:color="auto"/>
          <w:lang w:val="en-US" w:eastAsia="zh-CN"/>
        </w:rPr>
        <w:t>以产业链链长制为抓手，实施“链主”企业培育计划，加强与市内外支柱产业、重点企业的链接，提高上下游合作对接专业化协作水平。（</w:t>
      </w:r>
      <w:r>
        <w:rPr>
          <w:rFonts w:hint="eastAsia" w:ascii="楷体_GB2312" w:hAnsi="楷体_GB2312" w:eastAsia="楷体_GB2312" w:cs="楷体_GB2312"/>
          <w:b w:val="0"/>
          <w:bCs w:val="0"/>
          <w:snapToGrid/>
          <w:color w:val="000000"/>
          <w:spacing w:val="0"/>
          <w:kern w:val="21"/>
          <w:sz w:val="32"/>
          <w:szCs w:val="32"/>
          <w:u w:val="none" w:color="auto"/>
          <w:lang w:val="en-US" w:eastAsia="zh-CN"/>
        </w:rPr>
        <w:t>责任单位：市发展改革委、市农业农村局、市工信局、市卫生健康委、市自然资源局、市文广旅游局。以下任务均需各县区负责落实，不再一一列出</w:t>
      </w:r>
      <w:r>
        <w:rPr>
          <w:rFonts w:hint="eastAsia" w:ascii="仿宋_GB2312" w:hAnsi="仿宋_GB2312" w:eastAsia="仿宋_GB2312" w:cs="仿宋_GB2312"/>
          <w:b w:val="0"/>
          <w:bCs w:val="0"/>
          <w:snapToGrid/>
          <w:color w:val="000000"/>
          <w:spacing w:val="0"/>
          <w:kern w:val="21"/>
          <w:sz w:val="32"/>
          <w:szCs w:val="32"/>
          <w:u w:val="none" w:color="auto"/>
          <w:lang w:val="en-US" w:eastAsia="zh-CN"/>
        </w:rPr>
        <w:t>）</w:t>
      </w:r>
    </w:p>
    <w:p w14:paraId="0790DBA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643" w:firstLineChars="200"/>
        <w:jc w:val="left"/>
        <w:textAlignment w:val="auto"/>
        <w:rPr>
          <w:rFonts w:hint="default" w:ascii="仿宋_GB2312" w:hAnsi="仿宋_GB2312" w:eastAsia="仿宋_GB2312" w:cs="仿宋_GB2312"/>
          <w:b w:val="0"/>
          <w:bCs w:val="0"/>
          <w:sz w:val="32"/>
          <w:szCs w:val="32"/>
          <w:highlight w:val="none"/>
          <w:lang w:val="en-US" w:eastAsia="zh-CN"/>
        </w:rPr>
      </w:pPr>
      <w:r>
        <w:rPr>
          <w:rFonts w:hint="default" w:ascii="楷体_GB2312" w:hAnsi="楷体_GB2312" w:eastAsia="楷体_GB2312" w:cs="楷体_GB2312"/>
          <w:b/>
          <w:bCs/>
          <w:snapToGrid/>
          <w:color w:val="000000"/>
          <w:spacing w:val="0"/>
          <w:kern w:val="21"/>
          <w:sz w:val="32"/>
          <w:szCs w:val="32"/>
          <w:u w:val="none" w:color="auto"/>
          <w:lang w:val="en-US" w:eastAsia="zh-CN"/>
        </w:rPr>
        <w:t>2.做实能源资源开发文章。</w:t>
      </w:r>
      <w:r>
        <w:rPr>
          <w:rFonts w:hint="eastAsia" w:ascii="仿宋_GB2312" w:hAnsi="仿宋_GB2312" w:eastAsia="仿宋_GB2312" w:cs="仿宋_GB2312"/>
          <w:b w:val="0"/>
          <w:bCs w:val="0"/>
          <w:sz w:val="32"/>
          <w:szCs w:val="32"/>
          <w:highlight w:val="none"/>
          <w:lang w:val="en-US" w:eastAsia="zh-CN"/>
        </w:rPr>
        <w:t>支持能源资源富集县域发挥优势，积极</w:t>
      </w:r>
      <w:r>
        <w:rPr>
          <w:rFonts w:hint="default" w:ascii="仿宋_GB2312" w:hAnsi="仿宋_GB2312" w:eastAsia="仿宋_GB2312" w:cs="仿宋_GB2312"/>
          <w:b w:val="0"/>
          <w:bCs w:val="0"/>
          <w:sz w:val="32"/>
          <w:szCs w:val="32"/>
          <w:highlight w:val="none"/>
          <w:lang w:val="en-US" w:eastAsia="zh-CN"/>
        </w:rPr>
        <w:t>融入</w:t>
      </w:r>
      <w:r>
        <w:rPr>
          <w:rFonts w:hint="eastAsia" w:ascii="仿宋_GB2312" w:hAnsi="仿宋_GB2312" w:eastAsia="仿宋_GB2312" w:cs="仿宋_GB2312"/>
          <w:b w:val="0"/>
          <w:bCs w:val="0"/>
          <w:sz w:val="32"/>
          <w:szCs w:val="32"/>
          <w:highlight w:val="none"/>
          <w:lang w:val="en-US" w:eastAsia="zh-CN"/>
        </w:rPr>
        <w:t>全省</w:t>
      </w:r>
      <w:r>
        <w:rPr>
          <w:rFonts w:hint="default" w:ascii="仿宋_GB2312" w:hAnsi="仿宋_GB2312" w:eastAsia="仿宋_GB2312" w:cs="仿宋_GB2312"/>
          <w:b w:val="0"/>
          <w:bCs w:val="0"/>
          <w:sz w:val="32"/>
          <w:szCs w:val="32"/>
          <w:highlight w:val="none"/>
          <w:lang w:val="en-US" w:eastAsia="zh-CN"/>
        </w:rPr>
        <w:t>建设国家新能源综合开发利用示范区和全国重要的新能源及新能源装备制造基地</w:t>
      </w:r>
      <w:r>
        <w:rPr>
          <w:rFonts w:hint="eastAsia" w:ascii="仿宋_GB2312" w:hAnsi="仿宋_GB2312" w:eastAsia="仿宋_GB2312" w:cs="仿宋_GB2312"/>
          <w:b w:val="0"/>
          <w:bCs w:val="0"/>
          <w:sz w:val="32"/>
          <w:szCs w:val="32"/>
          <w:highlight w:val="none"/>
          <w:lang w:val="en-US" w:eastAsia="zh-CN"/>
        </w:rPr>
        <w:t>，加快建设9个百万千瓦级风光发电基地，</w:t>
      </w:r>
      <w:r>
        <w:rPr>
          <w:rFonts w:hint="eastAsia" w:ascii="仿宋_GB2312" w:hAnsi="仿宋_GB2312" w:eastAsia="仿宋_GB2312" w:cs="仿宋_GB2312"/>
          <w:snapToGrid/>
          <w:color w:val="000000"/>
          <w:spacing w:val="0"/>
          <w:kern w:val="21"/>
          <w:sz w:val="32"/>
          <w:szCs w:val="32"/>
          <w:u w:val="none" w:color="auto"/>
          <w:lang w:val="en-US" w:eastAsia="zh-CN"/>
        </w:rPr>
        <w:t>新能源并网装机规模突破2000万千瓦</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深入实施“新能源+”行动，</w:t>
      </w:r>
      <w:r>
        <w:rPr>
          <w:rFonts w:hint="eastAsia" w:ascii="仿宋_GB2312" w:hAnsi="仿宋_GB2312" w:eastAsia="仿宋_GB2312" w:cs="仿宋_GB2312"/>
          <w:b w:val="0"/>
          <w:bCs w:val="0"/>
          <w:sz w:val="32"/>
          <w:szCs w:val="32"/>
          <w:highlight w:val="none"/>
          <w:lang w:val="en-US" w:eastAsia="zh-CN"/>
        </w:rPr>
        <w:t>创新“绿电+”模式，加快省级零碳园区建设，积极创建国家级零碳示范园区。深化新一轮找矿突破战略行动，不断提高矿产资源勘查合理开采和综合利用水平。</w:t>
      </w:r>
      <w:r>
        <w:rPr>
          <w:rFonts w:hint="eastAsia" w:ascii="仿宋_GB2312" w:hAnsi="仿宋_GB2312" w:eastAsia="仿宋_GB2312" w:cs="仿宋_GB2312"/>
          <w:b w:val="0"/>
          <w:bCs w:val="0"/>
          <w:snapToGrid/>
          <w:color w:val="000000"/>
          <w:spacing w:val="0"/>
          <w:kern w:val="21"/>
          <w:sz w:val="32"/>
          <w:szCs w:val="32"/>
          <w:u w:val="none" w:color="auto"/>
          <w:lang w:val="en-US" w:eastAsia="zh-CN"/>
        </w:rPr>
        <w:t>（</w:t>
      </w:r>
      <w:r>
        <w:rPr>
          <w:rFonts w:hint="eastAsia" w:ascii="楷体_GB2312" w:hAnsi="楷体_GB2312" w:eastAsia="楷体_GB2312" w:cs="楷体_GB2312"/>
          <w:b w:val="0"/>
          <w:bCs w:val="0"/>
          <w:snapToGrid/>
          <w:color w:val="000000"/>
          <w:spacing w:val="0"/>
          <w:kern w:val="21"/>
          <w:sz w:val="32"/>
          <w:szCs w:val="32"/>
          <w:u w:val="none" w:color="auto"/>
          <w:lang w:val="en-US" w:eastAsia="zh-CN"/>
        </w:rPr>
        <w:t>责任单位：市发展改革委、市工信局、市自然资源局、张掖经开区、国网张掖供电公司</w:t>
      </w:r>
      <w:r>
        <w:rPr>
          <w:rFonts w:hint="eastAsia" w:ascii="仿宋_GB2312" w:hAnsi="仿宋_GB2312" w:eastAsia="仿宋_GB2312" w:cs="仿宋_GB2312"/>
          <w:b w:val="0"/>
          <w:bCs w:val="0"/>
          <w:snapToGrid/>
          <w:color w:val="000000"/>
          <w:spacing w:val="0"/>
          <w:kern w:val="21"/>
          <w:sz w:val="32"/>
          <w:szCs w:val="32"/>
          <w:u w:val="none" w:color="auto"/>
          <w:lang w:val="en-US" w:eastAsia="zh-CN"/>
        </w:rPr>
        <w:t>）</w:t>
      </w:r>
    </w:p>
    <w:p w14:paraId="4A50125F">
      <w:pPr>
        <w:keepNext w:val="0"/>
        <w:keepLines w:val="0"/>
        <w:pageBreakBefore w:val="0"/>
        <w:widowControl w:val="0"/>
        <w:shd w:val="clear" w:color="auto" w:fill="auto"/>
        <w:kinsoku/>
        <w:wordWrap/>
        <w:overflowPunct w:val="0"/>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snapToGrid/>
          <w:color w:val="000000"/>
          <w:spacing w:val="-6"/>
          <w:kern w:val="21"/>
          <w:sz w:val="32"/>
          <w:szCs w:val="32"/>
          <w:u w:val="none" w:color="auto"/>
          <w:lang w:val="en-US" w:eastAsia="zh-CN"/>
        </w:rPr>
      </w:pPr>
      <w:r>
        <w:rPr>
          <w:rFonts w:hint="default" w:ascii="楷体_GB2312" w:hAnsi="楷体_GB2312" w:eastAsia="楷体_GB2312" w:cs="楷体_GB2312"/>
          <w:b/>
          <w:bCs/>
          <w:snapToGrid/>
          <w:color w:val="000000"/>
          <w:spacing w:val="0"/>
          <w:kern w:val="21"/>
          <w:sz w:val="32"/>
          <w:szCs w:val="32"/>
          <w:u w:val="none" w:color="auto"/>
          <w:lang w:val="en-US" w:eastAsia="zh-CN"/>
        </w:rPr>
        <w:t>3.加快服务业扩能提质。</w:t>
      </w:r>
      <w:r>
        <w:rPr>
          <w:rFonts w:hint="eastAsia" w:ascii="仿宋_GB2312" w:hAnsi="仿宋_GB2312" w:eastAsia="仿宋_GB2312" w:cs="仿宋_GB2312"/>
          <w:b w:val="0"/>
          <w:bCs w:val="0"/>
          <w:kern w:val="2"/>
          <w:sz w:val="32"/>
          <w:szCs w:val="32"/>
          <w:highlight w:val="none"/>
          <w:lang w:val="en-US" w:eastAsia="zh-CN" w:bidi="ar-SA"/>
        </w:rPr>
        <w:t>深入实施</w:t>
      </w:r>
      <w:r>
        <w:rPr>
          <w:rFonts w:hint="eastAsia" w:ascii="仿宋_GB2312" w:hAnsi="仿宋_GB2312" w:eastAsia="仿宋_GB2312" w:cs="仿宋_GB2312"/>
          <w:b w:val="0"/>
          <w:bCs w:val="0"/>
          <w:kern w:val="2"/>
          <w:sz w:val="32"/>
          <w:szCs w:val="32"/>
          <w:highlight w:val="none"/>
          <w:rtl w:val="0"/>
          <w:lang w:val="en-US" w:eastAsia="zh-CN" w:bidi="ar-SA"/>
        </w:rPr>
        <w:t>服务业扩能提质行动、服务业企业三年倍增计划，优化第三产业高质量发展会商联席工作机制，建立近规企业动态培育清单，细化审批绿色通道、金融支持、税费优惠等支持措施，推动</w:t>
      </w:r>
      <w:r>
        <w:rPr>
          <w:rFonts w:hint="eastAsia" w:ascii="仿宋_GB2312" w:hAnsi="仿宋_GB2312" w:eastAsia="仿宋_GB2312" w:cs="仿宋_GB2312"/>
          <w:b w:val="0"/>
          <w:bCs w:val="0"/>
          <w:kern w:val="2"/>
          <w:sz w:val="32"/>
          <w:szCs w:val="32"/>
          <w:highlight w:val="none"/>
          <w:lang w:val="en-US" w:eastAsia="zh-CN" w:bidi="ar-SA"/>
        </w:rPr>
        <w:t>商务服务、数据信息、科技服务、水利环境、现代物流、居民服务等重点产业快速发展，</w:t>
      </w:r>
      <w:r>
        <w:rPr>
          <w:rFonts w:hint="default" w:ascii="仿宋_GB2312" w:hAnsi="仿宋_GB2312" w:eastAsia="仿宋_GB2312" w:cs="仿宋_GB2312"/>
          <w:b w:val="0"/>
          <w:bCs w:val="0"/>
          <w:kern w:val="2"/>
          <w:sz w:val="32"/>
          <w:szCs w:val="32"/>
          <w:highlight w:val="none"/>
          <w:lang w:val="en-US" w:eastAsia="zh-CN" w:bidi="ar-SA"/>
        </w:rPr>
        <w:t>塑造若干特色服务品牌。</w:t>
      </w:r>
      <w:r>
        <w:rPr>
          <w:rFonts w:hint="eastAsia" w:ascii="仿宋_GB2312" w:hAnsi="仿宋_GB2312" w:eastAsia="仿宋_GB2312" w:cs="仿宋_GB2312"/>
          <w:b w:val="0"/>
          <w:bCs w:val="0"/>
          <w:kern w:val="2"/>
          <w:sz w:val="32"/>
          <w:szCs w:val="32"/>
          <w:highlight w:val="none"/>
          <w:lang w:val="en-US" w:eastAsia="zh-CN" w:bidi="ar-SA"/>
        </w:rPr>
        <w:t>促进平台经济高质量发展，</w:t>
      </w:r>
      <w:r>
        <w:rPr>
          <w:rFonts w:hint="default" w:ascii="仿宋_GB2312" w:hAnsi="仿宋_GB2312" w:eastAsia="仿宋_GB2312" w:cs="仿宋_GB2312"/>
          <w:b w:val="0"/>
          <w:bCs w:val="0"/>
          <w:kern w:val="2"/>
          <w:sz w:val="32"/>
          <w:szCs w:val="32"/>
          <w:highlight w:val="none"/>
          <w:lang w:val="en-US" w:eastAsia="zh-CN" w:bidi="ar-SA"/>
        </w:rPr>
        <w:t>培育招引一批平台企业。实施质量强县行动。</w:t>
      </w:r>
      <w:r>
        <w:rPr>
          <w:rFonts w:hint="eastAsia" w:ascii="仿宋_GB2312" w:hAnsi="仿宋_GB2312" w:eastAsia="仿宋_GB2312" w:cs="仿宋_GB2312"/>
          <w:b w:val="0"/>
          <w:bCs w:val="0"/>
          <w:kern w:val="2"/>
          <w:sz w:val="32"/>
          <w:szCs w:val="32"/>
          <w:highlight w:val="none"/>
          <w:lang w:val="en-US" w:eastAsia="zh-CN" w:bidi="ar-SA"/>
        </w:rPr>
        <w:t>打造文旅新增长点，</w:t>
      </w:r>
      <w:r>
        <w:rPr>
          <w:rFonts w:hint="eastAsia" w:ascii="仿宋_GB2312" w:hAnsi="仿宋_GB2312" w:eastAsia="仿宋_GB2312" w:cs="仿宋_GB2312"/>
          <w:snapToGrid/>
          <w:color w:val="000000"/>
          <w:spacing w:val="0"/>
          <w:kern w:val="21"/>
          <w:sz w:val="32"/>
          <w:szCs w:val="32"/>
          <w:u w:val="none" w:color="auto"/>
          <w:lang w:val="en-US" w:eastAsia="zh-CN"/>
        </w:rPr>
        <w:t>加强历史文化名城和文化遗产保护，促进文化传承创新发展，加力打造国际知名旅</w:t>
      </w:r>
      <w:r>
        <w:rPr>
          <w:rFonts w:hint="eastAsia" w:ascii="仿宋_GB2312" w:hAnsi="仿宋_GB2312" w:eastAsia="仿宋_GB2312" w:cs="仿宋_GB2312"/>
          <w:snapToGrid/>
          <w:color w:val="000000"/>
          <w:spacing w:val="-6"/>
          <w:kern w:val="21"/>
          <w:sz w:val="32"/>
          <w:szCs w:val="32"/>
          <w:u w:val="none" w:color="auto"/>
          <w:lang w:val="en-US" w:eastAsia="zh-CN"/>
        </w:rPr>
        <w:t>游目的地，接待游客、旅游花费分别突破7500万人次、620亿元。（</w:t>
      </w:r>
      <w:r>
        <w:rPr>
          <w:rFonts w:hint="eastAsia" w:ascii="楷体_GB2312" w:hAnsi="楷体_GB2312" w:eastAsia="楷体_GB2312" w:cs="楷体_GB2312"/>
          <w:b w:val="0"/>
          <w:bCs w:val="0"/>
          <w:snapToGrid/>
          <w:color w:val="000000"/>
          <w:spacing w:val="0"/>
          <w:kern w:val="21"/>
          <w:sz w:val="32"/>
          <w:szCs w:val="32"/>
          <w:u w:val="none" w:color="auto"/>
          <w:lang w:val="en-US" w:eastAsia="zh-CN"/>
        </w:rPr>
        <w:t>责任单位：市发展改革委、市工信局、市财政局、市商务局、市科技局、市水务局、市民政局、市人社局、市市场监管局、市文广旅游局、市文物局、市税务局、人行张掖分行）</w:t>
      </w:r>
    </w:p>
    <w:p w14:paraId="01FAF2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snapToGrid/>
          <w:color w:val="000000"/>
          <w:spacing w:val="-6"/>
          <w:kern w:val="21"/>
          <w:sz w:val="32"/>
          <w:szCs w:val="32"/>
          <w:u w:val="none" w:color="auto"/>
          <w:lang w:val="en-US" w:eastAsia="zh-CN"/>
        </w:rPr>
      </w:pPr>
      <w:r>
        <w:rPr>
          <w:rFonts w:hint="eastAsia" w:ascii="楷体_GB2312" w:hAnsi="楷体_GB2312" w:eastAsia="楷体_GB2312" w:cs="楷体_GB2312"/>
          <w:b/>
          <w:bCs/>
          <w:snapToGrid/>
          <w:color w:val="000000"/>
          <w:spacing w:val="0"/>
          <w:kern w:val="21"/>
          <w:sz w:val="32"/>
          <w:szCs w:val="32"/>
          <w:u w:val="none" w:color="auto"/>
          <w:lang w:val="en-US" w:eastAsia="zh-CN"/>
        </w:rPr>
        <w:t>4.</w:t>
      </w:r>
      <w:r>
        <w:rPr>
          <w:rFonts w:hint="default" w:ascii="楷体_GB2312" w:hAnsi="楷体_GB2312" w:eastAsia="楷体_GB2312" w:cs="楷体_GB2312"/>
          <w:b/>
          <w:bCs/>
          <w:snapToGrid/>
          <w:color w:val="000000"/>
          <w:spacing w:val="0"/>
          <w:kern w:val="21"/>
          <w:sz w:val="32"/>
          <w:szCs w:val="32"/>
          <w:u w:val="none" w:color="auto"/>
          <w:lang w:val="en-US" w:eastAsia="zh-CN"/>
        </w:rPr>
        <w:t>强化科技创新赋能。</w:t>
      </w:r>
      <w:r>
        <w:rPr>
          <w:rFonts w:hint="default" w:ascii="仿宋_GB2312" w:hAnsi="仿宋_GB2312" w:eastAsia="仿宋_GB2312" w:cs="仿宋_GB2312"/>
          <w:b w:val="0"/>
          <w:bCs w:val="0"/>
          <w:snapToGrid/>
          <w:color w:val="000000"/>
          <w:spacing w:val="0"/>
          <w:kern w:val="21"/>
          <w:sz w:val="32"/>
          <w:szCs w:val="32"/>
          <w:u w:val="none" w:color="auto"/>
          <w:lang w:val="en-US" w:eastAsia="zh-CN"/>
        </w:rPr>
        <w:t>加大县域科技创新投</w:t>
      </w:r>
      <w:r>
        <w:rPr>
          <w:rFonts w:hint="default" w:ascii="仿宋_GB2312" w:hAnsi="仿宋_GB2312" w:eastAsia="仿宋_GB2312" w:cs="仿宋_GB2312"/>
          <w:snapToGrid/>
          <w:color w:val="000000"/>
          <w:spacing w:val="0"/>
          <w:kern w:val="21"/>
          <w:sz w:val="32"/>
          <w:szCs w:val="32"/>
          <w:u w:val="none" w:color="auto"/>
          <w:lang w:val="en-US" w:eastAsia="zh-CN"/>
        </w:rPr>
        <w:t>入，完善科技服务支撑体系</w:t>
      </w:r>
      <w:r>
        <w:rPr>
          <w:rFonts w:hint="eastAsia" w:ascii="仿宋_GB2312" w:hAnsi="仿宋_GB2312" w:eastAsia="仿宋_GB2312" w:cs="仿宋_GB2312"/>
          <w:snapToGrid/>
          <w:color w:val="000000"/>
          <w:spacing w:val="0"/>
          <w:kern w:val="21"/>
          <w:sz w:val="32"/>
          <w:szCs w:val="32"/>
          <w:u w:val="none" w:color="auto"/>
          <w:lang w:val="en-US" w:eastAsia="zh-CN"/>
        </w:rPr>
        <w:t>，打造一批专精特新企业。加大科技招商力度，招引一批“独角兽”企业、“瞪羚”企业、单项冠军企业来张落户，打造一批创新型领军企业、隐形冠军和科技型中小微企业群体。加快</w:t>
      </w:r>
      <w:r>
        <w:rPr>
          <w:rFonts w:hint="default" w:ascii="仿宋_GB2312" w:hAnsi="仿宋_GB2312" w:eastAsia="仿宋_GB2312" w:cs="仿宋_GB2312"/>
          <w:snapToGrid/>
          <w:color w:val="000000"/>
          <w:spacing w:val="0"/>
          <w:kern w:val="21"/>
          <w:sz w:val="32"/>
          <w:szCs w:val="32"/>
          <w:u w:val="none" w:color="auto"/>
          <w:lang w:val="en-US" w:eastAsia="zh-CN"/>
        </w:rPr>
        <w:t>推进“智改数转网联”。实施“人工智能+”“数据要素×”行动，培育拓展应用场景。</w:t>
      </w:r>
      <w:r>
        <w:rPr>
          <w:rFonts w:hint="eastAsia" w:ascii="仿宋_GB2312" w:hAnsi="仿宋_GB2312" w:eastAsia="仿宋_GB2312" w:cs="仿宋_GB2312"/>
          <w:snapToGrid/>
          <w:color w:val="000000"/>
          <w:spacing w:val="0"/>
          <w:kern w:val="21"/>
          <w:sz w:val="32"/>
          <w:szCs w:val="32"/>
          <w:u w:val="none" w:color="auto"/>
          <w:lang w:val="en-US" w:eastAsia="zh-CN"/>
        </w:rPr>
        <w:t>统筹推动教育科技人才体制机制一体化改革，促进科技创新和人才培养良性互动。</w:t>
      </w:r>
      <w:r>
        <w:rPr>
          <w:rFonts w:hint="eastAsia" w:ascii="仿宋_GB2312" w:hAnsi="仿宋_GB2312" w:eastAsia="仿宋_GB2312" w:cs="仿宋_GB2312"/>
          <w:snapToGrid/>
          <w:color w:val="000000"/>
          <w:spacing w:val="-6"/>
          <w:kern w:val="21"/>
          <w:sz w:val="32"/>
          <w:szCs w:val="32"/>
          <w:u w:val="none" w:color="auto"/>
          <w:lang w:val="en-US" w:eastAsia="zh-CN"/>
        </w:rPr>
        <w:t>（</w:t>
      </w:r>
      <w:r>
        <w:rPr>
          <w:rFonts w:hint="eastAsia" w:ascii="楷体_GB2312" w:hAnsi="楷体_GB2312" w:eastAsia="楷体_GB2312" w:cs="楷体_GB2312"/>
          <w:b w:val="0"/>
          <w:bCs w:val="0"/>
          <w:snapToGrid/>
          <w:color w:val="000000"/>
          <w:spacing w:val="0"/>
          <w:kern w:val="21"/>
          <w:sz w:val="32"/>
          <w:szCs w:val="32"/>
          <w:u w:val="none" w:color="auto"/>
          <w:lang w:val="en-US" w:eastAsia="zh-CN"/>
        </w:rPr>
        <w:t>责任单位：市科</w:t>
      </w:r>
      <w:r>
        <w:rPr>
          <w:rFonts w:hint="eastAsia" w:ascii="楷体_GB2312" w:hAnsi="楷体_GB2312" w:eastAsia="楷体_GB2312" w:cs="楷体_GB2312"/>
          <w:b w:val="0"/>
          <w:bCs w:val="0"/>
          <w:snapToGrid/>
          <w:color w:val="000000"/>
          <w:spacing w:val="-6"/>
          <w:kern w:val="21"/>
          <w:sz w:val="32"/>
          <w:szCs w:val="32"/>
          <w:u w:val="none" w:color="auto"/>
          <w:lang w:val="en-US" w:eastAsia="zh-CN"/>
        </w:rPr>
        <w:t>技局、市工信局、市数据局、市发展改革委、市人社局、市财政局）</w:t>
      </w:r>
    </w:p>
    <w:p w14:paraId="4C2F7F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snapToGrid/>
          <w:color w:val="000000"/>
          <w:spacing w:val="0"/>
          <w:kern w:val="21"/>
          <w:sz w:val="32"/>
          <w:szCs w:val="32"/>
          <w:u w:val="none" w:color="auto"/>
          <w:lang w:val="en-US" w:eastAsia="zh-CN"/>
        </w:rPr>
      </w:pPr>
      <w:r>
        <w:rPr>
          <w:rFonts w:hint="eastAsia" w:ascii="楷体_GB2312" w:hAnsi="楷体_GB2312" w:eastAsia="楷体_GB2312" w:cs="楷体_GB2312"/>
          <w:b/>
          <w:bCs/>
          <w:snapToGrid/>
          <w:color w:val="000000"/>
          <w:spacing w:val="0"/>
          <w:kern w:val="21"/>
          <w:sz w:val="32"/>
          <w:szCs w:val="32"/>
          <w:u w:val="none" w:color="auto"/>
          <w:lang w:val="en-US" w:eastAsia="zh-CN"/>
        </w:rPr>
        <w:t>5</w:t>
      </w:r>
      <w:r>
        <w:rPr>
          <w:rFonts w:hint="default" w:ascii="楷体_GB2312" w:hAnsi="楷体_GB2312" w:eastAsia="楷体_GB2312" w:cs="楷体_GB2312"/>
          <w:b/>
          <w:bCs/>
          <w:snapToGrid/>
          <w:color w:val="000000"/>
          <w:spacing w:val="0"/>
          <w:kern w:val="21"/>
          <w:sz w:val="32"/>
          <w:szCs w:val="32"/>
          <w:u w:val="none" w:color="auto"/>
          <w:lang w:val="en-US" w:eastAsia="zh-CN"/>
        </w:rPr>
        <w:t>.</w:t>
      </w:r>
      <w:r>
        <w:rPr>
          <w:rFonts w:hint="eastAsia" w:ascii="楷体_GB2312" w:hAnsi="楷体_GB2312" w:eastAsia="楷体_GB2312" w:cs="楷体_GB2312"/>
          <w:b/>
          <w:bCs/>
          <w:snapToGrid/>
          <w:color w:val="000000"/>
          <w:spacing w:val="0"/>
          <w:kern w:val="21"/>
          <w:sz w:val="32"/>
          <w:szCs w:val="32"/>
          <w:u w:val="none" w:color="auto"/>
          <w:lang w:val="en-US" w:eastAsia="zh-CN"/>
        </w:rPr>
        <w:t>推动县域投资稳定增长。</w:t>
      </w:r>
      <w:r>
        <w:rPr>
          <w:rFonts w:hint="eastAsia" w:ascii="仿宋_GB2312" w:hAnsi="仿宋_GB2312" w:eastAsia="仿宋_GB2312" w:cs="仿宋_GB2312"/>
          <w:b w:val="0"/>
          <w:bCs w:val="0"/>
          <w:snapToGrid/>
          <w:color w:val="000000"/>
          <w:spacing w:val="0"/>
          <w:kern w:val="21"/>
          <w:sz w:val="32"/>
          <w:szCs w:val="32"/>
          <w:u w:val="none" w:color="auto"/>
          <w:lang w:val="en-US" w:eastAsia="zh-CN"/>
        </w:rPr>
        <w:t>坚持以高质量项目支撑有效益投资，保持投资合理增长。</w:t>
      </w:r>
      <w:r>
        <w:rPr>
          <w:rFonts w:hint="default" w:ascii="仿宋_GB2312" w:hAnsi="仿宋_GB2312" w:eastAsia="仿宋_GB2312" w:cs="仿宋_GB2312"/>
          <w:b w:val="0"/>
          <w:bCs w:val="0"/>
          <w:snapToGrid/>
          <w:color w:val="000000"/>
          <w:spacing w:val="0"/>
          <w:kern w:val="21"/>
          <w:sz w:val="32"/>
          <w:szCs w:val="32"/>
          <w:u w:val="none" w:color="auto"/>
          <w:lang w:val="en-US" w:eastAsia="zh-CN"/>
        </w:rPr>
        <w:t>聚焦县域产业培育和补齐民生短板，进一步优化政府投资结构</w:t>
      </w:r>
      <w:r>
        <w:rPr>
          <w:rFonts w:hint="eastAsia" w:ascii="仿宋_GB2312" w:hAnsi="仿宋_GB2312" w:eastAsia="仿宋_GB2312" w:cs="仿宋_GB2312"/>
          <w:b w:val="0"/>
          <w:bCs w:val="0"/>
          <w:snapToGrid/>
          <w:color w:val="000000"/>
          <w:spacing w:val="0"/>
          <w:kern w:val="21"/>
          <w:sz w:val="32"/>
          <w:szCs w:val="32"/>
          <w:u w:val="none" w:color="auto"/>
          <w:lang w:val="en-US" w:eastAsia="zh-CN"/>
        </w:rPr>
        <w:t>，重点加强对现代化产业体系构建、科技创新等方面的投资引导支持，提高民生类政府投资比重。</w:t>
      </w:r>
      <w:r>
        <w:rPr>
          <w:rFonts w:hint="default" w:ascii="仿宋_GB2312" w:hAnsi="仿宋_GB2312" w:eastAsia="仿宋_GB2312" w:cs="仿宋_GB2312"/>
          <w:b w:val="0"/>
          <w:bCs w:val="0"/>
          <w:snapToGrid/>
          <w:color w:val="000000"/>
          <w:spacing w:val="0"/>
          <w:kern w:val="21"/>
          <w:sz w:val="32"/>
          <w:szCs w:val="32"/>
          <w:u w:val="none" w:color="auto"/>
          <w:lang w:val="en-US" w:eastAsia="zh-CN"/>
        </w:rPr>
        <w:t>加强政府投资项目全周期监管。</w:t>
      </w:r>
      <w:r>
        <w:rPr>
          <w:rFonts w:hint="eastAsia" w:ascii="仿宋_GB2312" w:hAnsi="仿宋_GB2312" w:eastAsia="仿宋_GB2312" w:cs="仿宋_GB2312"/>
          <w:b w:val="0"/>
          <w:bCs w:val="0"/>
          <w:snapToGrid/>
          <w:color w:val="000000"/>
          <w:spacing w:val="0"/>
          <w:kern w:val="21"/>
          <w:sz w:val="32"/>
          <w:szCs w:val="32"/>
          <w:u w:val="none" w:color="auto"/>
          <w:lang w:val="en-US" w:eastAsia="zh-CN"/>
        </w:rPr>
        <w:t>落实促进民营经济发展支持政策，完善民营企业参与重大项目长效机制，激发民间投资活力。（</w:t>
      </w:r>
      <w:r>
        <w:rPr>
          <w:rFonts w:hint="eastAsia" w:ascii="楷体_GB2312" w:hAnsi="楷体_GB2312" w:eastAsia="楷体_GB2312" w:cs="楷体_GB2312"/>
          <w:b w:val="0"/>
          <w:bCs w:val="0"/>
          <w:snapToGrid/>
          <w:color w:val="000000"/>
          <w:spacing w:val="0"/>
          <w:kern w:val="21"/>
          <w:sz w:val="32"/>
          <w:szCs w:val="32"/>
          <w:u w:val="none" w:color="auto"/>
          <w:lang w:val="en-US" w:eastAsia="zh-CN"/>
        </w:rPr>
        <w:t>责任单位：市发展改革委、市财政局、市科技局、市市场监管局、市工信局、市工商联</w:t>
      </w:r>
      <w:r>
        <w:rPr>
          <w:rFonts w:hint="eastAsia" w:ascii="仿宋_GB2312" w:hAnsi="仿宋_GB2312" w:eastAsia="仿宋_GB2312" w:cs="仿宋_GB2312"/>
          <w:b w:val="0"/>
          <w:bCs w:val="0"/>
          <w:snapToGrid/>
          <w:color w:val="000000"/>
          <w:spacing w:val="0"/>
          <w:kern w:val="21"/>
          <w:sz w:val="32"/>
          <w:szCs w:val="32"/>
          <w:u w:val="none" w:color="auto"/>
          <w:lang w:val="en-US" w:eastAsia="zh-CN"/>
        </w:rPr>
        <w:t>）</w:t>
      </w:r>
    </w:p>
    <w:p w14:paraId="1A8E17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仿宋_GB2312" w:hAnsi="仿宋_GB2312" w:eastAsia="仿宋_GB2312" w:cs="仿宋_GB2312"/>
          <w:b w:val="0"/>
          <w:bCs w:val="0"/>
          <w:snapToGrid/>
          <w:color w:val="000000"/>
          <w:spacing w:val="0"/>
          <w:kern w:val="21"/>
          <w:sz w:val="32"/>
          <w:szCs w:val="32"/>
          <w:u w:val="none" w:color="auto"/>
          <w:lang w:val="en-US" w:eastAsia="zh-CN"/>
        </w:rPr>
      </w:pPr>
      <w:r>
        <w:rPr>
          <w:rFonts w:hint="eastAsia" w:ascii="楷体_GB2312" w:hAnsi="楷体_GB2312" w:eastAsia="楷体_GB2312" w:cs="楷体_GB2312"/>
          <w:b/>
          <w:bCs/>
          <w:snapToGrid/>
          <w:color w:val="000000"/>
          <w:spacing w:val="0"/>
          <w:kern w:val="21"/>
          <w:sz w:val="32"/>
          <w:szCs w:val="32"/>
          <w:u w:val="none" w:color="auto"/>
          <w:lang w:val="en-US" w:eastAsia="zh-CN"/>
        </w:rPr>
        <w:t>6</w:t>
      </w:r>
      <w:r>
        <w:rPr>
          <w:rFonts w:hint="default" w:ascii="楷体_GB2312" w:hAnsi="楷体_GB2312" w:eastAsia="楷体_GB2312" w:cs="楷体_GB2312"/>
          <w:b/>
          <w:bCs/>
          <w:snapToGrid/>
          <w:color w:val="000000"/>
          <w:spacing w:val="0"/>
          <w:kern w:val="21"/>
          <w:sz w:val="32"/>
          <w:szCs w:val="32"/>
          <w:u w:val="none" w:color="auto"/>
          <w:lang w:val="en-US" w:eastAsia="zh-CN"/>
        </w:rPr>
        <w:t>.持续加大县域招商引资力度。</w:t>
      </w:r>
      <w:r>
        <w:rPr>
          <w:rFonts w:hint="default" w:ascii="仿宋_GB2312" w:hAnsi="仿宋_GB2312" w:eastAsia="仿宋_GB2312" w:cs="仿宋_GB2312"/>
          <w:b w:val="0"/>
          <w:bCs w:val="0"/>
          <w:snapToGrid/>
          <w:color w:val="000000"/>
          <w:spacing w:val="0"/>
          <w:kern w:val="21"/>
          <w:sz w:val="32"/>
          <w:szCs w:val="32"/>
          <w:u w:val="none" w:color="auto"/>
          <w:lang w:val="en-US" w:eastAsia="zh-CN"/>
        </w:rPr>
        <w:t>支持县域锚定</w:t>
      </w:r>
      <w:r>
        <w:rPr>
          <w:rFonts w:hint="eastAsia" w:ascii="仿宋_GB2312" w:hAnsi="仿宋_GB2312" w:eastAsia="仿宋_GB2312" w:cs="仿宋_GB2312"/>
          <w:b w:val="0"/>
          <w:bCs w:val="0"/>
          <w:snapToGrid/>
          <w:color w:val="000000"/>
          <w:spacing w:val="0"/>
          <w:kern w:val="21"/>
          <w:sz w:val="32"/>
          <w:szCs w:val="32"/>
          <w:u w:val="none" w:color="auto"/>
          <w:lang w:val="en-US" w:eastAsia="zh-CN"/>
        </w:rPr>
        <w:t>省市</w:t>
      </w:r>
      <w:r>
        <w:rPr>
          <w:rFonts w:hint="default" w:ascii="仿宋_GB2312" w:hAnsi="仿宋_GB2312" w:eastAsia="仿宋_GB2312" w:cs="仿宋_GB2312"/>
          <w:b w:val="0"/>
          <w:bCs w:val="0"/>
          <w:snapToGrid/>
          <w:color w:val="000000"/>
          <w:spacing w:val="0"/>
          <w:kern w:val="21"/>
          <w:sz w:val="32"/>
          <w:szCs w:val="32"/>
          <w:u w:val="none" w:color="auto"/>
          <w:lang w:val="en-US" w:eastAsia="zh-CN"/>
        </w:rPr>
        <w:t>重点产业链，实施精准协同招商。</w:t>
      </w:r>
      <w:r>
        <w:rPr>
          <w:rFonts w:hint="eastAsia" w:ascii="仿宋_GB2312" w:hAnsi="仿宋_GB2312" w:eastAsia="仿宋_GB2312" w:cs="仿宋_GB2312"/>
          <w:b w:val="0"/>
          <w:bCs w:val="0"/>
          <w:snapToGrid/>
          <w:color w:val="000000"/>
          <w:spacing w:val="0"/>
          <w:kern w:val="21"/>
          <w:sz w:val="32"/>
          <w:szCs w:val="32"/>
          <w:u w:val="none" w:color="auto"/>
          <w:lang w:val="en-US" w:eastAsia="zh-CN"/>
        </w:rPr>
        <w:t>主动承接东中部产业转移，依托矿产、能源、农业、文旅等优势资源，紧盯京津冀、长三角等重点区域，构建全域协同、全链布局、全程服务招商引资新格局。</w:t>
      </w:r>
      <w:r>
        <w:rPr>
          <w:rFonts w:hint="default" w:ascii="仿宋_GB2312" w:hAnsi="仿宋_GB2312" w:eastAsia="仿宋_GB2312" w:cs="仿宋_GB2312"/>
          <w:b w:val="0"/>
          <w:bCs w:val="0"/>
          <w:snapToGrid/>
          <w:color w:val="000000"/>
          <w:spacing w:val="0"/>
          <w:kern w:val="21"/>
          <w:sz w:val="32"/>
          <w:szCs w:val="32"/>
          <w:u w:val="none" w:color="auto"/>
          <w:lang w:val="en-US" w:eastAsia="zh-CN"/>
        </w:rPr>
        <w:t>鼓励落地企业引进上下游“以商招商”。拓展应用场景招商等模式。</w:t>
      </w:r>
      <w:r>
        <w:rPr>
          <w:rFonts w:hint="eastAsia" w:ascii="仿宋_GB2312" w:hAnsi="仿宋_GB2312" w:eastAsia="仿宋_GB2312" w:cs="仿宋_GB2312"/>
          <w:b w:val="0"/>
          <w:bCs w:val="0"/>
          <w:snapToGrid/>
          <w:color w:val="000000"/>
          <w:spacing w:val="0"/>
          <w:kern w:val="21"/>
          <w:sz w:val="32"/>
          <w:szCs w:val="32"/>
          <w:u w:val="none" w:color="auto"/>
          <w:lang w:val="en-US" w:eastAsia="zh-CN"/>
        </w:rPr>
        <w:t>（</w:t>
      </w:r>
      <w:r>
        <w:rPr>
          <w:rFonts w:hint="eastAsia" w:ascii="楷体_GB2312" w:hAnsi="楷体_GB2312" w:eastAsia="楷体_GB2312" w:cs="楷体_GB2312"/>
          <w:b w:val="0"/>
          <w:bCs w:val="0"/>
          <w:snapToGrid/>
          <w:color w:val="000000"/>
          <w:spacing w:val="0"/>
          <w:kern w:val="21"/>
          <w:sz w:val="32"/>
          <w:szCs w:val="32"/>
          <w:u w:val="none" w:color="auto"/>
          <w:lang w:val="en-US" w:eastAsia="zh-CN"/>
        </w:rPr>
        <w:t>责任单位：市招商局</w:t>
      </w:r>
      <w:r>
        <w:rPr>
          <w:rFonts w:hint="eastAsia" w:ascii="仿宋_GB2312" w:hAnsi="仿宋_GB2312" w:eastAsia="仿宋_GB2312" w:cs="仿宋_GB2312"/>
          <w:b w:val="0"/>
          <w:bCs w:val="0"/>
          <w:snapToGrid/>
          <w:color w:val="000000"/>
          <w:spacing w:val="0"/>
          <w:kern w:val="21"/>
          <w:sz w:val="32"/>
          <w:szCs w:val="32"/>
          <w:u w:val="none" w:color="auto"/>
          <w:lang w:val="en-US" w:eastAsia="zh-CN"/>
        </w:rPr>
        <w:t>）</w:t>
      </w:r>
    </w:p>
    <w:p w14:paraId="37B687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仿宋_GB2312" w:eastAsia="仿宋_GB2312"/>
          <w:sz w:val="32"/>
          <w:szCs w:val="32"/>
          <w:lang w:val="en-US" w:eastAsia="zh-CN"/>
        </w:rPr>
      </w:pPr>
      <w:r>
        <w:rPr>
          <w:rFonts w:hint="eastAsia" w:ascii="楷体_GB2312" w:hAnsi="楷体_GB2312" w:eastAsia="楷体_GB2312" w:cs="楷体_GB2312"/>
          <w:b/>
          <w:bCs/>
          <w:snapToGrid/>
          <w:color w:val="000000"/>
          <w:spacing w:val="0"/>
          <w:kern w:val="21"/>
          <w:sz w:val="32"/>
          <w:szCs w:val="32"/>
          <w:u w:val="none" w:color="auto"/>
          <w:lang w:val="en-US" w:eastAsia="zh-CN"/>
        </w:rPr>
        <w:t>7.充分挖掘县域消费潜力。</w:t>
      </w:r>
      <w:r>
        <w:rPr>
          <w:rFonts w:hint="eastAsia" w:ascii="仿宋_GB2312" w:hAnsi="仿宋_GB2312" w:eastAsia="仿宋_GB2312" w:cs="仿宋_GB2312"/>
          <w:b w:val="0"/>
          <w:bCs w:val="0"/>
          <w:snapToGrid/>
          <w:color w:val="000000"/>
          <w:spacing w:val="0"/>
          <w:kern w:val="21"/>
          <w:sz w:val="32"/>
          <w:szCs w:val="32"/>
          <w:u w:val="none" w:color="auto"/>
          <w:lang w:val="en-US" w:eastAsia="zh-CN"/>
        </w:rPr>
        <w:t>深入推进全国零售业创新提升试点城市建设，巩固提升全国城市一刻钟便民生活圈试点、全省区域（特色）消费中心城市建设成果。深入实施提振消费专项行动，激活县城、农村消费市场活力。鼓励发展平台经济、首发经济、银发经济、票根经济、夜间经济等，打造特色消费新场景。巩固提升县域商业建设行动成效，培育多层级区域消费中心。</w:t>
      </w:r>
      <w:r>
        <w:rPr>
          <w:rFonts w:hint="default" w:ascii="仿宋_GB2312" w:eastAsia="仿宋_GB2312"/>
          <w:sz w:val="32"/>
          <w:szCs w:val="32"/>
          <w:lang w:val="en-US" w:eastAsia="zh-CN"/>
        </w:rPr>
        <w:t>整合县</w:t>
      </w:r>
      <w:r>
        <w:rPr>
          <w:rFonts w:hint="default" w:ascii="仿宋_GB2312" w:eastAsia="仿宋_GB2312"/>
          <w:spacing w:val="-6"/>
          <w:sz w:val="32"/>
          <w:szCs w:val="32"/>
          <w:lang w:val="en-US" w:eastAsia="zh-CN"/>
        </w:rPr>
        <w:t>域物流资源，拓宽寄递服务覆盖面，开展统仓共配，降低物流成本。</w:t>
      </w:r>
      <w:r>
        <w:rPr>
          <w:rFonts w:hint="eastAsia" w:ascii="仿宋_GB2312" w:hAnsi="仿宋_GB2312" w:eastAsia="仿宋_GB2312" w:cs="仿宋_GB2312"/>
          <w:b w:val="0"/>
          <w:bCs w:val="0"/>
          <w:snapToGrid/>
          <w:color w:val="000000"/>
          <w:spacing w:val="0"/>
          <w:kern w:val="21"/>
          <w:sz w:val="32"/>
          <w:szCs w:val="32"/>
          <w:u w:val="none" w:color="auto"/>
          <w:lang w:val="en-US" w:eastAsia="zh-CN"/>
        </w:rPr>
        <w:t>（</w:t>
      </w:r>
      <w:r>
        <w:rPr>
          <w:rFonts w:hint="eastAsia" w:ascii="楷体_GB2312" w:hAnsi="楷体_GB2312" w:eastAsia="楷体_GB2312" w:cs="楷体_GB2312"/>
          <w:b w:val="0"/>
          <w:bCs w:val="0"/>
          <w:snapToGrid/>
          <w:color w:val="000000"/>
          <w:spacing w:val="0"/>
          <w:kern w:val="21"/>
          <w:sz w:val="32"/>
          <w:szCs w:val="32"/>
          <w:u w:val="none" w:color="auto"/>
          <w:lang w:val="en-US" w:eastAsia="zh-CN"/>
        </w:rPr>
        <w:t>责任单位：市发展改革委、市商务局、市民政局、市供销联社、市邮政管理局</w:t>
      </w:r>
      <w:r>
        <w:rPr>
          <w:rFonts w:hint="eastAsia" w:ascii="仿宋_GB2312" w:hAnsi="仿宋_GB2312" w:eastAsia="仿宋_GB2312" w:cs="仿宋_GB2312"/>
          <w:b w:val="0"/>
          <w:bCs w:val="0"/>
          <w:snapToGrid/>
          <w:color w:val="000000"/>
          <w:spacing w:val="0"/>
          <w:kern w:val="21"/>
          <w:sz w:val="32"/>
          <w:szCs w:val="32"/>
          <w:u w:val="none" w:color="auto"/>
          <w:lang w:val="en-US" w:eastAsia="zh-CN"/>
        </w:rPr>
        <w:t>）</w:t>
      </w:r>
    </w:p>
    <w:p w14:paraId="77A2B69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napToGrid/>
          <w:color w:val="000000"/>
          <w:spacing w:val="0"/>
          <w:kern w:val="21"/>
          <w:sz w:val="32"/>
          <w:szCs w:val="32"/>
          <w:u w:val="none" w:color="auto"/>
          <w:lang w:val="en-US" w:eastAsia="zh-CN"/>
        </w:rPr>
      </w:pPr>
      <w:r>
        <w:rPr>
          <w:rFonts w:hint="eastAsia" w:ascii="楷体_GB2312" w:hAnsi="楷体_GB2312" w:eastAsia="楷体_GB2312" w:cs="楷体_GB2312"/>
          <w:b/>
          <w:bCs/>
          <w:snapToGrid/>
          <w:color w:val="000000"/>
          <w:spacing w:val="0"/>
          <w:kern w:val="21"/>
          <w:sz w:val="32"/>
          <w:szCs w:val="32"/>
          <w:u w:val="none" w:color="auto"/>
          <w:lang w:val="en-US" w:eastAsia="zh-CN"/>
        </w:rPr>
        <w:t>8.实施县域强基础行动。</w:t>
      </w:r>
      <w:r>
        <w:rPr>
          <w:rFonts w:hint="eastAsia" w:ascii="仿宋_GB2312" w:hAnsi="仿宋_GB2312" w:eastAsia="仿宋_GB2312" w:cs="仿宋_GB2312"/>
          <w:snapToGrid/>
          <w:color w:val="000000"/>
          <w:spacing w:val="0"/>
          <w:kern w:val="21"/>
          <w:sz w:val="32"/>
          <w:szCs w:val="32"/>
          <w:u w:val="none" w:color="auto"/>
          <w:lang w:val="en-US" w:eastAsia="zh-CN"/>
        </w:rPr>
        <w:t>大力实施“强基础”行动，建成兰张三四线武张段和S10张掖至马鬃山高速公路张掖段、S52金昌至山丹高速公路、S54永昌至民乐高速公路及S18康乐至肃南县城段一级公路，实施张掖军民合用机场改扩建工程。完善水网主骨架，</w:t>
      </w:r>
      <w:r>
        <w:rPr>
          <w:rFonts w:hint="eastAsia" w:ascii="仿宋_GB2312" w:hAnsi="仿宋_GB2312" w:eastAsia="仿宋_GB2312" w:cs="仿宋_GB2312"/>
          <w:kern w:val="2"/>
          <w:sz w:val="32"/>
          <w:szCs w:val="24"/>
          <w:lang w:val="en-US" w:eastAsia="zh-CN" w:bidi="ar-SA"/>
        </w:rPr>
        <w:t>积极推进正义峡水库前期工</w:t>
      </w:r>
      <w:r>
        <w:rPr>
          <w:rFonts w:hint="eastAsia" w:ascii="仿宋_GB2312" w:hAnsi="仿宋_GB2312" w:eastAsia="仿宋_GB2312" w:cs="仿宋_GB2312"/>
          <w:snapToGrid/>
          <w:color w:val="000000"/>
          <w:spacing w:val="0"/>
          <w:kern w:val="21"/>
          <w:sz w:val="32"/>
          <w:szCs w:val="32"/>
          <w:u w:val="none" w:color="auto"/>
          <w:lang w:val="en-US" w:eastAsia="zh-CN"/>
        </w:rPr>
        <w:t>作，力争讨赖峡水库开工建设，实施临泽县扎尔墩调蓄水池、高台县金河湾水库等重点水源工程。加快实施黑河草滩庄引水枢纽除险加固等工程，建设一批中小型水库等调蓄设施，新增调蓄库容5000万立方米以上。</w:t>
      </w:r>
      <w:r>
        <w:rPr>
          <w:rFonts w:hint="eastAsia" w:ascii="仿宋_GB2312" w:hAnsi="仿宋_GB2312" w:eastAsia="仿宋_GB2312" w:cs="仿宋_GB2312"/>
          <w:b w:val="0"/>
          <w:bCs w:val="0"/>
          <w:snapToGrid/>
          <w:color w:val="000000"/>
          <w:spacing w:val="0"/>
          <w:kern w:val="21"/>
          <w:sz w:val="32"/>
          <w:szCs w:val="32"/>
          <w:u w:val="none" w:color="auto"/>
          <w:lang w:val="en-US" w:eastAsia="zh-CN"/>
        </w:rPr>
        <w:t>（</w:t>
      </w:r>
      <w:r>
        <w:rPr>
          <w:rFonts w:hint="eastAsia" w:ascii="楷体_GB2312" w:hAnsi="楷体_GB2312" w:eastAsia="楷体_GB2312" w:cs="楷体_GB2312"/>
          <w:b w:val="0"/>
          <w:bCs w:val="0"/>
          <w:snapToGrid/>
          <w:color w:val="000000"/>
          <w:spacing w:val="0"/>
          <w:kern w:val="21"/>
          <w:sz w:val="32"/>
          <w:szCs w:val="32"/>
          <w:u w:val="none" w:color="auto"/>
          <w:lang w:val="en-US" w:eastAsia="zh-CN"/>
        </w:rPr>
        <w:t>责任单位：市发展改革委、市交通运输局、市水务局</w:t>
      </w:r>
      <w:r>
        <w:rPr>
          <w:rFonts w:hint="eastAsia" w:ascii="仿宋_GB2312" w:hAnsi="仿宋_GB2312" w:eastAsia="仿宋_GB2312" w:cs="仿宋_GB2312"/>
          <w:b w:val="0"/>
          <w:bCs w:val="0"/>
          <w:snapToGrid/>
          <w:color w:val="000000"/>
          <w:spacing w:val="0"/>
          <w:kern w:val="21"/>
          <w:sz w:val="32"/>
          <w:szCs w:val="32"/>
          <w:u w:val="none" w:color="auto"/>
          <w:lang w:val="en-US" w:eastAsia="zh-CN"/>
        </w:rPr>
        <w:t>）</w:t>
      </w:r>
    </w:p>
    <w:p w14:paraId="28FCAE4F">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napToGrid/>
          <w:color w:val="000000"/>
          <w:spacing w:val="0"/>
          <w:kern w:val="21"/>
          <w:sz w:val="32"/>
          <w:szCs w:val="32"/>
          <w:u w:val="none" w:color="auto"/>
          <w:lang w:val="en-US" w:eastAsia="zh-CN"/>
        </w:rPr>
      </w:pPr>
      <w:r>
        <w:rPr>
          <w:rFonts w:hint="eastAsia" w:ascii="楷体_GB2312" w:hAnsi="楷体_GB2312" w:eastAsia="楷体_GB2312" w:cs="楷体_GB2312"/>
          <w:b/>
          <w:bCs/>
          <w:snapToGrid/>
          <w:color w:val="000000"/>
          <w:spacing w:val="0"/>
          <w:kern w:val="21"/>
          <w:sz w:val="32"/>
          <w:szCs w:val="32"/>
          <w:u w:val="none" w:color="auto"/>
          <w:lang w:val="en-US" w:eastAsia="zh-CN"/>
        </w:rPr>
        <w:t>9.分类推进以县城为重要载体的城镇化建设。</w:t>
      </w:r>
      <w:r>
        <w:rPr>
          <w:rFonts w:hint="eastAsia" w:ascii="仿宋_GB2312" w:hAnsi="仿宋_GB2312" w:eastAsia="仿宋_GB2312" w:cs="仿宋_GB2312"/>
          <w:b w:val="0"/>
          <w:bCs w:val="0"/>
          <w:snapToGrid/>
          <w:color w:val="000000"/>
          <w:spacing w:val="0"/>
          <w:kern w:val="21"/>
          <w:sz w:val="32"/>
          <w:szCs w:val="32"/>
          <w:u w:val="none" w:color="auto"/>
          <w:lang w:val="en-US" w:eastAsia="zh-CN"/>
        </w:rPr>
        <w:t>改善县域基础设施水平，提高县城发展质量，便利群众安居乐业。统筹城乡规划布局，培育打造一批县域中心镇。稳步推动县域基本公共服务均等化水平，优化医疗教育、普惠托育、文旅体育、社会福利等设施，提升公共服务保障能力和水平。积极发展普惠型养老服务，鼓励开展老年助餐、日间照料等养老服务，推动精神卫生福利设施建设，加快公益性殡葬服务业发展。提升县城对人口的集聚能力，实施新一轮农业转移人口市民化行动，推行由常住地登记户口和居住证办理联动的基本公共服务制度，</w:t>
      </w:r>
      <w:r>
        <w:rPr>
          <w:rFonts w:hint="eastAsia" w:ascii="仿宋_GB2312" w:hAnsi="仿宋_GB2312" w:eastAsia="仿宋_GB2312" w:cs="仿宋_GB2312"/>
          <w:snapToGrid/>
          <w:color w:val="000000"/>
          <w:spacing w:val="0"/>
          <w:kern w:val="21"/>
          <w:sz w:val="32"/>
          <w:szCs w:val="32"/>
          <w:u w:val="none" w:color="auto"/>
          <w:lang w:val="en-US" w:eastAsia="zh-CN"/>
        </w:rPr>
        <w:t>常住人口城镇化率年均提升1个百分点以上。</w:t>
      </w:r>
      <w:r>
        <w:rPr>
          <w:rFonts w:hint="eastAsia" w:ascii="仿宋_GB2312" w:hAnsi="仿宋_GB2312" w:eastAsia="仿宋_GB2312" w:cs="仿宋_GB2312"/>
          <w:b w:val="0"/>
          <w:bCs w:val="0"/>
          <w:snapToGrid/>
          <w:color w:val="000000"/>
          <w:spacing w:val="0"/>
          <w:kern w:val="21"/>
          <w:sz w:val="32"/>
          <w:szCs w:val="32"/>
          <w:u w:val="none" w:color="auto"/>
          <w:lang w:val="en-US" w:eastAsia="zh-CN"/>
        </w:rPr>
        <w:t>稳定和扩大县域就业岗位，打造家门口就业服务站、15分钟就业服务圈。加力扩围以工代赈政策。</w:t>
      </w:r>
      <w:r>
        <w:rPr>
          <w:rFonts w:hint="eastAsia" w:ascii="仿宋_GB2312" w:hAnsi="仿宋_GB2312" w:eastAsia="仿宋_GB2312" w:cs="仿宋_GB2312"/>
          <w:snapToGrid/>
          <w:color w:val="000000"/>
          <w:spacing w:val="0"/>
          <w:kern w:val="21"/>
          <w:sz w:val="32"/>
          <w:szCs w:val="32"/>
          <w:u w:val="none" w:color="auto"/>
          <w:lang w:val="en-US" w:eastAsia="zh-CN"/>
        </w:rPr>
        <w:t>实施城乡居民增收计划，城乡居民人均可支配收入年均分别增长5%和6%以上。</w:t>
      </w:r>
      <w:r>
        <w:rPr>
          <w:rFonts w:hint="eastAsia" w:ascii="仿宋_GB2312" w:hAnsi="仿宋_GB2312" w:eastAsia="仿宋_GB2312" w:cs="仿宋_GB2312"/>
          <w:b w:val="0"/>
          <w:bCs w:val="0"/>
          <w:snapToGrid/>
          <w:color w:val="000000"/>
          <w:spacing w:val="0"/>
          <w:kern w:val="21"/>
          <w:sz w:val="32"/>
          <w:szCs w:val="32"/>
          <w:u w:val="none" w:color="auto"/>
          <w:lang w:val="en-US" w:eastAsia="zh-CN"/>
        </w:rPr>
        <w:t>（</w:t>
      </w:r>
      <w:r>
        <w:rPr>
          <w:rFonts w:hint="eastAsia" w:ascii="楷体_GB2312" w:hAnsi="楷体_GB2312" w:eastAsia="楷体_GB2312" w:cs="楷体_GB2312"/>
          <w:b w:val="0"/>
          <w:bCs w:val="0"/>
          <w:snapToGrid/>
          <w:color w:val="000000"/>
          <w:spacing w:val="0"/>
          <w:kern w:val="21"/>
          <w:sz w:val="32"/>
          <w:szCs w:val="32"/>
          <w:u w:val="none" w:color="auto"/>
          <w:lang w:val="en-US" w:eastAsia="zh-CN"/>
        </w:rPr>
        <w:t>责任单位：市发展改革委、市自然资源局、市住建局、市财政局、市卫生健康委、市教育局、市文广旅游局、市体育局、市民政局、市医保局、市公安局、市人社局、市统计局、市农业农村局</w:t>
      </w:r>
      <w:r>
        <w:rPr>
          <w:rFonts w:hint="eastAsia" w:ascii="仿宋_GB2312" w:hAnsi="仿宋_GB2312" w:eastAsia="仿宋_GB2312" w:cs="仿宋_GB2312"/>
          <w:b w:val="0"/>
          <w:bCs w:val="0"/>
          <w:snapToGrid/>
          <w:color w:val="000000"/>
          <w:spacing w:val="0"/>
          <w:kern w:val="21"/>
          <w:sz w:val="32"/>
          <w:szCs w:val="32"/>
          <w:u w:val="none" w:color="auto"/>
          <w:lang w:val="en-US" w:eastAsia="zh-CN"/>
        </w:rPr>
        <w:t>）</w:t>
      </w:r>
    </w:p>
    <w:p w14:paraId="18A094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仿宋_GB2312" w:hAnsi="仿宋_GB2312" w:eastAsia="仿宋_GB2312" w:cs="仿宋_GB2312"/>
          <w:b w:val="0"/>
          <w:bCs w:val="0"/>
          <w:snapToGrid/>
          <w:color w:val="000000"/>
          <w:spacing w:val="0"/>
          <w:kern w:val="21"/>
          <w:sz w:val="32"/>
          <w:szCs w:val="32"/>
          <w:u w:val="none" w:color="auto"/>
          <w:lang w:val="en-US" w:eastAsia="zh-CN"/>
        </w:rPr>
      </w:pPr>
      <w:r>
        <w:rPr>
          <w:rFonts w:hint="eastAsia" w:ascii="楷体_GB2312" w:hAnsi="楷体_GB2312" w:eastAsia="楷体_GB2312" w:cs="楷体_GB2312"/>
          <w:b/>
          <w:bCs/>
          <w:snapToGrid/>
          <w:color w:val="000000"/>
          <w:spacing w:val="0"/>
          <w:kern w:val="21"/>
          <w:sz w:val="32"/>
          <w:szCs w:val="32"/>
          <w:u w:val="none" w:color="auto"/>
          <w:lang w:val="en-US" w:eastAsia="zh-CN"/>
        </w:rPr>
        <w:t>10</w:t>
      </w:r>
      <w:r>
        <w:rPr>
          <w:rFonts w:hint="default" w:ascii="楷体_GB2312" w:hAnsi="楷体_GB2312" w:eastAsia="楷体_GB2312" w:cs="楷体_GB2312"/>
          <w:b/>
          <w:bCs/>
          <w:snapToGrid/>
          <w:color w:val="000000"/>
          <w:spacing w:val="0"/>
          <w:kern w:val="21"/>
          <w:sz w:val="32"/>
          <w:szCs w:val="32"/>
          <w:u w:val="none" w:color="auto"/>
          <w:lang w:val="en-US" w:eastAsia="zh-CN"/>
        </w:rPr>
        <w:t>.探索县域组团发展模式。</w:t>
      </w:r>
      <w:r>
        <w:rPr>
          <w:rFonts w:hint="default" w:ascii="仿宋_GB2312" w:hAnsi="仿宋_GB2312" w:eastAsia="仿宋_GB2312" w:cs="仿宋_GB2312"/>
          <w:b w:val="0"/>
          <w:bCs w:val="0"/>
          <w:snapToGrid/>
          <w:color w:val="000000"/>
          <w:spacing w:val="0"/>
          <w:kern w:val="21"/>
          <w:sz w:val="32"/>
          <w:szCs w:val="32"/>
          <w:u w:val="none" w:color="auto"/>
          <w:lang w:val="en-US" w:eastAsia="zh-CN"/>
        </w:rPr>
        <w:t>在市域内选择产业互补程度高、上下游配套衔接顺畅、协作意愿强的县域，</w:t>
      </w:r>
      <w:r>
        <w:rPr>
          <w:rFonts w:hint="eastAsia" w:ascii="仿宋_GB2312" w:hAnsi="仿宋_GB2312" w:eastAsia="仿宋_GB2312" w:cs="仿宋_GB2312"/>
          <w:b w:val="0"/>
          <w:bCs w:val="0"/>
          <w:snapToGrid/>
          <w:color w:val="000000"/>
          <w:spacing w:val="0"/>
          <w:kern w:val="21"/>
          <w:sz w:val="32"/>
          <w:szCs w:val="32"/>
          <w:u w:val="none" w:color="auto"/>
          <w:lang w:val="en-US" w:eastAsia="zh-CN"/>
        </w:rPr>
        <w:t>培育</w:t>
      </w:r>
      <w:r>
        <w:rPr>
          <w:rFonts w:hint="default" w:ascii="仿宋_GB2312" w:hAnsi="仿宋_GB2312" w:eastAsia="仿宋_GB2312" w:cs="仿宋_GB2312"/>
          <w:b w:val="0"/>
          <w:bCs w:val="0"/>
          <w:snapToGrid/>
          <w:color w:val="000000"/>
          <w:spacing w:val="0"/>
          <w:kern w:val="21"/>
          <w:sz w:val="32"/>
          <w:szCs w:val="32"/>
          <w:u w:val="none" w:color="auto"/>
          <w:lang w:val="en-US" w:eastAsia="zh-CN"/>
        </w:rPr>
        <w:t>打造县域发展组团，</w:t>
      </w:r>
      <w:r>
        <w:rPr>
          <w:rFonts w:hint="eastAsia" w:ascii="仿宋_GB2312" w:hAnsi="仿宋_GB2312" w:eastAsia="仿宋_GB2312" w:cs="仿宋_GB2312"/>
          <w:b w:val="0"/>
          <w:bCs w:val="0"/>
          <w:snapToGrid/>
          <w:color w:val="000000"/>
          <w:spacing w:val="0"/>
          <w:kern w:val="21"/>
          <w:sz w:val="32"/>
          <w:szCs w:val="32"/>
          <w:u w:val="none" w:color="auto"/>
          <w:lang w:val="en-US" w:eastAsia="zh-CN"/>
        </w:rPr>
        <w:t>率先发展甘州区-临泽县-高台县“新能源+新兴产业+现代种业”组团，梯度培育甘州区-山丹县-民乐县“农畜产品精深加工+中医药”组团，</w:t>
      </w:r>
      <w:r>
        <w:rPr>
          <w:rFonts w:hint="default" w:ascii="仿宋_GB2312" w:hAnsi="仿宋_GB2312" w:eastAsia="仿宋_GB2312" w:cs="仿宋_GB2312"/>
          <w:b w:val="0"/>
          <w:bCs w:val="0"/>
          <w:snapToGrid/>
          <w:color w:val="000000"/>
          <w:spacing w:val="0"/>
          <w:kern w:val="21"/>
          <w:sz w:val="32"/>
          <w:szCs w:val="32"/>
          <w:u w:val="none" w:color="auto"/>
          <w:lang w:val="en-US" w:eastAsia="zh-CN"/>
        </w:rPr>
        <w:t>进一步畅通区域经济循环，挖掘增长新动能。</w:t>
      </w:r>
      <w:r>
        <w:rPr>
          <w:rFonts w:hint="eastAsia" w:ascii="仿宋_GB2312" w:hAnsi="仿宋_GB2312" w:eastAsia="仿宋_GB2312" w:cs="仿宋_GB2312"/>
          <w:b w:val="0"/>
          <w:bCs w:val="0"/>
          <w:snapToGrid/>
          <w:color w:val="000000"/>
          <w:spacing w:val="0"/>
          <w:kern w:val="21"/>
          <w:sz w:val="32"/>
          <w:szCs w:val="32"/>
          <w:u w:val="none" w:color="auto"/>
          <w:lang w:val="en-US" w:eastAsia="zh-CN"/>
        </w:rPr>
        <w:t>鼓励跨市域推进组团发展。（</w:t>
      </w:r>
      <w:r>
        <w:rPr>
          <w:rFonts w:hint="eastAsia" w:ascii="楷体_GB2312" w:hAnsi="楷体_GB2312" w:eastAsia="楷体_GB2312" w:cs="楷体_GB2312"/>
          <w:b w:val="0"/>
          <w:bCs w:val="0"/>
          <w:snapToGrid/>
          <w:color w:val="000000"/>
          <w:spacing w:val="0"/>
          <w:kern w:val="21"/>
          <w:sz w:val="32"/>
          <w:szCs w:val="32"/>
          <w:u w:val="none" w:color="auto"/>
          <w:lang w:val="en-US" w:eastAsia="zh-CN"/>
        </w:rPr>
        <w:t>责任单位：市发展改革委、市工信局、市农业农村局、市畜牧兽医局、市卫生健康委</w:t>
      </w:r>
      <w:r>
        <w:rPr>
          <w:rFonts w:hint="eastAsia" w:ascii="仿宋_GB2312" w:hAnsi="仿宋_GB2312" w:eastAsia="仿宋_GB2312" w:cs="仿宋_GB2312"/>
          <w:b w:val="0"/>
          <w:bCs w:val="0"/>
          <w:snapToGrid/>
          <w:color w:val="000000"/>
          <w:spacing w:val="0"/>
          <w:kern w:val="21"/>
          <w:sz w:val="32"/>
          <w:szCs w:val="32"/>
          <w:u w:val="none" w:color="auto"/>
          <w:lang w:val="en-US" w:eastAsia="zh-CN"/>
        </w:rPr>
        <w:t>）</w:t>
      </w:r>
    </w:p>
    <w:p w14:paraId="411694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cs="仿宋_GB2312"/>
          <w:b w:val="0"/>
          <w:bCs w:val="0"/>
          <w:color w:val="auto"/>
          <w:sz w:val="32"/>
          <w:szCs w:val="32"/>
          <w:highlight w:val="none"/>
          <w:lang w:val="en-US" w:eastAsia="zh-CN" w:bidi="ar"/>
        </w:rPr>
      </w:pPr>
      <w:r>
        <w:rPr>
          <w:rFonts w:hint="eastAsia" w:ascii="楷体_GB2312" w:hAnsi="楷体_GB2312" w:eastAsia="楷体_GB2312" w:cs="楷体_GB2312"/>
          <w:b w:val="0"/>
          <w:bCs w:val="0"/>
          <w:color w:val="auto"/>
          <w:kern w:val="0"/>
          <w:sz w:val="32"/>
          <w:szCs w:val="32"/>
          <w:u w:val="none"/>
          <w:lang w:val="en-US" w:eastAsia="zh-CN"/>
        </w:rPr>
        <w:t>（二）区分赛道力促县域竞相发展。</w:t>
      </w:r>
      <w:r>
        <w:rPr>
          <w:rFonts w:hint="eastAsia" w:ascii="仿宋_GB2312" w:hAnsi="仿宋_GB2312" w:eastAsia="仿宋_GB2312" w:cs="仿宋_GB2312"/>
          <w:b w:val="0"/>
          <w:bCs w:val="0"/>
          <w:snapToGrid/>
          <w:color w:val="000000"/>
          <w:spacing w:val="0"/>
          <w:kern w:val="21"/>
          <w:sz w:val="32"/>
          <w:szCs w:val="32"/>
          <w:u w:val="none" w:color="auto"/>
          <w:lang w:val="en-US" w:eastAsia="zh-CN"/>
        </w:rPr>
        <w:t>锚定选型加力施策，加快培育在全省具有影响力的农业强县、工业大县、旅游名县，</w:t>
      </w:r>
      <w:r>
        <w:rPr>
          <w:rFonts w:hint="eastAsia" w:ascii="仿宋_GB2312" w:eastAsia="仿宋_GB2312" w:cs="仿宋_GB2312"/>
          <w:b w:val="0"/>
          <w:bCs w:val="0"/>
          <w:color w:val="auto"/>
          <w:spacing w:val="-6"/>
          <w:sz w:val="32"/>
          <w:szCs w:val="32"/>
          <w:highlight w:val="none"/>
          <w:lang w:val="en-US" w:eastAsia="zh-CN" w:bidi="ar"/>
        </w:rPr>
        <w:t>加快发展各具特色的县域经济</w:t>
      </w:r>
      <w:r>
        <w:rPr>
          <w:rFonts w:hint="eastAsia" w:ascii="仿宋_GB2312" w:eastAsia="仿宋_GB2312" w:cs="仿宋_GB2312"/>
          <w:b w:val="0"/>
          <w:bCs w:val="0"/>
          <w:color w:val="auto"/>
          <w:sz w:val="32"/>
          <w:szCs w:val="32"/>
          <w:highlight w:val="none"/>
          <w:lang w:val="en-US" w:eastAsia="zh-CN" w:bidi="ar"/>
        </w:rPr>
        <w:t>。</w:t>
      </w:r>
    </w:p>
    <w:p w14:paraId="40B65755">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napToGrid/>
          <w:color w:val="000000"/>
          <w:spacing w:val="0"/>
          <w:kern w:val="21"/>
          <w:sz w:val="32"/>
          <w:szCs w:val="32"/>
          <w:u w:val="none" w:color="auto"/>
          <w:lang w:val="en-US" w:eastAsia="zh-CN"/>
        </w:rPr>
      </w:pPr>
      <w:r>
        <w:rPr>
          <w:rFonts w:hint="eastAsia" w:ascii="楷体_GB2312" w:hAnsi="楷体_GB2312" w:eastAsia="楷体_GB2312" w:cs="楷体_GB2312"/>
          <w:b/>
          <w:bCs/>
          <w:snapToGrid/>
          <w:color w:val="000000"/>
          <w:spacing w:val="0"/>
          <w:kern w:val="21"/>
          <w:sz w:val="32"/>
          <w:szCs w:val="32"/>
          <w:u w:val="none" w:color="auto"/>
          <w:lang w:val="en-US" w:eastAsia="zh-CN"/>
        </w:rPr>
        <w:t>1.工业主导加</w:t>
      </w:r>
      <w:r>
        <w:rPr>
          <w:rFonts w:hint="eastAsia" w:ascii="楷体_GB2312" w:hAnsi="楷体_GB2312" w:eastAsia="楷体_GB2312" w:cs="楷体_GB2312"/>
          <w:b/>
          <w:bCs/>
          <w:snapToGrid/>
          <w:color w:val="000000"/>
          <w:spacing w:val="0"/>
          <w:kern w:val="21"/>
          <w:sz w:val="32"/>
          <w:szCs w:val="32"/>
          <w:u w:val="none" w:color="auto"/>
          <w:lang w:val="en" w:eastAsia="zh-CN"/>
        </w:rPr>
        <w:t>力</w:t>
      </w:r>
      <w:r>
        <w:rPr>
          <w:rFonts w:hint="eastAsia" w:ascii="楷体_GB2312" w:hAnsi="楷体_GB2312" w:eastAsia="楷体_GB2312" w:cs="楷体_GB2312"/>
          <w:b/>
          <w:bCs/>
          <w:snapToGrid/>
          <w:color w:val="000000"/>
          <w:spacing w:val="0"/>
          <w:kern w:val="21"/>
          <w:sz w:val="32"/>
          <w:szCs w:val="32"/>
          <w:u w:val="none" w:color="auto"/>
          <w:lang w:val="en-US" w:eastAsia="zh-CN"/>
        </w:rPr>
        <w:t>促增量。</w:t>
      </w:r>
      <w:r>
        <w:rPr>
          <w:rFonts w:hint="eastAsia" w:ascii="仿宋_GB2312" w:hAnsi="仿宋_GB2312" w:eastAsia="仿宋_GB2312" w:cs="仿宋_GB2312"/>
          <w:b w:val="0"/>
          <w:bCs w:val="0"/>
          <w:snapToGrid/>
          <w:color w:val="000000"/>
          <w:spacing w:val="0"/>
          <w:kern w:val="21"/>
          <w:sz w:val="32"/>
          <w:szCs w:val="32"/>
          <w:u w:val="none" w:color="auto"/>
          <w:lang w:val="en-US" w:eastAsia="zh-CN"/>
        </w:rPr>
        <w:t>深入实施工业提质升级行动，坚定不移强龙头、补链条、聚集群，</w:t>
      </w:r>
      <w:r>
        <w:rPr>
          <w:rFonts w:hint="eastAsia" w:ascii="仿宋_GB2312" w:hAnsi="仿宋_GB2312" w:eastAsia="仿宋_GB2312" w:cs="仿宋_GB2312"/>
          <w:b w:val="0"/>
          <w:bCs w:val="0"/>
          <w:color w:val="auto"/>
          <w:kern w:val="0"/>
          <w:sz w:val="32"/>
          <w:szCs w:val="32"/>
          <w:u w:val="none"/>
          <w:lang w:val="en-US" w:eastAsia="zh-CN"/>
        </w:rPr>
        <w:t>以甘州区、高台县、山丹县、民乐县四个工业主导型县域为重点，围绕综合能源及装备制造、农畜产品精深加工、新材料、现代化工等主导产业，培育壮大一批新兴工业企业，改造提升传统产业，打造要素集聚水平高、产业竞争力强的工业大县。狠抓优质中小企业梯度培育，积极培育绿色工业园区、绿色工厂等绿色制造单位，助力工业提质增效。推进开发区焕新发展攻坚改革，实施现代化工绿色发展工程，规范提升张掖经开区、高台、民乐开发区内设的4个省级化工园区。</w:t>
      </w:r>
      <w:r>
        <w:rPr>
          <w:rFonts w:hint="default" w:ascii="仿宋_GB2312" w:hAnsi="仿宋_GB2312" w:eastAsia="仿宋_GB2312" w:cs="仿宋_GB2312"/>
          <w:b w:val="0"/>
          <w:bCs w:val="0"/>
          <w:snapToGrid/>
          <w:color w:val="000000"/>
          <w:spacing w:val="0"/>
          <w:kern w:val="21"/>
          <w:sz w:val="32"/>
          <w:szCs w:val="32"/>
          <w:u w:val="none" w:color="auto"/>
          <w:lang w:val="en-US" w:eastAsia="zh-CN"/>
        </w:rPr>
        <w:t>加快提升产业承载能力</w:t>
      </w:r>
      <w:r>
        <w:rPr>
          <w:rFonts w:hint="eastAsia" w:ascii="仿宋_GB2312" w:hAnsi="仿宋_GB2312" w:eastAsia="仿宋_GB2312" w:cs="仿宋_GB2312"/>
          <w:b w:val="0"/>
          <w:bCs w:val="0"/>
          <w:snapToGrid/>
          <w:color w:val="000000"/>
          <w:spacing w:val="0"/>
          <w:kern w:val="21"/>
          <w:sz w:val="32"/>
          <w:szCs w:val="32"/>
          <w:u w:val="none" w:color="auto"/>
          <w:lang w:val="en-US" w:eastAsia="zh-CN"/>
        </w:rPr>
        <w:t>，支持</w:t>
      </w:r>
      <w:r>
        <w:rPr>
          <w:rFonts w:hint="default" w:ascii="仿宋_GB2312" w:hAnsi="仿宋_GB2312" w:eastAsia="仿宋_GB2312" w:cs="仿宋_GB2312"/>
          <w:b w:val="0"/>
          <w:bCs w:val="0"/>
          <w:snapToGrid/>
          <w:color w:val="000000"/>
          <w:spacing w:val="0"/>
          <w:kern w:val="21"/>
          <w:sz w:val="32"/>
          <w:szCs w:val="32"/>
          <w:u w:val="none" w:color="auto"/>
          <w:lang w:val="en-US" w:eastAsia="zh-CN"/>
        </w:rPr>
        <w:t>开展合作共建园区，围绕产业跨区域布局等方面开展务实合作，积极承接产业转移</w:t>
      </w:r>
      <w:r>
        <w:rPr>
          <w:rFonts w:hint="eastAsia" w:ascii="仿宋_GB2312" w:hAnsi="仿宋_GB2312" w:eastAsia="仿宋_GB2312" w:cs="仿宋_GB2312"/>
          <w:b w:val="0"/>
          <w:bCs w:val="0"/>
          <w:snapToGrid/>
          <w:color w:val="000000"/>
          <w:spacing w:val="0"/>
          <w:kern w:val="21"/>
          <w:sz w:val="32"/>
          <w:szCs w:val="32"/>
          <w:u w:val="none" w:color="auto"/>
          <w:lang w:val="en-US" w:eastAsia="zh-CN"/>
        </w:rPr>
        <w:t>。（</w:t>
      </w:r>
      <w:r>
        <w:rPr>
          <w:rFonts w:hint="eastAsia" w:ascii="楷体_GB2312" w:hAnsi="楷体_GB2312" w:eastAsia="楷体_GB2312" w:cs="楷体_GB2312"/>
          <w:b w:val="0"/>
          <w:bCs w:val="0"/>
          <w:snapToGrid/>
          <w:color w:val="000000"/>
          <w:spacing w:val="0"/>
          <w:kern w:val="21"/>
          <w:sz w:val="32"/>
          <w:szCs w:val="32"/>
          <w:u w:val="none" w:color="auto"/>
          <w:lang w:val="en-US" w:eastAsia="zh-CN"/>
        </w:rPr>
        <w:t>责任单位：市工信局、市发展改革委、市科技局</w:t>
      </w:r>
      <w:r>
        <w:rPr>
          <w:rFonts w:hint="eastAsia" w:ascii="仿宋_GB2312" w:hAnsi="仿宋_GB2312" w:eastAsia="仿宋_GB2312" w:cs="仿宋_GB2312"/>
          <w:b w:val="0"/>
          <w:bCs w:val="0"/>
          <w:snapToGrid/>
          <w:color w:val="000000"/>
          <w:spacing w:val="0"/>
          <w:kern w:val="21"/>
          <w:sz w:val="32"/>
          <w:szCs w:val="32"/>
          <w:u w:val="none" w:color="auto"/>
          <w:lang w:val="en-US" w:eastAsia="zh-CN"/>
        </w:rPr>
        <w:t>）</w:t>
      </w:r>
    </w:p>
    <w:p w14:paraId="7241AD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楷体_GB2312" w:hAnsi="楷体_GB2312" w:eastAsia="楷体_GB2312" w:cs="楷体_GB2312"/>
          <w:b/>
          <w:bCs/>
          <w:snapToGrid/>
          <w:color w:val="000000"/>
          <w:spacing w:val="0"/>
          <w:kern w:val="21"/>
          <w:sz w:val="32"/>
          <w:szCs w:val="32"/>
          <w:u w:val="none" w:color="auto"/>
          <w:lang w:val="en-US" w:eastAsia="zh-CN"/>
        </w:rPr>
        <w:t>2.城市服务加</w:t>
      </w:r>
      <w:r>
        <w:rPr>
          <w:rFonts w:hint="eastAsia" w:ascii="楷体_GB2312" w:hAnsi="楷体_GB2312" w:eastAsia="楷体_GB2312" w:cs="楷体_GB2312"/>
          <w:b/>
          <w:bCs/>
          <w:snapToGrid/>
          <w:color w:val="000000"/>
          <w:spacing w:val="0"/>
          <w:kern w:val="21"/>
          <w:sz w:val="32"/>
          <w:szCs w:val="32"/>
          <w:u w:val="none" w:color="auto"/>
          <w:lang w:val="en" w:eastAsia="zh-CN"/>
        </w:rPr>
        <w:t>力</w:t>
      </w:r>
      <w:r>
        <w:rPr>
          <w:rFonts w:hint="eastAsia" w:ascii="楷体_GB2312" w:hAnsi="楷体_GB2312" w:eastAsia="楷体_GB2312" w:cs="楷体_GB2312"/>
          <w:b/>
          <w:bCs/>
          <w:snapToGrid/>
          <w:color w:val="000000"/>
          <w:spacing w:val="0"/>
          <w:kern w:val="21"/>
          <w:sz w:val="32"/>
          <w:szCs w:val="32"/>
          <w:u w:val="none" w:color="auto"/>
          <w:lang w:val="en-US" w:eastAsia="zh-CN"/>
        </w:rPr>
        <w:t>拓体量。</w:t>
      </w:r>
      <w:r>
        <w:rPr>
          <w:rFonts w:hint="eastAsia" w:ascii="仿宋_GB2312" w:hAnsi="仿宋_GB2312" w:eastAsia="仿宋_GB2312" w:cs="仿宋_GB2312"/>
          <w:b w:val="0"/>
          <w:bCs w:val="0"/>
          <w:color w:val="auto"/>
          <w:kern w:val="0"/>
          <w:sz w:val="32"/>
          <w:szCs w:val="32"/>
          <w:u w:val="none"/>
          <w:lang w:val="en-US" w:eastAsia="zh-CN"/>
        </w:rPr>
        <w:t>按照城市服务型功能定位，全面提升甘州区市域首位度、区域竞争力、聚集带动力，辐射带动周边县域全面提升城市功能品质。一体推进老城区精致化改造提升和新城区精细化规划建设，大力实施城市更新行动，加快“四好”建设和“宁静小区”创建，持续提升宜居品质。健全“快进慢游”旅游交通体系，完善公共服务设施，打造更加宜游环境。盘活利用存量商业地产，培育发展楼宇经济、平台经济和总部经济，促进“产城人”深度融合，营造更加宜业环境。老城区合理布局文化创意、展示展览等“静”业态，新城区重点布局现代商业、体验消费等“动”业态，建设更加宜商环境。优化城区教育资源配置，提高优质教育资源覆盖面，持续提升宜学能级。加强城市公共设施无障碍建设和适老化改造，扩大社区养老服务有效供给，建设老年友好型城市。到2030年，甘州区城市建成区绿地率达到40%以上、常住人口城镇化率达到65%。</w:t>
      </w:r>
      <w:r>
        <w:rPr>
          <w:rFonts w:hint="eastAsia" w:ascii="仿宋_GB2312" w:hAnsi="仿宋_GB2312" w:eastAsia="仿宋_GB2312" w:cs="仿宋_GB2312"/>
          <w:b w:val="0"/>
          <w:bCs w:val="0"/>
          <w:snapToGrid/>
          <w:color w:val="000000"/>
          <w:spacing w:val="0"/>
          <w:kern w:val="21"/>
          <w:sz w:val="32"/>
          <w:szCs w:val="32"/>
          <w:u w:val="none" w:color="auto"/>
          <w:lang w:val="en-US" w:eastAsia="zh-CN"/>
        </w:rPr>
        <w:t>（</w:t>
      </w:r>
      <w:r>
        <w:rPr>
          <w:rFonts w:hint="eastAsia" w:ascii="楷体_GB2312" w:hAnsi="楷体_GB2312" w:eastAsia="楷体_GB2312" w:cs="楷体_GB2312"/>
          <w:b w:val="0"/>
          <w:bCs w:val="0"/>
          <w:snapToGrid/>
          <w:color w:val="000000"/>
          <w:spacing w:val="0"/>
          <w:kern w:val="21"/>
          <w:sz w:val="32"/>
          <w:szCs w:val="32"/>
          <w:u w:val="none" w:color="auto"/>
          <w:lang w:val="en-US" w:eastAsia="zh-CN"/>
        </w:rPr>
        <w:t>责任单位：市住建局、市交通运输局、市文广旅游局、市教育局、市民政局、市公安局、市发展改革委</w:t>
      </w:r>
      <w:r>
        <w:rPr>
          <w:rFonts w:hint="eastAsia" w:ascii="仿宋_GB2312" w:hAnsi="仿宋_GB2312" w:eastAsia="仿宋_GB2312" w:cs="仿宋_GB2312"/>
          <w:b w:val="0"/>
          <w:bCs w:val="0"/>
          <w:snapToGrid/>
          <w:color w:val="000000"/>
          <w:spacing w:val="0"/>
          <w:kern w:val="21"/>
          <w:sz w:val="32"/>
          <w:szCs w:val="32"/>
          <w:u w:val="none" w:color="auto"/>
          <w:lang w:val="en-US" w:eastAsia="zh-CN"/>
        </w:rPr>
        <w:t>）</w:t>
      </w:r>
    </w:p>
    <w:p w14:paraId="046CEC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仿宋_GB2312" w:hAnsi="仿宋_GB2312" w:eastAsia="仿宋_GB2312" w:cs="仿宋_GB2312"/>
          <w:b w:val="0"/>
          <w:bCs w:val="0"/>
          <w:snapToGrid/>
          <w:color w:val="000000"/>
          <w:spacing w:val="0"/>
          <w:kern w:val="21"/>
          <w:sz w:val="32"/>
          <w:szCs w:val="32"/>
          <w:u w:val="none" w:color="auto"/>
          <w:lang w:val="en-US" w:eastAsia="zh-CN"/>
        </w:rPr>
      </w:pPr>
      <w:r>
        <w:rPr>
          <w:rFonts w:hint="eastAsia" w:ascii="楷体_GB2312" w:hAnsi="楷体_GB2312" w:eastAsia="楷体_GB2312" w:cs="楷体_GB2312"/>
          <w:b/>
          <w:bCs/>
          <w:snapToGrid/>
          <w:color w:val="000000"/>
          <w:spacing w:val="0"/>
          <w:kern w:val="21"/>
          <w:sz w:val="32"/>
          <w:szCs w:val="32"/>
          <w:u w:val="none" w:color="auto"/>
          <w:lang w:val="en-US" w:eastAsia="zh-CN"/>
        </w:rPr>
        <w:t>3.农业优先加</w:t>
      </w:r>
      <w:r>
        <w:rPr>
          <w:rFonts w:hint="eastAsia" w:ascii="楷体_GB2312" w:hAnsi="楷体_GB2312" w:eastAsia="楷体_GB2312" w:cs="楷体_GB2312"/>
          <w:b/>
          <w:bCs/>
          <w:snapToGrid/>
          <w:color w:val="000000"/>
          <w:spacing w:val="0"/>
          <w:kern w:val="21"/>
          <w:sz w:val="32"/>
          <w:szCs w:val="32"/>
          <w:u w:val="none" w:color="auto"/>
          <w:lang w:val="en" w:eastAsia="zh-CN"/>
        </w:rPr>
        <w:t>力</w:t>
      </w:r>
      <w:r>
        <w:rPr>
          <w:rFonts w:hint="eastAsia" w:ascii="楷体_GB2312" w:hAnsi="楷体_GB2312" w:eastAsia="楷体_GB2312" w:cs="楷体_GB2312"/>
          <w:b/>
          <w:bCs/>
          <w:snapToGrid/>
          <w:color w:val="000000"/>
          <w:spacing w:val="0"/>
          <w:kern w:val="21"/>
          <w:sz w:val="32"/>
          <w:szCs w:val="32"/>
          <w:u w:val="none" w:color="auto"/>
          <w:lang w:val="en-US" w:eastAsia="zh-CN"/>
        </w:rPr>
        <w:t>提质量。</w:t>
      </w:r>
      <w:r>
        <w:rPr>
          <w:rFonts w:hint="eastAsia" w:ascii="仿宋_GB2312" w:hAnsi="仿宋_GB2312" w:eastAsia="仿宋_GB2312" w:cs="仿宋_GB2312"/>
          <w:b w:val="0"/>
          <w:bCs w:val="0"/>
          <w:snapToGrid/>
          <w:color w:val="000000"/>
          <w:spacing w:val="0"/>
          <w:kern w:val="21"/>
          <w:sz w:val="32"/>
          <w:szCs w:val="32"/>
          <w:u w:val="none" w:color="auto"/>
          <w:lang w:val="en-US" w:eastAsia="zh-CN"/>
        </w:rPr>
        <w:t>以现代农业产业发展体系为牵引，按照农业优先功能定位，巩固扩大临泽县领先优势，整体提升高台县、肃南县发展质效，以发展有机农产品为方向，深入实施扩量、提质、延链、增效行动，大力发展现代寒旱特色农业，加快创建在全省有引领示范作用的农业强县。坚决扛牢粮食安全政治责任。</w:t>
      </w:r>
      <w:r>
        <w:rPr>
          <w:rFonts w:hint="default" w:ascii="仿宋_GB2312" w:hAnsi="仿宋_GB2312" w:eastAsia="仿宋_GB2312" w:cs="仿宋_GB2312"/>
          <w:b w:val="0"/>
          <w:bCs w:val="0"/>
          <w:snapToGrid/>
          <w:color w:val="000000"/>
          <w:spacing w:val="0"/>
          <w:kern w:val="21"/>
          <w:sz w:val="32"/>
          <w:szCs w:val="32"/>
          <w:u w:val="none" w:color="auto"/>
          <w:lang w:val="en-US" w:eastAsia="zh-CN"/>
        </w:rPr>
        <w:t>构建高水平加工流通体系</w:t>
      </w:r>
      <w:r>
        <w:rPr>
          <w:rFonts w:hint="eastAsia" w:ascii="仿宋_GB2312" w:hAnsi="仿宋_GB2312" w:eastAsia="仿宋_GB2312" w:cs="仿宋_GB2312"/>
          <w:b w:val="0"/>
          <w:bCs w:val="0"/>
          <w:snapToGrid/>
          <w:color w:val="000000"/>
          <w:spacing w:val="0"/>
          <w:kern w:val="21"/>
          <w:sz w:val="32"/>
          <w:szCs w:val="32"/>
          <w:u w:val="none" w:color="auto"/>
          <w:lang w:val="en-US" w:eastAsia="zh-CN"/>
        </w:rPr>
        <w:t>，</w:t>
      </w:r>
      <w:r>
        <w:rPr>
          <w:rFonts w:hint="default" w:ascii="仿宋_GB2312" w:hAnsi="仿宋_GB2312" w:eastAsia="仿宋_GB2312" w:cs="仿宋_GB2312"/>
          <w:b w:val="0"/>
          <w:bCs w:val="0"/>
          <w:snapToGrid/>
          <w:color w:val="000000"/>
          <w:spacing w:val="0"/>
          <w:kern w:val="21"/>
          <w:sz w:val="32"/>
          <w:szCs w:val="32"/>
          <w:u w:val="none" w:color="auto"/>
          <w:lang w:val="en-US" w:eastAsia="zh-CN"/>
        </w:rPr>
        <w:t>提升农产品加工转化率，延伸农业产业链条。实施农业产业园区提质增效行动，引导研发、加工、流通等企业向园区集中。支持符合条件的县域申报实施国家现代农业产业园项目，鼓励符合条件的乡镇申报建设农业产业强镇。深入实施品牌营销战略，</w:t>
      </w:r>
      <w:r>
        <w:rPr>
          <w:rFonts w:hint="eastAsia" w:ascii="仿宋_GB2312" w:hAnsi="仿宋_GB2312" w:eastAsia="仿宋_GB2312" w:cs="仿宋_GB2312"/>
          <w:b w:val="0"/>
          <w:bCs w:val="0"/>
          <w:snapToGrid/>
          <w:color w:val="000000"/>
          <w:spacing w:val="0"/>
          <w:kern w:val="21"/>
          <w:sz w:val="32"/>
          <w:szCs w:val="32"/>
          <w:u w:val="none" w:color="auto"/>
          <w:lang w:val="en-US" w:eastAsia="zh-CN"/>
        </w:rPr>
        <w:t>把张掖玉米种子打造成世界知名的种子品牌。到2030年，临泽县、高台县、肃南县农产品加工转化率分别达到78%、75%、74%以上。（</w:t>
      </w:r>
      <w:r>
        <w:rPr>
          <w:rFonts w:hint="eastAsia" w:ascii="楷体_GB2312" w:hAnsi="楷体_GB2312" w:eastAsia="楷体_GB2312" w:cs="楷体_GB2312"/>
          <w:b w:val="0"/>
          <w:bCs w:val="0"/>
          <w:snapToGrid/>
          <w:color w:val="000000"/>
          <w:spacing w:val="0"/>
          <w:kern w:val="21"/>
          <w:sz w:val="32"/>
          <w:szCs w:val="32"/>
          <w:u w:val="none" w:color="auto"/>
          <w:lang w:val="en-US" w:eastAsia="zh-CN"/>
        </w:rPr>
        <w:t>责任单位：市农业农村局、市畜牧兽医局、市粮食局</w:t>
      </w:r>
      <w:r>
        <w:rPr>
          <w:rFonts w:hint="eastAsia" w:ascii="仿宋_GB2312" w:hAnsi="仿宋_GB2312" w:eastAsia="仿宋_GB2312" w:cs="仿宋_GB2312"/>
          <w:b w:val="0"/>
          <w:bCs w:val="0"/>
          <w:snapToGrid/>
          <w:color w:val="000000"/>
          <w:spacing w:val="0"/>
          <w:kern w:val="21"/>
          <w:sz w:val="32"/>
          <w:szCs w:val="32"/>
          <w:u w:val="none" w:color="auto"/>
          <w:lang w:val="en-US" w:eastAsia="zh-CN"/>
        </w:rPr>
        <w:t>）</w:t>
      </w:r>
    </w:p>
    <w:p w14:paraId="18ADAA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sz w:val="32"/>
          <w:szCs w:val="32"/>
          <w:lang w:val="en-US" w:eastAsia="zh-CN"/>
        </w:rPr>
      </w:pPr>
      <w:r>
        <w:rPr>
          <w:rFonts w:hint="eastAsia" w:ascii="楷体_GB2312" w:hAnsi="楷体_GB2312" w:eastAsia="楷体_GB2312" w:cs="楷体_GB2312"/>
          <w:b/>
          <w:bCs/>
          <w:snapToGrid/>
          <w:color w:val="000000"/>
          <w:spacing w:val="0"/>
          <w:kern w:val="21"/>
          <w:sz w:val="32"/>
          <w:szCs w:val="32"/>
          <w:u w:val="none" w:color="auto"/>
          <w:lang w:val="en-US" w:eastAsia="zh-CN"/>
        </w:rPr>
        <w:t>4.文旅赋能加</w:t>
      </w:r>
      <w:r>
        <w:rPr>
          <w:rFonts w:hint="eastAsia" w:ascii="楷体_GB2312" w:hAnsi="楷体_GB2312" w:eastAsia="楷体_GB2312" w:cs="楷体_GB2312"/>
          <w:b/>
          <w:bCs/>
          <w:snapToGrid/>
          <w:color w:val="000000"/>
          <w:spacing w:val="0"/>
          <w:kern w:val="21"/>
          <w:sz w:val="32"/>
          <w:szCs w:val="32"/>
          <w:u w:val="none" w:color="auto"/>
          <w:lang w:val="en" w:eastAsia="zh-CN"/>
        </w:rPr>
        <w:t>力</w:t>
      </w:r>
      <w:r>
        <w:rPr>
          <w:rFonts w:hint="eastAsia" w:ascii="楷体_GB2312" w:hAnsi="楷体_GB2312" w:eastAsia="楷体_GB2312" w:cs="楷体_GB2312"/>
          <w:b/>
          <w:bCs/>
          <w:snapToGrid/>
          <w:color w:val="000000"/>
          <w:spacing w:val="0"/>
          <w:kern w:val="21"/>
          <w:sz w:val="32"/>
          <w:szCs w:val="32"/>
          <w:u w:val="none" w:color="auto"/>
          <w:lang w:val="en-US" w:eastAsia="zh-CN"/>
        </w:rPr>
        <w:t>挖潜量。</w:t>
      </w:r>
      <w:r>
        <w:rPr>
          <w:rFonts w:hint="eastAsia" w:ascii="仿宋_GB2312" w:eastAsia="仿宋_GB2312"/>
          <w:sz w:val="32"/>
          <w:szCs w:val="32"/>
          <w:lang w:val="en-US" w:eastAsia="zh-CN"/>
        </w:rPr>
        <w:t>开展文化旅游赋能行动，打响“丝路明珠、彩虹张掖”品牌。按照文旅赋能功能定位，突出临泽县文旅优势，放大七彩丹霞景区“金”字招牌效应，加快文体旅、文商旅、农文旅融合发展，加快打造在全省具有较高知名度和美誉度的旅游名县。以打造国际知名旅游目的地为目标，发挥精品景区龙头带动作用，打造特色鲜明的复合型精品特色旅游线路。推动七彩丹霞景区争创</w:t>
      </w:r>
      <w:r>
        <w:rPr>
          <w:rFonts w:hint="eastAsia" w:ascii="仿宋_GB2312" w:eastAsia="仿宋_GB2312"/>
          <w:sz w:val="32"/>
          <w:szCs w:val="32"/>
          <w:rtl w:val="0"/>
          <w:lang w:val="en-US" w:eastAsia="zh-CN"/>
        </w:rPr>
        <w:t>世界级旅游景区、世界自然遗产、国内有重要影响的低空旅游目的地，</w:t>
      </w:r>
      <w:r>
        <w:rPr>
          <w:rFonts w:hint="eastAsia" w:ascii="仿宋_GB2312" w:eastAsia="仿宋_GB2312"/>
          <w:sz w:val="32"/>
          <w:szCs w:val="32"/>
          <w:lang w:val="en-US" w:eastAsia="zh-CN"/>
        </w:rPr>
        <w:t>抓好丹霞小镇二期、世界地质公园数字科普馆等项目，按照国际标准优化完善游客接待、停车充电、旅游购物、餐饮住宿等设施，大力发展“景区+演艺”“非遗+文创”“夜游+露营”等模式，提升景区影响力和带动力。坚持品牌引领与品质提升，开展乡村旅游“微改造、精提升”，系统实施乡村旅游精品工程。培育主题民宿集群，创新发展“民宿+”融合业态。到2030年，七彩丹霞景区年接待游客突破400万人次。</w:t>
      </w:r>
      <w:r>
        <w:rPr>
          <w:rFonts w:hint="eastAsia" w:ascii="仿宋_GB2312" w:hAnsi="仿宋_GB2312" w:eastAsia="仿宋_GB2312" w:cs="仿宋_GB2312"/>
          <w:b w:val="0"/>
          <w:bCs w:val="0"/>
          <w:snapToGrid/>
          <w:color w:val="000000"/>
          <w:spacing w:val="0"/>
          <w:kern w:val="21"/>
          <w:sz w:val="32"/>
          <w:szCs w:val="32"/>
          <w:u w:val="none" w:color="auto"/>
          <w:lang w:val="en-US" w:eastAsia="zh-CN"/>
        </w:rPr>
        <w:t>（</w:t>
      </w:r>
      <w:r>
        <w:rPr>
          <w:rFonts w:hint="eastAsia" w:ascii="楷体_GB2312" w:hAnsi="楷体_GB2312" w:eastAsia="楷体_GB2312" w:cs="楷体_GB2312"/>
          <w:b w:val="0"/>
          <w:bCs w:val="0"/>
          <w:snapToGrid/>
          <w:color w:val="000000"/>
          <w:spacing w:val="0"/>
          <w:kern w:val="21"/>
          <w:sz w:val="32"/>
          <w:szCs w:val="32"/>
          <w:u w:val="none" w:color="auto"/>
          <w:lang w:val="en-US" w:eastAsia="zh-CN"/>
        </w:rPr>
        <w:t>责任单位：市文广旅游局、市体育局、市商务局、市农业农村局</w:t>
      </w:r>
      <w:r>
        <w:rPr>
          <w:rFonts w:hint="eastAsia" w:ascii="仿宋_GB2312" w:hAnsi="仿宋_GB2312" w:eastAsia="仿宋_GB2312" w:cs="仿宋_GB2312"/>
          <w:b w:val="0"/>
          <w:bCs w:val="0"/>
          <w:snapToGrid/>
          <w:color w:val="000000"/>
          <w:spacing w:val="0"/>
          <w:kern w:val="21"/>
          <w:sz w:val="32"/>
          <w:szCs w:val="32"/>
          <w:u w:val="none" w:color="auto"/>
          <w:lang w:val="en-US" w:eastAsia="zh-CN"/>
        </w:rPr>
        <w:t>）</w:t>
      </w:r>
    </w:p>
    <w:p w14:paraId="37394A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snapToGrid/>
          <w:color w:val="000000"/>
          <w:spacing w:val="0"/>
          <w:kern w:val="21"/>
          <w:sz w:val="32"/>
          <w:szCs w:val="32"/>
          <w:u w:val="none" w:color="auto"/>
          <w:lang w:val="en-US" w:eastAsia="zh-CN"/>
        </w:rPr>
      </w:pPr>
      <w:r>
        <w:rPr>
          <w:rFonts w:hint="eastAsia" w:ascii="楷体_GB2312" w:hAnsi="楷体_GB2312" w:eastAsia="楷体_GB2312" w:cs="楷体_GB2312"/>
          <w:b/>
          <w:bCs/>
          <w:snapToGrid/>
          <w:color w:val="000000"/>
          <w:spacing w:val="0"/>
          <w:kern w:val="21"/>
          <w:sz w:val="32"/>
          <w:szCs w:val="32"/>
          <w:u w:val="none" w:color="auto"/>
          <w:lang w:val="en-US" w:eastAsia="zh-CN"/>
        </w:rPr>
        <w:t>5.生态功能加</w:t>
      </w:r>
      <w:r>
        <w:rPr>
          <w:rFonts w:hint="eastAsia" w:ascii="楷体_GB2312" w:hAnsi="楷体_GB2312" w:eastAsia="楷体_GB2312" w:cs="楷体_GB2312"/>
          <w:b/>
          <w:bCs/>
          <w:snapToGrid/>
          <w:color w:val="000000"/>
          <w:spacing w:val="0"/>
          <w:kern w:val="21"/>
          <w:sz w:val="32"/>
          <w:szCs w:val="32"/>
          <w:u w:val="none" w:color="auto"/>
          <w:lang w:val="en" w:eastAsia="zh-CN"/>
        </w:rPr>
        <w:t>力</w:t>
      </w:r>
      <w:r>
        <w:rPr>
          <w:rFonts w:hint="eastAsia" w:ascii="楷体_GB2312" w:hAnsi="楷体_GB2312" w:eastAsia="楷体_GB2312" w:cs="楷体_GB2312"/>
          <w:b/>
          <w:bCs/>
          <w:snapToGrid/>
          <w:color w:val="000000"/>
          <w:spacing w:val="0"/>
          <w:kern w:val="21"/>
          <w:sz w:val="32"/>
          <w:szCs w:val="32"/>
          <w:u w:val="none" w:color="auto"/>
          <w:lang w:val="en-US" w:eastAsia="zh-CN"/>
        </w:rPr>
        <w:t>增容量。</w:t>
      </w:r>
      <w:r>
        <w:rPr>
          <w:rFonts w:hint="eastAsia" w:ascii="仿宋_GB2312" w:hAnsi="仿宋_GB2312" w:eastAsia="仿宋_GB2312" w:cs="仿宋_GB2312"/>
          <w:b w:val="0"/>
          <w:bCs w:val="0"/>
          <w:snapToGrid/>
          <w:color w:val="000000"/>
          <w:spacing w:val="0"/>
          <w:kern w:val="21"/>
          <w:sz w:val="32"/>
          <w:szCs w:val="32"/>
          <w:u w:val="none" w:color="auto"/>
          <w:lang w:val="en-US" w:eastAsia="zh-CN"/>
        </w:rPr>
        <w:t>坚持主体功能定位，按照生态功能选型方向，厚植肃南县生态底色，优化提升山丹县、民乐县重点生态功能区保护建设质量和生态空间、生态价值，打造产业发展与生态保护协同共生的特色县域。坚持山水林田湖草沙一体保护和系统治理，加快构建以祁连山国家公园为主体的自然保护地体系，深入实施林草湿荒一体化保护修复、祁连山北麓水源涵养与生态保护修复、生物多样性保护、森林质量提升、草原修复治理等重大生态工程，持续巩固祁连山及外围区域生态环境整治成效，协同推进降碳、减污、扩绿、增长，全域提升生态环境质量。强化水资源总量和强度刚性约束,全面推行和深化水预算管理。</w:t>
      </w:r>
      <w:r>
        <w:rPr>
          <w:rFonts w:hint="default" w:ascii="仿宋_GB2312" w:hAnsi="仿宋_GB2312" w:eastAsia="仿宋_GB2312" w:cs="仿宋_GB2312"/>
          <w:b w:val="0"/>
          <w:bCs w:val="0"/>
          <w:snapToGrid/>
          <w:color w:val="000000"/>
          <w:spacing w:val="0"/>
          <w:kern w:val="21"/>
          <w:sz w:val="32"/>
          <w:szCs w:val="32"/>
          <w:u w:val="none" w:color="auto"/>
          <w:lang w:val="en-US" w:eastAsia="zh-CN"/>
        </w:rPr>
        <w:t>着力增强绿色发展动能，拓宽生态价值转化路径。推动产业生态化与生态产业化，培育经营主体，发展林下种养殖业，构建林产业全产业链。加快现代草产业和沙产业发展。</w:t>
      </w:r>
      <w:r>
        <w:rPr>
          <w:rFonts w:hint="eastAsia" w:ascii="仿宋_GB2312" w:hAnsi="仿宋_GB2312" w:eastAsia="仿宋_GB2312" w:cs="仿宋_GB2312"/>
          <w:b w:val="0"/>
          <w:bCs w:val="0"/>
          <w:snapToGrid/>
          <w:color w:val="000000"/>
          <w:spacing w:val="0"/>
          <w:kern w:val="21"/>
          <w:sz w:val="32"/>
          <w:szCs w:val="32"/>
          <w:u w:val="none" w:color="auto"/>
          <w:lang w:val="en-US" w:eastAsia="zh-CN"/>
        </w:rPr>
        <w:t>全面落实精准科学依法治污，开展空气质量持续改善行动，统筹推进水环境、水资源、水生态治理，改造城乡污水收集处理设施，全面完成类型特色指标分年度重点任务。（</w:t>
      </w:r>
      <w:r>
        <w:rPr>
          <w:rFonts w:hint="eastAsia" w:ascii="楷体_GB2312" w:hAnsi="楷体_GB2312" w:eastAsia="楷体_GB2312" w:cs="楷体_GB2312"/>
          <w:b w:val="0"/>
          <w:bCs w:val="0"/>
          <w:snapToGrid/>
          <w:color w:val="000000"/>
          <w:spacing w:val="0"/>
          <w:kern w:val="21"/>
          <w:sz w:val="32"/>
          <w:szCs w:val="32"/>
          <w:u w:val="none" w:color="auto"/>
          <w:lang w:val="en-US" w:eastAsia="zh-CN"/>
        </w:rPr>
        <w:t>责任单位：市生态环境局、市自然资源局、市林草局、市水务局、市发展改革委、市住建局、市农业农村局</w:t>
      </w:r>
      <w:r>
        <w:rPr>
          <w:rFonts w:hint="eastAsia" w:ascii="仿宋_GB2312" w:hAnsi="仿宋_GB2312" w:eastAsia="仿宋_GB2312" w:cs="仿宋_GB2312"/>
          <w:b w:val="0"/>
          <w:bCs w:val="0"/>
          <w:snapToGrid/>
          <w:color w:val="000000"/>
          <w:spacing w:val="0"/>
          <w:kern w:val="21"/>
          <w:sz w:val="32"/>
          <w:szCs w:val="32"/>
          <w:u w:val="none" w:color="auto"/>
          <w:lang w:val="en-US" w:eastAsia="zh-CN"/>
        </w:rPr>
        <w:t>）</w:t>
      </w:r>
    </w:p>
    <w:p w14:paraId="56C4D98E">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黑体" w:hAnsi="黑体" w:eastAsia="黑体" w:cs="黑体"/>
          <w:b w:val="0"/>
          <w:bCs w:val="0"/>
          <w:color w:val="auto"/>
          <w:kern w:val="0"/>
          <w:sz w:val="32"/>
          <w:szCs w:val="32"/>
          <w:u w:val="none"/>
        </w:rPr>
      </w:pPr>
      <w:r>
        <w:rPr>
          <w:rFonts w:hint="eastAsia" w:ascii="黑体" w:hAnsi="黑体" w:eastAsia="黑体" w:cs="黑体"/>
          <w:b w:val="0"/>
          <w:bCs w:val="0"/>
          <w:color w:val="auto"/>
          <w:kern w:val="0"/>
          <w:sz w:val="32"/>
          <w:szCs w:val="32"/>
          <w:u w:val="none"/>
        </w:rPr>
        <w:t>四、保障措施</w:t>
      </w:r>
    </w:p>
    <w:p w14:paraId="5759B7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仿宋_GB2312" w:hAnsi="仿宋_GB2312" w:eastAsia="仿宋_GB2312" w:cs="仿宋_GB2312"/>
          <w:b w:val="0"/>
          <w:bCs w:val="0"/>
          <w:snapToGrid/>
          <w:color w:val="000000"/>
          <w:spacing w:val="0"/>
          <w:kern w:val="21"/>
          <w:sz w:val="32"/>
          <w:szCs w:val="32"/>
          <w:u w:val="none" w:color="auto"/>
          <w:lang w:val="en-US" w:eastAsia="zh-CN"/>
        </w:rPr>
      </w:pPr>
      <w:r>
        <w:rPr>
          <w:rFonts w:hint="eastAsia" w:ascii="楷体_GB2312" w:hAnsi="楷体_GB2312" w:eastAsia="楷体_GB2312" w:cs="楷体_GB2312"/>
          <w:b/>
          <w:bCs/>
          <w:snapToGrid/>
          <w:color w:val="000000" w:themeColor="text1"/>
          <w:spacing w:val="0"/>
          <w:kern w:val="21"/>
          <w:sz w:val="32"/>
          <w:szCs w:val="32"/>
          <w:u w:val="none" w:color="auto"/>
          <w:lang w:val="en-US" w:eastAsia="zh-CN"/>
          <w14:textFill>
            <w14:solidFill>
              <w14:schemeClr w14:val="tx1"/>
            </w14:solidFill>
          </w14:textFill>
        </w:rPr>
        <w:t>1.</w:t>
      </w:r>
      <w:r>
        <w:rPr>
          <w:rFonts w:hint="default" w:ascii="楷体_GB2312" w:hAnsi="楷体_GB2312" w:eastAsia="楷体_GB2312" w:cs="楷体_GB2312"/>
          <w:b/>
          <w:bCs/>
          <w:snapToGrid/>
          <w:color w:val="000000" w:themeColor="text1"/>
          <w:spacing w:val="0"/>
          <w:kern w:val="21"/>
          <w:sz w:val="32"/>
          <w:szCs w:val="32"/>
          <w:u w:val="none" w:color="auto"/>
          <w:lang w:val="en-US" w:eastAsia="zh-CN"/>
          <w14:textFill>
            <w14:solidFill>
              <w14:schemeClr w14:val="tx1"/>
            </w14:solidFill>
          </w14:textFill>
        </w:rPr>
        <w:t>优化县域营商环境</w:t>
      </w:r>
      <w:r>
        <w:rPr>
          <w:rFonts w:hint="eastAsia" w:ascii="楷体_GB2312" w:hAnsi="楷体_GB2312" w:eastAsia="楷体_GB2312" w:cs="楷体_GB2312"/>
          <w:b/>
          <w:bCs/>
          <w:snapToGrid/>
          <w:color w:val="000000" w:themeColor="text1"/>
          <w:spacing w:val="0"/>
          <w:kern w:val="21"/>
          <w:sz w:val="32"/>
          <w:szCs w:val="32"/>
          <w:u w:val="none" w:color="auto"/>
          <w:lang w:val="en-US" w:eastAsia="zh-CN"/>
          <w14:textFill>
            <w14:solidFill>
              <w14:schemeClr w14:val="tx1"/>
            </w14:solidFill>
          </w14:textFill>
        </w:rPr>
        <w:t>。</w:t>
      </w:r>
      <w:r>
        <w:rPr>
          <w:rFonts w:hint="default" w:ascii="仿宋_GB2312" w:hAnsi="仿宋_GB2312" w:eastAsia="仿宋_GB2312" w:cs="仿宋_GB2312"/>
          <w:b w:val="0"/>
          <w:bCs w:val="0"/>
          <w:snapToGrid/>
          <w:color w:val="000000" w:themeColor="text1"/>
          <w:spacing w:val="0"/>
          <w:kern w:val="21"/>
          <w:sz w:val="32"/>
          <w:szCs w:val="32"/>
          <w:u w:val="none" w:color="auto"/>
          <w:lang w:val="en-US" w:eastAsia="zh-CN"/>
          <w14:textFill>
            <w14:solidFill>
              <w14:schemeClr w14:val="tx1"/>
            </w14:solidFill>
          </w14:textFill>
        </w:rPr>
        <w:t>深化县域“数</w:t>
      </w:r>
      <w:r>
        <w:rPr>
          <w:rFonts w:hint="default" w:ascii="仿宋_GB2312" w:hAnsi="仿宋_GB2312" w:eastAsia="仿宋_GB2312" w:cs="仿宋_GB2312"/>
          <w:b w:val="0"/>
          <w:bCs w:val="0"/>
          <w:snapToGrid/>
          <w:color w:val="000000"/>
          <w:spacing w:val="0"/>
          <w:kern w:val="21"/>
          <w:sz w:val="32"/>
          <w:szCs w:val="32"/>
          <w:u w:val="none" w:color="auto"/>
          <w:lang w:val="en-US" w:eastAsia="zh-CN"/>
        </w:rPr>
        <w:t>字政府+营商环境”改革，推动更多政务服务事项“一窗受理、集成服务”。常态化开展“政策找企”行动。</w:t>
      </w:r>
      <w:r>
        <w:rPr>
          <w:rFonts w:hint="eastAsia" w:ascii="仿宋_GB2312" w:hAnsi="仿宋_GB2312" w:eastAsia="仿宋_GB2312" w:cs="仿宋_GB2312"/>
          <w:b w:val="0"/>
          <w:bCs w:val="0"/>
          <w:snapToGrid/>
          <w:color w:val="000000"/>
          <w:spacing w:val="0"/>
          <w:kern w:val="21"/>
          <w:sz w:val="32"/>
          <w:szCs w:val="32"/>
          <w:u w:val="none" w:color="auto"/>
          <w:lang w:val="en-US" w:eastAsia="zh-CN"/>
        </w:rPr>
        <w:t>常态化纠治</w:t>
      </w:r>
      <w:r>
        <w:rPr>
          <w:rFonts w:hint="default" w:ascii="仿宋_GB2312" w:hAnsi="仿宋_GB2312" w:eastAsia="仿宋_GB2312" w:cs="仿宋_GB2312"/>
          <w:b w:val="0"/>
          <w:bCs w:val="0"/>
          <w:snapToGrid/>
          <w:color w:val="000000"/>
          <w:spacing w:val="0"/>
          <w:kern w:val="21"/>
          <w:sz w:val="32"/>
          <w:szCs w:val="32"/>
          <w:u w:val="none" w:color="auto"/>
          <w:lang w:val="en-US" w:eastAsia="zh-CN"/>
        </w:rPr>
        <w:t>涉企</w:t>
      </w:r>
      <w:r>
        <w:rPr>
          <w:rFonts w:hint="eastAsia" w:ascii="仿宋_GB2312" w:hAnsi="仿宋_GB2312" w:eastAsia="仿宋_GB2312" w:cs="仿宋_GB2312"/>
          <w:b w:val="0"/>
          <w:bCs w:val="0"/>
          <w:snapToGrid/>
          <w:color w:val="000000"/>
          <w:spacing w:val="0"/>
          <w:kern w:val="21"/>
          <w:sz w:val="32"/>
          <w:szCs w:val="32"/>
          <w:u w:val="none" w:color="auto"/>
          <w:lang w:val="en-US" w:eastAsia="zh-CN"/>
        </w:rPr>
        <w:t>行政</w:t>
      </w:r>
      <w:r>
        <w:rPr>
          <w:rFonts w:hint="default" w:ascii="仿宋_GB2312" w:hAnsi="仿宋_GB2312" w:eastAsia="仿宋_GB2312" w:cs="仿宋_GB2312"/>
          <w:b w:val="0"/>
          <w:bCs w:val="0"/>
          <w:snapToGrid/>
          <w:color w:val="000000"/>
          <w:spacing w:val="0"/>
          <w:kern w:val="21"/>
          <w:sz w:val="32"/>
          <w:szCs w:val="32"/>
          <w:u w:val="none" w:color="auto"/>
          <w:lang w:val="en-US" w:eastAsia="zh-CN"/>
        </w:rPr>
        <w:t>执法</w:t>
      </w:r>
      <w:r>
        <w:rPr>
          <w:rFonts w:hint="eastAsia" w:ascii="仿宋_GB2312" w:hAnsi="仿宋_GB2312" w:eastAsia="仿宋_GB2312" w:cs="仿宋_GB2312"/>
          <w:b w:val="0"/>
          <w:bCs w:val="0"/>
          <w:snapToGrid/>
          <w:color w:val="000000"/>
          <w:spacing w:val="0"/>
          <w:kern w:val="21"/>
          <w:sz w:val="32"/>
          <w:szCs w:val="32"/>
          <w:u w:val="none" w:color="auto"/>
          <w:lang w:val="en-US" w:eastAsia="zh-CN"/>
        </w:rPr>
        <w:t>突出问题</w:t>
      </w:r>
      <w:r>
        <w:rPr>
          <w:rFonts w:hint="default" w:ascii="仿宋_GB2312" w:hAnsi="仿宋_GB2312" w:eastAsia="仿宋_GB2312" w:cs="仿宋_GB2312"/>
          <w:b w:val="0"/>
          <w:bCs w:val="0"/>
          <w:snapToGrid/>
          <w:color w:val="000000"/>
          <w:spacing w:val="0"/>
          <w:kern w:val="21"/>
          <w:sz w:val="32"/>
          <w:szCs w:val="32"/>
          <w:u w:val="none" w:color="auto"/>
          <w:lang w:val="en-US" w:eastAsia="zh-CN"/>
        </w:rPr>
        <w:t>，规范涉企收费行为，依法保障企业合法权益。规范县域招商引资行为。</w:t>
      </w:r>
      <w:r>
        <w:rPr>
          <w:rFonts w:hint="eastAsia" w:ascii="楷体_GB2312" w:hAnsi="楷体_GB2312" w:eastAsia="楷体_GB2312" w:cs="楷体_GB2312"/>
          <w:b w:val="0"/>
          <w:bCs w:val="0"/>
          <w:snapToGrid/>
          <w:color w:val="000000"/>
          <w:spacing w:val="0"/>
          <w:kern w:val="21"/>
          <w:sz w:val="32"/>
          <w:szCs w:val="32"/>
          <w:u w:val="none" w:color="auto"/>
          <w:lang w:val="en-US" w:eastAsia="zh-CN"/>
        </w:rPr>
        <w:t>（责任单位：市发展改革委、市司法局、市市场监管局、市招商局）</w:t>
      </w:r>
    </w:p>
    <w:p w14:paraId="50F39E06">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left"/>
        <w:textAlignment w:val="auto"/>
        <w:rPr>
          <w:rFonts w:hint="eastAsia" w:ascii="仿宋_GB2312" w:hAnsi="仿宋_GB2312" w:eastAsia="仿宋_GB2312" w:cs="仿宋_GB2312"/>
          <w:b w:val="0"/>
          <w:bCs w:val="0"/>
          <w:color w:val="auto"/>
          <w:kern w:val="0"/>
          <w:sz w:val="32"/>
          <w:szCs w:val="32"/>
          <w:u w:val="none"/>
          <w:lang w:eastAsia="zh-CN"/>
        </w:rPr>
      </w:pPr>
      <w:r>
        <w:rPr>
          <w:rFonts w:hint="default" w:ascii="楷体_GB2312" w:hAnsi="楷体_GB2312" w:eastAsia="楷体_GB2312" w:cs="楷体_GB2312"/>
          <w:b/>
          <w:bCs/>
          <w:snapToGrid/>
          <w:color w:val="000000" w:themeColor="text1"/>
          <w:spacing w:val="0"/>
          <w:kern w:val="21"/>
          <w:sz w:val="32"/>
          <w:szCs w:val="32"/>
          <w:u w:val="none" w:color="auto"/>
          <w:lang w:val="en-US" w:eastAsia="zh-CN"/>
          <w14:textFill>
            <w14:solidFill>
              <w14:schemeClr w14:val="tx1"/>
            </w14:solidFill>
          </w14:textFill>
        </w:rPr>
        <w:t>2.</w:t>
      </w:r>
      <w:r>
        <w:rPr>
          <w:rFonts w:hint="eastAsia" w:ascii="楷体_GB2312" w:hAnsi="楷体_GB2312" w:eastAsia="楷体_GB2312" w:cs="楷体_GB2312"/>
          <w:b/>
          <w:bCs/>
          <w:snapToGrid/>
          <w:color w:val="000000" w:themeColor="text1"/>
          <w:spacing w:val="0"/>
          <w:kern w:val="21"/>
          <w:sz w:val="32"/>
          <w:szCs w:val="32"/>
          <w:u w:val="none" w:color="auto"/>
          <w:lang w:val="en-US" w:eastAsia="zh-CN"/>
          <w14:textFill>
            <w14:solidFill>
              <w14:schemeClr w14:val="tx1"/>
            </w14:solidFill>
          </w14:textFill>
        </w:rPr>
        <w:t>激发县域发展活力。</w:t>
      </w:r>
      <w:r>
        <w:rPr>
          <w:rFonts w:hint="eastAsia" w:ascii="仿宋_GB2312" w:hAnsi="仿宋_GB2312" w:eastAsia="仿宋_GB2312" w:cs="仿宋_GB2312"/>
          <w:b w:val="0"/>
          <w:bCs w:val="0"/>
          <w:color w:val="auto"/>
          <w:kern w:val="0"/>
          <w:sz w:val="32"/>
          <w:szCs w:val="32"/>
          <w:u w:val="none"/>
          <w:lang w:eastAsia="zh-CN"/>
        </w:rPr>
        <w:t>合理适度举借政府债务，持续推进专项债券全生命周期管理，切实防范法定债务风险。树立和践行正确政绩观，有力有序化解地方政府隐性债务，依法合规建设政府投资项目，坚决遏制新增隐性债务。</w:t>
      </w:r>
      <w:r>
        <w:rPr>
          <w:rFonts w:hint="eastAsia" w:ascii="仿宋_GB2312" w:hAnsi="仿宋_GB2312" w:eastAsia="仿宋_GB2312" w:cs="仿宋_GB2312"/>
          <w:b w:val="0"/>
          <w:bCs w:val="0"/>
          <w:snapToGrid/>
          <w:color w:val="000000"/>
          <w:spacing w:val="0"/>
          <w:kern w:val="21"/>
          <w:sz w:val="32"/>
          <w:szCs w:val="32"/>
          <w:u w:val="none" w:color="auto"/>
          <w:lang w:val="en-US" w:eastAsia="zh-CN"/>
        </w:rPr>
        <w:t>依法依规推动</w:t>
      </w:r>
      <w:r>
        <w:rPr>
          <w:rFonts w:hint="default" w:ascii="仿宋_GB2312" w:hAnsi="仿宋_GB2312" w:eastAsia="仿宋_GB2312" w:cs="仿宋_GB2312"/>
          <w:b w:val="0"/>
          <w:bCs w:val="0"/>
          <w:snapToGrid/>
          <w:color w:val="000000"/>
          <w:spacing w:val="0"/>
          <w:kern w:val="21"/>
          <w:sz w:val="32"/>
          <w:szCs w:val="32"/>
          <w:u w:val="none" w:color="auto"/>
          <w:lang w:val="en-US" w:eastAsia="zh-CN"/>
        </w:rPr>
        <w:t>扩权强县</w:t>
      </w:r>
      <w:r>
        <w:rPr>
          <w:rFonts w:hint="eastAsia" w:ascii="仿宋_GB2312" w:hAnsi="仿宋_GB2312" w:eastAsia="仿宋_GB2312" w:cs="仿宋_GB2312"/>
          <w:b w:val="0"/>
          <w:bCs w:val="0"/>
          <w:snapToGrid/>
          <w:color w:val="000000"/>
          <w:spacing w:val="0"/>
          <w:kern w:val="21"/>
          <w:sz w:val="32"/>
          <w:szCs w:val="32"/>
          <w:u w:val="none" w:color="auto"/>
          <w:lang w:val="en-US" w:eastAsia="zh-CN"/>
        </w:rPr>
        <w:t>等</w:t>
      </w:r>
      <w:r>
        <w:rPr>
          <w:rFonts w:hint="default" w:ascii="仿宋_GB2312" w:hAnsi="仿宋_GB2312" w:eastAsia="仿宋_GB2312" w:cs="仿宋_GB2312"/>
          <w:b w:val="0"/>
          <w:bCs w:val="0"/>
          <w:snapToGrid/>
          <w:color w:val="000000"/>
          <w:spacing w:val="0"/>
          <w:kern w:val="21"/>
          <w:sz w:val="32"/>
          <w:szCs w:val="32"/>
          <w:u w:val="none" w:color="auto"/>
          <w:lang w:val="en-US" w:eastAsia="zh-CN"/>
        </w:rPr>
        <w:t>改革试点，稳妥下放经济管理权限。</w:t>
      </w:r>
      <w:r>
        <w:rPr>
          <w:rFonts w:hint="eastAsia" w:ascii="仿宋_GB2312" w:hAnsi="仿宋_GB2312" w:eastAsia="仿宋_GB2312" w:cs="仿宋_GB2312"/>
          <w:b w:val="0"/>
          <w:bCs w:val="0"/>
          <w:color w:val="auto"/>
          <w:kern w:val="0"/>
          <w:sz w:val="32"/>
          <w:szCs w:val="32"/>
          <w:u w:val="none"/>
          <w:lang w:eastAsia="zh-CN"/>
        </w:rPr>
        <w:t>加快要素市场化和高质量市场体系建设，深化农村产权制度改革。（</w:t>
      </w:r>
      <w:r>
        <w:rPr>
          <w:rFonts w:hint="eastAsia" w:ascii="楷体_GB2312" w:hAnsi="楷体_GB2312" w:eastAsia="楷体_GB2312" w:cs="楷体_GB2312"/>
          <w:b w:val="0"/>
          <w:bCs w:val="0"/>
          <w:snapToGrid/>
          <w:color w:val="000000"/>
          <w:spacing w:val="0"/>
          <w:kern w:val="21"/>
          <w:sz w:val="32"/>
          <w:szCs w:val="32"/>
          <w:u w:val="none" w:color="auto"/>
          <w:lang w:val="en-US" w:eastAsia="zh-CN"/>
        </w:rPr>
        <w:t>责任单位：市财政局、市发展改革委、市委编办、市市场监管局、市农业农村局）</w:t>
      </w:r>
    </w:p>
    <w:p w14:paraId="59E67035">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left"/>
        <w:textAlignment w:val="auto"/>
        <w:rPr>
          <w:rFonts w:hint="default" w:ascii="Times New Roman" w:hAnsi="Times New Roman" w:eastAsia="仿宋_GB2312" w:cs="仿宋_GB2312"/>
          <w:b w:val="0"/>
          <w:bCs w:val="0"/>
          <w:snapToGrid w:val="0"/>
          <w:color w:val="auto"/>
          <w:spacing w:val="0"/>
          <w:kern w:val="0"/>
          <w:sz w:val="32"/>
          <w:szCs w:val="32"/>
          <w:highlight w:val="none"/>
          <w:u w:val="none"/>
          <w:lang w:val="en-US" w:eastAsia="zh-CN"/>
        </w:rPr>
      </w:pPr>
      <w:r>
        <w:rPr>
          <w:rFonts w:hint="eastAsia" w:ascii="楷体_GB2312" w:hAnsi="楷体_GB2312" w:eastAsia="楷体_GB2312" w:cs="楷体_GB2312"/>
          <w:b/>
          <w:bCs/>
          <w:snapToGrid/>
          <w:color w:val="000000" w:themeColor="text1"/>
          <w:spacing w:val="0"/>
          <w:kern w:val="21"/>
          <w:sz w:val="32"/>
          <w:szCs w:val="32"/>
          <w:u w:val="none" w:color="auto"/>
          <w:lang w:val="en-US" w:eastAsia="zh-CN"/>
          <w14:textFill>
            <w14:solidFill>
              <w14:schemeClr w14:val="tx1"/>
            </w14:solidFill>
          </w14:textFill>
        </w:rPr>
        <w:t>3.强化工作责任落实。</w:t>
      </w:r>
      <w:r>
        <w:rPr>
          <w:rFonts w:hint="default" w:ascii="仿宋_GB2312" w:hAnsi="仿宋_GB2312" w:eastAsia="仿宋_GB2312" w:cs="仿宋_GB2312"/>
          <w:b w:val="0"/>
          <w:bCs w:val="0"/>
          <w:snapToGrid/>
          <w:color w:val="000000"/>
          <w:spacing w:val="0"/>
          <w:kern w:val="21"/>
          <w:sz w:val="32"/>
          <w:szCs w:val="32"/>
          <w:u w:val="none" w:color="auto"/>
          <w:lang w:val="en-US" w:eastAsia="zh-CN"/>
        </w:rPr>
        <w:t>坚持“一县一方案、一年一清单、一季一调度”机制，</w:t>
      </w:r>
      <w:r>
        <w:rPr>
          <w:rFonts w:hint="eastAsia" w:ascii="仿宋_GB2312" w:hAnsi="仿宋_GB2312" w:eastAsia="仿宋_GB2312" w:cs="仿宋_GB2312"/>
          <w:b w:val="0"/>
          <w:bCs w:val="0"/>
          <w:snapToGrid/>
          <w:color w:val="000000"/>
          <w:spacing w:val="0"/>
          <w:kern w:val="21"/>
          <w:sz w:val="32"/>
          <w:szCs w:val="32"/>
          <w:u w:val="none" w:color="auto"/>
          <w:lang w:val="en-US" w:eastAsia="zh-CN"/>
        </w:rPr>
        <w:t>抓好强县域行动重点任务落实。市</w:t>
      </w:r>
      <w:r>
        <w:rPr>
          <w:rFonts w:hint="default" w:ascii="仿宋_GB2312" w:hAnsi="仿宋_GB2312" w:eastAsia="仿宋_GB2312" w:cs="仿宋_GB2312"/>
          <w:b w:val="0"/>
          <w:bCs w:val="0"/>
          <w:snapToGrid/>
          <w:color w:val="000000"/>
          <w:spacing w:val="0"/>
          <w:kern w:val="21"/>
          <w:sz w:val="32"/>
          <w:szCs w:val="32"/>
          <w:u w:val="none" w:color="auto"/>
          <w:lang w:val="en-US" w:eastAsia="zh-CN"/>
        </w:rPr>
        <w:t>级部门要研究具体</w:t>
      </w:r>
      <w:r>
        <w:rPr>
          <w:rFonts w:hint="eastAsia" w:ascii="仿宋_GB2312" w:hAnsi="仿宋_GB2312" w:eastAsia="仿宋_GB2312" w:cs="仿宋_GB2312"/>
          <w:b w:val="0"/>
          <w:bCs w:val="0"/>
          <w:snapToGrid/>
          <w:color w:val="000000"/>
          <w:spacing w:val="0"/>
          <w:kern w:val="21"/>
          <w:sz w:val="32"/>
          <w:szCs w:val="32"/>
          <w:u w:val="none" w:color="auto"/>
          <w:lang w:val="en-US" w:eastAsia="zh-CN"/>
        </w:rPr>
        <w:t>配套</w:t>
      </w:r>
      <w:r>
        <w:rPr>
          <w:rFonts w:hint="default" w:ascii="仿宋_GB2312" w:hAnsi="仿宋_GB2312" w:eastAsia="仿宋_GB2312" w:cs="仿宋_GB2312"/>
          <w:b w:val="0"/>
          <w:bCs w:val="0"/>
          <w:snapToGrid/>
          <w:color w:val="000000"/>
          <w:spacing w:val="0"/>
          <w:kern w:val="21"/>
          <w:sz w:val="32"/>
          <w:szCs w:val="32"/>
          <w:u w:val="none" w:color="auto"/>
          <w:lang w:val="en-US" w:eastAsia="zh-CN"/>
        </w:rPr>
        <w:t>支持举措</w:t>
      </w:r>
      <w:r>
        <w:rPr>
          <w:rFonts w:hint="eastAsia" w:ascii="仿宋_GB2312" w:hAnsi="仿宋_GB2312" w:eastAsia="仿宋_GB2312" w:cs="仿宋_GB2312"/>
          <w:b w:val="0"/>
          <w:bCs w:val="0"/>
          <w:snapToGrid/>
          <w:color w:val="000000"/>
          <w:spacing w:val="0"/>
          <w:kern w:val="21"/>
          <w:sz w:val="32"/>
          <w:szCs w:val="32"/>
          <w:u w:val="none" w:color="auto"/>
          <w:lang w:val="en-US" w:eastAsia="zh-CN"/>
        </w:rPr>
        <w:t>和</w:t>
      </w:r>
      <w:r>
        <w:rPr>
          <w:rFonts w:hint="default" w:ascii="仿宋_GB2312" w:hAnsi="仿宋_GB2312" w:eastAsia="仿宋_GB2312" w:cs="仿宋_GB2312"/>
          <w:b w:val="0"/>
          <w:bCs w:val="0"/>
          <w:snapToGrid/>
          <w:color w:val="000000"/>
          <w:spacing w:val="0"/>
          <w:kern w:val="21"/>
          <w:sz w:val="32"/>
          <w:szCs w:val="32"/>
          <w:u w:val="none" w:color="auto"/>
          <w:lang w:val="en-US" w:eastAsia="zh-CN"/>
        </w:rPr>
        <w:t>细化落实措施</w:t>
      </w:r>
      <w:r>
        <w:rPr>
          <w:rFonts w:hint="eastAsia" w:ascii="仿宋_GB2312" w:hAnsi="仿宋_GB2312" w:eastAsia="仿宋_GB2312" w:cs="仿宋_GB2312"/>
          <w:b w:val="0"/>
          <w:bCs w:val="0"/>
          <w:snapToGrid/>
          <w:color w:val="000000"/>
          <w:spacing w:val="0"/>
          <w:kern w:val="21"/>
          <w:sz w:val="32"/>
          <w:szCs w:val="32"/>
          <w:u w:val="none" w:color="auto"/>
          <w:lang w:val="en-US" w:eastAsia="zh-CN"/>
        </w:rPr>
        <w:t>，</w:t>
      </w:r>
      <w:r>
        <w:rPr>
          <w:rFonts w:hint="default" w:ascii="仿宋_GB2312" w:hAnsi="仿宋_GB2312" w:eastAsia="仿宋_GB2312" w:cs="仿宋_GB2312"/>
          <w:b w:val="0"/>
          <w:bCs w:val="0"/>
          <w:snapToGrid/>
          <w:color w:val="000000"/>
          <w:spacing w:val="0"/>
          <w:kern w:val="21"/>
          <w:sz w:val="32"/>
          <w:szCs w:val="32"/>
          <w:u w:val="none" w:color="auto"/>
          <w:lang w:val="en-US" w:eastAsia="zh-CN"/>
        </w:rPr>
        <w:t>统筹资源要素，支持县域经济发展。各县</w:t>
      </w:r>
      <w:r>
        <w:rPr>
          <w:rFonts w:hint="eastAsia" w:ascii="仿宋_GB2312" w:hAnsi="仿宋_GB2312" w:eastAsia="仿宋_GB2312" w:cs="仿宋_GB2312"/>
          <w:b w:val="0"/>
          <w:bCs w:val="0"/>
          <w:snapToGrid/>
          <w:color w:val="000000"/>
          <w:spacing w:val="0"/>
          <w:kern w:val="21"/>
          <w:sz w:val="32"/>
          <w:szCs w:val="32"/>
          <w:u w:val="none" w:color="auto"/>
          <w:lang w:val="en-US" w:eastAsia="zh-CN"/>
        </w:rPr>
        <w:t>区</w:t>
      </w:r>
      <w:r>
        <w:rPr>
          <w:rFonts w:hint="default" w:ascii="仿宋_GB2312" w:hAnsi="仿宋_GB2312" w:eastAsia="仿宋_GB2312" w:cs="仿宋_GB2312"/>
          <w:b w:val="0"/>
          <w:bCs w:val="0"/>
          <w:snapToGrid/>
          <w:color w:val="000000"/>
          <w:spacing w:val="0"/>
          <w:kern w:val="21"/>
          <w:sz w:val="32"/>
          <w:szCs w:val="32"/>
          <w:u w:val="none" w:color="auto"/>
          <w:lang w:val="en-US" w:eastAsia="zh-CN"/>
        </w:rPr>
        <w:t>要扛牢主体责任，结合实际制定强县域方案</w:t>
      </w:r>
      <w:r>
        <w:rPr>
          <w:rFonts w:hint="eastAsia" w:ascii="仿宋_GB2312" w:hAnsi="仿宋_GB2312" w:eastAsia="仿宋_GB2312" w:cs="仿宋_GB2312"/>
          <w:b w:val="0"/>
          <w:bCs w:val="0"/>
          <w:snapToGrid/>
          <w:color w:val="000000"/>
          <w:spacing w:val="0"/>
          <w:kern w:val="21"/>
          <w:sz w:val="32"/>
          <w:szCs w:val="32"/>
          <w:u w:val="none" w:color="auto"/>
          <w:lang w:val="en-US" w:eastAsia="zh-CN"/>
        </w:rPr>
        <w:t>和落实清单，</w:t>
      </w:r>
      <w:r>
        <w:rPr>
          <w:rFonts w:hint="default" w:ascii="Times New Roman" w:hAnsi="Times New Roman" w:eastAsia="仿宋_GB2312" w:cs="仿宋_GB2312"/>
          <w:b w:val="0"/>
          <w:bCs w:val="0"/>
          <w:snapToGrid w:val="0"/>
          <w:color w:val="auto"/>
          <w:spacing w:val="0"/>
          <w:kern w:val="0"/>
          <w:sz w:val="32"/>
          <w:szCs w:val="32"/>
          <w:highlight w:val="none"/>
          <w:u w:val="none"/>
          <w:lang w:val="en-US" w:eastAsia="zh-CN"/>
        </w:rPr>
        <w:t>确保各项重点任务落地见效。</w:t>
      </w:r>
      <w:r>
        <w:rPr>
          <w:rFonts w:hint="eastAsia" w:ascii="仿宋_GB2312" w:hAnsi="仿宋_GB2312" w:eastAsia="仿宋_GB2312" w:cs="仿宋_GB2312"/>
          <w:b w:val="0"/>
          <w:bCs w:val="0"/>
          <w:color w:val="auto"/>
          <w:kern w:val="0"/>
          <w:sz w:val="32"/>
          <w:szCs w:val="32"/>
          <w:u w:val="none"/>
          <w:lang w:eastAsia="zh-CN"/>
        </w:rPr>
        <w:t>（</w:t>
      </w:r>
      <w:r>
        <w:rPr>
          <w:rFonts w:hint="eastAsia" w:ascii="楷体_GB2312" w:hAnsi="楷体_GB2312" w:eastAsia="楷体_GB2312" w:cs="楷体_GB2312"/>
          <w:b w:val="0"/>
          <w:bCs w:val="0"/>
          <w:snapToGrid/>
          <w:color w:val="000000"/>
          <w:spacing w:val="0"/>
          <w:kern w:val="21"/>
          <w:sz w:val="32"/>
          <w:szCs w:val="32"/>
          <w:u w:val="none" w:color="auto"/>
          <w:lang w:val="en-US" w:eastAsia="zh-CN"/>
        </w:rPr>
        <w:t>责任单位：各有关部门单位）</w:t>
      </w:r>
    </w:p>
    <w:p w14:paraId="4CBDC67C">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eastAsia" w:ascii="仿宋_GB2312" w:hAnsi="仿宋_GB2312" w:eastAsia="仿宋_GB2312" w:cs="仿宋_GB2312"/>
          <w:b w:val="0"/>
          <w:bCs w:val="0"/>
          <w:snapToGrid/>
          <w:color w:val="000000"/>
          <w:spacing w:val="0"/>
          <w:kern w:val="21"/>
          <w:sz w:val="32"/>
          <w:szCs w:val="32"/>
          <w:u w:val="none" w:color="auto"/>
          <w:lang w:val="en-US" w:eastAsia="zh-CN"/>
        </w:rPr>
      </w:pPr>
    </w:p>
    <w:p w14:paraId="2A54AF0E">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eastAsia" w:ascii="仿宋_GB2312" w:hAnsi="仿宋_GB2312" w:eastAsia="仿宋_GB2312" w:cs="仿宋_GB2312"/>
          <w:b w:val="0"/>
          <w:bCs w:val="0"/>
          <w:snapToGrid/>
          <w:color w:val="000000"/>
          <w:spacing w:val="0"/>
          <w:kern w:val="21"/>
          <w:sz w:val="32"/>
          <w:szCs w:val="32"/>
          <w:u w:val="none" w:color="auto"/>
          <w:lang w:val="en-US" w:eastAsia="zh-CN"/>
        </w:rPr>
      </w:pPr>
      <w:r>
        <w:rPr>
          <w:rFonts w:hint="eastAsia" w:ascii="仿宋_GB2312" w:hAnsi="仿宋_GB2312" w:eastAsia="仿宋_GB2312" w:cs="仿宋_GB2312"/>
          <w:b w:val="0"/>
          <w:bCs w:val="0"/>
          <w:snapToGrid/>
          <w:color w:val="000000"/>
          <w:spacing w:val="0"/>
          <w:kern w:val="21"/>
          <w:sz w:val="32"/>
          <w:szCs w:val="32"/>
          <w:u w:val="none" w:color="auto"/>
          <w:lang w:val="en-US" w:eastAsia="zh-CN"/>
        </w:rPr>
        <w:t>附件：1.“十五五”县域发展方向及目标</w:t>
      </w:r>
    </w:p>
    <w:p w14:paraId="3495132D">
      <w:pPr>
        <w:pStyle w:val="13"/>
        <w:ind w:firstLine="1600" w:firstLineChars="500"/>
        <w:rPr>
          <w:rFonts w:hint="eastAsia" w:ascii="仿宋_GB2312" w:hAnsi="仿宋_GB2312" w:eastAsia="仿宋_GB2312" w:cs="仿宋_GB2312"/>
          <w:b w:val="0"/>
          <w:bCs w:val="0"/>
          <w:snapToGrid/>
          <w:color w:val="000000"/>
          <w:spacing w:val="0"/>
          <w:kern w:val="21"/>
          <w:sz w:val="32"/>
          <w:szCs w:val="32"/>
          <w:u w:val="none" w:color="auto"/>
          <w:lang w:val="en-US" w:eastAsia="zh-CN"/>
        </w:rPr>
      </w:pPr>
      <w:r>
        <w:rPr>
          <w:rFonts w:hint="eastAsia" w:ascii="仿宋_GB2312" w:hAnsi="仿宋_GB2312" w:eastAsia="仿宋_GB2312" w:cs="仿宋_GB2312"/>
          <w:b w:val="0"/>
          <w:bCs w:val="0"/>
          <w:snapToGrid/>
          <w:color w:val="000000"/>
          <w:spacing w:val="0"/>
          <w:kern w:val="21"/>
          <w:sz w:val="32"/>
          <w:szCs w:val="32"/>
          <w:u w:val="none" w:color="auto"/>
          <w:lang w:val="en-US" w:eastAsia="zh-CN"/>
        </w:rPr>
        <w:t>2.“十五五”率先发展的县域组团</w:t>
      </w:r>
    </w:p>
    <w:p w14:paraId="0535F4B4">
      <w:pPr>
        <w:pStyle w:val="9"/>
        <w:ind w:left="0" w:leftChars="0" w:firstLine="0" w:firstLineChars="0"/>
        <w:rPr>
          <w:rFonts w:hint="eastAsia" w:ascii="黑体" w:hAnsi="黑体" w:eastAsia="黑体" w:cs="黑体"/>
          <w:b w:val="0"/>
          <w:bCs w:val="0"/>
          <w:snapToGrid/>
          <w:color w:val="000000"/>
          <w:spacing w:val="0"/>
          <w:kern w:val="21"/>
          <w:sz w:val="28"/>
          <w:szCs w:val="28"/>
          <w:u w:val="none" w:color="auto"/>
          <w:lang w:val="en-US" w:eastAsia="zh-CN"/>
        </w:rPr>
      </w:pPr>
    </w:p>
    <w:p w14:paraId="0A7D7125">
      <w:pPr>
        <w:pStyle w:val="9"/>
        <w:ind w:left="0" w:leftChars="0" w:firstLine="0" w:firstLineChars="0"/>
        <w:rPr>
          <w:rFonts w:hint="eastAsia" w:ascii="黑体" w:hAnsi="黑体" w:eastAsia="黑体" w:cs="黑体"/>
          <w:b w:val="0"/>
          <w:bCs w:val="0"/>
          <w:snapToGrid/>
          <w:color w:val="000000"/>
          <w:spacing w:val="0"/>
          <w:kern w:val="21"/>
          <w:sz w:val="28"/>
          <w:szCs w:val="28"/>
          <w:u w:val="none" w:color="auto"/>
          <w:lang w:val="en-US" w:eastAsia="zh-CN"/>
        </w:rPr>
      </w:pPr>
    </w:p>
    <w:p w14:paraId="2BD69EFE">
      <w:pPr>
        <w:pStyle w:val="9"/>
        <w:ind w:left="0" w:leftChars="0" w:firstLine="0" w:firstLineChars="0"/>
        <w:rPr>
          <w:rFonts w:hint="eastAsia" w:ascii="黑体" w:hAnsi="黑体" w:eastAsia="黑体" w:cs="黑体"/>
          <w:b w:val="0"/>
          <w:bCs w:val="0"/>
          <w:snapToGrid/>
          <w:color w:val="000000"/>
          <w:spacing w:val="0"/>
          <w:kern w:val="21"/>
          <w:sz w:val="28"/>
          <w:szCs w:val="28"/>
          <w:u w:val="none" w:color="auto"/>
          <w:lang w:val="en-US" w:eastAsia="zh-CN"/>
        </w:rPr>
      </w:pPr>
    </w:p>
    <w:p w14:paraId="3CF80BBB">
      <w:pPr>
        <w:pStyle w:val="9"/>
        <w:ind w:left="0" w:leftChars="0" w:firstLine="0" w:firstLineChars="0"/>
        <w:rPr>
          <w:rFonts w:hint="eastAsia" w:ascii="黑体" w:hAnsi="黑体" w:eastAsia="黑体" w:cs="黑体"/>
          <w:b w:val="0"/>
          <w:bCs w:val="0"/>
          <w:snapToGrid/>
          <w:color w:val="000000"/>
          <w:spacing w:val="0"/>
          <w:kern w:val="21"/>
          <w:sz w:val="28"/>
          <w:szCs w:val="28"/>
          <w:u w:val="none" w:color="auto"/>
          <w:lang w:val="en-US" w:eastAsia="zh-CN"/>
        </w:rPr>
      </w:pPr>
    </w:p>
    <w:p w14:paraId="01DBDB05">
      <w:pPr>
        <w:pStyle w:val="9"/>
        <w:ind w:left="0" w:leftChars="0" w:firstLine="0" w:firstLineChars="0"/>
        <w:rPr>
          <w:rFonts w:hint="eastAsia" w:ascii="黑体" w:hAnsi="黑体" w:eastAsia="黑体" w:cs="黑体"/>
          <w:b w:val="0"/>
          <w:bCs w:val="0"/>
          <w:snapToGrid/>
          <w:color w:val="000000"/>
          <w:spacing w:val="0"/>
          <w:kern w:val="21"/>
          <w:sz w:val="28"/>
          <w:szCs w:val="28"/>
          <w:u w:val="none" w:color="auto"/>
          <w:lang w:val="en-US" w:eastAsia="zh-CN"/>
        </w:rPr>
      </w:pPr>
    </w:p>
    <w:p w14:paraId="37EAFA82">
      <w:pPr>
        <w:pStyle w:val="9"/>
        <w:ind w:left="0" w:leftChars="0" w:firstLine="0" w:firstLineChars="0"/>
        <w:rPr>
          <w:rFonts w:hint="eastAsia" w:ascii="黑体" w:hAnsi="黑体" w:eastAsia="黑体" w:cs="黑体"/>
          <w:b w:val="0"/>
          <w:bCs w:val="0"/>
          <w:snapToGrid/>
          <w:color w:val="000000"/>
          <w:spacing w:val="0"/>
          <w:kern w:val="21"/>
          <w:sz w:val="28"/>
          <w:szCs w:val="28"/>
          <w:u w:val="none" w:color="auto"/>
          <w:lang w:val="en-US" w:eastAsia="zh-CN"/>
        </w:rPr>
      </w:pPr>
    </w:p>
    <w:p w14:paraId="658A0D62">
      <w:pPr>
        <w:pStyle w:val="9"/>
        <w:ind w:left="0" w:leftChars="0" w:firstLine="0" w:firstLineChars="0"/>
        <w:rPr>
          <w:rFonts w:hint="eastAsia" w:ascii="黑体" w:hAnsi="黑体" w:eastAsia="黑体" w:cs="黑体"/>
          <w:b w:val="0"/>
          <w:bCs w:val="0"/>
          <w:snapToGrid/>
          <w:color w:val="000000"/>
          <w:spacing w:val="0"/>
          <w:kern w:val="21"/>
          <w:sz w:val="28"/>
          <w:szCs w:val="28"/>
          <w:u w:val="none" w:color="auto"/>
          <w:lang w:val="en-US" w:eastAsia="zh-CN"/>
        </w:rPr>
      </w:pPr>
    </w:p>
    <w:p w14:paraId="1D65A781">
      <w:pPr>
        <w:pStyle w:val="9"/>
        <w:ind w:left="0" w:leftChars="0" w:firstLine="0" w:firstLineChars="0"/>
        <w:rPr>
          <w:rFonts w:hint="eastAsia" w:ascii="黑体" w:hAnsi="黑体" w:eastAsia="黑体" w:cs="黑体"/>
          <w:b w:val="0"/>
          <w:bCs w:val="0"/>
          <w:snapToGrid/>
          <w:color w:val="000000"/>
          <w:spacing w:val="0"/>
          <w:kern w:val="21"/>
          <w:sz w:val="28"/>
          <w:szCs w:val="28"/>
          <w:u w:val="none" w:color="auto"/>
          <w:lang w:val="en-US" w:eastAsia="zh-CN"/>
        </w:rPr>
      </w:pPr>
    </w:p>
    <w:p w14:paraId="14D12871">
      <w:pPr>
        <w:pStyle w:val="9"/>
        <w:ind w:left="0" w:leftChars="0" w:firstLine="0" w:firstLineChars="0"/>
        <w:rPr>
          <w:rFonts w:hint="eastAsia" w:ascii="黑体" w:hAnsi="黑体" w:eastAsia="黑体" w:cs="黑体"/>
          <w:b w:val="0"/>
          <w:bCs w:val="0"/>
          <w:snapToGrid/>
          <w:color w:val="000000"/>
          <w:spacing w:val="0"/>
          <w:kern w:val="21"/>
          <w:sz w:val="28"/>
          <w:szCs w:val="28"/>
          <w:u w:val="none" w:color="auto"/>
          <w:lang w:val="en-US" w:eastAsia="zh-CN"/>
        </w:rPr>
      </w:pPr>
    </w:p>
    <w:p w14:paraId="37F725A9">
      <w:pPr>
        <w:pStyle w:val="9"/>
        <w:ind w:left="0" w:leftChars="0" w:firstLine="0" w:firstLineChars="0"/>
        <w:rPr>
          <w:rFonts w:hint="eastAsia" w:ascii="黑体" w:hAnsi="黑体" w:eastAsia="黑体" w:cs="黑体"/>
          <w:b w:val="0"/>
          <w:bCs w:val="0"/>
          <w:snapToGrid/>
          <w:color w:val="000000"/>
          <w:spacing w:val="0"/>
          <w:kern w:val="21"/>
          <w:sz w:val="28"/>
          <w:szCs w:val="28"/>
          <w:u w:val="none" w:color="auto"/>
          <w:lang w:val="en-US" w:eastAsia="zh-CN"/>
        </w:rPr>
      </w:pPr>
    </w:p>
    <w:p w14:paraId="36638490">
      <w:pPr>
        <w:pStyle w:val="9"/>
        <w:ind w:left="0" w:leftChars="0" w:firstLine="0" w:firstLineChars="0"/>
        <w:rPr>
          <w:rFonts w:hint="eastAsia" w:ascii="黑体" w:hAnsi="黑体" w:eastAsia="黑体" w:cs="黑体"/>
          <w:b w:val="0"/>
          <w:bCs w:val="0"/>
          <w:snapToGrid/>
          <w:color w:val="000000"/>
          <w:spacing w:val="0"/>
          <w:kern w:val="21"/>
          <w:sz w:val="28"/>
          <w:szCs w:val="28"/>
          <w:u w:val="none" w:color="auto"/>
          <w:lang w:val="en-US" w:eastAsia="zh-CN"/>
        </w:rPr>
      </w:pPr>
      <w:r>
        <w:rPr>
          <w:rFonts w:hint="eastAsia" w:ascii="黑体" w:hAnsi="黑体" w:eastAsia="黑体" w:cs="黑体"/>
          <w:b w:val="0"/>
          <w:bCs w:val="0"/>
          <w:snapToGrid/>
          <w:color w:val="000000"/>
          <w:spacing w:val="0"/>
          <w:kern w:val="21"/>
          <w:sz w:val="28"/>
          <w:szCs w:val="28"/>
          <w:u w:val="none" w:color="auto"/>
          <w:lang w:val="en-US" w:eastAsia="zh-CN"/>
        </w:rPr>
        <w:t>附件1</w:t>
      </w:r>
    </w:p>
    <w:p w14:paraId="3615C358">
      <w:pPr>
        <w:pStyle w:val="9"/>
        <w:ind w:left="0" w:leftChars="0" w:firstLine="0" w:firstLineChars="0"/>
        <w:rPr>
          <w:rFonts w:hint="eastAsia" w:hAnsi="仿宋_GB2312" w:cs="仿宋_GB2312"/>
          <w:b w:val="0"/>
          <w:bCs w:val="0"/>
          <w:snapToGrid/>
          <w:color w:val="000000"/>
          <w:spacing w:val="0"/>
          <w:kern w:val="21"/>
          <w:sz w:val="32"/>
          <w:szCs w:val="32"/>
          <w:u w:val="none" w:color="auto"/>
          <w:lang w:val="en-US" w:eastAsia="zh-CN"/>
        </w:rPr>
      </w:pPr>
    </w:p>
    <w:p w14:paraId="16A843D2">
      <w:pPr>
        <w:pStyle w:val="9"/>
        <w:ind w:left="0" w:leftChars="0" w:firstLine="0" w:firstLineChars="0"/>
        <w:jc w:val="center"/>
        <w:rPr>
          <w:rFonts w:hint="eastAsia" w:ascii="方正小标宋简体" w:hAnsi="方正小标宋简体" w:eastAsia="方正小标宋简体" w:cs="方正小标宋简体"/>
          <w:b w:val="0"/>
          <w:bCs w:val="0"/>
          <w:snapToGrid/>
          <w:color w:val="000000"/>
          <w:spacing w:val="0"/>
          <w:kern w:val="21"/>
          <w:sz w:val="44"/>
          <w:szCs w:val="44"/>
          <w:u w:val="none" w:color="auto"/>
          <w:lang w:val="en-US" w:eastAsia="zh-CN"/>
        </w:rPr>
      </w:pPr>
      <w:r>
        <w:rPr>
          <w:rFonts w:hint="eastAsia" w:ascii="方正小标宋简体" w:hAnsi="方正小标宋简体" w:eastAsia="方正小标宋简体" w:cs="方正小标宋简体"/>
          <w:b w:val="0"/>
          <w:bCs w:val="0"/>
          <w:snapToGrid/>
          <w:color w:val="000000"/>
          <w:spacing w:val="0"/>
          <w:kern w:val="21"/>
          <w:sz w:val="44"/>
          <w:szCs w:val="44"/>
          <w:u w:val="none" w:color="auto"/>
          <w:lang w:val="en-US" w:eastAsia="zh-CN"/>
        </w:rPr>
        <w:t>“十五五”县域发展方向及目标</w:t>
      </w:r>
    </w:p>
    <w:p w14:paraId="456B636A">
      <w:pPr>
        <w:pStyle w:val="9"/>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仿宋_GB2312" w:hAnsi="仿宋_GB2312" w:eastAsia="仿宋_GB2312" w:cs="仿宋_GB2312"/>
          <w:b w:val="0"/>
          <w:bCs w:val="0"/>
          <w:snapToGrid/>
          <w:color w:val="000000"/>
          <w:spacing w:val="0"/>
          <w:kern w:val="21"/>
          <w:sz w:val="32"/>
          <w:szCs w:val="32"/>
          <w:u w:val="none" w:color="auto"/>
          <w:lang w:val="en-US" w:eastAsia="zh-CN"/>
        </w:rPr>
      </w:pPr>
    </w:p>
    <w:tbl>
      <w:tblPr>
        <w:tblStyle w:val="18"/>
        <w:tblpPr w:leftFromText="180" w:rightFromText="180" w:vertAnchor="text" w:horzAnchor="page" w:tblpX="1773" w:tblpY="125"/>
        <w:tblOverlap w:val="never"/>
        <w:tblW w:w="8716" w:type="dxa"/>
        <w:tblInd w:w="0" w:type="dxa"/>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Layout w:type="autofit"/>
        <w:tblCellMar>
          <w:top w:w="0" w:type="dxa"/>
          <w:left w:w="0" w:type="dxa"/>
          <w:bottom w:w="0" w:type="dxa"/>
          <w:right w:w="0" w:type="dxa"/>
        </w:tblCellMar>
      </w:tblPr>
      <w:tblGrid>
        <w:gridCol w:w="8716"/>
      </w:tblGrid>
      <w:tr w14:paraId="1E957C7A">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0" w:type="dxa"/>
            <w:bottom w:w="0" w:type="dxa"/>
            <w:right w:w="0" w:type="dxa"/>
          </w:tblCellMar>
        </w:tblPrEx>
        <w:trPr>
          <w:trHeight w:val="90" w:hRule="atLeast"/>
        </w:trPr>
        <w:tc>
          <w:tcPr>
            <w:tcW w:w="8716" w:type="dxa"/>
            <w:tcBorders>
              <w:tl2br w:val="nil"/>
              <w:tr2bl w:val="nil"/>
            </w:tcBorders>
            <w:noWrap w:val="0"/>
            <w:tcMar>
              <w:left w:w="105" w:type="dxa"/>
              <w:right w:w="105" w:type="dxa"/>
            </w:tcMar>
            <w:vAlign w:val="top"/>
          </w:tcPr>
          <w:p w14:paraId="298930B4">
            <w:pPr>
              <w:pStyle w:val="21"/>
              <w:keepNext w:val="0"/>
              <w:keepLines w:val="0"/>
              <w:pageBreakBefore w:val="0"/>
              <w:widowControl/>
              <w:kinsoku/>
              <w:wordWrap/>
              <w:overflowPunct/>
              <w:topLinePunct w:val="0"/>
              <w:autoSpaceDE/>
              <w:autoSpaceDN/>
              <w:bidi w:val="0"/>
              <w:adjustRightInd/>
              <w:snapToGrid w:val="0"/>
              <w:spacing w:line="440" w:lineRule="exact"/>
              <w:ind w:firstLine="238"/>
              <w:textAlignment w:val="auto"/>
              <w:rPr>
                <w:rFonts w:hint="eastAsia" w:ascii="仿宋_GB2312" w:hAnsi="仿宋_GB2312" w:eastAsia="仿宋_GB2312" w:cs="仿宋_GB2312"/>
                <w:sz w:val="22"/>
                <w:szCs w:val="22"/>
                <w:lang w:val="en-US" w:eastAsia="zh-CN"/>
              </w:rPr>
            </w:pPr>
            <w:r>
              <w:rPr>
                <w:rStyle w:val="23"/>
                <w:rFonts w:hint="default"/>
                <w:sz w:val="22"/>
                <w:szCs w:val="24"/>
                <w:lang w:val="en-US" w:eastAsia="zh-CN"/>
              </w:rPr>
              <w:t>甘州区。</w:t>
            </w:r>
            <w:r>
              <w:rPr>
                <w:rFonts w:hint="eastAsia" w:ascii="仿宋_GB2312" w:hAnsi="仿宋_GB2312" w:eastAsia="仿宋_GB2312" w:cs="仿宋_GB2312"/>
                <w:sz w:val="22"/>
                <w:szCs w:val="22"/>
                <w:lang w:val="en-US" w:eastAsia="zh-CN"/>
              </w:rPr>
              <w:t>立足工业主导型和城市服务型功能定位，坚持以现代寒旱特色农业为首位产业，做大做强综合能源及新材料、文化旅游两个主导产业，培育壮大新能源、新材料、煤化工、装备制造、智能制造、种业及农畜产品精深加工、数字经济等产业集群，，逐步推进平山湖工业集中区建设。力争到2030年，地区生产总值达到460亿元。</w:t>
            </w:r>
          </w:p>
          <w:p w14:paraId="1FB706F3">
            <w:pPr>
              <w:pStyle w:val="21"/>
              <w:keepNext w:val="0"/>
              <w:keepLines w:val="0"/>
              <w:pageBreakBefore w:val="0"/>
              <w:widowControl/>
              <w:kinsoku/>
              <w:wordWrap/>
              <w:overflowPunct/>
              <w:topLinePunct w:val="0"/>
              <w:autoSpaceDE/>
              <w:autoSpaceDN/>
              <w:bidi w:val="0"/>
              <w:adjustRightInd/>
              <w:snapToGrid w:val="0"/>
              <w:spacing w:line="440" w:lineRule="exact"/>
              <w:ind w:firstLine="238"/>
              <w:textAlignment w:val="auto"/>
              <w:rPr>
                <w:rFonts w:hint="eastAsia" w:ascii="仿宋_GB2312" w:hAnsi="仿宋_GB2312" w:eastAsia="仿宋_GB2312" w:cs="仿宋_GB2312"/>
                <w:sz w:val="22"/>
                <w:szCs w:val="22"/>
                <w:lang w:val="en-US" w:eastAsia="zh-CN"/>
              </w:rPr>
            </w:pPr>
            <w:r>
              <w:rPr>
                <w:rStyle w:val="23"/>
                <w:rFonts w:hint="eastAsia"/>
                <w:sz w:val="22"/>
                <w:szCs w:val="24"/>
                <w:lang w:val="en-US" w:eastAsia="zh-CN"/>
              </w:rPr>
              <w:t>临泽县。</w:t>
            </w:r>
            <w:r>
              <w:rPr>
                <w:rFonts w:hint="eastAsia" w:ascii="仿宋_GB2312" w:hAnsi="仿宋_GB2312" w:eastAsia="仿宋_GB2312" w:cs="仿宋_GB2312"/>
                <w:kern w:val="2"/>
                <w:sz w:val="22"/>
                <w:szCs w:val="22"/>
                <w:lang w:val="en-US" w:eastAsia="zh-CN" w:bidi="ar-SA"/>
              </w:rPr>
              <w:t>立足农业优先型和文旅赋能型功能定位，坚持将文化旅游作为首位产业，做大做强现代种业、全域文旅等主导产业，培育壮大畜牧养殖、绿色蔬菜、特色林果、富锶水产等产业集群。力争到2030年，地区生产总值达到130亿元。</w:t>
            </w:r>
            <w:r>
              <w:rPr>
                <w:rFonts w:hint="eastAsia" w:ascii="仿宋_GB2312" w:hAnsi="仿宋_GB2312" w:eastAsia="仿宋_GB2312" w:cs="仿宋_GB2312"/>
                <w:sz w:val="22"/>
                <w:szCs w:val="22"/>
                <w:lang w:val="en-US" w:eastAsia="zh-CN"/>
              </w:rPr>
              <w:t>。</w:t>
            </w:r>
          </w:p>
          <w:p w14:paraId="54E73F16">
            <w:pPr>
              <w:pStyle w:val="21"/>
              <w:keepNext w:val="0"/>
              <w:keepLines w:val="0"/>
              <w:pageBreakBefore w:val="0"/>
              <w:widowControl/>
              <w:kinsoku/>
              <w:wordWrap/>
              <w:overflowPunct/>
              <w:topLinePunct w:val="0"/>
              <w:autoSpaceDE/>
              <w:autoSpaceDN/>
              <w:bidi w:val="0"/>
              <w:adjustRightInd/>
              <w:snapToGrid w:val="0"/>
              <w:spacing w:line="440" w:lineRule="exact"/>
              <w:ind w:firstLine="238"/>
              <w:textAlignment w:val="auto"/>
              <w:rPr>
                <w:rFonts w:hint="eastAsia" w:ascii="仿宋_GB2312" w:hAnsi="仿宋_GB2312" w:eastAsia="仿宋_GB2312" w:cs="仿宋_GB2312"/>
                <w:sz w:val="22"/>
                <w:szCs w:val="22"/>
                <w:lang w:val="en-US" w:eastAsia="zh-CN"/>
              </w:rPr>
            </w:pPr>
            <w:r>
              <w:rPr>
                <w:rStyle w:val="23"/>
                <w:rFonts w:hint="eastAsia"/>
                <w:sz w:val="22"/>
                <w:szCs w:val="24"/>
                <w:lang w:val="en-US" w:eastAsia="zh-CN"/>
              </w:rPr>
              <w:t>高台县。</w:t>
            </w:r>
            <w:r>
              <w:rPr>
                <w:rFonts w:hint="eastAsia" w:ascii="仿宋_GB2312" w:hAnsi="仿宋_GB2312" w:eastAsia="仿宋_GB2312" w:cs="仿宋_GB2312"/>
                <w:sz w:val="22"/>
                <w:szCs w:val="22"/>
                <w:lang w:val="en-US" w:eastAsia="zh-CN"/>
              </w:rPr>
              <w:t>立足农业优先型和工业主导型功能定位，坚持将综合能源作为首位产业，做大做强现代化工、农畜产品精深加工等主导产业，发展壮大现代种业、农畜产品精深加工、煤化工、精细化工、化工新材料等产业集群。力争到2030年，地区生产总值达到130亿元。</w:t>
            </w:r>
          </w:p>
          <w:p w14:paraId="69F5FADA">
            <w:pPr>
              <w:pStyle w:val="21"/>
              <w:keepNext w:val="0"/>
              <w:keepLines w:val="0"/>
              <w:pageBreakBefore w:val="0"/>
              <w:widowControl/>
              <w:kinsoku/>
              <w:wordWrap/>
              <w:overflowPunct/>
              <w:topLinePunct w:val="0"/>
              <w:autoSpaceDE/>
              <w:autoSpaceDN/>
              <w:bidi w:val="0"/>
              <w:adjustRightInd/>
              <w:snapToGrid w:val="0"/>
              <w:spacing w:line="440" w:lineRule="exact"/>
              <w:ind w:firstLine="238"/>
              <w:textAlignment w:val="auto"/>
              <w:rPr>
                <w:rFonts w:hint="eastAsia" w:ascii="仿宋_GB2312" w:hAnsi="仿宋_GB2312" w:eastAsia="仿宋_GB2312" w:cs="仿宋_GB2312"/>
                <w:sz w:val="22"/>
                <w:szCs w:val="22"/>
                <w:lang w:val="en-US" w:eastAsia="zh-CN"/>
              </w:rPr>
            </w:pPr>
            <w:r>
              <w:rPr>
                <w:rStyle w:val="23"/>
                <w:rFonts w:hint="eastAsia"/>
                <w:sz w:val="22"/>
                <w:szCs w:val="24"/>
                <w:lang w:val="en-US" w:eastAsia="zh-CN"/>
              </w:rPr>
              <w:t>山丹县。</w:t>
            </w:r>
            <w:r>
              <w:rPr>
                <w:rFonts w:hint="eastAsia" w:ascii="仿宋_GB2312" w:hAnsi="仿宋_GB2312" w:eastAsia="仿宋_GB2312" w:cs="仿宋_GB2312"/>
                <w:sz w:val="22"/>
                <w:szCs w:val="22"/>
                <w:lang w:val="en-US" w:eastAsia="zh-CN"/>
              </w:rPr>
              <w:t>立足工业主导型和生态功能型功能定位，坚持将煤炭清洁高效开发利用作为首位产业，做大做强新能源综合开发利用、农畜产品精深加工及文旅康养等主导产业，着力打造综合能源全产业链，加快建设河西煤炭集散中心。力争到2030年，地区生产总值达到145亿元。</w:t>
            </w:r>
          </w:p>
          <w:p w14:paraId="573419F7">
            <w:pPr>
              <w:pStyle w:val="21"/>
              <w:keepNext w:val="0"/>
              <w:keepLines w:val="0"/>
              <w:pageBreakBefore w:val="0"/>
              <w:widowControl/>
              <w:kinsoku/>
              <w:wordWrap/>
              <w:overflowPunct/>
              <w:topLinePunct w:val="0"/>
              <w:autoSpaceDE/>
              <w:autoSpaceDN/>
              <w:bidi w:val="0"/>
              <w:adjustRightInd/>
              <w:snapToGrid w:val="0"/>
              <w:spacing w:line="440" w:lineRule="exact"/>
              <w:ind w:firstLine="238"/>
              <w:textAlignment w:val="auto"/>
              <w:rPr>
                <w:rFonts w:hint="eastAsia" w:ascii="仿宋_GB2312" w:hAnsi="仿宋_GB2312" w:eastAsia="仿宋_GB2312" w:cs="仿宋_GB2312"/>
                <w:sz w:val="22"/>
                <w:szCs w:val="22"/>
                <w:lang w:val="en-US" w:eastAsia="zh-CN"/>
              </w:rPr>
            </w:pPr>
            <w:r>
              <w:rPr>
                <w:rStyle w:val="23"/>
                <w:rFonts w:hint="eastAsia"/>
                <w:sz w:val="22"/>
                <w:szCs w:val="24"/>
                <w:lang w:val="en-US" w:eastAsia="zh-CN"/>
              </w:rPr>
              <w:t>民乐县</w:t>
            </w:r>
            <w:r>
              <w:rPr>
                <w:rStyle w:val="23"/>
                <w:rFonts w:hint="eastAsia" w:ascii="仿宋_GB2312" w:hAnsi="仿宋_GB2312" w:eastAsia="仿宋_GB2312" w:cs="仿宋_GB2312"/>
                <w:sz w:val="22"/>
                <w:szCs w:val="24"/>
                <w:lang w:val="en-US" w:eastAsia="zh-CN"/>
              </w:rPr>
              <w:t>。</w:t>
            </w:r>
            <w:r>
              <w:rPr>
                <w:rFonts w:hint="eastAsia" w:ascii="仿宋_GB2312" w:hAnsi="仿宋_GB2312" w:eastAsia="仿宋_GB2312" w:cs="仿宋_GB2312"/>
                <w:sz w:val="22"/>
                <w:szCs w:val="22"/>
                <w:lang w:val="en-US" w:eastAsia="zh-CN"/>
              </w:rPr>
              <w:t>立足工业主导型和生态功能型功能定位，坚持将现代农业作为首位产业，做大做强酒类酿造、新能源及装备制造产业、现代化工、农畜产品精深加工等主导产业，重点建设百亿级现代寒旱农业智能温室产业园，加快发展马铃薯、中药材、高原蔬菜等特色优势产业，聚焦硼氟化工，培育发展化工、新材料等产业。力争到2030年，地区生产总值达到145亿元。</w:t>
            </w:r>
          </w:p>
          <w:p w14:paraId="3B52C969">
            <w:pPr>
              <w:pStyle w:val="21"/>
              <w:keepNext w:val="0"/>
              <w:keepLines w:val="0"/>
              <w:pageBreakBefore w:val="0"/>
              <w:widowControl/>
              <w:kinsoku/>
              <w:wordWrap/>
              <w:overflowPunct/>
              <w:topLinePunct w:val="0"/>
              <w:autoSpaceDE/>
              <w:autoSpaceDN/>
              <w:bidi w:val="0"/>
              <w:adjustRightInd/>
              <w:snapToGrid w:val="0"/>
              <w:spacing w:line="440" w:lineRule="exact"/>
              <w:ind w:firstLine="238"/>
              <w:textAlignment w:val="auto"/>
              <w:rPr>
                <w:rFonts w:hint="default" w:ascii="Times New Roman" w:hAnsi="Times New Roman" w:eastAsia="仿宋_GB2312" w:cs="Times New Roman"/>
                <w:color w:val="auto"/>
                <w:kern w:val="2"/>
                <w:sz w:val="24"/>
                <w:szCs w:val="28"/>
                <w:highlight w:val="none"/>
                <w:u w:val="none"/>
                <w:lang w:val="en-US" w:eastAsia="zh-CN" w:bidi="ar-SA"/>
              </w:rPr>
            </w:pPr>
            <w:r>
              <w:rPr>
                <w:rStyle w:val="23"/>
                <w:rFonts w:hint="eastAsia"/>
                <w:sz w:val="22"/>
                <w:szCs w:val="24"/>
                <w:lang w:val="en-US" w:eastAsia="zh-CN"/>
              </w:rPr>
              <w:t>肃南县</w:t>
            </w:r>
            <w:r>
              <w:rPr>
                <w:rStyle w:val="23"/>
                <w:rFonts w:hint="eastAsia" w:ascii="仿宋_GB2312" w:hAnsi="仿宋_GB2312" w:eastAsia="仿宋_GB2312" w:cs="仿宋_GB2312"/>
                <w:sz w:val="22"/>
                <w:szCs w:val="24"/>
                <w:lang w:val="en-US" w:eastAsia="zh-CN"/>
              </w:rPr>
              <w:t>。</w:t>
            </w:r>
            <w:r>
              <w:rPr>
                <w:rFonts w:hint="eastAsia" w:ascii="仿宋_GB2312" w:hAnsi="仿宋_GB2312" w:eastAsia="仿宋_GB2312" w:cs="仿宋_GB2312"/>
                <w:sz w:val="22"/>
                <w:szCs w:val="22"/>
                <w:lang w:val="en-US" w:eastAsia="zh-CN"/>
              </w:rPr>
              <w:t>立足农业优先型和生态功能型功能定位，坚持将现代绿色畜牧业作为首位产业，做大做强矿产品精深加工、综合能源、文化旅游等主导产业，不断放大矿产、能源、草畜等资源优势，打造绿色、高效、智慧、品牌畜牧业，着力打造抽蓄电站集群。力争到2030年，地区生产总值达到70亿元。</w:t>
            </w:r>
          </w:p>
        </w:tc>
      </w:tr>
    </w:tbl>
    <w:p w14:paraId="7DD2CC81">
      <w:pPr>
        <w:pStyle w:val="9"/>
        <w:ind w:left="0" w:leftChars="0" w:firstLine="0" w:firstLineChars="0"/>
        <w:rPr>
          <w:rFonts w:hint="eastAsia" w:ascii="黑体" w:hAnsi="黑体" w:eastAsia="黑体" w:cs="黑体"/>
          <w:b w:val="0"/>
          <w:bCs w:val="0"/>
          <w:snapToGrid/>
          <w:color w:val="000000"/>
          <w:spacing w:val="0"/>
          <w:kern w:val="21"/>
          <w:sz w:val="28"/>
          <w:szCs w:val="28"/>
          <w:u w:val="none" w:color="auto"/>
          <w:lang w:val="en-US" w:eastAsia="zh-CN"/>
        </w:rPr>
      </w:pPr>
    </w:p>
    <w:p w14:paraId="7B1C4B5D">
      <w:pPr>
        <w:pStyle w:val="9"/>
        <w:ind w:left="0" w:leftChars="0" w:firstLine="0" w:firstLineChars="0"/>
        <w:rPr>
          <w:rFonts w:hint="eastAsia" w:ascii="黑体" w:hAnsi="黑体" w:eastAsia="黑体" w:cs="黑体"/>
          <w:b w:val="0"/>
          <w:bCs w:val="0"/>
          <w:snapToGrid/>
          <w:color w:val="000000"/>
          <w:spacing w:val="0"/>
          <w:kern w:val="21"/>
          <w:sz w:val="28"/>
          <w:szCs w:val="28"/>
          <w:u w:val="none" w:color="auto"/>
          <w:lang w:val="en-US" w:eastAsia="zh-CN"/>
        </w:rPr>
      </w:pPr>
      <w:r>
        <w:rPr>
          <w:rFonts w:hint="eastAsia" w:ascii="黑体" w:hAnsi="黑体" w:eastAsia="黑体" w:cs="黑体"/>
          <w:b w:val="0"/>
          <w:bCs w:val="0"/>
          <w:snapToGrid/>
          <w:color w:val="000000"/>
          <w:spacing w:val="0"/>
          <w:kern w:val="21"/>
          <w:sz w:val="28"/>
          <w:szCs w:val="28"/>
          <w:u w:val="none" w:color="auto"/>
          <w:lang w:val="en-US" w:eastAsia="zh-CN"/>
        </w:rPr>
        <w:t>附件2</w:t>
      </w:r>
    </w:p>
    <w:p w14:paraId="436F3895">
      <w:pPr>
        <w:pStyle w:val="9"/>
        <w:ind w:left="0" w:leftChars="0" w:firstLine="0" w:firstLineChars="0"/>
        <w:rPr>
          <w:rFonts w:hint="eastAsia" w:hAnsi="仿宋_GB2312" w:cs="仿宋_GB2312"/>
          <w:b w:val="0"/>
          <w:bCs w:val="0"/>
          <w:snapToGrid/>
          <w:color w:val="000000"/>
          <w:spacing w:val="0"/>
          <w:kern w:val="21"/>
          <w:sz w:val="32"/>
          <w:szCs w:val="32"/>
          <w:u w:val="none" w:color="auto"/>
          <w:lang w:val="en-US" w:eastAsia="zh-CN"/>
        </w:rPr>
      </w:pPr>
    </w:p>
    <w:p w14:paraId="325935E3">
      <w:pPr>
        <w:pStyle w:val="9"/>
        <w:ind w:left="0" w:leftChars="0" w:firstLine="0" w:firstLineChars="0"/>
        <w:jc w:val="center"/>
        <w:rPr>
          <w:rFonts w:hint="default" w:ascii="方正小标宋简体" w:hAnsi="方正小标宋简体" w:eastAsia="方正小标宋简体" w:cs="方正小标宋简体"/>
          <w:b w:val="0"/>
          <w:bCs w:val="0"/>
          <w:snapToGrid/>
          <w:color w:val="000000"/>
          <w:spacing w:val="0"/>
          <w:kern w:val="21"/>
          <w:sz w:val="44"/>
          <w:szCs w:val="44"/>
          <w:u w:val="none" w:color="auto"/>
          <w:lang w:val="en-US" w:eastAsia="zh-CN"/>
        </w:rPr>
      </w:pPr>
      <w:r>
        <w:rPr>
          <w:rFonts w:hint="eastAsia" w:ascii="方正小标宋简体" w:hAnsi="方正小标宋简体" w:eastAsia="方正小标宋简体" w:cs="方正小标宋简体"/>
          <w:b w:val="0"/>
          <w:bCs w:val="0"/>
          <w:snapToGrid/>
          <w:color w:val="000000"/>
          <w:spacing w:val="0"/>
          <w:kern w:val="21"/>
          <w:sz w:val="44"/>
          <w:szCs w:val="44"/>
          <w:u w:val="none" w:color="auto"/>
          <w:lang w:val="en-US" w:eastAsia="zh-CN"/>
        </w:rPr>
        <w:t>“十五五”率先发展的县域组团</w:t>
      </w:r>
    </w:p>
    <w:p w14:paraId="55539F20">
      <w:pPr>
        <w:pStyle w:val="9"/>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default" w:hAnsi="仿宋_GB2312" w:cs="仿宋_GB2312"/>
          <w:b w:val="0"/>
          <w:bCs w:val="0"/>
          <w:snapToGrid/>
          <w:color w:val="000000"/>
          <w:spacing w:val="0"/>
          <w:kern w:val="21"/>
          <w:sz w:val="32"/>
          <w:szCs w:val="32"/>
          <w:u w:val="none" w:color="auto"/>
          <w:lang w:val="en-US" w:eastAsia="zh-CN"/>
        </w:rPr>
      </w:pPr>
    </w:p>
    <w:tbl>
      <w:tblPr>
        <w:tblStyle w:val="18"/>
        <w:tblW w:w="9061" w:type="dxa"/>
        <w:jc w:val="center"/>
        <w:tblLayout w:type="autofit"/>
        <w:tblCellMar>
          <w:top w:w="0" w:type="dxa"/>
          <w:left w:w="108" w:type="dxa"/>
          <w:bottom w:w="0" w:type="dxa"/>
          <w:right w:w="108" w:type="dxa"/>
        </w:tblCellMar>
      </w:tblPr>
      <w:tblGrid>
        <w:gridCol w:w="9061"/>
      </w:tblGrid>
      <w:tr w14:paraId="06757094">
        <w:tblPrEx>
          <w:tblCellMar>
            <w:top w:w="0" w:type="dxa"/>
            <w:left w:w="108" w:type="dxa"/>
            <w:bottom w:w="0" w:type="dxa"/>
            <w:right w:w="108" w:type="dxa"/>
          </w:tblCellMar>
        </w:tblPrEx>
        <w:trPr>
          <w:trHeight w:val="0" w:hRule="atLeast"/>
          <w:jc w:val="center"/>
        </w:trPr>
        <w:tc>
          <w:tcPr>
            <w:tcW w:w="9061" w:type="dxa"/>
            <w:tcBorders>
              <w:top w:val="single" w:color="000000" w:sz="4" w:space="0"/>
              <w:left w:val="single" w:color="000000" w:sz="4" w:space="0"/>
              <w:bottom w:val="single" w:color="000000" w:sz="4" w:space="0"/>
              <w:right w:val="single" w:color="000000" w:sz="4" w:space="0"/>
            </w:tcBorders>
            <w:noWrap w:val="0"/>
            <w:vAlign w:val="center"/>
          </w:tcPr>
          <w:p w14:paraId="65960B5A">
            <w:pPr>
              <w:keepNext w:val="0"/>
              <w:keepLines w:val="0"/>
              <w:pageBreakBefore w:val="0"/>
              <w:widowControl/>
              <w:suppressLineNumbers w:val="0"/>
              <w:kinsoku/>
              <w:wordWrap/>
              <w:overflowPunct/>
              <w:topLinePunct w:val="0"/>
              <w:autoSpaceDE/>
              <w:autoSpaceDN/>
              <w:bidi w:val="0"/>
              <w:adjustRightInd/>
              <w:snapToGrid w:val="0"/>
              <w:spacing w:line="440" w:lineRule="exact"/>
              <w:ind w:firstLine="442" w:firstLineChars="200"/>
              <w:jc w:val="left"/>
              <w:textAlignment w:val="auto"/>
              <w:rPr>
                <w:rFonts w:hint="eastAsia" w:ascii="仿宋_GB2312" w:hAnsi="仿宋_GB2312" w:eastAsia="仿宋_GB2312" w:cs="仿宋_GB2312"/>
                <w:b w:val="0"/>
                <w:bCs w:val="0"/>
                <w:sz w:val="22"/>
                <w:szCs w:val="22"/>
                <w:lang w:val="en-US" w:eastAsia="zh-CN"/>
              </w:rPr>
            </w:pPr>
            <w:r>
              <w:rPr>
                <w:rFonts w:hint="eastAsia" w:ascii="仿宋_GB2312" w:hAnsi="仿宋_GB2312" w:eastAsia="仿宋_GB2312" w:cs="仿宋_GB2312"/>
                <w:b/>
                <w:bCs/>
                <w:sz w:val="22"/>
                <w:szCs w:val="22"/>
                <w:lang w:val="en-US" w:eastAsia="zh-CN"/>
              </w:rPr>
              <w:t>1.甘州区-临泽县-高台县“新能源+新兴产业”组团。</w:t>
            </w:r>
            <w:r>
              <w:rPr>
                <w:rFonts w:hint="eastAsia" w:ascii="仿宋_GB2312" w:hAnsi="仿宋_GB2312" w:eastAsia="仿宋_GB2312" w:cs="仿宋_GB2312"/>
                <w:b w:val="0"/>
                <w:bCs w:val="0"/>
                <w:sz w:val="22"/>
                <w:szCs w:val="22"/>
                <w:lang w:val="en-US" w:eastAsia="zh-CN"/>
              </w:rPr>
              <w:t>立足张掖市风光资源禀赋及产业基础，遵循“特色突出、协同联动”原则，构建以绿色能源为基底、以产业融合为主线的发展格局。甘州区聚焦数据中心（绿电算力）、新能源装备系统集成（储能、氢能装备）打造高端服务与先进制造聚集区，在张掖经开区重点布局氢基化工产业项目，实现绿氢就近消纳，用于合成氨、甲醇等生产，构建“绿电-绿氢-绿色化学品”闭环产业链。临泽县依托电芯装备制造优势，重点推动易事特储能二期、上谷锂电池产业园一期等项目，与甘州区金汇能新储能电池负极材料、高台县容大正极材料形成上下游产业链互补，共同打造新型储能装备制造示范区。</w:t>
            </w:r>
          </w:p>
          <w:p w14:paraId="2A7E275A">
            <w:pPr>
              <w:keepNext w:val="0"/>
              <w:keepLines w:val="0"/>
              <w:pageBreakBefore w:val="0"/>
              <w:widowControl/>
              <w:suppressLineNumbers w:val="0"/>
              <w:kinsoku/>
              <w:wordWrap/>
              <w:overflowPunct/>
              <w:topLinePunct w:val="0"/>
              <w:autoSpaceDE/>
              <w:autoSpaceDN/>
              <w:bidi w:val="0"/>
              <w:adjustRightInd/>
              <w:snapToGrid w:val="0"/>
              <w:spacing w:line="440" w:lineRule="exact"/>
              <w:ind w:firstLine="442" w:firstLineChars="200"/>
              <w:jc w:val="left"/>
              <w:textAlignment w:val="auto"/>
              <w:rPr>
                <w:rFonts w:hint="eastAsia" w:ascii="仿宋_GB2312" w:hAnsi="仿宋_GB2312" w:eastAsia="仿宋_GB2312" w:cs="仿宋_GB2312"/>
                <w:b w:val="0"/>
                <w:bCs w:val="0"/>
                <w:sz w:val="22"/>
                <w:szCs w:val="22"/>
                <w:lang w:val="en-US" w:eastAsia="zh-CN"/>
              </w:rPr>
            </w:pPr>
            <w:r>
              <w:rPr>
                <w:rFonts w:hint="eastAsia" w:ascii="仿宋_GB2312" w:hAnsi="仿宋_GB2312" w:eastAsia="仿宋_GB2312" w:cs="仿宋_GB2312"/>
                <w:b/>
                <w:bCs/>
                <w:sz w:val="22"/>
                <w:szCs w:val="22"/>
                <w:lang w:val="en-US" w:eastAsia="zh-CN"/>
              </w:rPr>
              <w:t>2.甘州区-临泽县-高台县“现代种业”组团。</w:t>
            </w:r>
            <w:r>
              <w:rPr>
                <w:rFonts w:hint="eastAsia" w:ascii="仿宋_GB2312" w:hAnsi="仿宋_GB2312" w:eastAsia="仿宋_GB2312" w:cs="仿宋_GB2312"/>
                <w:b w:val="0"/>
                <w:bCs w:val="0"/>
                <w:sz w:val="22"/>
                <w:szCs w:val="22"/>
                <w:lang w:val="en-US" w:eastAsia="zh-CN"/>
              </w:rPr>
              <w:t>依托甘州区全国最大的县域杂交玉米制种基地优势及临泽县、高台县种业发展基础，全力打造以玉米制种为主的全国现代种业发展高地。甘州区依托种子加工企业聚集和国家现代种业产业园优势，联动科研力量，聚焦品种选育，筑牢种子“芯片”，配套种质保护与鉴定服务。临泽县依托绿洲灌溉、交通便捷优势，主攻高效制种与精深加工，配套检验检测、仓储物流体系，拓宽产销渠道。高台县加强种业基地建设，提升机械化水平，配套农机托管、水肥一体化等社会化服务，保障优质种子供给，聚力建设现代种业发展特色县。</w:t>
            </w:r>
          </w:p>
          <w:p w14:paraId="2BCADEA6">
            <w:pPr>
              <w:keepNext w:val="0"/>
              <w:keepLines w:val="0"/>
              <w:pageBreakBefore w:val="0"/>
              <w:widowControl/>
              <w:suppressLineNumbers w:val="0"/>
              <w:kinsoku/>
              <w:wordWrap/>
              <w:overflowPunct/>
              <w:topLinePunct w:val="0"/>
              <w:autoSpaceDE/>
              <w:autoSpaceDN/>
              <w:bidi w:val="0"/>
              <w:adjustRightInd/>
              <w:snapToGrid w:val="0"/>
              <w:spacing w:line="440" w:lineRule="exact"/>
              <w:ind w:firstLine="442" w:firstLineChars="200"/>
              <w:jc w:val="left"/>
              <w:textAlignment w:val="auto"/>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3.甘州区-山丹县-民乐县“农畜产品精深加工+中医药”组团。</w:t>
            </w:r>
            <w:r>
              <w:rPr>
                <w:rFonts w:hint="eastAsia" w:ascii="仿宋_GB2312" w:hAnsi="仿宋_GB2312" w:eastAsia="仿宋_GB2312" w:cs="仿宋_GB2312"/>
                <w:b w:val="0"/>
                <w:bCs w:val="0"/>
                <w:sz w:val="22"/>
                <w:szCs w:val="22"/>
                <w:lang w:val="en-US" w:eastAsia="zh-CN"/>
              </w:rPr>
              <w:t>依托甘州区、山丹县、民乐县特色资源优势，组团推进“农畜产品精深加工+中医药”产业融合发展，建成甘州区党寨镇、山丹县清泉镇、民乐县三堡镇三个国家级产业强镇。整合甘州、山丹、民乐冷凉区为主的中药材及甘州肉牛、绿色蔬菜、山丹肉羊、民乐马铃薯等特色资源，民乐县做强中药材标准化种植基地，筑牢原料供给根基。甘州区主攻精深加工，做强奶肉牛、果蔬加工，联动延伸中医药大健康产业链。山丹县补齐供给与加工短板，完善薯草菜羊马等农畜产品供给，承接上下游加工配套，构建“产地初加工-园区精深加工-终端消费产品”的产业层级，联合打造“张掖农产”区域品牌，推动特色农业跃升发展。</w:t>
            </w:r>
          </w:p>
        </w:tc>
      </w:tr>
    </w:tbl>
    <w:p w14:paraId="6E897BCE">
      <w:pPr>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default" w:ascii="仿宋_GB2312" w:hAnsi="仿宋_GB2312" w:eastAsia="仿宋_GB2312" w:cs="仿宋_GB2312"/>
          <w:b w:val="0"/>
          <w:bCs w:val="0"/>
          <w:snapToGrid/>
          <w:color w:val="000000"/>
          <w:spacing w:val="0"/>
          <w:kern w:val="21"/>
          <w:sz w:val="32"/>
          <w:szCs w:val="32"/>
          <w:u w:val="none" w:color="auto"/>
          <w:lang w:val="en-US" w:eastAsia="zh-CN"/>
        </w:rPr>
      </w:pPr>
    </w:p>
    <w:sectPr>
      <w:footerReference r:id="rId3" w:type="default"/>
      <w:pgSz w:w="11906" w:h="16838"/>
      <w:pgMar w:top="1984" w:right="1474" w:bottom="181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AF0E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EE4DF">
                          <w:pPr>
                            <w:pStyle w:val="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5EE4DF">
                    <w:pPr>
                      <w:pStyle w:val="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D7245B"/>
    <w:multiLevelType w:val="multilevel"/>
    <w:tmpl w:val="2AD7245B"/>
    <w:lvl w:ilvl="0" w:tentative="0">
      <w:start w:val="1"/>
      <w:numFmt w:val="decimal"/>
      <w:lvlText w:val="第%1章"/>
      <w:lvlJc w:val="left"/>
      <w:pPr>
        <w:tabs>
          <w:tab w:val="left" w:pos="964"/>
        </w:tabs>
        <w:ind w:left="0" w:firstLine="0"/>
      </w:pPr>
      <w:rPr>
        <w:rFonts w:hint="eastAsia" w:ascii="黑体" w:eastAsia="黑体"/>
        <w:b/>
        <w:i w:val="0"/>
        <w:sz w:val="32"/>
        <w:szCs w:val="32"/>
        <w:lang w:val="en-US"/>
      </w:rPr>
    </w:lvl>
    <w:lvl w:ilvl="1" w:tentative="0">
      <w:start w:val="1"/>
      <w:numFmt w:val="decimal"/>
      <w:lvlText w:val="%1.%2"/>
      <w:lvlJc w:val="left"/>
      <w:pPr>
        <w:tabs>
          <w:tab w:val="left" w:pos="567"/>
        </w:tabs>
        <w:ind w:left="0" w:firstLine="0"/>
      </w:pPr>
      <w:rPr>
        <w:rFonts w:hint="default" w:ascii="Times New Roman" w:hAnsi="Times New Roman" w:eastAsia="黑体"/>
        <w:b/>
        <w:i w:val="0"/>
        <w:sz w:val="28"/>
        <w:szCs w:val="28"/>
      </w:rPr>
    </w:lvl>
    <w:lvl w:ilvl="2" w:tentative="0">
      <w:start w:val="1"/>
      <w:numFmt w:val="decimal"/>
      <w:lvlText w:val="%1.%2.%3"/>
      <w:lvlJc w:val="left"/>
      <w:pPr>
        <w:tabs>
          <w:tab w:val="left" w:pos="822"/>
        </w:tabs>
        <w:ind w:left="142" w:firstLine="0"/>
      </w:pPr>
      <w:rPr>
        <w:rFonts w:hint="eastAsia" w:eastAsia="黑体"/>
      </w:rPr>
    </w:lvl>
    <w:lvl w:ilvl="3" w:tentative="0">
      <w:start w:val="1"/>
      <w:numFmt w:val="decimal"/>
      <w:pStyle w:val="6"/>
      <w:lvlText w:val="%1.%2.%3.%4"/>
      <w:lvlJc w:val="left"/>
      <w:pPr>
        <w:tabs>
          <w:tab w:val="left" w:pos="2716"/>
        </w:tabs>
        <w:ind w:left="1984" w:hanging="1984"/>
      </w:pPr>
      <w:rPr>
        <w:rFonts w:hint="default" w:ascii="Times New Roman" w:hAnsi="Times New Roman" w:eastAsia="宋体" w:cs="Times New Roman"/>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0F12E6"/>
    <w:rsid w:val="00007BD0"/>
    <w:rsid w:val="000A47AD"/>
    <w:rsid w:val="001570FF"/>
    <w:rsid w:val="007C2CDB"/>
    <w:rsid w:val="00802C17"/>
    <w:rsid w:val="008B5A18"/>
    <w:rsid w:val="00BC3A1F"/>
    <w:rsid w:val="013C0883"/>
    <w:rsid w:val="01557A3F"/>
    <w:rsid w:val="0158550C"/>
    <w:rsid w:val="016245C6"/>
    <w:rsid w:val="018C1643"/>
    <w:rsid w:val="01902486"/>
    <w:rsid w:val="01912CEF"/>
    <w:rsid w:val="01BA61B0"/>
    <w:rsid w:val="01CD3D16"/>
    <w:rsid w:val="01DF79C5"/>
    <w:rsid w:val="01F64D0F"/>
    <w:rsid w:val="01FE5BCA"/>
    <w:rsid w:val="01FF3BC3"/>
    <w:rsid w:val="01FF4D18"/>
    <w:rsid w:val="021138F7"/>
    <w:rsid w:val="0227319D"/>
    <w:rsid w:val="022A458F"/>
    <w:rsid w:val="025F468E"/>
    <w:rsid w:val="027D2D3A"/>
    <w:rsid w:val="027F5326"/>
    <w:rsid w:val="0290135A"/>
    <w:rsid w:val="02A97FD3"/>
    <w:rsid w:val="02AF690D"/>
    <w:rsid w:val="02E46D6A"/>
    <w:rsid w:val="031F0BE5"/>
    <w:rsid w:val="03273D57"/>
    <w:rsid w:val="03653EFA"/>
    <w:rsid w:val="03920A67"/>
    <w:rsid w:val="03A8028B"/>
    <w:rsid w:val="03A964DC"/>
    <w:rsid w:val="03AC0546"/>
    <w:rsid w:val="03CF5817"/>
    <w:rsid w:val="03D6755E"/>
    <w:rsid w:val="03E71A6B"/>
    <w:rsid w:val="03EA3B15"/>
    <w:rsid w:val="03EC4E37"/>
    <w:rsid w:val="03FB485E"/>
    <w:rsid w:val="041B16D3"/>
    <w:rsid w:val="042B18ED"/>
    <w:rsid w:val="04357D70"/>
    <w:rsid w:val="043F299D"/>
    <w:rsid w:val="04406715"/>
    <w:rsid w:val="04414D65"/>
    <w:rsid w:val="044B6136"/>
    <w:rsid w:val="049241BE"/>
    <w:rsid w:val="04A32501"/>
    <w:rsid w:val="04C026A5"/>
    <w:rsid w:val="04E2157A"/>
    <w:rsid w:val="04E5578A"/>
    <w:rsid w:val="04F3493C"/>
    <w:rsid w:val="04F76DD4"/>
    <w:rsid w:val="052E656D"/>
    <w:rsid w:val="05477768"/>
    <w:rsid w:val="05486BAC"/>
    <w:rsid w:val="057523EE"/>
    <w:rsid w:val="0591547A"/>
    <w:rsid w:val="05B045A0"/>
    <w:rsid w:val="05CF5FA2"/>
    <w:rsid w:val="0616772D"/>
    <w:rsid w:val="062E2CC9"/>
    <w:rsid w:val="06471FDD"/>
    <w:rsid w:val="06AC6AE8"/>
    <w:rsid w:val="06BC2999"/>
    <w:rsid w:val="06C47189"/>
    <w:rsid w:val="06D11853"/>
    <w:rsid w:val="06E52002"/>
    <w:rsid w:val="06FD08ED"/>
    <w:rsid w:val="0701257B"/>
    <w:rsid w:val="070B125C"/>
    <w:rsid w:val="07192104"/>
    <w:rsid w:val="075E75DE"/>
    <w:rsid w:val="076170CE"/>
    <w:rsid w:val="07702E6D"/>
    <w:rsid w:val="07950B26"/>
    <w:rsid w:val="07CF39A8"/>
    <w:rsid w:val="07D83820"/>
    <w:rsid w:val="07F9011D"/>
    <w:rsid w:val="0826142D"/>
    <w:rsid w:val="08330197"/>
    <w:rsid w:val="0856522C"/>
    <w:rsid w:val="0869587F"/>
    <w:rsid w:val="08856DEC"/>
    <w:rsid w:val="08B123F7"/>
    <w:rsid w:val="08B2358F"/>
    <w:rsid w:val="08B84ACC"/>
    <w:rsid w:val="08BF40AC"/>
    <w:rsid w:val="08C409D7"/>
    <w:rsid w:val="08CB0CA3"/>
    <w:rsid w:val="08CF7B81"/>
    <w:rsid w:val="08D44FBA"/>
    <w:rsid w:val="08D60198"/>
    <w:rsid w:val="08EB6C4F"/>
    <w:rsid w:val="08EC0C19"/>
    <w:rsid w:val="09412D13"/>
    <w:rsid w:val="094321E4"/>
    <w:rsid w:val="094445B2"/>
    <w:rsid w:val="095A3DD5"/>
    <w:rsid w:val="09AF4121"/>
    <w:rsid w:val="09C173E8"/>
    <w:rsid w:val="09CC66CA"/>
    <w:rsid w:val="09F12D3E"/>
    <w:rsid w:val="09F91840"/>
    <w:rsid w:val="0A1C6EC8"/>
    <w:rsid w:val="0A73514E"/>
    <w:rsid w:val="0A92134D"/>
    <w:rsid w:val="0A9B6453"/>
    <w:rsid w:val="0A9F4195"/>
    <w:rsid w:val="0AC41E4E"/>
    <w:rsid w:val="0AC77248"/>
    <w:rsid w:val="0B0269E2"/>
    <w:rsid w:val="0B21104E"/>
    <w:rsid w:val="0B470389"/>
    <w:rsid w:val="0B4C4C98"/>
    <w:rsid w:val="0B4D174A"/>
    <w:rsid w:val="0B7849E6"/>
    <w:rsid w:val="0BA31A63"/>
    <w:rsid w:val="0BCD2227"/>
    <w:rsid w:val="0BDA2FAB"/>
    <w:rsid w:val="0C403756"/>
    <w:rsid w:val="0C440E0D"/>
    <w:rsid w:val="0C460641"/>
    <w:rsid w:val="0C552CAB"/>
    <w:rsid w:val="0C6C4250"/>
    <w:rsid w:val="0CA94959"/>
    <w:rsid w:val="0CDF4D1D"/>
    <w:rsid w:val="0D0C188A"/>
    <w:rsid w:val="0D2061F7"/>
    <w:rsid w:val="0D4252AC"/>
    <w:rsid w:val="0D5A0848"/>
    <w:rsid w:val="0D5E39AE"/>
    <w:rsid w:val="0E15212C"/>
    <w:rsid w:val="0E43752E"/>
    <w:rsid w:val="0E5541EC"/>
    <w:rsid w:val="0E67321C"/>
    <w:rsid w:val="0E6D6359"/>
    <w:rsid w:val="0E721BC1"/>
    <w:rsid w:val="0ECF2B6F"/>
    <w:rsid w:val="0EDE75A9"/>
    <w:rsid w:val="0EEC1973"/>
    <w:rsid w:val="0F184820"/>
    <w:rsid w:val="0F1B3060"/>
    <w:rsid w:val="0F2A424A"/>
    <w:rsid w:val="0F2C1D70"/>
    <w:rsid w:val="0F2F360E"/>
    <w:rsid w:val="0F405AEF"/>
    <w:rsid w:val="0F58030C"/>
    <w:rsid w:val="0F792821"/>
    <w:rsid w:val="0F827239"/>
    <w:rsid w:val="0F8A5E0C"/>
    <w:rsid w:val="0F9718DF"/>
    <w:rsid w:val="102F5FF2"/>
    <w:rsid w:val="104C4C48"/>
    <w:rsid w:val="106B4B1A"/>
    <w:rsid w:val="10795489"/>
    <w:rsid w:val="10B26681"/>
    <w:rsid w:val="10B97633"/>
    <w:rsid w:val="10DE5BF9"/>
    <w:rsid w:val="10E16B8A"/>
    <w:rsid w:val="10F25B81"/>
    <w:rsid w:val="10F90765"/>
    <w:rsid w:val="10FD1C16"/>
    <w:rsid w:val="10FE773C"/>
    <w:rsid w:val="11763776"/>
    <w:rsid w:val="1191235E"/>
    <w:rsid w:val="119D5D0E"/>
    <w:rsid w:val="11C10E95"/>
    <w:rsid w:val="11D0732A"/>
    <w:rsid w:val="124038AC"/>
    <w:rsid w:val="12977E48"/>
    <w:rsid w:val="12DA6AD7"/>
    <w:rsid w:val="13001549"/>
    <w:rsid w:val="130628D8"/>
    <w:rsid w:val="13274D28"/>
    <w:rsid w:val="133A2B6A"/>
    <w:rsid w:val="13477178"/>
    <w:rsid w:val="137361BF"/>
    <w:rsid w:val="13873EEF"/>
    <w:rsid w:val="138C7F7B"/>
    <w:rsid w:val="13BA0AF5"/>
    <w:rsid w:val="13F05A62"/>
    <w:rsid w:val="141554C8"/>
    <w:rsid w:val="143329BA"/>
    <w:rsid w:val="144B2C98"/>
    <w:rsid w:val="14691370"/>
    <w:rsid w:val="14771CDF"/>
    <w:rsid w:val="14812B5E"/>
    <w:rsid w:val="14B20F69"/>
    <w:rsid w:val="14C03686"/>
    <w:rsid w:val="14D61575"/>
    <w:rsid w:val="14EB1F91"/>
    <w:rsid w:val="14F8119F"/>
    <w:rsid w:val="151632A6"/>
    <w:rsid w:val="152A6D51"/>
    <w:rsid w:val="15344D3E"/>
    <w:rsid w:val="1540013C"/>
    <w:rsid w:val="15616EEA"/>
    <w:rsid w:val="15726903"/>
    <w:rsid w:val="15914299"/>
    <w:rsid w:val="15C471A6"/>
    <w:rsid w:val="15C947BC"/>
    <w:rsid w:val="15D078F9"/>
    <w:rsid w:val="16007AB2"/>
    <w:rsid w:val="1608430F"/>
    <w:rsid w:val="162D2E8D"/>
    <w:rsid w:val="16380F1D"/>
    <w:rsid w:val="163D2AB4"/>
    <w:rsid w:val="164F4B0E"/>
    <w:rsid w:val="165A01B5"/>
    <w:rsid w:val="166D15EC"/>
    <w:rsid w:val="168129A1"/>
    <w:rsid w:val="168E738E"/>
    <w:rsid w:val="169F7602"/>
    <w:rsid w:val="16A36DBB"/>
    <w:rsid w:val="16B32D77"/>
    <w:rsid w:val="16BF34C9"/>
    <w:rsid w:val="16DF1286"/>
    <w:rsid w:val="16F2564D"/>
    <w:rsid w:val="16F76DD0"/>
    <w:rsid w:val="170B670F"/>
    <w:rsid w:val="17DB07D7"/>
    <w:rsid w:val="17DD62FD"/>
    <w:rsid w:val="18194E5B"/>
    <w:rsid w:val="18227555"/>
    <w:rsid w:val="182561C5"/>
    <w:rsid w:val="183A72AB"/>
    <w:rsid w:val="184E04BE"/>
    <w:rsid w:val="18604101"/>
    <w:rsid w:val="18640EB1"/>
    <w:rsid w:val="189746FE"/>
    <w:rsid w:val="18B232E6"/>
    <w:rsid w:val="18BC13BC"/>
    <w:rsid w:val="19282810"/>
    <w:rsid w:val="193E0799"/>
    <w:rsid w:val="195C7AAD"/>
    <w:rsid w:val="197C1B46"/>
    <w:rsid w:val="1986540C"/>
    <w:rsid w:val="198D78AF"/>
    <w:rsid w:val="1999103C"/>
    <w:rsid w:val="19A74E14"/>
    <w:rsid w:val="19DC0243"/>
    <w:rsid w:val="1A0B3949"/>
    <w:rsid w:val="1A2C08E2"/>
    <w:rsid w:val="1A2E2E40"/>
    <w:rsid w:val="1A8D4D62"/>
    <w:rsid w:val="1A91517D"/>
    <w:rsid w:val="1A9B17D5"/>
    <w:rsid w:val="1AB50E0D"/>
    <w:rsid w:val="1ABC073B"/>
    <w:rsid w:val="1ABE5CF0"/>
    <w:rsid w:val="1ACE4623"/>
    <w:rsid w:val="1AD33980"/>
    <w:rsid w:val="1AE87493"/>
    <w:rsid w:val="1B0A2E67"/>
    <w:rsid w:val="1B157B5C"/>
    <w:rsid w:val="1B1B3613"/>
    <w:rsid w:val="1B4A3CA9"/>
    <w:rsid w:val="1B522B5E"/>
    <w:rsid w:val="1B797A2F"/>
    <w:rsid w:val="1B7C7BDB"/>
    <w:rsid w:val="1BA17641"/>
    <w:rsid w:val="1BC03F6C"/>
    <w:rsid w:val="1BD46728"/>
    <w:rsid w:val="1BD91B5A"/>
    <w:rsid w:val="1C3109C5"/>
    <w:rsid w:val="1C4345D0"/>
    <w:rsid w:val="1C8E406A"/>
    <w:rsid w:val="1C9F0025"/>
    <w:rsid w:val="1CA97685"/>
    <w:rsid w:val="1CAF6968"/>
    <w:rsid w:val="1CC57360"/>
    <w:rsid w:val="1CC61A56"/>
    <w:rsid w:val="1CCE26B8"/>
    <w:rsid w:val="1CDB34BD"/>
    <w:rsid w:val="1D3E15EC"/>
    <w:rsid w:val="1D5801D4"/>
    <w:rsid w:val="1D9634DE"/>
    <w:rsid w:val="1DBF4886"/>
    <w:rsid w:val="1DFB74DD"/>
    <w:rsid w:val="1E075E82"/>
    <w:rsid w:val="1E1171C1"/>
    <w:rsid w:val="1E125288"/>
    <w:rsid w:val="1E256308"/>
    <w:rsid w:val="1E2C58E8"/>
    <w:rsid w:val="1E625171"/>
    <w:rsid w:val="1E74728F"/>
    <w:rsid w:val="1ED1023E"/>
    <w:rsid w:val="1F07660B"/>
    <w:rsid w:val="1F244811"/>
    <w:rsid w:val="1F301408"/>
    <w:rsid w:val="1F34569E"/>
    <w:rsid w:val="1F44464B"/>
    <w:rsid w:val="1F4B6242"/>
    <w:rsid w:val="1F622076"/>
    <w:rsid w:val="1F66307C"/>
    <w:rsid w:val="1F6E3CDF"/>
    <w:rsid w:val="1F721A21"/>
    <w:rsid w:val="1F8630A6"/>
    <w:rsid w:val="1FA140B4"/>
    <w:rsid w:val="1FAA7AFF"/>
    <w:rsid w:val="1FBD2CDB"/>
    <w:rsid w:val="1FEA7A83"/>
    <w:rsid w:val="1FF93EF0"/>
    <w:rsid w:val="20351C78"/>
    <w:rsid w:val="204B0968"/>
    <w:rsid w:val="204C4276"/>
    <w:rsid w:val="205567EA"/>
    <w:rsid w:val="207F6EB1"/>
    <w:rsid w:val="209854B7"/>
    <w:rsid w:val="20CC33B3"/>
    <w:rsid w:val="20DF30E6"/>
    <w:rsid w:val="2105244F"/>
    <w:rsid w:val="210831BB"/>
    <w:rsid w:val="210B3EDB"/>
    <w:rsid w:val="21115269"/>
    <w:rsid w:val="216D51F9"/>
    <w:rsid w:val="21821CC3"/>
    <w:rsid w:val="219519F6"/>
    <w:rsid w:val="21D21C5D"/>
    <w:rsid w:val="21F506E7"/>
    <w:rsid w:val="22266AF2"/>
    <w:rsid w:val="22492E07"/>
    <w:rsid w:val="225E28FB"/>
    <w:rsid w:val="22673393"/>
    <w:rsid w:val="2291008F"/>
    <w:rsid w:val="22CB7353"/>
    <w:rsid w:val="22CF0F38"/>
    <w:rsid w:val="22E456C8"/>
    <w:rsid w:val="22F015DA"/>
    <w:rsid w:val="230C3F3A"/>
    <w:rsid w:val="230D5F8C"/>
    <w:rsid w:val="2318468D"/>
    <w:rsid w:val="231A0AE6"/>
    <w:rsid w:val="231F6735"/>
    <w:rsid w:val="23476C61"/>
    <w:rsid w:val="235A5E54"/>
    <w:rsid w:val="236B2A0F"/>
    <w:rsid w:val="23983A20"/>
    <w:rsid w:val="239C706C"/>
    <w:rsid w:val="239E3E9F"/>
    <w:rsid w:val="23BF0FAD"/>
    <w:rsid w:val="24015121"/>
    <w:rsid w:val="241803D3"/>
    <w:rsid w:val="2471674B"/>
    <w:rsid w:val="24781ACD"/>
    <w:rsid w:val="247D50F0"/>
    <w:rsid w:val="248C4729"/>
    <w:rsid w:val="249441E7"/>
    <w:rsid w:val="24AA3A0B"/>
    <w:rsid w:val="24C352FA"/>
    <w:rsid w:val="24CC706D"/>
    <w:rsid w:val="250F386E"/>
    <w:rsid w:val="251A2866"/>
    <w:rsid w:val="251F3E06"/>
    <w:rsid w:val="25386753"/>
    <w:rsid w:val="253F64A9"/>
    <w:rsid w:val="259721E1"/>
    <w:rsid w:val="25A55949"/>
    <w:rsid w:val="25B67A49"/>
    <w:rsid w:val="25C42B0C"/>
    <w:rsid w:val="25D9601A"/>
    <w:rsid w:val="25DB5A4A"/>
    <w:rsid w:val="25F1264D"/>
    <w:rsid w:val="26492DAF"/>
    <w:rsid w:val="264D0AF2"/>
    <w:rsid w:val="264E03C6"/>
    <w:rsid w:val="269B48B6"/>
    <w:rsid w:val="26A466EF"/>
    <w:rsid w:val="26DF2689"/>
    <w:rsid w:val="26F23447"/>
    <w:rsid w:val="27046DB7"/>
    <w:rsid w:val="2729330D"/>
    <w:rsid w:val="272B145C"/>
    <w:rsid w:val="274912B9"/>
    <w:rsid w:val="27856069"/>
    <w:rsid w:val="279462AC"/>
    <w:rsid w:val="27B60B6C"/>
    <w:rsid w:val="28041684"/>
    <w:rsid w:val="28123DA1"/>
    <w:rsid w:val="281F2A9C"/>
    <w:rsid w:val="28221B0A"/>
    <w:rsid w:val="28373807"/>
    <w:rsid w:val="286B6EAA"/>
    <w:rsid w:val="28827CF6"/>
    <w:rsid w:val="28920A3E"/>
    <w:rsid w:val="28956780"/>
    <w:rsid w:val="28A864B3"/>
    <w:rsid w:val="28C9248A"/>
    <w:rsid w:val="28D47B5D"/>
    <w:rsid w:val="28DE1ED5"/>
    <w:rsid w:val="28E374EB"/>
    <w:rsid w:val="29002B12"/>
    <w:rsid w:val="29331FE7"/>
    <w:rsid w:val="29341AF5"/>
    <w:rsid w:val="296E64EA"/>
    <w:rsid w:val="29BB0CC8"/>
    <w:rsid w:val="29C235A5"/>
    <w:rsid w:val="29C837D8"/>
    <w:rsid w:val="2A0616E3"/>
    <w:rsid w:val="2A13795C"/>
    <w:rsid w:val="2A1D07DB"/>
    <w:rsid w:val="2A2878AC"/>
    <w:rsid w:val="2A3F475B"/>
    <w:rsid w:val="2A4A36B6"/>
    <w:rsid w:val="2A7523C5"/>
    <w:rsid w:val="2AA71ED4"/>
    <w:rsid w:val="2AA82658"/>
    <w:rsid w:val="2AB23619"/>
    <w:rsid w:val="2AC851CF"/>
    <w:rsid w:val="2AEC6B2B"/>
    <w:rsid w:val="2AEE34D5"/>
    <w:rsid w:val="2AFB4FC0"/>
    <w:rsid w:val="2B0A6FB1"/>
    <w:rsid w:val="2B2B1A8E"/>
    <w:rsid w:val="2B30453E"/>
    <w:rsid w:val="2B311469"/>
    <w:rsid w:val="2B747F71"/>
    <w:rsid w:val="2B835C97"/>
    <w:rsid w:val="2BBE1E54"/>
    <w:rsid w:val="2BE462CA"/>
    <w:rsid w:val="2BEA293F"/>
    <w:rsid w:val="2BEB60AC"/>
    <w:rsid w:val="2BF77A2F"/>
    <w:rsid w:val="2BFA0DD4"/>
    <w:rsid w:val="2C231B78"/>
    <w:rsid w:val="2C706D92"/>
    <w:rsid w:val="2C870D45"/>
    <w:rsid w:val="2CB35BE4"/>
    <w:rsid w:val="2CB43679"/>
    <w:rsid w:val="2CB74DD7"/>
    <w:rsid w:val="2CBA4A07"/>
    <w:rsid w:val="2CBC7C58"/>
    <w:rsid w:val="2CC125C6"/>
    <w:rsid w:val="2CE848EE"/>
    <w:rsid w:val="2D053ED4"/>
    <w:rsid w:val="2D2F2CFF"/>
    <w:rsid w:val="2D4B38B1"/>
    <w:rsid w:val="2D8A1297"/>
    <w:rsid w:val="2D940CF3"/>
    <w:rsid w:val="2DB71900"/>
    <w:rsid w:val="2DBD030B"/>
    <w:rsid w:val="2DC07DFB"/>
    <w:rsid w:val="2DCA6ECC"/>
    <w:rsid w:val="2DD227E3"/>
    <w:rsid w:val="2E1D3A94"/>
    <w:rsid w:val="2E5073D1"/>
    <w:rsid w:val="2E935510"/>
    <w:rsid w:val="2E9B6196"/>
    <w:rsid w:val="2EBF6305"/>
    <w:rsid w:val="2EC4145B"/>
    <w:rsid w:val="2EEE2746"/>
    <w:rsid w:val="2EF22D67"/>
    <w:rsid w:val="2EF44200"/>
    <w:rsid w:val="2F2F310A"/>
    <w:rsid w:val="2F3D6323"/>
    <w:rsid w:val="2F4800A8"/>
    <w:rsid w:val="2F537CE5"/>
    <w:rsid w:val="2F87307A"/>
    <w:rsid w:val="2F875074"/>
    <w:rsid w:val="2FAB3A85"/>
    <w:rsid w:val="2FF87D20"/>
    <w:rsid w:val="300F79F8"/>
    <w:rsid w:val="30142680"/>
    <w:rsid w:val="302F1268"/>
    <w:rsid w:val="30671649"/>
    <w:rsid w:val="30950ABF"/>
    <w:rsid w:val="30CC4D09"/>
    <w:rsid w:val="30D005EC"/>
    <w:rsid w:val="30E21BC1"/>
    <w:rsid w:val="30FE1366"/>
    <w:rsid w:val="31232B7B"/>
    <w:rsid w:val="313A1C72"/>
    <w:rsid w:val="31401FA3"/>
    <w:rsid w:val="314D409C"/>
    <w:rsid w:val="316D2048"/>
    <w:rsid w:val="316F36A1"/>
    <w:rsid w:val="31905D36"/>
    <w:rsid w:val="319B6BB5"/>
    <w:rsid w:val="31C81974"/>
    <w:rsid w:val="31D43E75"/>
    <w:rsid w:val="32004C6A"/>
    <w:rsid w:val="322F37A1"/>
    <w:rsid w:val="32494863"/>
    <w:rsid w:val="32A827E6"/>
    <w:rsid w:val="32D700C1"/>
    <w:rsid w:val="32D85BE7"/>
    <w:rsid w:val="32EE2C98"/>
    <w:rsid w:val="32FD73FC"/>
    <w:rsid w:val="32FE2E9B"/>
    <w:rsid w:val="33185FE3"/>
    <w:rsid w:val="331C5AD4"/>
    <w:rsid w:val="33811DDB"/>
    <w:rsid w:val="33896EE1"/>
    <w:rsid w:val="339A10EE"/>
    <w:rsid w:val="339E298D"/>
    <w:rsid w:val="33B421B0"/>
    <w:rsid w:val="33B51A84"/>
    <w:rsid w:val="340622E0"/>
    <w:rsid w:val="340824FC"/>
    <w:rsid w:val="340B78F6"/>
    <w:rsid w:val="34272982"/>
    <w:rsid w:val="342B4D51"/>
    <w:rsid w:val="343A368F"/>
    <w:rsid w:val="345B262C"/>
    <w:rsid w:val="346F4329"/>
    <w:rsid w:val="348222AE"/>
    <w:rsid w:val="348E0C53"/>
    <w:rsid w:val="34936269"/>
    <w:rsid w:val="34A00474"/>
    <w:rsid w:val="34B12734"/>
    <w:rsid w:val="34E268A9"/>
    <w:rsid w:val="34F14D3E"/>
    <w:rsid w:val="34FA1E45"/>
    <w:rsid w:val="350F12E6"/>
    <w:rsid w:val="35264703"/>
    <w:rsid w:val="353C0959"/>
    <w:rsid w:val="35417A73"/>
    <w:rsid w:val="35D408E8"/>
    <w:rsid w:val="35ED19A9"/>
    <w:rsid w:val="361433DA"/>
    <w:rsid w:val="36721EAF"/>
    <w:rsid w:val="36A52284"/>
    <w:rsid w:val="370D32D7"/>
    <w:rsid w:val="37152F66"/>
    <w:rsid w:val="373C4B01"/>
    <w:rsid w:val="37461371"/>
    <w:rsid w:val="374B5009"/>
    <w:rsid w:val="37644A1E"/>
    <w:rsid w:val="37985945"/>
    <w:rsid w:val="379A3C68"/>
    <w:rsid w:val="37B502A5"/>
    <w:rsid w:val="37FC2378"/>
    <w:rsid w:val="38080218"/>
    <w:rsid w:val="38080D1C"/>
    <w:rsid w:val="382216D7"/>
    <w:rsid w:val="38392C84"/>
    <w:rsid w:val="38482EC7"/>
    <w:rsid w:val="385B52F0"/>
    <w:rsid w:val="388143F9"/>
    <w:rsid w:val="38832151"/>
    <w:rsid w:val="38A547BD"/>
    <w:rsid w:val="38F92413"/>
    <w:rsid w:val="38FA1D7C"/>
    <w:rsid w:val="39397B64"/>
    <w:rsid w:val="393C6ED0"/>
    <w:rsid w:val="396446BF"/>
    <w:rsid w:val="39745863"/>
    <w:rsid w:val="39760949"/>
    <w:rsid w:val="39777F08"/>
    <w:rsid w:val="399F3CA6"/>
    <w:rsid w:val="39D32666"/>
    <w:rsid w:val="3A053260"/>
    <w:rsid w:val="3A3A0F35"/>
    <w:rsid w:val="3A4E3D1B"/>
    <w:rsid w:val="3A8730BD"/>
    <w:rsid w:val="3A995C5C"/>
    <w:rsid w:val="3AB42AF9"/>
    <w:rsid w:val="3AC1443A"/>
    <w:rsid w:val="3AC16F61"/>
    <w:rsid w:val="3B003F2D"/>
    <w:rsid w:val="3B5A188F"/>
    <w:rsid w:val="3B5E2A01"/>
    <w:rsid w:val="3B677E26"/>
    <w:rsid w:val="3B6B584A"/>
    <w:rsid w:val="3B7A783B"/>
    <w:rsid w:val="3B9507A4"/>
    <w:rsid w:val="3BBF4813"/>
    <w:rsid w:val="3BC211E2"/>
    <w:rsid w:val="3BCD0A3E"/>
    <w:rsid w:val="3BD66A3C"/>
    <w:rsid w:val="3BD9707D"/>
    <w:rsid w:val="3BE9676F"/>
    <w:rsid w:val="3BF6D59A"/>
    <w:rsid w:val="3C4A1903"/>
    <w:rsid w:val="3C4E7275"/>
    <w:rsid w:val="3C5E0F0B"/>
    <w:rsid w:val="3C664263"/>
    <w:rsid w:val="3C9848D1"/>
    <w:rsid w:val="3CBB635D"/>
    <w:rsid w:val="3CD218F9"/>
    <w:rsid w:val="3CDB255C"/>
    <w:rsid w:val="3D192B38"/>
    <w:rsid w:val="3D2C725B"/>
    <w:rsid w:val="3D3E0D3C"/>
    <w:rsid w:val="3D976E93"/>
    <w:rsid w:val="3DFA1107"/>
    <w:rsid w:val="3E09759C"/>
    <w:rsid w:val="3E1C493E"/>
    <w:rsid w:val="3E23065E"/>
    <w:rsid w:val="3E2E7003"/>
    <w:rsid w:val="3E313CA5"/>
    <w:rsid w:val="3E401D38"/>
    <w:rsid w:val="3E5F71BC"/>
    <w:rsid w:val="3E78202C"/>
    <w:rsid w:val="3E970CEA"/>
    <w:rsid w:val="3EA11E42"/>
    <w:rsid w:val="3EAC3984"/>
    <w:rsid w:val="3EAF1EF2"/>
    <w:rsid w:val="3EBA2645"/>
    <w:rsid w:val="3EBD5294"/>
    <w:rsid w:val="3EC7317F"/>
    <w:rsid w:val="3ED24E20"/>
    <w:rsid w:val="3EF67997"/>
    <w:rsid w:val="3EF913BF"/>
    <w:rsid w:val="3F0C77E4"/>
    <w:rsid w:val="3F286E52"/>
    <w:rsid w:val="3F4D4AD8"/>
    <w:rsid w:val="3F5771B3"/>
    <w:rsid w:val="3F5954D3"/>
    <w:rsid w:val="3F724CCD"/>
    <w:rsid w:val="3F727EFE"/>
    <w:rsid w:val="3F9409E8"/>
    <w:rsid w:val="3FB56340"/>
    <w:rsid w:val="4007174D"/>
    <w:rsid w:val="4010076E"/>
    <w:rsid w:val="40302BBE"/>
    <w:rsid w:val="40493C80"/>
    <w:rsid w:val="40556AC9"/>
    <w:rsid w:val="405A7C3B"/>
    <w:rsid w:val="405B7950"/>
    <w:rsid w:val="40994C08"/>
    <w:rsid w:val="40A22A67"/>
    <w:rsid w:val="40AF7F21"/>
    <w:rsid w:val="40B97058"/>
    <w:rsid w:val="40C003E6"/>
    <w:rsid w:val="40CC18D7"/>
    <w:rsid w:val="40F276D3"/>
    <w:rsid w:val="40FC6F44"/>
    <w:rsid w:val="4103199B"/>
    <w:rsid w:val="41202C33"/>
    <w:rsid w:val="41207BDE"/>
    <w:rsid w:val="41265D6F"/>
    <w:rsid w:val="412D2874"/>
    <w:rsid w:val="41404B99"/>
    <w:rsid w:val="41566655"/>
    <w:rsid w:val="416C052E"/>
    <w:rsid w:val="417D0085"/>
    <w:rsid w:val="418238EE"/>
    <w:rsid w:val="41AB699D"/>
    <w:rsid w:val="41C13E9F"/>
    <w:rsid w:val="41DD28D2"/>
    <w:rsid w:val="41E33C60"/>
    <w:rsid w:val="41E9396D"/>
    <w:rsid w:val="41F93484"/>
    <w:rsid w:val="42002A64"/>
    <w:rsid w:val="421D53C4"/>
    <w:rsid w:val="42313E5B"/>
    <w:rsid w:val="42426621"/>
    <w:rsid w:val="42552DB0"/>
    <w:rsid w:val="426C3096"/>
    <w:rsid w:val="427920C9"/>
    <w:rsid w:val="429621B7"/>
    <w:rsid w:val="42EF5A67"/>
    <w:rsid w:val="42FB06F2"/>
    <w:rsid w:val="430A1DED"/>
    <w:rsid w:val="435C45B5"/>
    <w:rsid w:val="438374A9"/>
    <w:rsid w:val="43922065"/>
    <w:rsid w:val="43A00970"/>
    <w:rsid w:val="43C334B9"/>
    <w:rsid w:val="43D56FCF"/>
    <w:rsid w:val="43EA6480"/>
    <w:rsid w:val="43EF7B01"/>
    <w:rsid w:val="43F23209"/>
    <w:rsid w:val="43F5295D"/>
    <w:rsid w:val="4401376D"/>
    <w:rsid w:val="44022AC4"/>
    <w:rsid w:val="441D78FE"/>
    <w:rsid w:val="442320A2"/>
    <w:rsid w:val="444255B6"/>
    <w:rsid w:val="448C5AFF"/>
    <w:rsid w:val="44C540B6"/>
    <w:rsid w:val="44D04970"/>
    <w:rsid w:val="44E328F5"/>
    <w:rsid w:val="44E95A32"/>
    <w:rsid w:val="44FA19ED"/>
    <w:rsid w:val="45192D66"/>
    <w:rsid w:val="452D591E"/>
    <w:rsid w:val="45401AF6"/>
    <w:rsid w:val="45470B7B"/>
    <w:rsid w:val="45796DB6"/>
    <w:rsid w:val="458A6A89"/>
    <w:rsid w:val="458D2861"/>
    <w:rsid w:val="45C10B4B"/>
    <w:rsid w:val="45C37EC8"/>
    <w:rsid w:val="45EF5D04"/>
    <w:rsid w:val="45F11042"/>
    <w:rsid w:val="45F448F2"/>
    <w:rsid w:val="45FB3C6E"/>
    <w:rsid w:val="463F1DAD"/>
    <w:rsid w:val="46470C62"/>
    <w:rsid w:val="46774B37"/>
    <w:rsid w:val="467955A8"/>
    <w:rsid w:val="476615BC"/>
    <w:rsid w:val="476C78A4"/>
    <w:rsid w:val="477737C9"/>
    <w:rsid w:val="47BC742D"/>
    <w:rsid w:val="47D76015"/>
    <w:rsid w:val="47EF665A"/>
    <w:rsid w:val="48156667"/>
    <w:rsid w:val="481700D5"/>
    <w:rsid w:val="48185B57"/>
    <w:rsid w:val="481B3258"/>
    <w:rsid w:val="481E5F6E"/>
    <w:rsid w:val="482D3655"/>
    <w:rsid w:val="487B4BF3"/>
    <w:rsid w:val="489B7043"/>
    <w:rsid w:val="48AB372A"/>
    <w:rsid w:val="48BD64DD"/>
    <w:rsid w:val="48BF0F83"/>
    <w:rsid w:val="49033566"/>
    <w:rsid w:val="49222D8A"/>
    <w:rsid w:val="49303C2F"/>
    <w:rsid w:val="493F6BB3"/>
    <w:rsid w:val="49427072"/>
    <w:rsid w:val="49535B70"/>
    <w:rsid w:val="49916FD6"/>
    <w:rsid w:val="49AD702E"/>
    <w:rsid w:val="49E3340D"/>
    <w:rsid w:val="4A064990"/>
    <w:rsid w:val="4A145A2C"/>
    <w:rsid w:val="4A275032"/>
    <w:rsid w:val="4A54394D"/>
    <w:rsid w:val="4A600544"/>
    <w:rsid w:val="4A6F2535"/>
    <w:rsid w:val="4A722025"/>
    <w:rsid w:val="4A895CED"/>
    <w:rsid w:val="4A8A11FE"/>
    <w:rsid w:val="4A8E6E5F"/>
    <w:rsid w:val="4AA91EEB"/>
    <w:rsid w:val="4AC26B09"/>
    <w:rsid w:val="4AE4141D"/>
    <w:rsid w:val="4AF12273"/>
    <w:rsid w:val="4AF60EA8"/>
    <w:rsid w:val="4B307F16"/>
    <w:rsid w:val="4B322560"/>
    <w:rsid w:val="4B3774F7"/>
    <w:rsid w:val="4B4B11F4"/>
    <w:rsid w:val="4B4C600B"/>
    <w:rsid w:val="4BA83F51"/>
    <w:rsid w:val="4BB22EA7"/>
    <w:rsid w:val="4BCE3FFA"/>
    <w:rsid w:val="4BF058F8"/>
    <w:rsid w:val="4C017B05"/>
    <w:rsid w:val="4C111E3E"/>
    <w:rsid w:val="4C50431F"/>
    <w:rsid w:val="4C793B3F"/>
    <w:rsid w:val="4C997D3D"/>
    <w:rsid w:val="4CBA03DF"/>
    <w:rsid w:val="4CCD5C17"/>
    <w:rsid w:val="4CDB0356"/>
    <w:rsid w:val="4CE20242"/>
    <w:rsid w:val="4D0750FB"/>
    <w:rsid w:val="4D115B26"/>
    <w:rsid w:val="4D3B10B6"/>
    <w:rsid w:val="4D621A97"/>
    <w:rsid w:val="4D6241E3"/>
    <w:rsid w:val="4D6420F9"/>
    <w:rsid w:val="4D7F6F33"/>
    <w:rsid w:val="4D862070"/>
    <w:rsid w:val="4DA16EA9"/>
    <w:rsid w:val="4DC16064"/>
    <w:rsid w:val="4DC25072"/>
    <w:rsid w:val="4DC4528E"/>
    <w:rsid w:val="4DDF3E76"/>
    <w:rsid w:val="4DF06083"/>
    <w:rsid w:val="4E304B82"/>
    <w:rsid w:val="4E796078"/>
    <w:rsid w:val="4E850579"/>
    <w:rsid w:val="4EEF633A"/>
    <w:rsid w:val="4EFB6A8D"/>
    <w:rsid w:val="4F2558B8"/>
    <w:rsid w:val="4F332775"/>
    <w:rsid w:val="4F43623A"/>
    <w:rsid w:val="4F583EE0"/>
    <w:rsid w:val="4F735B30"/>
    <w:rsid w:val="4F767ABB"/>
    <w:rsid w:val="4F7D1494"/>
    <w:rsid w:val="4FA36F58"/>
    <w:rsid w:val="4FB70C06"/>
    <w:rsid w:val="4FE347CD"/>
    <w:rsid w:val="4FF43C08"/>
    <w:rsid w:val="50666784"/>
    <w:rsid w:val="50680E4F"/>
    <w:rsid w:val="50715259"/>
    <w:rsid w:val="50830D73"/>
    <w:rsid w:val="50924FD9"/>
    <w:rsid w:val="50CA2BBB"/>
    <w:rsid w:val="50F25C6E"/>
    <w:rsid w:val="5107796B"/>
    <w:rsid w:val="513E0EB3"/>
    <w:rsid w:val="51422751"/>
    <w:rsid w:val="5176689F"/>
    <w:rsid w:val="51B8376E"/>
    <w:rsid w:val="51BF315D"/>
    <w:rsid w:val="51BF3DA2"/>
    <w:rsid w:val="51C616B7"/>
    <w:rsid w:val="51CD69B3"/>
    <w:rsid w:val="51DA6E2E"/>
    <w:rsid w:val="5246001F"/>
    <w:rsid w:val="52516C3A"/>
    <w:rsid w:val="52666914"/>
    <w:rsid w:val="526D37FE"/>
    <w:rsid w:val="529769A0"/>
    <w:rsid w:val="529E1C09"/>
    <w:rsid w:val="529F5982"/>
    <w:rsid w:val="52AA244F"/>
    <w:rsid w:val="52B72CCB"/>
    <w:rsid w:val="52BB0A0D"/>
    <w:rsid w:val="52D03C5E"/>
    <w:rsid w:val="530F6FAB"/>
    <w:rsid w:val="5322283B"/>
    <w:rsid w:val="53582700"/>
    <w:rsid w:val="53595731"/>
    <w:rsid w:val="535B2117"/>
    <w:rsid w:val="536421E9"/>
    <w:rsid w:val="5373753A"/>
    <w:rsid w:val="538C05FC"/>
    <w:rsid w:val="538C5F06"/>
    <w:rsid w:val="53C2713E"/>
    <w:rsid w:val="53C438F2"/>
    <w:rsid w:val="53EA79A2"/>
    <w:rsid w:val="541363CC"/>
    <w:rsid w:val="542D593B"/>
    <w:rsid w:val="54435BDD"/>
    <w:rsid w:val="54511616"/>
    <w:rsid w:val="545E4735"/>
    <w:rsid w:val="54624EB9"/>
    <w:rsid w:val="54754BEC"/>
    <w:rsid w:val="549562C2"/>
    <w:rsid w:val="54A13C33"/>
    <w:rsid w:val="54C555C0"/>
    <w:rsid w:val="54D5124F"/>
    <w:rsid w:val="54EF499E"/>
    <w:rsid w:val="54FC530D"/>
    <w:rsid w:val="551C2433"/>
    <w:rsid w:val="554B7D85"/>
    <w:rsid w:val="55515659"/>
    <w:rsid w:val="557B26D6"/>
    <w:rsid w:val="558C761E"/>
    <w:rsid w:val="55993F6E"/>
    <w:rsid w:val="55A12C72"/>
    <w:rsid w:val="563C00B7"/>
    <w:rsid w:val="564039BF"/>
    <w:rsid w:val="5657389C"/>
    <w:rsid w:val="565D1FD4"/>
    <w:rsid w:val="569D042A"/>
    <w:rsid w:val="56A63783"/>
    <w:rsid w:val="56B45E9F"/>
    <w:rsid w:val="56DB73DF"/>
    <w:rsid w:val="56EA6A37"/>
    <w:rsid w:val="56FB5DFE"/>
    <w:rsid w:val="572A7F10"/>
    <w:rsid w:val="57315742"/>
    <w:rsid w:val="57566034"/>
    <w:rsid w:val="57921934"/>
    <w:rsid w:val="57BB14B0"/>
    <w:rsid w:val="57BB3877"/>
    <w:rsid w:val="57F66044"/>
    <w:rsid w:val="580A71EE"/>
    <w:rsid w:val="58240E03"/>
    <w:rsid w:val="58485ECA"/>
    <w:rsid w:val="584C2108"/>
    <w:rsid w:val="58690C84"/>
    <w:rsid w:val="586C6306"/>
    <w:rsid w:val="588673C8"/>
    <w:rsid w:val="58913FAE"/>
    <w:rsid w:val="58A27F7A"/>
    <w:rsid w:val="58B15CFB"/>
    <w:rsid w:val="58B51D22"/>
    <w:rsid w:val="58B73A25"/>
    <w:rsid w:val="58D27596"/>
    <w:rsid w:val="59154BEF"/>
    <w:rsid w:val="591A2206"/>
    <w:rsid w:val="5927777C"/>
    <w:rsid w:val="592B5F9B"/>
    <w:rsid w:val="5939448F"/>
    <w:rsid w:val="593C217C"/>
    <w:rsid w:val="59441031"/>
    <w:rsid w:val="596D4A2C"/>
    <w:rsid w:val="597168E7"/>
    <w:rsid w:val="598633F7"/>
    <w:rsid w:val="59927FEE"/>
    <w:rsid w:val="59A250DC"/>
    <w:rsid w:val="59B83EF9"/>
    <w:rsid w:val="59CA7788"/>
    <w:rsid w:val="59D423B5"/>
    <w:rsid w:val="5A5C423C"/>
    <w:rsid w:val="5A654DE6"/>
    <w:rsid w:val="5A655B16"/>
    <w:rsid w:val="5A72688B"/>
    <w:rsid w:val="5AA4622B"/>
    <w:rsid w:val="5AA65E90"/>
    <w:rsid w:val="5AFA109E"/>
    <w:rsid w:val="5B010E87"/>
    <w:rsid w:val="5B0E7B48"/>
    <w:rsid w:val="5B514D7F"/>
    <w:rsid w:val="5B525C87"/>
    <w:rsid w:val="5B5C08B4"/>
    <w:rsid w:val="5B7756EE"/>
    <w:rsid w:val="5BB406F0"/>
    <w:rsid w:val="5C1B076F"/>
    <w:rsid w:val="5C1D44E7"/>
    <w:rsid w:val="5C294C3A"/>
    <w:rsid w:val="5C4A20D9"/>
    <w:rsid w:val="5C6A5252"/>
    <w:rsid w:val="5C830621"/>
    <w:rsid w:val="5C9002C2"/>
    <w:rsid w:val="5D096819"/>
    <w:rsid w:val="5D156F6C"/>
    <w:rsid w:val="5D221689"/>
    <w:rsid w:val="5D2C7825"/>
    <w:rsid w:val="5D2E160A"/>
    <w:rsid w:val="5D2E62B6"/>
    <w:rsid w:val="5D59154F"/>
    <w:rsid w:val="5D6567A1"/>
    <w:rsid w:val="5D6972B8"/>
    <w:rsid w:val="5DBC0415"/>
    <w:rsid w:val="5DDE1A54"/>
    <w:rsid w:val="5E20206C"/>
    <w:rsid w:val="5E2D4789"/>
    <w:rsid w:val="5E2F5C32"/>
    <w:rsid w:val="5E4B106F"/>
    <w:rsid w:val="5E7A2056"/>
    <w:rsid w:val="5E897C12"/>
    <w:rsid w:val="5EAC1B52"/>
    <w:rsid w:val="5EAE1DB7"/>
    <w:rsid w:val="5EBD3A80"/>
    <w:rsid w:val="5ECB5E31"/>
    <w:rsid w:val="5EF332DD"/>
    <w:rsid w:val="5EF53604"/>
    <w:rsid w:val="5F21609C"/>
    <w:rsid w:val="5F290493"/>
    <w:rsid w:val="5F6874A3"/>
    <w:rsid w:val="5F6B5569"/>
    <w:rsid w:val="5FC627A0"/>
    <w:rsid w:val="5FCE183E"/>
    <w:rsid w:val="5FDE3F8D"/>
    <w:rsid w:val="60003F04"/>
    <w:rsid w:val="60005875"/>
    <w:rsid w:val="600532C8"/>
    <w:rsid w:val="600B5EC6"/>
    <w:rsid w:val="60193217"/>
    <w:rsid w:val="601E082E"/>
    <w:rsid w:val="606A75CF"/>
    <w:rsid w:val="60824919"/>
    <w:rsid w:val="60AA20C1"/>
    <w:rsid w:val="60AE3960"/>
    <w:rsid w:val="60B10F20"/>
    <w:rsid w:val="60D4713E"/>
    <w:rsid w:val="60D86C2E"/>
    <w:rsid w:val="60DB486A"/>
    <w:rsid w:val="60EB64DB"/>
    <w:rsid w:val="611063C8"/>
    <w:rsid w:val="61355E2F"/>
    <w:rsid w:val="61502C69"/>
    <w:rsid w:val="61774699"/>
    <w:rsid w:val="61FE227F"/>
    <w:rsid w:val="624D0F56"/>
    <w:rsid w:val="62652744"/>
    <w:rsid w:val="628F5A13"/>
    <w:rsid w:val="629D3C8C"/>
    <w:rsid w:val="62B62F9F"/>
    <w:rsid w:val="62BB05B6"/>
    <w:rsid w:val="62D20DCC"/>
    <w:rsid w:val="62EA2C49"/>
    <w:rsid w:val="62FD297C"/>
    <w:rsid w:val="63091321"/>
    <w:rsid w:val="63276A8B"/>
    <w:rsid w:val="632779F9"/>
    <w:rsid w:val="63287AB5"/>
    <w:rsid w:val="639E47F1"/>
    <w:rsid w:val="63A948B2"/>
    <w:rsid w:val="63C811DC"/>
    <w:rsid w:val="63CB65D6"/>
    <w:rsid w:val="63CB7DC7"/>
    <w:rsid w:val="63E449D6"/>
    <w:rsid w:val="63F55D49"/>
    <w:rsid w:val="63F84A67"/>
    <w:rsid w:val="643A042B"/>
    <w:rsid w:val="64744EC0"/>
    <w:rsid w:val="648D7D30"/>
    <w:rsid w:val="64925346"/>
    <w:rsid w:val="649B5691"/>
    <w:rsid w:val="64BB2AEF"/>
    <w:rsid w:val="64D359B4"/>
    <w:rsid w:val="6509385A"/>
    <w:rsid w:val="65202952"/>
    <w:rsid w:val="655F347A"/>
    <w:rsid w:val="65A478BB"/>
    <w:rsid w:val="65A5339C"/>
    <w:rsid w:val="65F90E1D"/>
    <w:rsid w:val="6606364D"/>
    <w:rsid w:val="660758C0"/>
    <w:rsid w:val="66501015"/>
    <w:rsid w:val="66607658"/>
    <w:rsid w:val="66652D12"/>
    <w:rsid w:val="669C24AC"/>
    <w:rsid w:val="66E75E1D"/>
    <w:rsid w:val="66F27A29"/>
    <w:rsid w:val="66F66060"/>
    <w:rsid w:val="67202042"/>
    <w:rsid w:val="675E139E"/>
    <w:rsid w:val="67DB7004"/>
    <w:rsid w:val="68012F0F"/>
    <w:rsid w:val="68161876"/>
    <w:rsid w:val="68185BEC"/>
    <w:rsid w:val="68355DEF"/>
    <w:rsid w:val="68697F36"/>
    <w:rsid w:val="68A5389A"/>
    <w:rsid w:val="68A65864"/>
    <w:rsid w:val="68B0223F"/>
    <w:rsid w:val="68B05209"/>
    <w:rsid w:val="68BC0BE4"/>
    <w:rsid w:val="68C71474"/>
    <w:rsid w:val="68ED3493"/>
    <w:rsid w:val="68FE3DF4"/>
    <w:rsid w:val="68FF0055"/>
    <w:rsid w:val="69281E16"/>
    <w:rsid w:val="696D588E"/>
    <w:rsid w:val="69794D27"/>
    <w:rsid w:val="69866BE7"/>
    <w:rsid w:val="69C266CE"/>
    <w:rsid w:val="69C641B4"/>
    <w:rsid w:val="69D837FB"/>
    <w:rsid w:val="69F50851"/>
    <w:rsid w:val="6A0C5F38"/>
    <w:rsid w:val="6A48251B"/>
    <w:rsid w:val="6A6652AB"/>
    <w:rsid w:val="6AA546D1"/>
    <w:rsid w:val="6ADA35A3"/>
    <w:rsid w:val="6AE461D0"/>
    <w:rsid w:val="6AEB57B0"/>
    <w:rsid w:val="6B375C86"/>
    <w:rsid w:val="6B516FF7"/>
    <w:rsid w:val="6B712E92"/>
    <w:rsid w:val="6B811C71"/>
    <w:rsid w:val="6B9145AA"/>
    <w:rsid w:val="6B924C11"/>
    <w:rsid w:val="6BAF2C82"/>
    <w:rsid w:val="6BB12F3E"/>
    <w:rsid w:val="6BBA2ACB"/>
    <w:rsid w:val="6BEC17E0"/>
    <w:rsid w:val="6C2B274E"/>
    <w:rsid w:val="6C3A69EF"/>
    <w:rsid w:val="6C3E2B17"/>
    <w:rsid w:val="6C3E3165"/>
    <w:rsid w:val="6C77379F"/>
    <w:rsid w:val="6C7E0833"/>
    <w:rsid w:val="6C97799E"/>
    <w:rsid w:val="6CAB169B"/>
    <w:rsid w:val="6CC10EBE"/>
    <w:rsid w:val="6CCE7137"/>
    <w:rsid w:val="6CEF556F"/>
    <w:rsid w:val="6D1C60F5"/>
    <w:rsid w:val="6D400035"/>
    <w:rsid w:val="6D7E290C"/>
    <w:rsid w:val="6D875C64"/>
    <w:rsid w:val="6DA94EBA"/>
    <w:rsid w:val="6DBB590E"/>
    <w:rsid w:val="6DC236DB"/>
    <w:rsid w:val="6DC76061"/>
    <w:rsid w:val="6DFB5D0A"/>
    <w:rsid w:val="6E25722B"/>
    <w:rsid w:val="6E2E60E0"/>
    <w:rsid w:val="6E3B07FD"/>
    <w:rsid w:val="6EA81F5F"/>
    <w:rsid w:val="6EA97E5C"/>
    <w:rsid w:val="6EBE3907"/>
    <w:rsid w:val="6ECC76A7"/>
    <w:rsid w:val="6EE24EE2"/>
    <w:rsid w:val="6EE80984"/>
    <w:rsid w:val="6F046E40"/>
    <w:rsid w:val="6F0B1443"/>
    <w:rsid w:val="6F2A2D4B"/>
    <w:rsid w:val="6F467459"/>
    <w:rsid w:val="6F674ABD"/>
    <w:rsid w:val="6FA916FD"/>
    <w:rsid w:val="6FDC1B6B"/>
    <w:rsid w:val="701B2694"/>
    <w:rsid w:val="704045D3"/>
    <w:rsid w:val="704B11CB"/>
    <w:rsid w:val="705F3615"/>
    <w:rsid w:val="70730722"/>
    <w:rsid w:val="70781894"/>
    <w:rsid w:val="70A00DEB"/>
    <w:rsid w:val="70C44AD9"/>
    <w:rsid w:val="70C930F5"/>
    <w:rsid w:val="70CF6FFC"/>
    <w:rsid w:val="70DA42FD"/>
    <w:rsid w:val="70E71E85"/>
    <w:rsid w:val="70ED68B1"/>
    <w:rsid w:val="71107D1F"/>
    <w:rsid w:val="71145A61"/>
    <w:rsid w:val="71213CDA"/>
    <w:rsid w:val="713F23D0"/>
    <w:rsid w:val="71502811"/>
    <w:rsid w:val="717B5AE0"/>
    <w:rsid w:val="71883D59"/>
    <w:rsid w:val="71970440"/>
    <w:rsid w:val="71A73436"/>
    <w:rsid w:val="71F01837"/>
    <w:rsid w:val="71F22A14"/>
    <w:rsid w:val="72077373"/>
    <w:rsid w:val="721469FD"/>
    <w:rsid w:val="722611A6"/>
    <w:rsid w:val="72261A97"/>
    <w:rsid w:val="723D4CFB"/>
    <w:rsid w:val="724C4D86"/>
    <w:rsid w:val="72514A93"/>
    <w:rsid w:val="72610BFB"/>
    <w:rsid w:val="72694E43"/>
    <w:rsid w:val="7294599D"/>
    <w:rsid w:val="72A050D2"/>
    <w:rsid w:val="72CC4119"/>
    <w:rsid w:val="72DE6D6E"/>
    <w:rsid w:val="731A1328"/>
    <w:rsid w:val="731D6723"/>
    <w:rsid w:val="73281C56"/>
    <w:rsid w:val="73470694"/>
    <w:rsid w:val="734C0DB6"/>
    <w:rsid w:val="73572D10"/>
    <w:rsid w:val="73602E23"/>
    <w:rsid w:val="73727194"/>
    <w:rsid w:val="738A6EC9"/>
    <w:rsid w:val="73AD3F4B"/>
    <w:rsid w:val="73CB617F"/>
    <w:rsid w:val="73CC61CA"/>
    <w:rsid w:val="73F26870"/>
    <w:rsid w:val="73F32406"/>
    <w:rsid w:val="740718AD"/>
    <w:rsid w:val="742D6E39"/>
    <w:rsid w:val="74363F40"/>
    <w:rsid w:val="744D418E"/>
    <w:rsid w:val="747D391D"/>
    <w:rsid w:val="748A603A"/>
    <w:rsid w:val="74A54C22"/>
    <w:rsid w:val="74A82061"/>
    <w:rsid w:val="74B133B5"/>
    <w:rsid w:val="74CF1C9F"/>
    <w:rsid w:val="74D379E1"/>
    <w:rsid w:val="74E44DDE"/>
    <w:rsid w:val="74EA3DB6"/>
    <w:rsid w:val="74F04B62"/>
    <w:rsid w:val="74FC7082"/>
    <w:rsid w:val="752A7CD1"/>
    <w:rsid w:val="757423AA"/>
    <w:rsid w:val="75A15810"/>
    <w:rsid w:val="75C25BB6"/>
    <w:rsid w:val="75EB6F14"/>
    <w:rsid w:val="75F45E61"/>
    <w:rsid w:val="76127D2C"/>
    <w:rsid w:val="764A2098"/>
    <w:rsid w:val="767825EE"/>
    <w:rsid w:val="76791D0B"/>
    <w:rsid w:val="768E1E11"/>
    <w:rsid w:val="76982C90"/>
    <w:rsid w:val="76A5715B"/>
    <w:rsid w:val="76AA29C3"/>
    <w:rsid w:val="76D17FED"/>
    <w:rsid w:val="76E64A64"/>
    <w:rsid w:val="76FA2174"/>
    <w:rsid w:val="773109EF"/>
    <w:rsid w:val="7746449A"/>
    <w:rsid w:val="777D0692"/>
    <w:rsid w:val="77BF162C"/>
    <w:rsid w:val="77C720FB"/>
    <w:rsid w:val="77CA50CB"/>
    <w:rsid w:val="77E35841"/>
    <w:rsid w:val="77E625D7"/>
    <w:rsid w:val="77EE068E"/>
    <w:rsid w:val="77F75794"/>
    <w:rsid w:val="78000AED"/>
    <w:rsid w:val="78061E7B"/>
    <w:rsid w:val="78096E3A"/>
    <w:rsid w:val="780A371A"/>
    <w:rsid w:val="78511348"/>
    <w:rsid w:val="786453D8"/>
    <w:rsid w:val="786A41B8"/>
    <w:rsid w:val="78783618"/>
    <w:rsid w:val="78C30775"/>
    <w:rsid w:val="78EF46BD"/>
    <w:rsid w:val="79623C4E"/>
    <w:rsid w:val="79677152"/>
    <w:rsid w:val="799F60E4"/>
    <w:rsid w:val="79AC0800"/>
    <w:rsid w:val="79EC41D8"/>
    <w:rsid w:val="7A010B4C"/>
    <w:rsid w:val="7A0A5C53"/>
    <w:rsid w:val="7A2860D9"/>
    <w:rsid w:val="7A29688D"/>
    <w:rsid w:val="7A3042B5"/>
    <w:rsid w:val="7A8377B3"/>
    <w:rsid w:val="7AA17C39"/>
    <w:rsid w:val="7AB756AF"/>
    <w:rsid w:val="7AD85D51"/>
    <w:rsid w:val="7AF75AAB"/>
    <w:rsid w:val="7B036915"/>
    <w:rsid w:val="7B084641"/>
    <w:rsid w:val="7B191EC6"/>
    <w:rsid w:val="7B2D4678"/>
    <w:rsid w:val="7B304553"/>
    <w:rsid w:val="7B39642F"/>
    <w:rsid w:val="7B4412F3"/>
    <w:rsid w:val="7B650392"/>
    <w:rsid w:val="7B6C6499"/>
    <w:rsid w:val="7BC6204D"/>
    <w:rsid w:val="7BCE2D18"/>
    <w:rsid w:val="7C036DFE"/>
    <w:rsid w:val="7C062CC8"/>
    <w:rsid w:val="7C063655"/>
    <w:rsid w:val="7C330D65"/>
    <w:rsid w:val="7C3658C0"/>
    <w:rsid w:val="7C467372"/>
    <w:rsid w:val="7C5F7DAC"/>
    <w:rsid w:val="7C5FD46A"/>
    <w:rsid w:val="7C6B04FF"/>
    <w:rsid w:val="7C7E0232"/>
    <w:rsid w:val="7CEA58C8"/>
    <w:rsid w:val="7CF90201"/>
    <w:rsid w:val="7D0A41BC"/>
    <w:rsid w:val="7D0C5454"/>
    <w:rsid w:val="7D3134F6"/>
    <w:rsid w:val="7D360B0D"/>
    <w:rsid w:val="7D4476CE"/>
    <w:rsid w:val="7D515947"/>
    <w:rsid w:val="7D592A4D"/>
    <w:rsid w:val="7D6C452F"/>
    <w:rsid w:val="7D741635"/>
    <w:rsid w:val="7D7864E4"/>
    <w:rsid w:val="7D995BB2"/>
    <w:rsid w:val="7DA168CE"/>
    <w:rsid w:val="7DA272B5"/>
    <w:rsid w:val="7DB122BD"/>
    <w:rsid w:val="7DBA2C1D"/>
    <w:rsid w:val="7DC42B04"/>
    <w:rsid w:val="7DD10836"/>
    <w:rsid w:val="7DDA1DE0"/>
    <w:rsid w:val="7E1A154D"/>
    <w:rsid w:val="7E2748F9"/>
    <w:rsid w:val="7E4D4C5B"/>
    <w:rsid w:val="7E5C45A3"/>
    <w:rsid w:val="7E633B84"/>
    <w:rsid w:val="7EAF501B"/>
    <w:rsid w:val="7EBD1022"/>
    <w:rsid w:val="7ECF2FC7"/>
    <w:rsid w:val="7EDF235F"/>
    <w:rsid w:val="7F2540F0"/>
    <w:rsid w:val="7F25708B"/>
    <w:rsid w:val="7F3D2627"/>
    <w:rsid w:val="7F427C3D"/>
    <w:rsid w:val="7F4F1D32"/>
    <w:rsid w:val="7F511473"/>
    <w:rsid w:val="7F736048"/>
    <w:rsid w:val="7F7B4EFD"/>
    <w:rsid w:val="7F995383"/>
    <w:rsid w:val="7FB701B4"/>
    <w:rsid w:val="7FD7BFF3"/>
    <w:rsid w:val="7FDF548C"/>
    <w:rsid w:val="7FFF5B2E"/>
    <w:rsid w:val="FBB7C679"/>
    <w:rsid w:val="FFFFC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6">
    <w:name w:val="heading 4"/>
    <w:basedOn w:val="1"/>
    <w:next w:val="1"/>
    <w:unhideWhenUsed/>
    <w:qFormat/>
    <w:uiPriority w:val="0"/>
    <w:pPr>
      <w:keepNext/>
      <w:keepLines/>
      <w:numPr>
        <w:ilvl w:val="3"/>
        <w:numId w:val="1"/>
      </w:numPr>
      <w:spacing w:before="40" w:after="120" w:line="480" w:lineRule="auto"/>
      <w:outlineLvl w:val="3"/>
    </w:pPr>
    <w:rPr>
      <w:rFonts w:eastAsia="黑体"/>
      <w:b/>
      <w:bCs/>
      <w:sz w:val="28"/>
      <w:szCs w:val="28"/>
    </w:rPr>
  </w:style>
  <w:style w:type="paragraph" w:styleId="7">
    <w:name w:val="heading 5"/>
    <w:basedOn w:val="1"/>
    <w:next w:val="1"/>
    <w:link w:val="23"/>
    <w:unhideWhenUsed/>
    <w:qFormat/>
    <w:uiPriority w:val="0"/>
    <w:pPr>
      <w:widowControl/>
      <w:pBdr>
        <w:top w:val="none" w:color="auto" w:sz="0" w:space="0"/>
        <w:left w:val="none" w:color="auto" w:sz="0" w:space="0"/>
        <w:bottom w:val="none" w:color="auto" w:sz="0" w:space="0"/>
        <w:right w:val="none" w:color="auto" w:sz="0" w:space="0"/>
      </w:pBdr>
      <w:snapToGrid w:val="0"/>
      <w:spacing w:line="480" w:lineRule="exact"/>
      <w:ind w:firstLine="643" w:firstLineChars="200"/>
      <w:jc w:val="both"/>
      <w:outlineLvl w:val="4"/>
    </w:pPr>
    <w:rPr>
      <w:rFonts w:ascii="Times New Roman" w:hAnsi="Times New Roman" w:eastAsia="楷体_GB2312" w:cs="仿宋_GB2312"/>
      <w:b/>
      <w:sz w:val="28"/>
      <w:szCs w:val="32"/>
    </w:rPr>
  </w:style>
  <w:style w:type="paragraph" w:styleId="8">
    <w:name w:val="heading 6"/>
    <w:basedOn w:val="1"/>
    <w:next w:val="1"/>
    <w:unhideWhenUsed/>
    <w:qFormat/>
    <w:uiPriority w:val="0"/>
    <w:pPr>
      <w:keepNext/>
      <w:keepLines/>
      <w:tabs>
        <w:tab w:val="left" w:pos="1151"/>
      </w:tabs>
      <w:spacing w:before="240" w:after="64" w:line="320" w:lineRule="auto"/>
      <w:ind w:left="1151" w:hanging="1151"/>
      <w:outlineLvl w:val="5"/>
    </w:pPr>
    <w:rPr>
      <w:rFonts w:ascii="Cambria" w:hAnsi="Cambria"/>
      <w:b/>
      <w:bCs/>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rPr>
      <w:rFonts w:ascii="Times New Roman" w:hAnsi="Times New Roman" w:cs="Times New Roman"/>
    </w:rPr>
  </w:style>
  <w:style w:type="paragraph" w:styleId="3">
    <w:name w:val="Body Text"/>
    <w:basedOn w:val="1"/>
    <w:next w:val="4"/>
    <w:qFormat/>
    <w:uiPriority w:val="0"/>
    <w:pPr>
      <w:spacing w:after="140" w:line="276" w:lineRule="auto"/>
    </w:pPr>
  </w:style>
  <w:style w:type="paragraph" w:styleId="4">
    <w:name w:val="footer"/>
    <w:basedOn w:val="1"/>
    <w:next w:val="1"/>
    <w:qFormat/>
    <w:uiPriority w:val="0"/>
    <w:pPr>
      <w:tabs>
        <w:tab w:val="center" w:pos="4153"/>
        <w:tab w:val="right" w:pos="8306"/>
      </w:tabs>
      <w:snapToGrid w:val="0"/>
      <w:jc w:val="left"/>
    </w:pPr>
    <w:rPr>
      <w:sz w:val="18"/>
    </w:rPr>
  </w:style>
  <w:style w:type="paragraph" w:styleId="9">
    <w:name w:val="Normal Indent"/>
    <w:basedOn w:val="1"/>
    <w:qFormat/>
    <w:uiPriority w:val="99"/>
    <w:pPr>
      <w:snapToGrid w:val="0"/>
      <w:ind w:firstLine="556"/>
    </w:pPr>
    <w:rPr>
      <w:rFonts w:ascii="仿宋_GB2312" w:eastAsia="仿宋_GB2312"/>
      <w:kern w:val="0"/>
      <w:szCs w:val="20"/>
      <w:lang w:val="zh-CN"/>
    </w:rPr>
  </w:style>
  <w:style w:type="paragraph" w:styleId="10">
    <w:name w:val="index 6"/>
    <w:basedOn w:val="1"/>
    <w:next w:val="1"/>
    <w:semiHidden/>
    <w:qFormat/>
    <w:uiPriority w:val="0"/>
    <w:pPr>
      <w:ind w:left="1000" w:leftChars="1000"/>
    </w:pPr>
  </w:style>
  <w:style w:type="paragraph" w:styleId="11">
    <w:name w:val="Body Text Indent"/>
    <w:basedOn w:val="1"/>
    <w:next w:val="1"/>
    <w:qFormat/>
    <w:uiPriority w:val="0"/>
    <w:pPr>
      <w:spacing w:after="120"/>
      <w:ind w:left="420" w:leftChars="200"/>
    </w:p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index heading"/>
    <w:basedOn w:val="1"/>
    <w:next w:val="14"/>
    <w:unhideWhenUsed/>
    <w:qFormat/>
    <w:uiPriority w:val="99"/>
    <w:rPr>
      <w:rFonts w:ascii="Arial" w:hAnsi="Arial" w:cs="Arial"/>
      <w:b/>
      <w:bCs/>
    </w:rPr>
  </w:style>
  <w:style w:type="paragraph" w:styleId="14">
    <w:name w:val="index 1"/>
    <w:basedOn w:val="1"/>
    <w:next w:val="1"/>
    <w:unhideWhenUsed/>
    <w:qFormat/>
    <w:uiPriority w:val="99"/>
    <w:pPr>
      <w:spacing w:line="560" w:lineRule="exact"/>
      <w:ind w:firstLine="640" w:firstLineChars="200"/>
    </w:pPr>
    <w:rPr>
      <w:rFonts w:ascii="楷体_GB2312" w:eastAsia="楷体_GB2312"/>
      <w:sz w:val="32"/>
      <w:szCs w:val="3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11"/>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专栏正文"/>
    <w:basedOn w:val="1"/>
    <w:qFormat/>
    <w:uiPriority w:val="0"/>
    <w:pPr>
      <w:widowControl/>
      <w:snapToGrid w:val="0"/>
      <w:spacing w:line="480" w:lineRule="exact"/>
      <w:ind w:firstLine="240"/>
      <w:jc w:val="left"/>
    </w:pPr>
    <w:rPr>
      <w:rFonts w:hint="eastAsia" w:ascii="CESI黑体-GB2312" w:hAnsi="CESI黑体-GB2312" w:cs="CESI黑体-GB2312"/>
      <w:sz w:val="28"/>
      <w:szCs w:val="28"/>
    </w:rPr>
  </w:style>
  <w:style w:type="paragraph" w:customStyle="1" w:styleId="22">
    <w:name w:val="专栏标题"/>
    <w:basedOn w:val="6"/>
    <w:next w:val="21"/>
    <w:qFormat/>
    <w:uiPriority w:val="0"/>
    <w:pPr>
      <w:widowControl/>
      <w:pBdr>
        <w:top w:val="none" w:color="auto" w:sz="0" w:space="0"/>
        <w:left w:val="none" w:color="auto" w:sz="0" w:space="0"/>
        <w:bottom w:val="none" w:color="auto" w:sz="0" w:space="0"/>
        <w:right w:val="none" w:color="auto" w:sz="0" w:space="0"/>
      </w:pBdr>
      <w:spacing w:line="480" w:lineRule="exact"/>
      <w:ind w:firstLine="0" w:firstLineChars="0"/>
    </w:pPr>
    <w:rPr>
      <w:rFonts w:ascii="Times New Roman" w:hAnsi="Times New Roman" w:eastAsia="黑体"/>
      <w:b w:val="0"/>
      <w:sz w:val="28"/>
    </w:rPr>
  </w:style>
  <w:style w:type="character" w:customStyle="1" w:styleId="23">
    <w:name w:val="标题 5 Char"/>
    <w:link w:val="7"/>
    <w:qFormat/>
    <w:uiPriority w:val="0"/>
    <w:rPr>
      <w:rFonts w:ascii="Times New Roman" w:hAnsi="Times New Roman" w:eastAsia="楷体_GB2312" w:cs="仿宋_GB2312"/>
      <w:b/>
      <w:sz w:val="28"/>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7015</Words>
  <Characters>7128</Characters>
  <Lines>0</Lines>
  <Paragraphs>0</Paragraphs>
  <TotalTime>1636</TotalTime>
  <ScaleCrop>false</ScaleCrop>
  <LinksUpToDate>false</LinksUpToDate>
  <CharactersWithSpaces>7128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2026-04-02T08:32:00Z</dcterms:created>
  <dc:creator>小七</dc:creator>
  <cp:lastModifiedBy>小七</cp:lastModifiedBy>
  <dcterms:modified xsi:type="dcterms:W3CDTF">2026-06-02T02:32:42Z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880CAA2C6E424201B4DA38A0B22AFC05_13</vt:lpwstr>
  </property>
  <property fmtid="{D5CDD505-2E9C-101B-9397-08002B2CF9AE}" pid="4" name="KSOTemplateDocerSaveRecord">
    <vt:lpwstr>eyJoZGlkIjoiOWViZWRmZjgxNDA1ZTc1MWE0MDZiYzcyNzVmN2M1NGIiLCJ1c2VySWQiOiIzOTY4NjU5MTIifQ==</vt:lpwstr>
  </property>
</Properties>
</file>