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1BA7F">
      <w:pPr>
        <w:keepNext w:val="0"/>
        <w:keepLines w:val="0"/>
        <w:pageBreakBefore w:val="0"/>
        <w:widowControl w:val="0"/>
        <w:kinsoku/>
        <w:wordWrap/>
        <w:overflowPunct/>
        <w:topLinePunct w:val="0"/>
        <w:autoSpaceDE/>
        <w:autoSpaceDN/>
        <w:bidi w:val="0"/>
        <w:spacing w:line="560" w:lineRule="exact"/>
        <w:ind w:firstLine="880"/>
        <w:jc w:val="center"/>
        <w:textAlignment w:val="auto"/>
        <w:rPr>
          <w:rFonts w:ascii="Times New Roman" w:hAnsi="Times New Roman" w:eastAsia="方正小标宋简体"/>
          <w:bCs/>
          <w:sz w:val="44"/>
          <w:szCs w:val="44"/>
          <w:highlight w:val="none"/>
        </w:rPr>
      </w:pPr>
    </w:p>
    <w:p w14:paraId="3A5E581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张掖市个人诚信积分管理暂行办法</w:t>
      </w:r>
    </w:p>
    <w:p w14:paraId="0368B30A">
      <w:pPr>
        <w:keepNext w:val="0"/>
        <w:keepLines w:val="0"/>
        <w:pageBreakBefore w:val="0"/>
        <w:widowControl w:val="0"/>
        <w:kinsoku/>
        <w:wordWrap/>
        <w:overflowPunct/>
        <w:topLinePunct w:val="0"/>
        <w:autoSpaceDE/>
        <w:autoSpaceDN/>
        <w:bidi w:val="0"/>
        <w:adjustRightInd w:val="0"/>
        <w:snapToGrid w:val="0"/>
        <w:spacing w:line="560" w:lineRule="exact"/>
        <w:ind w:firstLine="640"/>
        <w:jc w:val="center"/>
        <w:textAlignment w:val="auto"/>
        <w:rPr>
          <w:rFonts w:hint="eastAsia" w:ascii="楷体_GB2312" w:hAnsi="楷体_GB2312" w:eastAsia="楷体_GB2312" w:cs="楷体_GB2312"/>
          <w:szCs w:val="32"/>
          <w:highlight w:val="none"/>
          <w:lang w:eastAsia="zh-CN"/>
        </w:rPr>
      </w:pPr>
      <w:r>
        <w:rPr>
          <w:rFonts w:hint="eastAsia" w:ascii="楷体_GB2312" w:hAnsi="楷体_GB2312" w:eastAsia="楷体_GB2312" w:cs="楷体_GB2312"/>
          <w:szCs w:val="32"/>
          <w:highlight w:val="none"/>
          <w:lang w:eastAsia="zh-CN"/>
        </w:rPr>
        <w:t>（征求意见稿）</w:t>
      </w:r>
    </w:p>
    <w:p w14:paraId="32D5E443">
      <w:pPr>
        <w:pStyle w:val="2"/>
        <w:keepNext w:val="0"/>
        <w:keepLines w:val="0"/>
        <w:pageBreakBefore w:val="0"/>
        <w:widowControl w:val="0"/>
        <w:kinsoku/>
        <w:wordWrap/>
        <w:overflowPunct/>
        <w:topLinePunct w:val="0"/>
        <w:autoSpaceDE/>
        <w:autoSpaceDN/>
        <w:bidi w:val="0"/>
        <w:spacing w:after="0" w:line="560" w:lineRule="exact"/>
        <w:textAlignment w:val="auto"/>
        <w:rPr>
          <w:rFonts w:hint="eastAsia"/>
          <w:lang w:eastAsia="zh-CN"/>
        </w:rPr>
      </w:pPr>
    </w:p>
    <w:p w14:paraId="1C40F8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s="黑体"/>
          <w:szCs w:val="32"/>
          <w:highlight w:val="none"/>
        </w:rPr>
      </w:pPr>
      <w:r>
        <w:rPr>
          <w:rFonts w:hint="eastAsia" w:ascii="黑体" w:hAnsi="黑体" w:eastAsia="黑体" w:cs="黑体"/>
          <w:szCs w:val="32"/>
          <w:highlight w:val="none"/>
        </w:rPr>
        <w:t>第一章 总则</w:t>
      </w:r>
    </w:p>
    <w:p w14:paraId="4B4330D9">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 xml:space="preserve">第一条 </w:t>
      </w:r>
      <w:r>
        <w:rPr>
          <w:rFonts w:hint="eastAsia" w:ascii="仿宋" w:hAnsi="仿宋" w:eastAsia="仿宋" w:cs="仿宋"/>
          <w:szCs w:val="32"/>
          <w:highlight w:val="none"/>
        </w:rPr>
        <w:t>为贯彻落实《中共中央办公厅 国务院办公厅印发关于推进社会信用体系建设高质量发展促进形成新发展格局的意见》（中办发〔2022〕25号）、《中共中央办公厅 国务院办公厅关于健全社会信用体系的意见》《国务院办公厅关于加强个人诚信体系建设的指导意见》（国办发〔2016〕98号）、《国务院办公厅关于进一步完善失信约束制度构建诚信建设长效机制的指导意见》（国办发〔2020〕49号）《甘肃省社会信用条例》《甘肃省加强个人诚信体系建设实施方案》（甘政办发〔2017〕161号）</w:t>
      </w:r>
      <w:r>
        <w:rPr>
          <w:rFonts w:hint="eastAsia" w:ascii="仿宋" w:hAnsi="仿宋" w:eastAsia="仿宋" w:cs="仿宋"/>
          <w:szCs w:val="32"/>
          <w:highlight w:val="none"/>
          <w:lang w:eastAsia="zh-CN"/>
        </w:rPr>
        <w:t>、</w:t>
      </w:r>
      <w:r>
        <w:rPr>
          <w:rFonts w:hint="eastAsia" w:ascii="仿宋" w:hAnsi="仿宋" w:eastAsia="仿宋" w:cs="仿宋"/>
          <w:szCs w:val="32"/>
          <w:highlight w:val="none"/>
        </w:rPr>
        <w:t>《张掖市社会信用体系建设促进条例》等文件精神，立足全国统一大市场建设要求</w:t>
      </w:r>
      <w:r>
        <w:rPr>
          <w:rFonts w:hint="eastAsia" w:ascii="仿宋" w:hAnsi="仿宋" w:eastAsia="仿宋" w:cs="仿宋"/>
          <w:szCs w:val="32"/>
          <w:highlight w:val="none"/>
          <w:lang w:val="en-US" w:eastAsia="zh-CN"/>
        </w:rPr>
        <w:t>,促进信用经济发展</w:t>
      </w:r>
      <w:r>
        <w:rPr>
          <w:rFonts w:hint="eastAsia" w:ascii="仿宋" w:hAnsi="仿宋" w:eastAsia="仿宋" w:cs="仿宋"/>
          <w:szCs w:val="32"/>
          <w:highlight w:val="none"/>
        </w:rPr>
        <w:t>，结合我市实际，制定本办法。</w:t>
      </w:r>
    </w:p>
    <w:p w14:paraId="400D6EF5">
      <w:pPr>
        <w:pStyle w:val="2"/>
        <w:keepNext w:val="0"/>
        <w:keepLines w:val="0"/>
        <w:pageBreakBefore w:val="0"/>
        <w:widowControl w:val="0"/>
        <w:kinsoku/>
        <w:wordWrap/>
        <w:overflowPunct/>
        <w:topLinePunct w:val="0"/>
        <w:autoSpaceDE/>
        <w:autoSpaceDN/>
        <w:bidi w:val="0"/>
        <w:spacing w:after="0" w:line="560" w:lineRule="exact"/>
        <w:ind w:firstLine="643"/>
        <w:jc w:val="both"/>
        <w:textAlignment w:val="auto"/>
        <w:rPr>
          <w:rFonts w:hint="eastAsia" w:ascii="仿宋" w:hAnsi="仿宋" w:eastAsia="仿宋" w:cs="仿宋"/>
          <w:highlight w:val="none"/>
        </w:rPr>
      </w:pPr>
      <w:r>
        <w:rPr>
          <w:rFonts w:hint="eastAsia" w:ascii="仿宋" w:hAnsi="仿宋" w:eastAsia="仿宋" w:cs="仿宋"/>
          <w:b/>
          <w:bCs/>
          <w:szCs w:val="32"/>
          <w:highlight w:val="none"/>
        </w:rPr>
        <w:t>第二条</w:t>
      </w:r>
      <w:r>
        <w:rPr>
          <w:rFonts w:hint="eastAsia" w:ascii="仿宋" w:hAnsi="仿宋" w:eastAsia="仿宋" w:cs="仿宋"/>
          <w:highlight w:val="none"/>
        </w:rPr>
        <w:t xml:space="preserve"> 张掖市个人诚信积分的建设、应用、管理以及相关信用信息的归集活动，适用本办法。</w:t>
      </w:r>
    </w:p>
    <w:p w14:paraId="7869AB8F">
      <w:pPr>
        <w:pStyle w:val="2"/>
        <w:keepNext w:val="0"/>
        <w:keepLines w:val="0"/>
        <w:pageBreakBefore w:val="0"/>
        <w:widowControl w:val="0"/>
        <w:kinsoku/>
        <w:wordWrap/>
        <w:overflowPunct/>
        <w:topLinePunct w:val="0"/>
        <w:autoSpaceDE/>
        <w:autoSpaceDN/>
        <w:bidi w:val="0"/>
        <w:spacing w:after="0" w:line="560" w:lineRule="exact"/>
        <w:ind w:firstLine="643"/>
        <w:jc w:val="both"/>
        <w:textAlignment w:val="auto"/>
        <w:rPr>
          <w:rFonts w:hint="eastAsia" w:ascii="仿宋" w:hAnsi="仿宋" w:eastAsia="仿宋" w:cs="仿宋"/>
          <w:highlight w:val="none"/>
        </w:rPr>
      </w:pPr>
      <w:r>
        <w:rPr>
          <w:rFonts w:hint="eastAsia" w:ascii="仿宋" w:hAnsi="仿宋" w:eastAsia="仿宋" w:cs="仿宋"/>
          <w:b/>
          <w:bCs/>
          <w:szCs w:val="32"/>
          <w:highlight w:val="none"/>
        </w:rPr>
        <w:t>第三条</w:t>
      </w:r>
      <w:r>
        <w:rPr>
          <w:rFonts w:hint="eastAsia" w:ascii="仿宋" w:hAnsi="仿宋" w:eastAsia="仿宋" w:cs="仿宋"/>
          <w:highlight w:val="none"/>
        </w:rPr>
        <w:t xml:space="preserve"> 本办法所称个人，是指张掖市行政区域内年满18周岁，且具有完全民事行为能力的常住</w:t>
      </w:r>
      <w:r>
        <w:rPr>
          <w:rFonts w:hint="eastAsia" w:ascii="仿宋" w:hAnsi="仿宋" w:eastAsia="仿宋" w:cs="仿宋"/>
          <w:highlight w:val="none"/>
          <w:lang w:eastAsia="zh-CN"/>
        </w:rPr>
        <w:t>居民</w:t>
      </w:r>
      <w:r>
        <w:rPr>
          <w:rFonts w:hint="eastAsia" w:ascii="仿宋" w:hAnsi="仿宋" w:eastAsia="仿宋" w:cs="仿宋"/>
          <w:highlight w:val="none"/>
        </w:rPr>
        <w:t>，包括本市户籍人员、已办理居住证满1年的非户籍人员和在本市已缴纳社保个税等满1年的非户籍人员。</w:t>
      </w:r>
    </w:p>
    <w:p w14:paraId="3D03AFB4">
      <w:pPr>
        <w:pStyle w:val="2"/>
        <w:keepNext w:val="0"/>
        <w:keepLines w:val="0"/>
        <w:pageBreakBefore w:val="0"/>
        <w:widowControl w:val="0"/>
        <w:kinsoku/>
        <w:wordWrap/>
        <w:overflowPunct/>
        <w:topLinePunct w:val="0"/>
        <w:autoSpaceDE/>
        <w:autoSpaceDN/>
        <w:bidi w:val="0"/>
        <w:spacing w:after="0"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 xml:space="preserve">第四条 </w:t>
      </w:r>
      <w:r>
        <w:rPr>
          <w:rFonts w:hint="eastAsia" w:ascii="仿宋" w:hAnsi="仿宋" w:eastAsia="仿宋" w:cs="仿宋"/>
          <w:szCs w:val="32"/>
          <w:highlight w:val="none"/>
        </w:rPr>
        <w:t>本办法所称个人诚信积分</w:t>
      </w:r>
      <w:r>
        <w:rPr>
          <w:rFonts w:hint="eastAsia" w:ascii="仿宋" w:hAnsi="仿宋" w:eastAsia="仿宋" w:cs="仿宋"/>
          <w:szCs w:val="32"/>
          <w:highlight w:val="none"/>
          <w:lang w:val="en-US" w:eastAsia="zh-CN"/>
        </w:rPr>
        <w:t>是指：</w:t>
      </w:r>
      <w:r>
        <w:rPr>
          <w:rFonts w:hint="eastAsia" w:ascii="仿宋" w:hAnsi="仿宋" w:eastAsia="仿宋" w:cs="仿宋"/>
          <w:szCs w:val="32"/>
          <w:highlight w:val="none"/>
        </w:rPr>
        <w:t>根据依法依规采集的与</w:t>
      </w:r>
      <w:r>
        <w:rPr>
          <w:rFonts w:hint="eastAsia" w:ascii="仿宋" w:hAnsi="仿宋" w:eastAsia="仿宋" w:cs="仿宋"/>
          <w:szCs w:val="32"/>
          <w:highlight w:val="none"/>
          <w:lang w:val="en-US" w:eastAsia="zh-CN"/>
        </w:rPr>
        <w:t>个人</w:t>
      </w:r>
      <w:r>
        <w:rPr>
          <w:rFonts w:hint="eastAsia" w:ascii="仿宋" w:hAnsi="仿宋" w:eastAsia="仿宋" w:cs="仿宋"/>
          <w:szCs w:val="32"/>
          <w:highlight w:val="none"/>
        </w:rPr>
        <w:t>相关的信用信息，采用科学的计算模型和评价指标，综合运用统计方法，对受评</w:t>
      </w:r>
      <w:r>
        <w:rPr>
          <w:rFonts w:hint="eastAsia" w:ascii="仿宋" w:hAnsi="仿宋" w:eastAsia="仿宋" w:cs="仿宋"/>
          <w:szCs w:val="32"/>
          <w:highlight w:val="none"/>
          <w:lang w:eastAsia="zh-CN"/>
        </w:rPr>
        <w:t>个人的</w:t>
      </w:r>
      <w:r>
        <w:rPr>
          <w:rFonts w:hint="eastAsia" w:ascii="仿宋" w:hAnsi="仿宋" w:eastAsia="仿宋" w:cs="仿宋"/>
          <w:szCs w:val="32"/>
          <w:highlight w:val="none"/>
        </w:rPr>
        <w:t>综合</w:t>
      </w:r>
      <w:r>
        <w:rPr>
          <w:rFonts w:hint="eastAsia" w:ascii="仿宋" w:hAnsi="仿宋" w:eastAsia="仿宋" w:cs="仿宋"/>
          <w:szCs w:val="32"/>
          <w:highlight w:val="none"/>
          <w:lang w:val="en-US" w:eastAsia="zh-CN"/>
        </w:rPr>
        <w:t>诚信</w:t>
      </w:r>
      <w:r>
        <w:rPr>
          <w:rFonts w:hint="eastAsia" w:ascii="仿宋" w:hAnsi="仿宋" w:eastAsia="仿宋" w:cs="仿宋"/>
          <w:szCs w:val="32"/>
          <w:highlight w:val="none"/>
        </w:rPr>
        <w:t>状况进行评价，并以量化</w:t>
      </w:r>
      <w:r>
        <w:rPr>
          <w:rFonts w:hint="eastAsia" w:ascii="仿宋" w:hAnsi="仿宋" w:eastAsia="仿宋" w:cs="仿宋"/>
          <w:szCs w:val="32"/>
          <w:highlight w:val="none"/>
          <w:lang w:val="en-US" w:eastAsia="zh-CN"/>
        </w:rPr>
        <w:t>的分值或等级</w:t>
      </w:r>
      <w:r>
        <w:rPr>
          <w:rFonts w:hint="eastAsia" w:ascii="仿宋" w:hAnsi="仿宋" w:eastAsia="仿宋" w:cs="仿宋"/>
          <w:szCs w:val="32"/>
          <w:highlight w:val="none"/>
        </w:rPr>
        <w:t>予以展示</w:t>
      </w:r>
      <w:r>
        <w:rPr>
          <w:rFonts w:hint="eastAsia" w:ascii="仿宋" w:hAnsi="仿宋" w:eastAsia="仿宋" w:cs="仿宋"/>
          <w:szCs w:val="32"/>
          <w:highlight w:val="none"/>
          <w:lang w:eastAsia="zh-CN"/>
        </w:rPr>
        <w:t>。</w:t>
      </w:r>
      <w:r>
        <w:rPr>
          <w:rFonts w:hint="eastAsia" w:ascii="仿宋" w:hAnsi="仿宋" w:eastAsia="仿宋" w:cs="仿宋"/>
          <w:szCs w:val="32"/>
          <w:highlight w:val="none"/>
          <w:lang w:val="en-US" w:eastAsia="zh-CN"/>
        </w:rPr>
        <w:t>积分名称为“丹霞分”。</w:t>
      </w:r>
    </w:p>
    <w:p w14:paraId="7D0E9C02">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 xml:space="preserve">第五条 </w:t>
      </w:r>
      <w:r>
        <w:rPr>
          <w:rFonts w:hint="eastAsia" w:ascii="仿宋" w:hAnsi="仿宋" w:eastAsia="仿宋" w:cs="仿宋"/>
          <w:szCs w:val="32"/>
          <w:highlight w:val="none"/>
        </w:rPr>
        <w:t>市</w:t>
      </w:r>
      <w:r>
        <w:rPr>
          <w:rFonts w:hint="eastAsia" w:ascii="仿宋" w:hAnsi="仿宋" w:eastAsia="仿宋" w:cs="仿宋"/>
          <w:szCs w:val="32"/>
          <w:highlight w:val="none"/>
          <w:lang w:val="en-US" w:eastAsia="zh-CN"/>
        </w:rPr>
        <w:t>发展改革委</w:t>
      </w:r>
      <w:r>
        <w:rPr>
          <w:rFonts w:hint="eastAsia" w:ascii="仿宋" w:hAnsi="仿宋" w:eastAsia="仿宋" w:cs="仿宋"/>
          <w:szCs w:val="32"/>
          <w:highlight w:val="none"/>
        </w:rPr>
        <w:t>牵头负责个人诚信积分评价和体系建设，组织开展个人诚信积分的计算、使用和管理工作，指导各县（区）、市直相关部门</w:t>
      </w:r>
      <w:r>
        <w:rPr>
          <w:rFonts w:hint="eastAsia" w:ascii="仿宋" w:hAnsi="仿宋" w:eastAsia="仿宋" w:cs="仿宋"/>
          <w:szCs w:val="32"/>
          <w:highlight w:val="none"/>
          <w:lang w:val="en-US" w:eastAsia="zh-CN"/>
        </w:rPr>
        <w:t>和单位</w:t>
      </w:r>
      <w:r>
        <w:rPr>
          <w:rFonts w:hint="eastAsia" w:ascii="仿宋" w:hAnsi="仿宋" w:eastAsia="仿宋" w:cs="仿宋"/>
          <w:szCs w:val="32"/>
          <w:highlight w:val="none"/>
        </w:rPr>
        <w:t>推进个人诚信积分应用场景设计和应用。</w:t>
      </w:r>
    </w:p>
    <w:p w14:paraId="5B833612">
      <w:pPr>
        <w:pStyle w:val="2"/>
        <w:keepNext w:val="0"/>
        <w:keepLines w:val="0"/>
        <w:pageBreakBefore w:val="0"/>
        <w:widowControl w:val="0"/>
        <w:kinsoku/>
        <w:wordWrap/>
        <w:overflowPunct/>
        <w:topLinePunct w:val="0"/>
        <w:autoSpaceDE/>
        <w:autoSpaceDN/>
        <w:bidi w:val="0"/>
        <w:spacing w:after="0" w:line="560" w:lineRule="exact"/>
        <w:jc w:val="both"/>
        <w:textAlignment w:val="auto"/>
        <w:rPr>
          <w:rFonts w:hint="default" w:eastAsia="仿宋"/>
          <w:highlight w:val="none"/>
          <w:lang w:val="en-US" w:eastAsia="zh-CN"/>
        </w:rPr>
      </w:pPr>
      <w:r>
        <w:rPr>
          <w:rFonts w:hint="eastAsia" w:ascii="仿宋" w:hAnsi="仿宋" w:eastAsia="仿宋" w:cs="仿宋"/>
          <w:b/>
          <w:bCs/>
          <w:szCs w:val="32"/>
          <w:highlight w:val="none"/>
          <w:lang w:val="en-US" w:eastAsia="zh-CN"/>
        </w:rPr>
        <w:t>第六条</w:t>
      </w:r>
      <w:r>
        <w:rPr>
          <w:rFonts w:hint="eastAsia" w:ascii="仿宋" w:hAnsi="仿宋" w:eastAsia="仿宋" w:cs="仿宋"/>
          <w:szCs w:val="32"/>
          <w:highlight w:val="none"/>
          <w:lang w:val="en-US" w:eastAsia="zh-CN"/>
        </w:rPr>
        <w:t xml:space="preserve"> “丹霞分”的运营工作依托“陇信易享”小程序开展。“陇信易享”小程序是由市发展改革</w:t>
      </w:r>
      <w:r>
        <w:rPr>
          <w:rFonts w:hint="eastAsia" w:ascii="仿宋" w:hAnsi="仿宋" w:eastAsia="仿宋" w:cs="仿宋"/>
          <w:color w:val="auto"/>
          <w:szCs w:val="32"/>
          <w:highlight w:val="none"/>
          <w:lang w:val="en-US" w:eastAsia="zh-CN"/>
        </w:rPr>
        <w:t>委依托市信用信息共享平台建设的</w:t>
      </w:r>
      <w:r>
        <w:rPr>
          <w:rFonts w:hint="eastAsia" w:ascii="仿宋" w:hAnsi="仿宋" w:eastAsia="仿宋" w:cs="仿宋"/>
          <w:szCs w:val="32"/>
          <w:highlight w:val="none"/>
          <w:lang w:val="en-US" w:eastAsia="zh-CN"/>
        </w:rPr>
        <w:t>公益性平台，可用于查询“丹霞分”并开展积分应用。</w:t>
      </w:r>
    </w:p>
    <w:p w14:paraId="53934972">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w:t>
      </w:r>
      <w:r>
        <w:rPr>
          <w:rFonts w:hint="eastAsia" w:ascii="仿宋" w:hAnsi="仿宋" w:eastAsia="仿宋" w:cs="仿宋"/>
          <w:b/>
          <w:bCs/>
          <w:szCs w:val="32"/>
          <w:highlight w:val="none"/>
          <w:lang w:val="en-US" w:eastAsia="zh-CN"/>
        </w:rPr>
        <w:t>七</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个人诚信积分的评定和管理遵循客观公正、标准统一、动态管理、可追溯的原则，按照规定的程序进行。</w:t>
      </w:r>
    </w:p>
    <w:p w14:paraId="7ABBBBDE">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黑体" w:hAnsi="黑体" w:eastAsia="黑体" w:cs="黑体"/>
          <w:szCs w:val="32"/>
          <w:highlight w:val="none"/>
        </w:rPr>
      </w:pPr>
    </w:p>
    <w:p w14:paraId="203A010B">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黑体" w:hAnsi="黑体" w:eastAsia="黑体" w:cs="黑体"/>
          <w:szCs w:val="32"/>
          <w:highlight w:val="none"/>
        </w:rPr>
      </w:pPr>
      <w:r>
        <w:rPr>
          <w:rFonts w:ascii="黑体" w:hAnsi="黑体" w:eastAsia="黑体" w:cs="黑体"/>
          <w:szCs w:val="32"/>
          <w:highlight w:val="none"/>
        </w:rPr>
        <w:t>第二章  信用信息构成及数据归集</w:t>
      </w:r>
    </w:p>
    <w:p w14:paraId="7AC2C951">
      <w:pPr>
        <w:keepNext w:val="0"/>
        <w:keepLines w:val="0"/>
        <w:pageBreakBefore w:val="0"/>
        <w:widowControl w:val="0"/>
        <w:kinsoku/>
        <w:wordWrap/>
        <w:overflowPunct/>
        <w:topLinePunct w:val="0"/>
        <w:autoSpaceDE/>
        <w:autoSpaceDN/>
        <w:bidi w:val="0"/>
        <w:spacing w:line="560" w:lineRule="exact"/>
        <w:ind w:firstLine="643"/>
        <w:jc w:val="both"/>
        <w:textAlignment w:val="auto"/>
        <w:rPr>
          <w:rFonts w:hint="eastAsia" w:ascii="仿宋" w:hAnsi="仿宋" w:eastAsia="仿宋" w:cs="仿宋"/>
          <w:highlight w:val="none"/>
        </w:rPr>
      </w:pPr>
      <w:r>
        <w:rPr>
          <w:rFonts w:hint="eastAsia" w:ascii="仿宋" w:hAnsi="仿宋" w:eastAsia="仿宋" w:cs="仿宋"/>
          <w:b/>
          <w:bCs/>
          <w:highlight w:val="none"/>
        </w:rPr>
        <w:t>第</w:t>
      </w:r>
      <w:r>
        <w:rPr>
          <w:rFonts w:hint="eastAsia" w:ascii="仿宋" w:hAnsi="仿宋" w:eastAsia="仿宋" w:cs="仿宋"/>
          <w:b/>
          <w:bCs/>
          <w:highlight w:val="none"/>
          <w:lang w:val="en-US" w:eastAsia="zh-CN"/>
        </w:rPr>
        <w:t>八</w:t>
      </w:r>
      <w:r>
        <w:rPr>
          <w:rFonts w:hint="eastAsia" w:ascii="仿宋" w:hAnsi="仿宋" w:eastAsia="仿宋" w:cs="仿宋"/>
          <w:b/>
          <w:bCs/>
          <w:highlight w:val="none"/>
        </w:rPr>
        <w:t>条</w:t>
      </w:r>
      <w:r>
        <w:rPr>
          <w:rFonts w:hint="eastAsia" w:ascii="仿宋" w:hAnsi="仿宋" w:eastAsia="仿宋" w:cs="仿宋"/>
          <w:highlight w:val="none"/>
        </w:rPr>
        <w:t xml:space="preserve"> 个人公共信用信息分为基础信息、信用行为信息及其他信息，其中信用行为信息按性质分为守信行为信息和失信行为信息。</w:t>
      </w:r>
    </w:p>
    <w:p w14:paraId="6F67E1C0">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 w:hAnsi="仿宋" w:eastAsia="仿宋" w:cs="仿宋"/>
          <w:highlight w:val="none"/>
        </w:rPr>
      </w:pPr>
      <w:r>
        <w:rPr>
          <w:rFonts w:hint="eastAsia" w:ascii="仿宋" w:hAnsi="仿宋" w:eastAsia="仿宋" w:cs="仿宋"/>
          <w:highlight w:val="none"/>
        </w:rPr>
        <w:t>（一）基础信息：包括个人基本身份信息（姓名、性别、居民身份证号码等）、</w:t>
      </w:r>
      <w:r>
        <w:rPr>
          <w:rFonts w:hint="eastAsia" w:ascii="仿宋" w:hAnsi="仿宋" w:eastAsia="仿宋" w:cs="仿宋"/>
          <w:highlight w:val="none"/>
          <w:lang w:val="en-US" w:eastAsia="zh-CN"/>
        </w:rPr>
        <w:t>身份特征</w:t>
      </w:r>
      <w:r>
        <w:rPr>
          <w:rFonts w:hint="eastAsia" w:ascii="仿宋" w:hAnsi="仿宋" w:eastAsia="仿宋" w:cs="仿宋"/>
          <w:highlight w:val="none"/>
        </w:rPr>
        <w:t>信息（</w:t>
      </w:r>
      <w:r>
        <w:rPr>
          <w:rFonts w:hint="eastAsia" w:ascii="仿宋" w:hAnsi="仿宋" w:eastAsia="仿宋" w:cs="仿宋"/>
          <w:highlight w:val="none"/>
          <w:lang w:val="en-US" w:eastAsia="zh-CN"/>
        </w:rPr>
        <w:t>婚姻状况、职称职业、职业相关登记注册、其他行政许可、行业领域信用评价结果</w:t>
      </w:r>
      <w:r>
        <w:rPr>
          <w:rFonts w:hint="eastAsia" w:ascii="仿宋" w:hAnsi="仿宋" w:eastAsia="仿宋" w:cs="仿宋"/>
          <w:highlight w:val="none"/>
        </w:rPr>
        <w:t>等），以及其他反映个人基本社会状况的有关信息。</w:t>
      </w:r>
    </w:p>
    <w:p w14:paraId="0CD95AFC">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 w:hAnsi="仿宋" w:eastAsia="仿宋" w:cs="仿宋"/>
          <w:highlight w:val="none"/>
        </w:rPr>
      </w:pPr>
      <w:r>
        <w:rPr>
          <w:rFonts w:hint="eastAsia" w:ascii="仿宋" w:hAnsi="仿宋" w:eastAsia="仿宋" w:cs="仿宋"/>
          <w:highlight w:val="none"/>
        </w:rPr>
        <w:t>（二）信用行为信息：指能够</w:t>
      </w:r>
      <w:r>
        <w:rPr>
          <w:rFonts w:hint="eastAsia" w:ascii="仿宋" w:hAnsi="仿宋" w:eastAsia="仿宋" w:cs="仿宋"/>
          <w:highlight w:val="none"/>
          <w:lang w:val="en-US" w:eastAsia="zh-CN"/>
        </w:rPr>
        <w:t>客观</w:t>
      </w:r>
      <w:r>
        <w:rPr>
          <w:rFonts w:hint="eastAsia" w:ascii="仿宋" w:hAnsi="仿宋" w:eastAsia="仿宋" w:cs="仿宋"/>
          <w:highlight w:val="none"/>
        </w:rPr>
        <w:t>反映个人诚信状况的各类行为信息，具体如下：</w:t>
      </w:r>
    </w:p>
    <w:p w14:paraId="69D6D1FF">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守信行为信息：如</w:t>
      </w:r>
      <w:r>
        <w:rPr>
          <w:rFonts w:hint="eastAsia" w:ascii="仿宋" w:hAnsi="仿宋" w:eastAsia="仿宋" w:cs="仿宋"/>
          <w:highlight w:val="none"/>
          <w:lang w:val="en-US" w:eastAsia="zh-CN"/>
        </w:rPr>
        <w:t>公共事业缴费、合同履约、信用承诺及履行情况</w:t>
      </w:r>
      <w:r>
        <w:rPr>
          <w:rFonts w:hint="eastAsia" w:ascii="仿宋" w:hAnsi="仿宋" w:eastAsia="仿宋" w:cs="仿宋"/>
          <w:highlight w:val="none"/>
        </w:rPr>
        <w:t>等信用信息，以及</w:t>
      </w:r>
      <w:r>
        <w:rPr>
          <w:rFonts w:hint="eastAsia" w:ascii="仿宋" w:hAnsi="仿宋" w:eastAsia="仿宋" w:cs="仿宋"/>
          <w:highlight w:val="none"/>
          <w:lang w:val="en-US" w:eastAsia="zh-CN"/>
        </w:rPr>
        <w:t>法律法规</w:t>
      </w:r>
      <w:r>
        <w:rPr>
          <w:rFonts w:hint="eastAsia" w:ascii="仿宋" w:hAnsi="仿宋" w:eastAsia="仿宋" w:cs="仿宋"/>
          <w:highlight w:val="none"/>
        </w:rPr>
        <w:t>的其他守信信息。</w:t>
      </w:r>
    </w:p>
    <w:p w14:paraId="00A4154C">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 w:hAnsi="仿宋" w:eastAsia="仿宋" w:cs="仿宋"/>
          <w:highlight w:val="none"/>
        </w:rPr>
      </w:pPr>
      <w:r>
        <w:rPr>
          <w:rFonts w:hint="eastAsia" w:ascii="仿宋" w:hAnsi="仿宋" w:eastAsia="仿宋" w:cs="仿宋"/>
          <w:highlight w:val="none"/>
          <w:lang w:val="en-US" w:eastAsia="zh-CN"/>
        </w:rPr>
        <w:t>2.</w:t>
      </w:r>
      <w:r>
        <w:rPr>
          <w:rFonts w:hint="eastAsia" w:ascii="仿宋" w:hAnsi="仿宋" w:eastAsia="仿宋" w:cs="仿宋"/>
          <w:highlight w:val="none"/>
        </w:rPr>
        <w:t>失信行为信息：如</w:t>
      </w:r>
      <w:r>
        <w:rPr>
          <w:rFonts w:hint="eastAsia" w:ascii="仿宋" w:hAnsi="仿宋" w:eastAsia="仿宋" w:cs="仿宋"/>
          <w:highlight w:val="none"/>
          <w:lang w:val="en-US" w:eastAsia="zh-CN"/>
        </w:rPr>
        <w:t>仲裁案件、</w:t>
      </w:r>
      <w:r>
        <w:rPr>
          <w:rFonts w:hint="eastAsia" w:ascii="仿宋" w:hAnsi="仿宋" w:eastAsia="仿宋" w:cs="仿宋"/>
          <w:highlight w:val="none"/>
        </w:rPr>
        <w:t>行政处罚、</w:t>
      </w:r>
      <w:r>
        <w:rPr>
          <w:rFonts w:hint="eastAsia" w:ascii="仿宋" w:hAnsi="仿宋" w:eastAsia="仿宋" w:cs="仿宋"/>
          <w:highlight w:val="none"/>
          <w:lang w:val="en-US" w:eastAsia="zh-CN"/>
        </w:rPr>
        <w:t>行政强制、行业领域违法违规行为、</w:t>
      </w:r>
      <w:r>
        <w:rPr>
          <w:rFonts w:hint="eastAsia" w:ascii="仿宋" w:hAnsi="仿宋" w:eastAsia="仿宋" w:cs="仿宋"/>
          <w:highlight w:val="none"/>
        </w:rPr>
        <w:t>是否列入严重失信主体名单等信息，以及</w:t>
      </w:r>
      <w:r>
        <w:rPr>
          <w:rFonts w:hint="eastAsia" w:ascii="仿宋" w:hAnsi="仿宋" w:eastAsia="仿宋" w:cs="仿宋"/>
          <w:highlight w:val="none"/>
          <w:lang w:val="en-US" w:eastAsia="zh-CN"/>
        </w:rPr>
        <w:t>法律法规规定</w:t>
      </w:r>
      <w:r>
        <w:rPr>
          <w:rFonts w:hint="eastAsia" w:ascii="仿宋" w:hAnsi="仿宋" w:eastAsia="仿宋" w:cs="仿宋"/>
          <w:highlight w:val="none"/>
        </w:rPr>
        <w:t>的其他</w:t>
      </w:r>
      <w:r>
        <w:rPr>
          <w:rFonts w:hint="eastAsia" w:ascii="仿宋" w:hAnsi="仿宋" w:eastAsia="仿宋" w:cs="仿宋"/>
          <w:highlight w:val="none"/>
          <w:lang w:val="en-US" w:eastAsia="zh-CN"/>
        </w:rPr>
        <w:t>失信信息</w:t>
      </w:r>
      <w:r>
        <w:rPr>
          <w:rFonts w:hint="eastAsia" w:ascii="仿宋" w:hAnsi="仿宋" w:eastAsia="仿宋" w:cs="仿宋"/>
          <w:highlight w:val="none"/>
        </w:rPr>
        <w:t>。</w:t>
      </w:r>
    </w:p>
    <w:p w14:paraId="7A68943A">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 w:hAnsi="仿宋" w:eastAsia="仿宋" w:cs="仿宋"/>
          <w:highlight w:val="none"/>
        </w:rPr>
      </w:pPr>
      <w:r>
        <w:rPr>
          <w:rFonts w:hint="eastAsia" w:ascii="仿宋" w:hAnsi="仿宋" w:eastAsia="仿宋" w:cs="仿宋"/>
          <w:highlight w:val="none"/>
        </w:rPr>
        <w:t>对适用简易程序作出的行政处罚信息，或者违法行为轻微且主动消除、减轻违法行为危害后果的行政处罚信息，不纳入个人失信信息。</w:t>
      </w:r>
    </w:p>
    <w:p w14:paraId="73052977">
      <w:pPr>
        <w:keepNext w:val="0"/>
        <w:keepLines w:val="0"/>
        <w:pageBreakBefore w:val="0"/>
        <w:widowControl w:val="0"/>
        <w:kinsoku/>
        <w:wordWrap/>
        <w:overflowPunct/>
        <w:topLinePunct w:val="0"/>
        <w:autoSpaceDE/>
        <w:autoSpaceDN/>
        <w:bidi w:val="0"/>
        <w:spacing w:line="560" w:lineRule="exact"/>
        <w:ind w:firstLine="640" w:firstLineChars="0"/>
        <w:jc w:val="both"/>
        <w:textAlignment w:val="auto"/>
        <w:rPr>
          <w:rFonts w:hint="eastAsia" w:ascii="仿宋" w:hAnsi="仿宋" w:eastAsia="仿宋" w:cs="仿宋"/>
          <w:highlight w:val="none"/>
        </w:rPr>
      </w:pPr>
      <w:r>
        <w:rPr>
          <w:rFonts w:hint="eastAsia" w:ascii="仿宋" w:hAnsi="仿宋" w:eastAsia="仿宋" w:cs="仿宋"/>
          <w:highlight w:val="none"/>
        </w:rPr>
        <w:t>（三）其他信息：荣誉表彰、社会公益</w:t>
      </w:r>
      <w:r>
        <w:rPr>
          <w:rFonts w:hint="eastAsia" w:ascii="仿宋" w:hAnsi="仿宋" w:eastAsia="仿宋" w:cs="仿宋"/>
          <w:highlight w:val="none"/>
          <w:lang w:val="en-US" w:eastAsia="zh-CN"/>
        </w:rPr>
        <w:t>及其他</w:t>
      </w:r>
      <w:r>
        <w:rPr>
          <w:rFonts w:hint="eastAsia" w:ascii="仿宋" w:hAnsi="仿宋" w:eastAsia="仿宋" w:cs="仿宋"/>
          <w:highlight w:val="none"/>
        </w:rPr>
        <w:t>能反映主体信用状况</w:t>
      </w:r>
      <w:r>
        <w:rPr>
          <w:rFonts w:hint="eastAsia" w:ascii="仿宋" w:hAnsi="仿宋" w:eastAsia="仿宋" w:cs="仿宋"/>
          <w:highlight w:val="none"/>
          <w:lang w:val="en-US" w:eastAsia="zh-CN"/>
        </w:rPr>
        <w:t>且依法依规应当纳入</w:t>
      </w:r>
      <w:r>
        <w:rPr>
          <w:rFonts w:hint="eastAsia" w:ascii="仿宋" w:hAnsi="仿宋" w:eastAsia="仿宋" w:cs="仿宋"/>
          <w:highlight w:val="none"/>
        </w:rPr>
        <w:t>的信息</w:t>
      </w:r>
      <w:r>
        <w:rPr>
          <w:rFonts w:hint="eastAsia" w:ascii="仿宋" w:hAnsi="仿宋" w:eastAsia="仿宋" w:cs="仿宋"/>
          <w:highlight w:val="none"/>
          <w:lang w:eastAsia="zh-CN"/>
        </w:rPr>
        <w:t>。</w:t>
      </w:r>
    </w:p>
    <w:p w14:paraId="38A6FAFE">
      <w:pPr>
        <w:keepNext w:val="0"/>
        <w:keepLines w:val="0"/>
        <w:pageBreakBefore w:val="0"/>
        <w:widowControl w:val="0"/>
        <w:kinsoku/>
        <w:wordWrap/>
        <w:overflowPunct/>
        <w:topLinePunct w:val="0"/>
        <w:autoSpaceDE/>
        <w:autoSpaceDN/>
        <w:bidi w:val="0"/>
        <w:spacing w:line="560" w:lineRule="exact"/>
        <w:ind w:firstLine="643"/>
        <w:jc w:val="both"/>
        <w:textAlignment w:val="auto"/>
        <w:rPr>
          <w:rFonts w:hint="eastAsia" w:ascii="仿宋" w:hAnsi="仿宋" w:eastAsia="仿宋" w:cs="仿宋"/>
          <w:highlight w:val="none"/>
        </w:rPr>
      </w:pPr>
      <w:r>
        <w:rPr>
          <w:rFonts w:hint="eastAsia" w:ascii="仿宋" w:hAnsi="仿宋" w:eastAsia="仿宋" w:cs="仿宋"/>
          <w:b/>
          <w:bCs/>
          <w:highlight w:val="none"/>
        </w:rPr>
        <w:t>第</w:t>
      </w:r>
      <w:r>
        <w:rPr>
          <w:rFonts w:hint="eastAsia" w:ascii="仿宋" w:hAnsi="仿宋" w:eastAsia="仿宋" w:cs="仿宋"/>
          <w:b/>
          <w:bCs/>
          <w:highlight w:val="none"/>
          <w:lang w:val="en-US" w:eastAsia="zh-CN"/>
        </w:rPr>
        <w:t>九</w:t>
      </w:r>
      <w:r>
        <w:rPr>
          <w:rFonts w:hint="eastAsia" w:ascii="仿宋" w:hAnsi="仿宋" w:eastAsia="仿宋" w:cs="仿宋"/>
          <w:b/>
          <w:bCs/>
          <w:highlight w:val="none"/>
        </w:rPr>
        <w:t>条</w:t>
      </w:r>
      <w:r>
        <w:rPr>
          <w:rFonts w:hint="eastAsia" w:ascii="仿宋" w:hAnsi="仿宋" w:eastAsia="仿宋" w:cs="仿宋"/>
          <w:highlight w:val="none"/>
        </w:rPr>
        <w:t xml:space="preserve"> 信用信息来源部门（单位）应及时、准确、完整地向市公共信用信息平台提供个人公共信用信息，并对信息的真实性、合法性、时效性负责。</w:t>
      </w:r>
    </w:p>
    <w:p w14:paraId="48404BC2">
      <w:pPr>
        <w:pStyle w:val="2"/>
        <w:keepNext w:val="0"/>
        <w:keepLines w:val="0"/>
        <w:pageBreakBefore w:val="0"/>
        <w:widowControl w:val="0"/>
        <w:kinsoku/>
        <w:wordWrap/>
        <w:overflowPunct/>
        <w:topLinePunct w:val="0"/>
        <w:autoSpaceDE/>
        <w:autoSpaceDN/>
        <w:bidi w:val="0"/>
        <w:adjustRightInd/>
        <w:snapToGrid/>
        <w:spacing w:after="0" w:line="560" w:lineRule="exact"/>
        <w:ind w:firstLine="643"/>
        <w:jc w:val="both"/>
        <w:textAlignment w:val="auto"/>
        <w:rPr>
          <w:rFonts w:hint="eastAsia" w:ascii="仿宋" w:hAnsi="仿宋" w:eastAsia="仿宋" w:cs="仿宋"/>
          <w:highlight w:val="none"/>
        </w:rPr>
      </w:pPr>
      <w:r>
        <w:rPr>
          <w:rFonts w:hint="eastAsia" w:ascii="仿宋" w:hAnsi="仿宋" w:eastAsia="仿宋" w:cs="仿宋"/>
          <w:b/>
          <w:bCs/>
          <w:highlight w:val="none"/>
        </w:rPr>
        <w:t>第</w:t>
      </w:r>
      <w:r>
        <w:rPr>
          <w:rFonts w:hint="eastAsia" w:ascii="仿宋" w:hAnsi="仿宋" w:eastAsia="仿宋" w:cs="仿宋"/>
          <w:b/>
          <w:bCs/>
          <w:highlight w:val="none"/>
          <w:lang w:val="en-US" w:eastAsia="zh-CN"/>
        </w:rPr>
        <w:t>十</w:t>
      </w:r>
      <w:r>
        <w:rPr>
          <w:rFonts w:hint="eastAsia" w:ascii="仿宋" w:hAnsi="仿宋" w:eastAsia="仿宋" w:cs="仿宋"/>
          <w:b/>
          <w:bCs/>
          <w:highlight w:val="none"/>
        </w:rPr>
        <w:t>条</w:t>
      </w:r>
      <w:r>
        <w:rPr>
          <w:rFonts w:hint="eastAsia" w:ascii="仿宋" w:hAnsi="仿宋" w:eastAsia="仿宋" w:cs="仿宋"/>
          <w:highlight w:val="none"/>
        </w:rPr>
        <w:t xml:space="preserve"> 鼓励个人通过</w:t>
      </w:r>
      <w:r>
        <w:rPr>
          <w:rFonts w:hint="eastAsia" w:ascii="仿宋" w:hAnsi="仿宋" w:eastAsia="仿宋" w:cs="仿宋"/>
          <w:szCs w:val="32"/>
          <w:highlight w:val="none"/>
        </w:rPr>
        <w:t>“</w:t>
      </w:r>
      <w:r>
        <w:rPr>
          <w:rFonts w:hint="eastAsia" w:ascii="仿宋" w:hAnsi="仿宋" w:eastAsia="仿宋" w:cs="仿宋"/>
          <w:highlight w:val="none"/>
        </w:rPr>
        <w:t>陇信易享”等线上平台自主申报本人</w:t>
      </w:r>
      <w:r>
        <w:rPr>
          <w:rFonts w:hint="eastAsia" w:ascii="仿宋" w:hAnsi="仿宋" w:eastAsia="仿宋" w:cs="仿宋"/>
          <w:highlight w:val="none"/>
          <w:lang w:val="en-US" w:eastAsia="zh-CN"/>
        </w:rPr>
        <w:t>信用</w:t>
      </w:r>
      <w:r>
        <w:rPr>
          <w:rFonts w:hint="eastAsia" w:ascii="仿宋" w:hAnsi="仿宋" w:eastAsia="仿宋" w:cs="仿宋"/>
          <w:highlight w:val="none"/>
        </w:rPr>
        <w:t>信息，并授权</w:t>
      </w:r>
      <w:r>
        <w:rPr>
          <w:rFonts w:hint="eastAsia" w:ascii="仿宋" w:hAnsi="仿宋" w:eastAsia="仿宋" w:cs="仿宋"/>
          <w:highlight w:val="none"/>
          <w:lang w:val="en-US" w:eastAsia="zh-CN"/>
        </w:rPr>
        <w:t>平台管理部门</w:t>
      </w:r>
      <w:r>
        <w:rPr>
          <w:rFonts w:hint="eastAsia" w:ascii="仿宋" w:hAnsi="仿宋" w:eastAsia="仿宋" w:cs="仿宋"/>
          <w:highlight w:val="none"/>
        </w:rPr>
        <w:t>对相关信息</w:t>
      </w:r>
      <w:r>
        <w:rPr>
          <w:rFonts w:hint="eastAsia" w:ascii="仿宋" w:hAnsi="仿宋" w:eastAsia="仿宋" w:cs="仿宋"/>
          <w:highlight w:val="none"/>
          <w:lang w:val="en-US" w:eastAsia="zh-CN"/>
        </w:rPr>
        <w:t>开展</w:t>
      </w:r>
      <w:r>
        <w:rPr>
          <w:rFonts w:hint="eastAsia" w:ascii="仿宋" w:hAnsi="仿宋" w:eastAsia="仿宋" w:cs="仿宋"/>
          <w:highlight w:val="none"/>
        </w:rPr>
        <w:t>应用。</w:t>
      </w:r>
    </w:p>
    <w:p w14:paraId="39BCDC4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highlight w:val="none"/>
        </w:rPr>
      </w:pPr>
      <w:r>
        <w:rPr>
          <w:rFonts w:hint="eastAsia" w:ascii="仿宋" w:hAnsi="仿宋" w:eastAsia="仿宋" w:cs="仿宋"/>
          <w:highlight w:val="none"/>
        </w:rPr>
        <w:t>个人</w:t>
      </w:r>
      <w:r>
        <w:rPr>
          <w:rFonts w:hint="eastAsia" w:ascii="仿宋" w:hAnsi="仿宋" w:eastAsia="仿宋" w:cs="仿宋"/>
          <w:highlight w:val="none"/>
          <w:lang w:val="en-US" w:eastAsia="zh-CN"/>
        </w:rPr>
        <w:t>承诺自主申报信息</w:t>
      </w:r>
      <w:r>
        <w:rPr>
          <w:rFonts w:hint="eastAsia" w:ascii="仿宋" w:hAnsi="仿宋" w:eastAsia="仿宋" w:cs="仿宋"/>
          <w:highlight w:val="none"/>
        </w:rPr>
        <w:t>真实、合法、</w:t>
      </w:r>
      <w:r>
        <w:rPr>
          <w:rFonts w:hint="eastAsia" w:ascii="仿宋" w:hAnsi="仿宋" w:eastAsia="仿宋" w:cs="仿宋"/>
          <w:highlight w:val="none"/>
          <w:lang w:val="en-US" w:eastAsia="zh-CN"/>
        </w:rPr>
        <w:t>有效，相关承诺及履约践诺信息纳入个人诚信记录</w:t>
      </w:r>
      <w:r>
        <w:rPr>
          <w:rFonts w:hint="eastAsia" w:ascii="仿宋" w:hAnsi="仿宋" w:eastAsia="仿宋" w:cs="仿宋"/>
          <w:highlight w:val="none"/>
        </w:rPr>
        <w:t>。</w:t>
      </w:r>
    </w:p>
    <w:p w14:paraId="18AFB15D">
      <w:pPr>
        <w:pStyle w:val="2"/>
        <w:keepNext w:val="0"/>
        <w:keepLines w:val="0"/>
        <w:pageBreakBefore w:val="0"/>
        <w:widowControl w:val="0"/>
        <w:kinsoku/>
        <w:wordWrap/>
        <w:overflowPunct/>
        <w:topLinePunct w:val="0"/>
        <w:autoSpaceDE/>
        <w:autoSpaceDN/>
        <w:bidi w:val="0"/>
        <w:spacing w:after="0" w:line="560" w:lineRule="exact"/>
        <w:jc w:val="both"/>
        <w:textAlignment w:val="auto"/>
        <w:rPr>
          <w:rFonts w:hint="default" w:eastAsia="仿宋"/>
          <w:highlight w:val="none"/>
          <w:lang w:val="en-US" w:eastAsia="zh-CN"/>
        </w:rPr>
      </w:pPr>
      <w:r>
        <w:rPr>
          <w:rFonts w:hint="eastAsia" w:ascii="仿宋" w:hAnsi="仿宋" w:eastAsia="仿宋" w:cs="仿宋"/>
          <w:highlight w:val="none"/>
          <w:lang w:val="en-US" w:eastAsia="zh-CN"/>
        </w:rPr>
        <w:t>个人公共信用信息</w:t>
      </w:r>
      <w:r>
        <w:rPr>
          <w:rFonts w:hint="eastAsia" w:ascii="仿宋" w:hAnsi="仿宋" w:eastAsia="仿宋" w:cs="仿宋"/>
          <w:highlight w:val="none"/>
        </w:rPr>
        <w:t>通过依法授权查询、政务共享的方式</w:t>
      </w:r>
      <w:r>
        <w:rPr>
          <w:rFonts w:hint="eastAsia" w:ascii="仿宋" w:hAnsi="仿宋" w:eastAsia="仿宋" w:cs="仿宋"/>
          <w:highlight w:val="none"/>
          <w:lang w:val="en-US" w:eastAsia="zh-CN"/>
        </w:rPr>
        <w:t>披露，除国家规定外不得公开公示。</w:t>
      </w:r>
    </w:p>
    <w:p w14:paraId="7FD902D0">
      <w:pPr>
        <w:keepNext w:val="0"/>
        <w:keepLines w:val="0"/>
        <w:pageBreakBefore w:val="0"/>
        <w:widowControl w:val="0"/>
        <w:kinsoku/>
        <w:wordWrap/>
        <w:overflowPunct/>
        <w:topLinePunct w:val="0"/>
        <w:autoSpaceDE/>
        <w:autoSpaceDN/>
        <w:bidi w:val="0"/>
        <w:spacing w:line="560" w:lineRule="exact"/>
        <w:ind w:firstLine="640"/>
        <w:jc w:val="both"/>
        <w:textAlignment w:val="auto"/>
        <w:rPr>
          <w:rFonts w:ascii="黑体" w:hAnsi="黑体" w:eastAsia="黑体" w:cs="黑体"/>
          <w:szCs w:val="32"/>
          <w:highlight w:val="none"/>
        </w:rPr>
      </w:pPr>
    </w:p>
    <w:p w14:paraId="4D18DB72">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黑体" w:hAnsi="黑体" w:eastAsia="黑体" w:cs="黑体"/>
          <w:szCs w:val="32"/>
          <w:highlight w:val="none"/>
        </w:rPr>
      </w:pPr>
      <w:r>
        <w:rPr>
          <w:rFonts w:ascii="黑体" w:hAnsi="黑体" w:eastAsia="黑体" w:cs="黑体"/>
          <w:szCs w:val="32"/>
          <w:highlight w:val="none"/>
        </w:rPr>
        <w:t xml:space="preserve">第三章  </w:t>
      </w:r>
      <w:r>
        <w:rPr>
          <w:rFonts w:hint="eastAsia" w:ascii="黑体" w:hAnsi="黑体" w:eastAsia="黑体" w:cs="黑体"/>
          <w:szCs w:val="32"/>
          <w:highlight w:val="none"/>
        </w:rPr>
        <w:t>个人诚信积分评价</w:t>
      </w:r>
    </w:p>
    <w:p w14:paraId="0E5F592C">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第十</w:t>
      </w:r>
      <w:r>
        <w:rPr>
          <w:rFonts w:hint="eastAsia" w:ascii="仿宋" w:hAnsi="仿宋" w:eastAsia="仿宋" w:cs="仿宋"/>
          <w:b/>
          <w:bCs/>
          <w:szCs w:val="32"/>
          <w:highlight w:val="none"/>
          <w:lang w:val="en-US" w:eastAsia="zh-CN"/>
        </w:rPr>
        <w:t>一</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个人诚信积分采用千分制计算，默认基础分为</w:t>
      </w:r>
      <w:r>
        <w:rPr>
          <w:rFonts w:hint="eastAsia" w:ascii="仿宋" w:hAnsi="仿宋" w:eastAsia="仿宋" w:cs="仿宋"/>
          <w:szCs w:val="32"/>
          <w:highlight w:val="none"/>
          <w:lang w:val="en-US" w:eastAsia="zh-CN"/>
        </w:rPr>
        <w:t>500</w:t>
      </w:r>
      <w:r>
        <w:rPr>
          <w:rFonts w:hint="eastAsia" w:ascii="仿宋" w:hAnsi="仿宋" w:eastAsia="仿宋" w:cs="仿宋"/>
          <w:szCs w:val="32"/>
          <w:highlight w:val="none"/>
        </w:rPr>
        <w:t>分，在此基础上依据个人</w:t>
      </w:r>
      <w:r>
        <w:rPr>
          <w:rFonts w:hint="eastAsia" w:ascii="仿宋" w:hAnsi="仿宋" w:eastAsia="仿宋" w:cs="仿宋"/>
          <w:szCs w:val="32"/>
          <w:highlight w:val="none"/>
          <w:lang w:val="en-US" w:eastAsia="zh-CN"/>
        </w:rPr>
        <w:t>信用</w:t>
      </w:r>
      <w:r>
        <w:rPr>
          <w:rFonts w:hint="eastAsia" w:ascii="仿宋" w:hAnsi="仿宋" w:eastAsia="仿宋" w:cs="仿宋"/>
          <w:szCs w:val="32"/>
          <w:highlight w:val="none"/>
        </w:rPr>
        <w:t>信息进行不同程度的积分累加，分数从高到低设立</w:t>
      </w:r>
      <w:r>
        <w:rPr>
          <w:rFonts w:hint="eastAsia" w:ascii="仿宋" w:hAnsi="仿宋" w:eastAsia="仿宋" w:cs="仿宋"/>
          <w:szCs w:val="32"/>
          <w:highlight w:val="none"/>
          <w:lang w:val="en-US" w:eastAsia="zh-CN"/>
        </w:rPr>
        <w:t>4</w:t>
      </w:r>
      <w:r>
        <w:rPr>
          <w:rFonts w:hint="eastAsia" w:ascii="仿宋" w:hAnsi="仿宋" w:eastAsia="仿宋" w:cs="仿宋"/>
          <w:szCs w:val="32"/>
          <w:highlight w:val="none"/>
        </w:rPr>
        <w:t>个诚信等级，依次为A级、B级、C级、D级。具体对应关系如下：</w:t>
      </w:r>
    </w:p>
    <w:p w14:paraId="5EE98B2C">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一</w:t>
      </w:r>
      <w:r>
        <w:rPr>
          <w:rFonts w:hint="eastAsia" w:ascii="仿宋" w:hAnsi="仿宋" w:eastAsia="仿宋" w:cs="仿宋"/>
          <w:highlight w:val="none"/>
          <w:lang w:eastAsia="zh-CN"/>
        </w:rPr>
        <w:t>）</w:t>
      </w:r>
      <w:r>
        <w:rPr>
          <w:rFonts w:hint="eastAsia" w:ascii="仿宋" w:hAnsi="仿宋" w:eastAsia="仿宋" w:cs="仿宋"/>
          <w:highlight w:val="none"/>
        </w:rPr>
        <w:t>A级（信用极好）：诚信积分在</w:t>
      </w:r>
      <w:r>
        <w:rPr>
          <w:rFonts w:hint="eastAsia" w:ascii="仿宋" w:hAnsi="仿宋" w:eastAsia="仿宋" w:cs="仿宋"/>
          <w:highlight w:val="none"/>
          <w:lang w:val="en-US" w:eastAsia="zh-CN"/>
        </w:rPr>
        <w:t>8</w:t>
      </w:r>
      <w:r>
        <w:rPr>
          <w:rFonts w:hint="eastAsia" w:ascii="仿宋" w:hAnsi="仿宋" w:eastAsia="仿宋" w:cs="仿宋"/>
          <w:highlight w:val="none"/>
        </w:rPr>
        <w:t>50分及以上；</w:t>
      </w:r>
    </w:p>
    <w:p w14:paraId="58F69A1B">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highlight w:val="none"/>
        </w:rPr>
      </w:pPr>
      <w:r>
        <w:rPr>
          <w:rFonts w:hint="eastAsia" w:ascii="仿宋" w:hAnsi="仿宋" w:eastAsia="仿宋" w:cs="仿宋"/>
          <w:highlight w:val="none"/>
        </w:rPr>
        <w:t>（二</w:t>
      </w:r>
      <w:r>
        <w:rPr>
          <w:rFonts w:hint="eastAsia" w:ascii="仿宋" w:hAnsi="仿宋" w:eastAsia="仿宋" w:cs="仿宋"/>
          <w:highlight w:val="none"/>
          <w:lang w:eastAsia="zh-CN"/>
        </w:rPr>
        <w:t>）</w:t>
      </w:r>
      <w:r>
        <w:rPr>
          <w:rFonts w:hint="eastAsia" w:ascii="仿宋" w:hAnsi="仿宋" w:eastAsia="仿宋" w:cs="仿宋"/>
          <w:highlight w:val="none"/>
        </w:rPr>
        <w:t>B级（信用优秀）：诚信积分在7</w:t>
      </w:r>
      <w:r>
        <w:rPr>
          <w:rFonts w:hint="eastAsia" w:ascii="仿宋" w:hAnsi="仿宋" w:eastAsia="仿宋" w:cs="仿宋"/>
          <w:highlight w:val="none"/>
          <w:lang w:val="en-US" w:eastAsia="zh-CN"/>
        </w:rPr>
        <w:t>5</w:t>
      </w:r>
      <w:r>
        <w:rPr>
          <w:rFonts w:hint="eastAsia" w:ascii="仿宋" w:hAnsi="仿宋" w:eastAsia="仿宋" w:cs="仿宋"/>
          <w:highlight w:val="none"/>
        </w:rPr>
        <w:t>0</w:t>
      </w:r>
      <w:r>
        <w:rPr>
          <w:rFonts w:hint="eastAsia" w:ascii="仿宋" w:hAnsi="仿宋" w:eastAsia="仿宋" w:cs="仿宋"/>
          <w:highlight w:val="none"/>
          <w:lang w:val="en-US" w:eastAsia="zh-CN"/>
        </w:rPr>
        <w:t>分及</w:t>
      </w:r>
      <w:r>
        <w:rPr>
          <w:rFonts w:hint="eastAsia" w:ascii="仿宋" w:hAnsi="仿宋" w:eastAsia="仿宋" w:cs="仿宋"/>
          <w:highlight w:val="none"/>
        </w:rPr>
        <w:t>以上不满</w:t>
      </w:r>
      <w:r>
        <w:rPr>
          <w:rFonts w:hint="eastAsia" w:ascii="仿宋" w:hAnsi="仿宋" w:eastAsia="仿宋" w:cs="仿宋"/>
          <w:highlight w:val="none"/>
          <w:lang w:val="en-US" w:eastAsia="zh-CN"/>
        </w:rPr>
        <w:t>8</w:t>
      </w:r>
      <w:r>
        <w:rPr>
          <w:rFonts w:hint="eastAsia" w:ascii="仿宋" w:hAnsi="仿宋" w:eastAsia="仿宋" w:cs="仿宋"/>
          <w:highlight w:val="none"/>
        </w:rPr>
        <w:t>50分；</w:t>
      </w:r>
    </w:p>
    <w:p w14:paraId="149CA7A4">
      <w:pPr>
        <w:pStyle w:val="2"/>
        <w:keepNext w:val="0"/>
        <w:keepLines w:val="0"/>
        <w:pageBreakBefore w:val="0"/>
        <w:widowControl w:val="0"/>
        <w:kinsoku/>
        <w:wordWrap/>
        <w:overflowPunct/>
        <w:topLinePunct w:val="0"/>
        <w:autoSpaceDE/>
        <w:autoSpaceDN/>
        <w:bidi w:val="0"/>
        <w:spacing w:after="0" w:line="560" w:lineRule="exact"/>
        <w:ind w:firstLine="640"/>
        <w:jc w:val="both"/>
        <w:textAlignment w:val="auto"/>
        <w:rPr>
          <w:rFonts w:hint="eastAsia" w:ascii="仿宋" w:hAnsi="仿宋" w:eastAsia="仿宋" w:cs="仿宋"/>
          <w:highlight w:val="none"/>
        </w:rPr>
      </w:pPr>
      <w:r>
        <w:rPr>
          <w:rFonts w:hint="eastAsia" w:ascii="仿宋" w:hAnsi="仿宋" w:eastAsia="仿宋" w:cs="仿宋"/>
          <w:highlight w:val="none"/>
        </w:rPr>
        <w:t>（三）C级（信用良好）：诚信积分在6</w:t>
      </w:r>
      <w:r>
        <w:rPr>
          <w:rFonts w:hint="eastAsia" w:ascii="仿宋" w:hAnsi="仿宋" w:eastAsia="仿宋" w:cs="仿宋"/>
          <w:highlight w:val="none"/>
          <w:lang w:val="en-US" w:eastAsia="zh-CN"/>
        </w:rPr>
        <w:t>5</w:t>
      </w:r>
      <w:r>
        <w:rPr>
          <w:rFonts w:hint="eastAsia" w:ascii="仿宋" w:hAnsi="仿宋" w:eastAsia="仿宋" w:cs="仿宋"/>
          <w:highlight w:val="none"/>
        </w:rPr>
        <w:t>0</w:t>
      </w:r>
      <w:r>
        <w:rPr>
          <w:rFonts w:hint="eastAsia" w:ascii="仿宋" w:hAnsi="仿宋" w:eastAsia="仿宋" w:cs="仿宋"/>
          <w:highlight w:val="none"/>
          <w:lang w:val="en-US" w:eastAsia="zh-CN"/>
        </w:rPr>
        <w:t>分及</w:t>
      </w:r>
      <w:r>
        <w:rPr>
          <w:rFonts w:hint="eastAsia" w:ascii="仿宋" w:hAnsi="仿宋" w:eastAsia="仿宋" w:cs="仿宋"/>
          <w:highlight w:val="none"/>
        </w:rPr>
        <w:t>以上不满7</w:t>
      </w:r>
      <w:r>
        <w:rPr>
          <w:rFonts w:hint="eastAsia" w:ascii="仿宋" w:hAnsi="仿宋" w:eastAsia="仿宋" w:cs="仿宋"/>
          <w:highlight w:val="none"/>
          <w:lang w:val="en-US" w:eastAsia="zh-CN"/>
        </w:rPr>
        <w:t>5</w:t>
      </w:r>
      <w:r>
        <w:rPr>
          <w:rFonts w:hint="eastAsia" w:ascii="仿宋" w:hAnsi="仿宋" w:eastAsia="仿宋" w:cs="仿宋"/>
          <w:highlight w:val="none"/>
        </w:rPr>
        <w:t>0分；</w:t>
      </w:r>
    </w:p>
    <w:p w14:paraId="03A249E4">
      <w:pPr>
        <w:pStyle w:val="2"/>
        <w:keepNext w:val="0"/>
        <w:keepLines w:val="0"/>
        <w:pageBreakBefore w:val="0"/>
        <w:widowControl w:val="0"/>
        <w:kinsoku/>
        <w:wordWrap/>
        <w:overflowPunct/>
        <w:topLinePunct w:val="0"/>
        <w:autoSpaceDE/>
        <w:autoSpaceDN/>
        <w:bidi w:val="0"/>
        <w:spacing w:after="0" w:line="560" w:lineRule="exact"/>
        <w:ind w:firstLine="640"/>
        <w:jc w:val="both"/>
        <w:textAlignment w:val="auto"/>
        <w:rPr>
          <w:rFonts w:hint="eastAsia" w:ascii="仿宋" w:hAnsi="仿宋" w:eastAsia="仿宋" w:cs="仿宋"/>
          <w:highlight w:val="none"/>
        </w:rPr>
      </w:pPr>
      <w:r>
        <w:rPr>
          <w:rFonts w:hint="eastAsia" w:ascii="仿宋" w:hAnsi="仿宋" w:eastAsia="仿宋" w:cs="仿宋"/>
          <w:highlight w:val="none"/>
        </w:rPr>
        <w:t>（四）D级（信用一般）：诚信积分在5</w:t>
      </w:r>
      <w:r>
        <w:rPr>
          <w:rFonts w:hint="eastAsia" w:ascii="仿宋" w:hAnsi="仿宋" w:eastAsia="仿宋" w:cs="仿宋"/>
          <w:highlight w:val="none"/>
          <w:lang w:val="en-US" w:eastAsia="zh-CN"/>
        </w:rPr>
        <w:t>0</w:t>
      </w:r>
      <w:r>
        <w:rPr>
          <w:rFonts w:hint="eastAsia" w:ascii="仿宋" w:hAnsi="仿宋" w:eastAsia="仿宋" w:cs="仿宋"/>
          <w:highlight w:val="none"/>
        </w:rPr>
        <w:t>0分以上不满6</w:t>
      </w:r>
      <w:r>
        <w:rPr>
          <w:rFonts w:hint="eastAsia" w:ascii="仿宋" w:hAnsi="仿宋" w:eastAsia="仿宋" w:cs="仿宋"/>
          <w:highlight w:val="none"/>
          <w:lang w:val="en-US" w:eastAsia="zh-CN"/>
        </w:rPr>
        <w:t>5</w:t>
      </w:r>
      <w:r>
        <w:rPr>
          <w:rFonts w:hint="eastAsia" w:ascii="仿宋" w:hAnsi="仿宋" w:eastAsia="仿宋" w:cs="仿宋"/>
          <w:highlight w:val="none"/>
        </w:rPr>
        <w:t>0分</w:t>
      </w:r>
      <w:r>
        <w:rPr>
          <w:rFonts w:hint="eastAsia" w:ascii="仿宋" w:hAnsi="仿宋" w:eastAsia="仿宋" w:cs="仿宋"/>
          <w:highlight w:val="none"/>
          <w:lang w:eastAsia="zh-CN"/>
        </w:rPr>
        <w:t>。</w:t>
      </w:r>
    </w:p>
    <w:p w14:paraId="00501CA4">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第十</w:t>
      </w:r>
      <w:r>
        <w:rPr>
          <w:rFonts w:hint="eastAsia" w:ascii="仿宋" w:hAnsi="仿宋" w:eastAsia="仿宋" w:cs="仿宋"/>
          <w:b/>
          <w:bCs/>
          <w:szCs w:val="32"/>
          <w:highlight w:val="none"/>
          <w:lang w:val="en-US" w:eastAsia="zh-CN"/>
        </w:rPr>
        <w:t>二</w:t>
      </w:r>
      <w:r>
        <w:rPr>
          <w:rFonts w:hint="eastAsia" w:ascii="仿宋" w:hAnsi="仿宋" w:eastAsia="仿宋" w:cs="仿宋"/>
          <w:b/>
          <w:bCs/>
          <w:szCs w:val="32"/>
          <w:highlight w:val="none"/>
        </w:rPr>
        <w:t xml:space="preserve">条 </w:t>
      </w:r>
      <w:r>
        <w:rPr>
          <w:rFonts w:hint="eastAsia" w:ascii="仿宋" w:hAnsi="仿宋" w:eastAsia="仿宋" w:cs="仿宋"/>
          <w:b w:val="0"/>
          <w:bCs w:val="0"/>
          <w:szCs w:val="32"/>
          <w:highlight w:val="none"/>
        </w:rPr>
        <w:t>个人</w:t>
      </w:r>
      <w:r>
        <w:rPr>
          <w:rFonts w:hint="eastAsia" w:ascii="仿宋" w:hAnsi="仿宋" w:eastAsia="仿宋" w:cs="仿宋"/>
          <w:szCs w:val="32"/>
          <w:highlight w:val="none"/>
        </w:rPr>
        <w:t>诚信积分评价采用</w:t>
      </w:r>
      <w:r>
        <w:rPr>
          <w:rFonts w:hint="eastAsia" w:ascii="仿宋" w:hAnsi="仿宋" w:eastAsia="仿宋" w:cs="仿宋"/>
          <w:szCs w:val="32"/>
          <w:highlight w:val="none"/>
          <w:lang w:val="en-US" w:eastAsia="zh-CN"/>
        </w:rPr>
        <w:t>积分累加的模式，由定量和定性指标相结合</w:t>
      </w:r>
      <w:r>
        <w:rPr>
          <w:rFonts w:hint="eastAsia" w:ascii="仿宋" w:hAnsi="仿宋" w:eastAsia="仿宋" w:cs="仿宋"/>
          <w:szCs w:val="32"/>
          <w:highlight w:val="none"/>
        </w:rPr>
        <w:t>，具体规则如下：</w:t>
      </w:r>
    </w:p>
    <w:p w14:paraId="6AD4FC52">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 w:hAnsi="仿宋" w:eastAsia="仿宋" w:cs="仿宋"/>
          <w:szCs w:val="32"/>
          <w:highlight w:val="none"/>
        </w:rPr>
      </w:pPr>
      <w:r>
        <w:rPr>
          <w:rFonts w:hint="eastAsia" w:ascii="仿宋" w:hAnsi="仿宋" w:eastAsia="仿宋" w:cs="仿宋"/>
          <w:szCs w:val="32"/>
          <w:highlight w:val="none"/>
        </w:rPr>
        <w:t>（一）制定标准化、清单化的赋分</w:t>
      </w:r>
      <w:r>
        <w:rPr>
          <w:rFonts w:hint="eastAsia" w:ascii="仿宋" w:hAnsi="仿宋" w:eastAsia="仿宋" w:cs="仿宋"/>
          <w:szCs w:val="32"/>
          <w:highlight w:val="none"/>
          <w:lang w:val="en-US" w:eastAsia="zh-CN"/>
        </w:rPr>
        <w:t>规则</w:t>
      </w:r>
      <w:r>
        <w:rPr>
          <w:rFonts w:hint="eastAsia" w:ascii="仿宋" w:hAnsi="仿宋" w:eastAsia="仿宋" w:cs="仿宋"/>
          <w:szCs w:val="32"/>
          <w:highlight w:val="none"/>
        </w:rPr>
        <w:t>，每个行为项对应固定权重及分值；</w:t>
      </w:r>
    </w:p>
    <w:p w14:paraId="6ED6C082">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 w:hAnsi="仿宋" w:eastAsia="仿宋" w:cs="仿宋"/>
          <w:szCs w:val="32"/>
          <w:highlight w:val="none"/>
        </w:rPr>
      </w:pPr>
      <w:r>
        <w:rPr>
          <w:rFonts w:hint="eastAsia" w:ascii="仿宋" w:hAnsi="仿宋" w:eastAsia="仿宋" w:cs="仿宋"/>
          <w:szCs w:val="32"/>
          <w:highlight w:val="none"/>
        </w:rPr>
        <w:t>（二）同一行为符合多项赋分标准的，按最高分值计分，不重复累加</w:t>
      </w:r>
      <w:r>
        <w:rPr>
          <w:rFonts w:hint="eastAsia" w:ascii="仿宋" w:hAnsi="仿宋" w:eastAsia="仿宋" w:cs="仿宋"/>
          <w:szCs w:val="32"/>
          <w:highlight w:val="none"/>
          <w:lang w:eastAsia="zh-CN"/>
        </w:rPr>
        <w:t>，</w:t>
      </w:r>
      <w:r>
        <w:rPr>
          <w:rFonts w:hint="eastAsia" w:ascii="仿宋" w:hAnsi="仿宋" w:eastAsia="仿宋" w:cs="仿宋"/>
          <w:szCs w:val="32"/>
          <w:highlight w:val="none"/>
        </w:rPr>
        <w:t>同一主体同一类别的多项守信行为，按实际项数依次累加；</w:t>
      </w:r>
    </w:p>
    <w:p w14:paraId="69424544">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 w:hAnsi="仿宋" w:eastAsia="仿宋" w:cs="仿宋"/>
          <w:szCs w:val="32"/>
          <w:highlight w:val="none"/>
        </w:rPr>
      </w:pPr>
      <w:r>
        <w:rPr>
          <w:rFonts w:hint="eastAsia" w:ascii="仿宋" w:hAnsi="仿宋" w:eastAsia="仿宋" w:cs="仿宋"/>
          <w:szCs w:val="32"/>
          <w:highlight w:val="none"/>
        </w:rPr>
        <w:t>（三）其他应加分项目，按一事一议的方式确定分数；</w:t>
      </w:r>
    </w:p>
    <w:p w14:paraId="4669B3F3">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 w:hAnsi="仿宋" w:eastAsia="仿宋" w:cs="仿宋"/>
          <w:szCs w:val="32"/>
          <w:highlight w:val="none"/>
          <w:lang w:eastAsia="zh-CN"/>
        </w:rPr>
      </w:pPr>
      <w:r>
        <w:rPr>
          <w:rFonts w:hint="eastAsia" w:ascii="仿宋" w:hAnsi="仿宋" w:eastAsia="仿宋" w:cs="仿宋"/>
          <w:szCs w:val="32"/>
          <w:highlight w:val="none"/>
        </w:rPr>
        <w:t>（四）凡属加分事项，均按每项/起/次计算</w:t>
      </w:r>
      <w:r>
        <w:rPr>
          <w:rFonts w:hint="eastAsia" w:ascii="仿宋" w:hAnsi="仿宋" w:eastAsia="仿宋" w:cs="仿宋"/>
          <w:szCs w:val="32"/>
          <w:highlight w:val="none"/>
          <w:lang w:eastAsia="zh-CN"/>
        </w:rPr>
        <w:t>；</w:t>
      </w:r>
    </w:p>
    <w:p w14:paraId="40D1D87C">
      <w:pPr>
        <w:pStyle w:val="2"/>
        <w:keepNext w:val="0"/>
        <w:keepLines w:val="0"/>
        <w:pageBreakBefore w:val="0"/>
        <w:widowControl w:val="0"/>
        <w:kinsoku/>
        <w:wordWrap/>
        <w:overflowPunct/>
        <w:topLinePunct w:val="0"/>
        <w:autoSpaceDE/>
        <w:autoSpaceDN/>
        <w:bidi w:val="0"/>
        <w:spacing w:after="0" w:line="560" w:lineRule="exact"/>
        <w:ind w:firstLine="640"/>
        <w:jc w:val="both"/>
        <w:textAlignment w:val="auto"/>
        <w:rPr>
          <w:rFonts w:hint="eastAsia" w:ascii="仿宋" w:hAnsi="仿宋" w:eastAsia="仿宋" w:cs="仿宋"/>
          <w:szCs w:val="32"/>
          <w:highlight w:val="none"/>
        </w:rPr>
      </w:pPr>
      <w:r>
        <w:rPr>
          <w:rFonts w:hint="eastAsia" w:ascii="仿宋" w:hAnsi="仿宋" w:eastAsia="仿宋" w:cs="仿宋"/>
          <w:szCs w:val="32"/>
          <w:highlight w:val="none"/>
        </w:rPr>
        <w:t>（五）凡个人信用信息中有被列入严重失信主体名单的，</w:t>
      </w:r>
      <w:r>
        <w:rPr>
          <w:rFonts w:hint="eastAsia" w:ascii="仿宋" w:hAnsi="仿宋" w:eastAsia="仿宋" w:cs="仿宋"/>
          <w:szCs w:val="32"/>
          <w:highlight w:val="none"/>
          <w:lang w:val="en-US" w:eastAsia="zh-CN"/>
        </w:rPr>
        <w:t>保持D级，且不参与积分计算，直到退出严重失信主体名单，方可重新参与积分</w:t>
      </w:r>
      <w:r>
        <w:rPr>
          <w:rFonts w:hint="eastAsia" w:ascii="仿宋" w:hAnsi="仿宋" w:eastAsia="仿宋" w:cs="仿宋"/>
          <w:szCs w:val="32"/>
          <w:highlight w:val="none"/>
        </w:rPr>
        <w:t>；</w:t>
      </w:r>
    </w:p>
    <w:p w14:paraId="5773A7FC">
      <w:pPr>
        <w:pStyle w:val="2"/>
        <w:keepNext w:val="0"/>
        <w:keepLines w:val="0"/>
        <w:pageBreakBefore w:val="0"/>
        <w:widowControl w:val="0"/>
        <w:kinsoku/>
        <w:wordWrap/>
        <w:overflowPunct/>
        <w:topLinePunct w:val="0"/>
        <w:autoSpaceDE/>
        <w:autoSpaceDN/>
        <w:bidi w:val="0"/>
        <w:spacing w:after="0" w:line="560" w:lineRule="exact"/>
        <w:ind w:firstLine="640"/>
        <w:jc w:val="both"/>
        <w:textAlignment w:val="auto"/>
        <w:rPr>
          <w:rFonts w:hint="eastAsia" w:ascii="仿宋" w:hAnsi="仿宋" w:eastAsia="仿宋" w:cs="仿宋"/>
          <w:szCs w:val="32"/>
          <w:highlight w:val="none"/>
        </w:rPr>
      </w:pPr>
      <w:r>
        <w:rPr>
          <w:rFonts w:hint="eastAsia" w:ascii="仿宋" w:hAnsi="仿宋" w:eastAsia="仿宋" w:cs="仿宋"/>
          <w:szCs w:val="32"/>
          <w:highlight w:val="none"/>
        </w:rPr>
        <w:t>（六）严重失信行为记录期限按照国家相关规定执行，期限届满且完成信用修复后，恢复积分累加机制，原有积分予以保留。</w:t>
      </w:r>
    </w:p>
    <w:p w14:paraId="0DBC8A2F">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第十</w:t>
      </w:r>
      <w:r>
        <w:rPr>
          <w:rFonts w:hint="eastAsia" w:ascii="仿宋" w:hAnsi="仿宋" w:eastAsia="仿宋" w:cs="仿宋"/>
          <w:b/>
          <w:bCs/>
          <w:szCs w:val="32"/>
          <w:highlight w:val="none"/>
          <w:lang w:val="en-US" w:eastAsia="zh-CN"/>
        </w:rPr>
        <w:t>三</w:t>
      </w:r>
      <w:r>
        <w:rPr>
          <w:rFonts w:hint="eastAsia" w:ascii="仿宋" w:hAnsi="仿宋" w:eastAsia="仿宋" w:cs="仿宋"/>
          <w:b/>
          <w:bCs/>
          <w:szCs w:val="32"/>
          <w:highlight w:val="none"/>
        </w:rPr>
        <w:t xml:space="preserve">条 </w:t>
      </w:r>
      <w:r>
        <w:rPr>
          <w:rFonts w:hint="eastAsia" w:ascii="仿宋" w:hAnsi="仿宋" w:eastAsia="仿宋" w:cs="仿宋"/>
          <w:szCs w:val="32"/>
          <w:highlight w:val="none"/>
        </w:rPr>
        <w:t>信用信息有效期限：</w:t>
      </w:r>
    </w:p>
    <w:p w14:paraId="5A16CDB6">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 w:hAnsi="仿宋" w:eastAsia="仿宋" w:cs="仿宋"/>
          <w:szCs w:val="32"/>
          <w:highlight w:val="none"/>
        </w:rPr>
      </w:pPr>
      <w:r>
        <w:rPr>
          <w:rFonts w:hint="eastAsia" w:ascii="仿宋" w:hAnsi="仿宋" w:eastAsia="仿宋" w:cs="仿宋"/>
          <w:szCs w:val="32"/>
          <w:highlight w:val="none"/>
        </w:rPr>
        <w:t>守信信息有效期限为良好行为持续期</w:t>
      </w:r>
      <w:r>
        <w:rPr>
          <w:rFonts w:hint="eastAsia" w:ascii="仿宋" w:hAnsi="仿宋" w:eastAsia="仿宋" w:cs="仿宋"/>
          <w:szCs w:val="32"/>
          <w:highlight w:val="none"/>
          <w:lang w:eastAsia="zh-CN"/>
        </w:rPr>
        <w:t>、</w:t>
      </w:r>
      <w:r>
        <w:rPr>
          <w:rFonts w:hint="eastAsia" w:ascii="仿宋" w:hAnsi="仿宋" w:eastAsia="仿宋" w:cs="仿宋"/>
          <w:szCs w:val="32"/>
          <w:highlight w:val="none"/>
        </w:rPr>
        <w:t>荣誉事项有效期限</w:t>
      </w:r>
      <w:r>
        <w:rPr>
          <w:rFonts w:hint="eastAsia" w:ascii="仿宋" w:hAnsi="仿宋" w:eastAsia="仿宋" w:cs="仿宋"/>
          <w:szCs w:val="32"/>
          <w:highlight w:val="none"/>
          <w:lang w:eastAsia="zh-CN"/>
        </w:rPr>
        <w:t>，</w:t>
      </w:r>
      <w:r>
        <w:rPr>
          <w:rFonts w:hint="eastAsia" w:ascii="仿宋" w:hAnsi="仿宋" w:eastAsia="仿宋" w:cs="仿宋"/>
          <w:szCs w:val="32"/>
          <w:highlight w:val="none"/>
        </w:rPr>
        <w:t>或守信信息认定之日起5年；个人失信信息有效期限最长不超过5年；被列入严重失信主体名单且届满未移除的，有效期限延至移除之日。信用信息有效期限届满后，不再作为个人诚信积分的计分依据。</w:t>
      </w:r>
    </w:p>
    <w:p w14:paraId="5E78BEB7">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 w:hAnsi="仿宋" w:eastAsia="仿宋" w:cs="仿宋"/>
          <w:szCs w:val="32"/>
          <w:highlight w:val="none"/>
        </w:rPr>
      </w:pPr>
      <w:r>
        <w:rPr>
          <w:rFonts w:hint="eastAsia" w:ascii="仿宋" w:hAnsi="仿宋" w:eastAsia="仿宋" w:cs="仿宋"/>
          <w:szCs w:val="32"/>
          <w:highlight w:val="none"/>
        </w:rPr>
        <w:t>其他相关法律法规对个人公共信用信息有效期限有明确规定的从其规定。</w:t>
      </w:r>
    </w:p>
    <w:p w14:paraId="21A2DB28">
      <w:pPr>
        <w:pStyle w:val="2"/>
        <w:keepNext w:val="0"/>
        <w:keepLines w:val="0"/>
        <w:pageBreakBefore w:val="0"/>
        <w:widowControl w:val="0"/>
        <w:kinsoku/>
        <w:wordWrap/>
        <w:overflowPunct/>
        <w:topLinePunct w:val="0"/>
        <w:autoSpaceDE/>
        <w:autoSpaceDN/>
        <w:bidi w:val="0"/>
        <w:spacing w:after="0" w:line="560" w:lineRule="exact"/>
        <w:jc w:val="both"/>
        <w:textAlignment w:val="auto"/>
        <w:rPr>
          <w:rFonts w:hint="default" w:eastAsia="仿宋"/>
          <w:highlight w:val="none"/>
          <w:lang w:val="en-US" w:eastAsia="zh-CN"/>
        </w:rPr>
      </w:pPr>
      <w:r>
        <w:rPr>
          <w:rFonts w:hint="eastAsia" w:ascii="仿宋" w:hAnsi="仿宋" w:eastAsia="仿宋" w:cs="仿宋"/>
          <w:b/>
          <w:bCs/>
          <w:szCs w:val="32"/>
          <w:highlight w:val="none"/>
          <w:lang w:val="en-US" w:eastAsia="zh-CN"/>
        </w:rPr>
        <w:t xml:space="preserve">第十四条 </w:t>
      </w:r>
      <w:r>
        <w:rPr>
          <w:rFonts w:hint="eastAsia" w:ascii="仿宋" w:hAnsi="仿宋" w:eastAsia="仿宋" w:cs="仿宋"/>
          <w:szCs w:val="32"/>
          <w:highlight w:val="none"/>
          <w:lang w:val="en-US" w:eastAsia="zh-CN"/>
        </w:rPr>
        <w:t>个人诚信积分更新周期为按月更新。</w:t>
      </w:r>
    </w:p>
    <w:p w14:paraId="02D7BDB7">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黑体" w:hAnsi="黑体" w:eastAsia="黑体" w:cs="黑体"/>
          <w:szCs w:val="32"/>
          <w:highlight w:val="none"/>
        </w:rPr>
      </w:pPr>
    </w:p>
    <w:p w14:paraId="6C8B0198">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黑体" w:hAnsi="黑体" w:eastAsia="黑体" w:cs="黑体"/>
          <w:szCs w:val="32"/>
          <w:highlight w:val="none"/>
        </w:rPr>
      </w:pPr>
      <w:r>
        <w:rPr>
          <w:rFonts w:hint="eastAsia" w:ascii="黑体" w:hAnsi="黑体" w:eastAsia="黑体" w:cs="黑体"/>
          <w:szCs w:val="32"/>
          <w:highlight w:val="none"/>
        </w:rPr>
        <w:t>第四章</w:t>
      </w:r>
      <w:r>
        <w:rPr>
          <w:rFonts w:ascii="黑体" w:hAnsi="黑体" w:eastAsia="黑体" w:cs="黑体"/>
          <w:szCs w:val="32"/>
          <w:highlight w:val="none"/>
        </w:rPr>
        <w:t xml:space="preserve"> </w:t>
      </w:r>
      <w:r>
        <w:rPr>
          <w:rFonts w:hint="eastAsia" w:ascii="黑体" w:hAnsi="黑体" w:eastAsia="黑体" w:cs="黑体"/>
          <w:szCs w:val="32"/>
          <w:highlight w:val="none"/>
        </w:rPr>
        <w:t>个人诚信积分查询及应用</w:t>
      </w:r>
    </w:p>
    <w:p w14:paraId="4FA48BD5">
      <w:pPr>
        <w:keepNext w:val="0"/>
        <w:keepLines w:val="0"/>
        <w:pageBreakBefore w:val="0"/>
        <w:widowControl w:val="0"/>
        <w:kinsoku/>
        <w:wordWrap/>
        <w:overflowPunct/>
        <w:topLinePunct w:val="0"/>
        <w:autoSpaceDE/>
        <w:autoSpaceDN/>
        <w:bidi w:val="0"/>
        <w:spacing w:line="560" w:lineRule="exact"/>
        <w:ind w:firstLine="643"/>
        <w:jc w:val="both"/>
        <w:textAlignment w:val="auto"/>
        <w:rPr>
          <w:rFonts w:hint="eastAsia" w:ascii="仿宋" w:hAnsi="仿宋" w:eastAsia="仿宋" w:cs="仿宋"/>
          <w:highlight w:val="none"/>
        </w:rPr>
      </w:pPr>
      <w:r>
        <w:rPr>
          <w:rFonts w:hint="eastAsia" w:ascii="仿宋" w:hAnsi="仿宋" w:eastAsia="仿宋" w:cs="仿宋"/>
          <w:b/>
          <w:bCs/>
          <w:highlight w:val="none"/>
        </w:rPr>
        <w:t>第十</w:t>
      </w:r>
      <w:r>
        <w:rPr>
          <w:rFonts w:hint="eastAsia" w:ascii="仿宋" w:hAnsi="仿宋" w:eastAsia="仿宋" w:cs="仿宋"/>
          <w:b/>
          <w:bCs/>
          <w:highlight w:val="none"/>
          <w:lang w:val="en-US" w:eastAsia="zh-CN"/>
        </w:rPr>
        <w:t>五</w:t>
      </w:r>
      <w:r>
        <w:rPr>
          <w:rFonts w:hint="eastAsia" w:ascii="仿宋" w:hAnsi="仿宋" w:eastAsia="仿宋" w:cs="仿宋"/>
          <w:b/>
          <w:bCs/>
          <w:highlight w:val="none"/>
        </w:rPr>
        <w:t>条</w:t>
      </w:r>
      <w:r>
        <w:rPr>
          <w:rFonts w:hint="eastAsia" w:ascii="仿宋" w:hAnsi="仿宋" w:eastAsia="仿宋" w:cs="仿宋"/>
          <w:highlight w:val="none"/>
        </w:rPr>
        <w:t xml:space="preserve"> </w:t>
      </w:r>
      <w:r>
        <w:rPr>
          <w:rFonts w:hint="eastAsia" w:ascii="仿宋" w:hAnsi="仿宋" w:eastAsia="仿宋" w:cs="仿宋"/>
          <w:szCs w:val="32"/>
          <w:highlight w:val="none"/>
        </w:rPr>
        <w:t>个人诚信积分应用场景</w:t>
      </w:r>
      <w:r>
        <w:rPr>
          <w:rFonts w:hint="eastAsia" w:ascii="仿宋" w:hAnsi="仿宋" w:eastAsia="仿宋" w:cs="仿宋"/>
          <w:szCs w:val="32"/>
          <w:highlight w:val="none"/>
          <w:lang w:val="en-US" w:eastAsia="zh-CN"/>
        </w:rPr>
        <w:t>遵循</w:t>
      </w:r>
      <w:r>
        <w:rPr>
          <w:rFonts w:hint="eastAsia" w:ascii="仿宋" w:hAnsi="仿宋" w:eastAsia="仿宋" w:cs="仿宋"/>
          <w:szCs w:val="32"/>
          <w:highlight w:val="none"/>
        </w:rPr>
        <w:t>“依法依规、保护隐私、正向激励”</w:t>
      </w:r>
      <w:r>
        <w:rPr>
          <w:rFonts w:hint="eastAsia" w:ascii="仿宋" w:hAnsi="仿宋" w:eastAsia="仿宋" w:cs="仿宋"/>
          <w:szCs w:val="32"/>
          <w:highlight w:val="none"/>
          <w:lang w:val="en-US" w:eastAsia="zh-CN"/>
        </w:rPr>
        <w:t>的</w:t>
      </w:r>
      <w:r>
        <w:rPr>
          <w:rFonts w:hint="eastAsia" w:ascii="仿宋" w:hAnsi="仿宋" w:eastAsia="仿宋" w:cs="仿宋"/>
          <w:szCs w:val="32"/>
          <w:highlight w:val="none"/>
        </w:rPr>
        <w:t>基本原则</w:t>
      </w:r>
      <w:r>
        <w:rPr>
          <w:rFonts w:hint="eastAsia" w:ascii="仿宋" w:hAnsi="仿宋" w:eastAsia="仿宋" w:cs="仿宋"/>
          <w:highlight w:val="none"/>
        </w:rPr>
        <w:t>，仅作为个人守信激励的依据，不得作为失信惩戒的依据，不得以诚信等级高低为由限制自然人享有基本公共服务和依法规定的权利。</w:t>
      </w:r>
    </w:p>
    <w:p w14:paraId="21253BC0">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第十</w:t>
      </w:r>
      <w:r>
        <w:rPr>
          <w:rFonts w:hint="eastAsia" w:ascii="仿宋" w:hAnsi="仿宋" w:eastAsia="仿宋" w:cs="仿宋"/>
          <w:b/>
          <w:bCs/>
          <w:szCs w:val="32"/>
          <w:highlight w:val="none"/>
          <w:lang w:val="en-US" w:eastAsia="zh-CN"/>
        </w:rPr>
        <w:t>六</w:t>
      </w:r>
      <w:r>
        <w:rPr>
          <w:rFonts w:hint="eastAsia" w:ascii="仿宋" w:hAnsi="仿宋" w:eastAsia="仿宋" w:cs="仿宋"/>
          <w:b/>
          <w:bCs/>
          <w:szCs w:val="32"/>
          <w:highlight w:val="none"/>
        </w:rPr>
        <w:t xml:space="preserve">条 </w:t>
      </w:r>
      <w:r>
        <w:rPr>
          <w:rFonts w:hint="eastAsia" w:ascii="仿宋" w:hAnsi="仿宋" w:eastAsia="仿宋" w:cs="仿宋"/>
          <w:szCs w:val="32"/>
          <w:highlight w:val="none"/>
        </w:rPr>
        <w:t>个人可以通过“陇信易享”小程序经过实名认证后查询</w:t>
      </w:r>
      <w:r>
        <w:rPr>
          <w:rFonts w:hint="eastAsia" w:ascii="仿宋" w:hAnsi="仿宋" w:eastAsia="仿宋" w:cs="仿宋"/>
          <w:szCs w:val="32"/>
          <w:highlight w:val="none"/>
          <w:lang w:val="en-US" w:eastAsia="zh-CN"/>
        </w:rPr>
        <w:t>本</w:t>
      </w:r>
      <w:r>
        <w:rPr>
          <w:rFonts w:hint="eastAsia" w:ascii="仿宋" w:hAnsi="仿宋" w:eastAsia="仿宋" w:cs="仿宋"/>
          <w:szCs w:val="32"/>
          <w:highlight w:val="none"/>
        </w:rPr>
        <w:t>人诚信等级。</w:t>
      </w:r>
    </w:p>
    <w:p w14:paraId="72AC7B1E">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第十</w:t>
      </w:r>
      <w:r>
        <w:rPr>
          <w:rFonts w:hint="eastAsia" w:ascii="仿宋" w:hAnsi="仿宋" w:eastAsia="仿宋" w:cs="仿宋"/>
          <w:b/>
          <w:bCs/>
          <w:szCs w:val="32"/>
          <w:highlight w:val="none"/>
          <w:lang w:val="en-US" w:eastAsia="zh-CN"/>
        </w:rPr>
        <w:t>七</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张掖市辖区</w:t>
      </w:r>
      <w:r>
        <w:rPr>
          <w:rFonts w:hint="eastAsia" w:ascii="仿宋" w:hAnsi="仿宋" w:eastAsia="仿宋" w:cs="仿宋"/>
          <w:szCs w:val="32"/>
          <w:highlight w:val="none"/>
          <w:lang w:val="en-US" w:eastAsia="zh-CN"/>
        </w:rPr>
        <w:t>依法行使</w:t>
      </w:r>
      <w:r>
        <w:rPr>
          <w:rFonts w:hint="eastAsia" w:ascii="仿宋" w:hAnsi="仿宋" w:eastAsia="仿宋" w:cs="仿宋"/>
          <w:szCs w:val="32"/>
          <w:highlight w:val="none"/>
        </w:rPr>
        <w:t>公共职能的</w:t>
      </w:r>
      <w:r>
        <w:rPr>
          <w:rFonts w:hint="eastAsia" w:ascii="仿宋" w:hAnsi="仿宋" w:eastAsia="仿宋" w:cs="仿宋"/>
          <w:szCs w:val="32"/>
          <w:highlight w:val="none"/>
          <w:lang w:val="en-US" w:eastAsia="zh-CN"/>
        </w:rPr>
        <w:t>部门在履行职责、提供服务的过程中，</w:t>
      </w:r>
      <w:r>
        <w:rPr>
          <w:rFonts w:hint="eastAsia" w:ascii="仿宋" w:hAnsi="仿宋" w:eastAsia="仿宋" w:cs="仿宋"/>
          <w:szCs w:val="32"/>
          <w:highlight w:val="none"/>
        </w:rPr>
        <w:t>可</w:t>
      </w:r>
      <w:r>
        <w:rPr>
          <w:rFonts w:hint="eastAsia" w:ascii="仿宋" w:hAnsi="仿宋" w:eastAsia="仿宋" w:cs="仿宋"/>
          <w:szCs w:val="32"/>
          <w:highlight w:val="none"/>
          <w:lang w:val="en-US" w:eastAsia="zh-CN"/>
        </w:rPr>
        <w:t>参考</w:t>
      </w:r>
      <w:r>
        <w:rPr>
          <w:rFonts w:hint="eastAsia" w:ascii="仿宋" w:hAnsi="仿宋" w:eastAsia="仿宋" w:cs="仿宋"/>
          <w:szCs w:val="32"/>
          <w:highlight w:val="none"/>
        </w:rPr>
        <w:t>个人诚信积分和诚信等级，</w:t>
      </w:r>
      <w:r>
        <w:rPr>
          <w:rFonts w:hint="eastAsia" w:ascii="仿宋" w:hAnsi="仿宋" w:eastAsia="仿宋" w:cs="仿宋"/>
          <w:szCs w:val="32"/>
          <w:highlight w:val="none"/>
          <w:lang w:val="en-US" w:eastAsia="zh-CN"/>
        </w:rPr>
        <w:t>提供差异化的</w:t>
      </w:r>
      <w:r>
        <w:rPr>
          <w:rFonts w:hint="eastAsia" w:ascii="仿宋" w:hAnsi="仿宋" w:eastAsia="仿宋" w:cs="仿宋"/>
          <w:szCs w:val="32"/>
          <w:highlight w:val="none"/>
        </w:rPr>
        <w:t>激励</w:t>
      </w:r>
      <w:r>
        <w:rPr>
          <w:rFonts w:hint="eastAsia" w:ascii="仿宋" w:hAnsi="仿宋" w:eastAsia="仿宋" w:cs="仿宋"/>
          <w:szCs w:val="32"/>
          <w:highlight w:val="none"/>
          <w:lang w:val="en-US" w:eastAsia="zh-CN"/>
        </w:rPr>
        <w:t>措施</w:t>
      </w:r>
      <w:r>
        <w:rPr>
          <w:rFonts w:hint="eastAsia" w:ascii="仿宋" w:hAnsi="仿宋" w:eastAsia="仿宋" w:cs="仿宋"/>
          <w:szCs w:val="32"/>
          <w:highlight w:val="none"/>
        </w:rPr>
        <w:t>。</w:t>
      </w:r>
    </w:p>
    <w:p w14:paraId="4887C0AF">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第十</w:t>
      </w:r>
      <w:r>
        <w:rPr>
          <w:rFonts w:hint="eastAsia" w:ascii="仿宋" w:hAnsi="仿宋" w:eastAsia="仿宋" w:cs="仿宋"/>
          <w:b/>
          <w:bCs/>
          <w:szCs w:val="32"/>
          <w:highlight w:val="none"/>
          <w:lang w:val="en-US" w:eastAsia="zh-CN"/>
        </w:rPr>
        <w:t>八</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在旅游、医疗、教育、金融、文化娱乐、公共交通、公共服务、行政服务、工程招投标等场景领域，建立与个人诚信积分挂钩的正向激励机制</w:t>
      </w:r>
      <w:r>
        <w:rPr>
          <w:rFonts w:hint="eastAsia" w:ascii="仿宋" w:hAnsi="仿宋" w:eastAsia="仿宋" w:cs="仿宋"/>
          <w:szCs w:val="32"/>
          <w:highlight w:val="none"/>
          <w:lang w:eastAsia="zh-CN"/>
        </w:rPr>
        <w:t>，</w:t>
      </w:r>
      <w:r>
        <w:rPr>
          <w:rFonts w:hint="eastAsia" w:ascii="仿宋" w:hAnsi="仿宋" w:eastAsia="仿宋" w:cs="仿宋"/>
          <w:szCs w:val="32"/>
          <w:highlight w:val="none"/>
          <w:lang w:val="en-US" w:eastAsia="zh-CN"/>
        </w:rPr>
        <w:t>为诚信个人提供优惠、优先和便利服务</w:t>
      </w:r>
      <w:r>
        <w:rPr>
          <w:rFonts w:hint="eastAsia" w:ascii="仿宋" w:hAnsi="仿宋" w:eastAsia="仿宋" w:cs="仿宋"/>
          <w:szCs w:val="32"/>
          <w:highlight w:val="none"/>
        </w:rPr>
        <w:t>。</w:t>
      </w:r>
    </w:p>
    <w:p w14:paraId="0442B35D">
      <w:pPr>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eastAsia" w:ascii="仿宋" w:hAnsi="仿宋" w:eastAsia="仿宋" w:cs="仿宋"/>
          <w:szCs w:val="32"/>
          <w:highlight w:val="none"/>
        </w:rPr>
      </w:pPr>
      <w:r>
        <w:rPr>
          <w:rFonts w:hint="eastAsia" w:ascii="仿宋" w:hAnsi="仿宋" w:eastAsia="仿宋" w:cs="仿宋"/>
          <w:szCs w:val="32"/>
          <w:highlight w:val="none"/>
        </w:rPr>
        <w:t>鼓励基层治理主体在开展社区管理、</w:t>
      </w:r>
      <w:r>
        <w:rPr>
          <w:rFonts w:hint="eastAsia" w:ascii="仿宋" w:hAnsi="仿宋" w:eastAsia="仿宋" w:cs="仿宋"/>
          <w:szCs w:val="32"/>
          <w:highlight w:val="none"/>
          <w:lang w:val="en-US" w:eastAsia="zh-CN"/>
        </w:rPr>
        <w:t>乡村治理、</w:t>
      </w:r>
      <w:r>
        <w:rPr>
          <w:rFonts w:hint="eastAsia" w:ascii="仿宋" w:hAnsi="仿宋" w:eastAsia="仿宋" w:cs="仿宋"/>
          <w:szCs w:val="32"/>
          <w:highlight w:val="none"/>
        </w:rPr>
        <w:t>志愿服务等工作中</w:t>
      </w:r>
      <w:r>
        <w:rPr>
          <w:rFonts w:hint="eastAsia" w:ascii="仿宋" w:hAnsi="仿宋" w:eastAsia="仿宋" w:cs="仿宋"/>
          <w:szCs w:val="32"/>
          <w:highlight w:val="none"/>
          <w:lang w:eastAsia="zh-CN"/>
        </w:rPr>
        <w:t>，</w:t>
      </w:r>
      <w:r>
        <w:rPr>
          <w:rFonts w:hint="eastAsia" w:ascii="仿宋" w:hAnsi="仿宋" w:eastAsia="仿宋" w:cs="仿宋"/>
          <w:szCs w:val="32"/>
          <w:highlight w:val="none"/>
          <w:lang w:val="en-US" w:eastAsia="zh-CN"/>
        </w:rPr>
        <w:t>将个人诚信积分与管理要求相结合，落地应用场景</w:t>
      </w:r>
      <w:r>
        <w:rPr>
          <w:rFonts w:hint="eastAsia" w:ascii="仿宋" w:hAnsi="仿宋" w:eastAsia="仿宋" w:cs="仿宋"/>
          <w:szCs w:val="32"/>
          <w:highlight w:val="none"/>
        </w:rPr>
        <w:t>；支持个人、企业或其他</w:t>
      </w:r>
      <w:r>
        <w:rPr>
          <w:rFonts w:hint="eastAsia" w:ascii="仿宋" w:hAnsi="仿宋" w:eastAsia="仿宋" w:cs="仿宋"/>
          <w:szCs w:val="32"/>
          <w:highlight w:val="none"/>
          <w:lang w:val="en-US" w:eastAsia="zh-CN"/>
        </w:rPr>
        <w:t>社会</w:t>
      </w:r>
      <w:r>
        <w:rPr>
          <w:rFonts w:hint="eastAsia" w:ascii="仿宋" w:hAnsi="仿宋" w:eastAsia="仿宋" w:cs="仿宋"/>
          <w:szCs w:val="32"/>
          <w:highlight w:val="none"/>
        </w:rPr>
        <w:t>组织在市场交易、商业合作、招聘、管理、社会公益等活动中，</w:t>
      </w:r>
      <w:r>
        <w:rPr>
          <w:rFonts w:hint="eastAsia" w:ascii="仿宋" w:hAnsi="仿宋" w:eastAsia="仿宋" w:cs="仿宋"/>
          <w:szCs w:val="32"/>
          <w:highlight w:val="none"/>
          <w:lang w:val="en-US" w:eastAsia="zh-CN"/>
        </w:rPr>
        <w:t>以个人诚信积分为基础参考，结合实际融合应用</w:t>
      </w:r>
      <w:r>
        <w:rPr>
          <w:rFonts w:hint="eastAsia" w:ascii="仿宋" w:hAnsi="仿宋" w:eastAsia="仿宋" w:cs="仿宋"/>
          <w:szCs w:val="32"/>
          <w:highlight w:val="none"/>
        </w:rPr>
        <w:t>，</w:t>
      </w:r>
      <w:r>
        <w:rPr>
          <w:rFonts w:hint="eastAsia" w:ascii="仿宋" w:hAnsi="仿宋" w:eastAsia="仿宋" w:cs="仿宋"/>
          <w:szCs w:val="32"/>
          <w:highlight w:val="none"/>
          <w:lang w:val="en-US" w:eastAsia="zh-CN"/>
        </w:rPr>
        <w:t>不断拓展积分应用场景，</w:t>
      </w:r>
      <w:r>
        <w:rPr>
          <w:rFonts w:hint="eastAsia" w:ascii="仿宋" w:hAnsi="仿宋" w:eastAsia="仿宋" w:cs="仿宋"/>
          <w:szCs w:val="32"/>
          <w:highlight w:val="none"/>
        </w:rPr>
        <w:t>促进形成“守信受益、诚信有价”的良好氛围。</w:t>
      </w:r>
    </w:p>
    <w:p w14:paraId="75BA8E3E">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黑体" w:hAnsi="黑体" w:eastAsia="黑体" w:cs="黑体"/>
          <w:szCs w:val="32"/>
          <w:highlight w:val="none"/>
        </w:rPr>
      </w:pPr>
    </w:p>
    <w:p w14:paraId="3CEAAEA9">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黑体" w:hAnsi="黑体" w:eastAsia="黑体" w:cs="黑体"/>
          <w:szCs w:val="32"/>
          <w:highlight w:val="none"/>
        </w:rPr>
      </w:pPr>
      <w:r>
        <w:rPr>
          <w:rFonts w:hint="eastAsia" w:ascii="黑体" w:hAnsi="黑体" w:eastAsia="黑体" w:cs="黑体"/>
          <w:szCs w:val="32"/>
          <w:highlight w:val="none"/>
        </w:rPr>
        <w:t>第五章  异议处理和信用修复</w:t>
      </w:r>
    </w:p>
    <w:p w14:paraId="6982E10A">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第十</w:t>
      </w:r>
      <w:r>
        <w:rPr>
          <w:rFonts w:hint="eastAsia" w:ascii="仿宋" w:hAnsi="仿宋" w:eastAsia="仿宋" w:cs="仿宋"/>
          <w:b/>
          <w:bCs/>
          <w:szCs w:val="32"/>
          <w:highlight w:val="none"/>
          <w:lang w:val="en-US" w:eastAsia="zh-CN"/>
        </w:rPr>
        <w:t>九</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个人对本人信用信息享有知情权和异议权，</w:t>
      </w:r>
      <w:r>
        <w:rPr>
          <w:rFonts w:hint="eastAsia" w:ascii="仿宋" w:hAnsi="仿宋" w:eastAsia="仿宋" w:cs="仿宋"/>
          <w:szCs w:val="32"/>
          <w:highlight w:val="none"/>
          <w:lang w:val="en-US" w:eastAsia="zh-CN"/>
        </w:rPr>
        <w:t>对本人</w:t>
      </w:r>
      <w:r>
        <w:rPr>
          <w:rFonts w:hint="eastAsia" w:ascii="仿宋" w:hAnsi="仿宋" w:eastAsia="仿宋" w:cs="仿宋"/>
          <w:szCs w:val="32"/>
          <w:highlight w:val="none"/>
        </w:rPr>
        <w:t>诚信等级有</w:t>
      </w:r>
      <w:r>
        <w:rPr>
          <w:rFonts w:hint="eastAsia" w:ascii="仿宋" w:hAnsi="仿宋" w:eastAsia="仿宋" w:cs="仿宋"/>
          <w:szCs w:val="32"/>
          <w:highlight w:val="none"/>
          <w:lang w:val="en-US" w:eastAsia="zh-CN"/>
        </w:rPr>
        <w:t>异议</w:t>
      </w:r>
      <w:r>
        <w:rPr>
          <w:rFonts w:hint="eastAsia" w:ascii="仿宋" w:hAnsi="仿宋" w:eastAsia="仿宋" w:cs="仿宋"/>
          <w:szCs w:val="32"/>
          <w:highlight w:val="none"/>
        </w:rPr>
        <w:t>的，可通过“陇信易享”小程序或向市</w:t>
      </w:r>
      <w:r>
        <w:rPr>
          <w:rFonts w:hint="eastAsia" w:ascii="仿宋" w:hAnsi="仿宋" w:eastAsia="仿宋" w:cs="仿宋"/>
          <w:szCs w:val="32"/>
          <w:highlight w:val="none"/>
          <w:lang w:val="en-US" w:eastAsia="zh-CN"/>
        </w:rPr>
        <w:t>发展改革委</w:t>
      </w:r>
      <w:r>
        <w:rPr>
          <w:rFonts w:hint="eastAsia" w:ascii="仿宋" w:hAnsi="仿宋" w:eastAsia="仿宋" w:cs="仿宋"/>
          <w:szCs w:val="32"/>
          <w:highlight w:val="none"/>
        </w:rPr>
        <w:t>提起异议</w:t>
      </w:r>
      <w:r>
        <w:rPr>
          <w:rFonts w:hint="eastAsia" w:ascii="仿宋" w:hAnsi="仿宋" w:eastAsia="仿宋" w:cs="仿宋"/>
          <w:szCs w:val="32"/>
          <w:highlight w:val="none"/>
          <w:lang w:val="en-US" w:eastAsia="zh-CN"/>
        </w:rPr>
        <w:t>申诉</w:t>
      </w:r>
      <w:r>
        <w:rPr>
          <w:rFonts w:hint="eastAsia" w:ascii="仿宋" w:hAnsi="仿宋" w:eastAsia="仿宋" w:cs="仿宋"/>
          <w:szCs w:val="32"/>
          <w:highlight w:val="none"/>
        </w:rPr>
        <w:t>，并</w:t>
      </w:r>
      <w:r>
        <w:rPr>
          <w:rFonts w:hint="eastAsia" w:ascii="仿宋" w:hAnsi="仿宋" w:eastAsia="仿宋" w:cs="仿宋"/>
          <w:szCs w:val="32"/>
          <w:highlight w:val="none"/>
          <w:lang w:val="en-US" w:eastAsia="zh-CN"/>
        </w:rPr>
        <w:t>附相关说明、佐证材料</w:t>
      </w:r>
      <w:r>
        <w:rPr>
          <w:rFonts w:hint="eastAsia" w:ascii="仿宋" w:hAnsi="仿宋" w:eastAsia="仿宋" w:cs="仿宋"/>
          <w:szCs w:val="32"/>
          <w:highlight w:val="none"/>
        </w:rPr>
        <w:t>。</w:t>
      </w:r>
    </w:p>
    <w:p w14:paraId="4B7B94FE">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仿宋" w:hAnsi="仿宋" w:eastAsia="仿宋" w:cs="仿宋"/>
          <w:szCs w:val="32"/>
          <w:highlight w:val="none"/>
          <w:lang w:eastAsia="zh-CN"/>
        </w:rPr>
      </w:pPr>
      <w:r>
        <w:rPr>
          <w:rFonts w:hint="eastAsia" w:ascii="仿宋" w:hAnsi="仿宋" w:eastAsia="仿宋" w:cs="仿宋"/>
          <w:b/>
          <w:bCs/>
          <w:szCs w:val="32"/>
          <w:highlight w:val="none"/>
        </w:rPr>
        <w:t>第</w:t>
      </w:r>
      <w:r>
        <w:rPr>
          <w:rFonts w:hint="eastAsia" w:ascii="仿宋" w:hAnsi="仿宋" w:eastAsia="仿宋" w:cs="仿宋"/>
          <w:b/>
          <w:bCs/>
          <w:szCs w:val="32"/>
          <w:highlight w:val="none"/>
          <w:lang w:val="en-US" w:eastAsia="zh-CN"/>
        </w:rPr>
        <w:t>二十</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异议处理遵循高效便捷、实事求是的原则，市</w:t>
      </w:r>
      <w:r>
        <w:rPr>
          <w:rFonts w:hint="eastAsia" w:ascii="仿宋" w:hAnsi="仿宋" w:eastAsia="仿宋" w:cs="仿宋"/>
          <w:szCs w:val="32"/>
          <w:highlight w:val="none"/>
          <w:lang w:val="en-US" w:eastAsia="zh-CN"/>
        </w:rPr>
        <w:t>发展改革委</w:t>
      </w:r>
      <w:r>
        <w:rPr>
          <w:rFonts w:hint="eastAsia" w:ascii="仿宋" w:hAnsi="仿宋" w:eastAsia="仿宋" w:cs="仿宋"/>
          <w:szCs w:val="32"/>
          <w:highlight w:val="none"/>
        </w:rPr>
        <w:t>接到异议</w:t>
      </w:r>
      <w:r>
        <w:rPr>
          <w:rFonts w:hint="eastAsia" w:ascii="仿宋" w:hAnsi="仿宋" w:eastAsia="仿宋" w:cs="仿宋"/>
          <w:szCs w:val="32"/>
          <w:highlight w:val="none"/>
          <w:lang w:val="en-US" w:eastAsia="zh-CN"/>
        </w:rPr>
        <w:t>申诉</w:t>
      </w:r>
      <w:r>
        <w:rPr>
          <w:rFonts w:hint="eastAsia" w:ascii="仿宋" w:hAnsi="仿宋" w:eastAsia="仿宋" w:cs="仿宋"/>
          <w:szCs w:val="32"/>
          <w:highlight w:val="none"/>
        </w:rPr>
        <w:t>后，应当自收到异议申请之日起</w:t>
      </w:r>
      <w:r>
        <w:rPr>
          <w:rFonts w:hint="eastAsia" w:ascii="仿宋" w:hAnsi="仿宋" w:eastAsia="仿宋" w:cs="仿宋"/>
          <w:szCs w:val="32"/>
          <w:highlight w:val="none"/>
          <w:lang w:val="en-US" w:eastAsia="zh-CN"/>
        </w:rPr>
        <w:t>1</w:t>
      </w:r>
      <w:r>
        <w:rPr>
          <w:rFonts w:hint="eastAsia" w:ascii="仿宋" w:hAnsi="仿宋" w:eastAsia="仿宋" w:cs="仿宋"/>
          <w:szCs w:val="32"/>
          <w:highlight w:val="none"/>
        </w:rPr>
        <w:t>个工作日内依法依规</w:t>
      </w:r>
      <w:r>
        <w:rPr>
          <w:rFonts w:hint="eastAsia" w:ascii="仿宋" w:hAnsi="仿宋" w:eastAsia="仿宋" w:cs="仿宋"/>
          <w:szCs w:val="32"/>
          <w:highlight w:val="none"/>
          <w:lang w:val="en-US" w:eastAsia="zh-CN"/>
        </w:rPr>
        <w:t>作出异议标注</w:t>
      </w:r>
      <w:r>
        <w:rPr>
          <w:rFonts w:hint="eastAsia" w:ascii="仿宋" w:hAnsi="仿宋" w:eastAsia="仿宋" w:cs="仿宋"/>
          <w:szCs w:val="32"/>
          <w:highlight w:val="none"/>
        </w:rPr>
        <w:t>处理，</w:t>
      </w:r>
      <w:r>
        <w:rPr>
          <w:rFonts w:hint="eastAsia" w:ascii="仿宋" w:hAnsi="仿宋" w:eastAsia="仿宋" w:cs="仿宋"/>
          <w:szCs w:val="32"/>
          <w:highlight w:val="none"/>
          <w:lang w:eastAsia="zh-CN"/>
        </w:rPr>
        <w:t>在</w:t>
      </w:r>
      <w:r>
        <w:rPr>
          <w:rFonts w:hint="eastAsia" w:ascii="仿宋" w:hAnsi="仿宋" w:eastAsia="仿宋" w:cs="仿宋"/>
          <w:szCs w:val="32"/>
          <w:highlight w:val="none"/>
          <w:lang w:val="en-US" w:eastAsia="zh-CN"/>
        </w:rPr>
        <w:t>收到异议申请之日起7个工作日内作出是否更正的决定，</w:t>
      </w:r>
      <w:r>
        <w:rPr>
          <w:rFonts w:hint="eastAsia" w:ascii="仿宋" w:hAnsi="仿宋" w:eastAsia="仿宋" w:cs="仿宋"/>
          <w:szCs w:val="32"/>
          <w:highlight w:val="none"/>
        </w:rPr>
        <w:t>并将</w:t>
      </w:r>
      <w:r>
        <w:rPr>
          <w:rFonts w:hint="eastAsia" w:ascii="仿宋" w:hAnsi="仿宋" w:eastAsia="仿宋" w:cs="仿宋"/>
          <w:szCs w:val="32"/>
          <w:highlight w:val="none"/>
          <w:lang w:val="en-US" w:eastAsia="zh-CN"/>
        </w:rPr>
        <w:t>异议</w:t>
      </w:r>
      <w:r>
        <w:rPr>
          <w:rFonts w:hint="eastAsia" w:ascii="仿宋" w:hAnsi="仿宋" w:eastAsia="仿宋" w:cs="仿宋"/>
          <w:szCs w:val="32"/>
          <w:highlight w:val="none"/>
        </w:rPr>
        <w:t>处理结果告知异议申请人</w:t>
      </w:r>
      <w:r>
        <w:rPr>
          <w:rFonts w:hint="eastAsia" w:ascii="仿宋" w:hAnsi="仿宋" w:eastAsia="仿宋" w:cs="仿宋"/>
          <w:szCs w:val="32"/>
          <w:highlight w:val="none"/>
          <w:lang w:eastAsia="zh-CN"/>
        </w:rPr>
        <w:t>，</w:t>
      </w:r>
      <w:r>
        <w:rPr>
          <w:rFonts w:hint="eastAsia" w:ascii="仿宋" w:hAnsi="仿宋" w:eastAsia="仿宋" w:cs="仿宋"/>
          <w:szCs w:val="32"/>
          <w:highlight w:val="none"/>
          <w:lang w:val="en-US" w:eastAsia="zh-CN"/>
        </w:rPr>
        <w:t>作出不予更正决定的，应当说明理由</w:t>
      </w:r>
      <w:r>
        <w:rPr>
          <w:rFonts w:hint="eastAsia" w:ascii="仿宋" w:hAnsi="仿宋" w:eastAsia="仿宋" w:cs="仿宋"/>
          <w:szCs w:val="32"/>
          <w:highlight w:val="none"/>
        </w:rPr>
        <w:t>。异议受理期间，暂停基于争议信用信息的积分应用及激励措施</w:t>
      </w:r>
      <w:r>
        <w:rPr>
          <w:rFonts w:hint="eastAsia" w:ascii="仿宋" w:hAnsi="仿宋" w:eastAsia="仿宋" w:cs="仿宋"/>
          <w:szCs w:val="32"/>
          <w:highlight w:val="none"/>
          <w:lang w:eastAsia="zh-CN"/>
        </w:rPr>
        <w:t>。</w:t>
      </w:r>
    </w:p>
    <w:p w14:paraId="4958C36F">
      <w:pPr>
        <w:keepNext w:val="0"/>
        <w:keepLines w:val="0"/>
        <w:pageBreakBefore w:val="0"/>
        <w:widowControl w:val="0"/>
        <w:kinsoku/>
        <w:wordWrap/>
        <w:overflowPunct/>
        <w:topLinePunct w:val="0"/>
        <w:autoSpaceDE/>
        <w:autoSpaceDN/>
        <w:bidi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w:t>
      </w:r>
      <w:r>
        <w:rPr>
          <w:rFonts w:hint="eastAsia" w:ascii="仿宋" w:hAnsi="仿宋" w:eastAsia="仿宋" w:cs="仿宋"/>
          <w:b/>
          <w:bCs/>
          <w:szCs w:val="32"/>
          <w:highlight w:val="none"/>
          <w:lang w:val="en-US" w:eastAsia="zh-CN"/>
        </w:rPr>
        <w:t>二十一</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个人发生失信行为，符合信用修复相关规定的，按规定开展信用修复。完成信用修复的</w:t>
      </w:r>
      <w:r>
        <w:rPr>
          <w:rFonts w:hint="eastAsia" w:ascii="仿宋" w:hAnsi="仿宋" w:eastAsia="仿宋" w:cs="仿宋"/>
          <w:szCs w:val="32"/>
          <w:highlight w:val="none"/>
          <w:lang w:val="en-US" w:eastAsia="zh-CN"/>
        </w:rPr>
        <w:t>失信</w:t>
      </w:r>
      <w:r>
        <w:rPr>
          <w:rFonts w:hint="eastAsia" w:ascii="仿宋" w:hAnsi="仿宋" w:eastAsia="仿宋" w:cs="仿宋"/>
          <w:szCs w:val="32"/>
          <w:highlight w:val="none"/>
        </w:rPr>
        <w:t>信息，不作为个人诚信积分的计算依据。</w:t>
      </w:r>
    </w:p>
    <w:p w14:paraId="17452A44">
      <w:pPr>
        <w:keepNext w:val="0"/>
        <w:keepLines w:val="0"/>
        <w:pageBreakBefore w:val="0"/>
        <w:widowControl w:val="0"/>
        <w:kinsoku/>
        <w:wordWrap/>
        <w:overflowPunct/>
        <w:topLinePunct w:val="0"/>
        <w:autoSpaceDE/>
        <w:autoSpaceDN/>
        <w:bidi w:val="0"/>
        <w:spacing w:line="560" w:lineRule="exact"/>
        <w:ind w:firstLine="640"/>
        <w:jc w:val="both"/>
        <w:textAlignment w:val="auto"/>
        <w:rPr>
          <w:rFonts w:hint="eastAsia" w:ascii="黑体" w:hAnsi="黑体" w:eastAsia="黑体" w:cs="黑体"/>
          <w:szCs w:val="32"/>
          <w:highlight w:val="none"/>
        </w:rPr>
      </w:pPr>
    </w:p>
    <w:p w14:paraId="478D2E74">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黑体" w:hAnsi="黑体" w:eastAsia="黑体" w:cs="黑体"/>
          <w:szCs w:val="32"/>
          <w:highlight w:val="none"/>
        </w:rPr>
      </w:pPr>
      <w:r>
        <w:rPr>
          <w:rFonts w:hint="eastAsia" w:ascii="黑体" w:hAnsi="黑体" w:eastAsia="黑体" w:cs="黑体"/>
          <w:szCs w:val="32"/>
          <w:highlight w:val="none"/>
        </w:rPr>
        <w:t>第六章</w:t>
      </w:r>
      <w:r>
        <w:rPr>
          <w:rFonts w:ascii="黑体" w:hAnsi="黑体" w:eastAsia="黑体" w:cs="黑体"/>
          <w:szCs w:val="32"/>
          <w:highlight w:val="none"/>
        </w:rPr>
        <w:t xml:space="preserve">  附则</w:t>
      </w:r>
    </w:p>
    <w:p w14:paraId="75BCDABB">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第二十</w:t>
      </w:r>
      <w:r>
        <w:rPr>
          <w:rFonts w:hint="eastAsia" w:ascii="仿宋" w:hAnsi="仿宋" w:eastAsia="仿宋" w:cs="仿宋"/>
          <w:b/>
          <w:bCs/>
          <w:szCs w:val="32"/>
          <w:highlight w:val="none"/>
          <w:lang w:val="en-US" w:eastAsia="zh-CN"/>
        </w:rPr>
        <w:t>二</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张掖市</w:t>
      </w:r>
      <w:r>
        <w:rPr>
          <w:rFonts w:hint="eastAsia" w:ascii="仿宋" w:hAnsi="仿宋" w:eastAsia="仿宋" w:cs="仿宋"/>
          <w:szCs w:val="32"/>
          <w:highlight w:val="none"/>
          <w:lang w:val="en-US" w:eastAsia="zh-CN"/>
        </w:rPr>
        <w:t>发展改革委</w:t>
      </w:r>
      <w:r>
        <w:rPr>
          <w:rFonts w:hint="eastAsia" w:ascii="仿宋" w:hAnsi="仿宋" w:eastAsia="仿宋" w:cs="仿宋"/>
          <w:szCs w:val="32"/>
          <w:highlight w:val="none"/>
        </w:rPr>
        <w:t>根据本办法制定个人诚信积分</w:t>
      </w:r>
      <w:r>
        <w:rPr>
          <w:rFonts w:hint="eastAsia" w:ascii="仿宋" w:hAnsi="仿宋" w:eastAsia="仿宋" w:cs="仿宋"/>
          <w:szCs w:val="32"/>
          <w:highlight w:val="none"/>
          <w:lang w:val="en-US" w:eastAsia="zh-CN"/>
        </w:rPr>
        <w:t>评价办法</w:t>
      </w:r>
      <w:r>
        <w:rPr>
          <w:rFonts w:hint="eastAsia" w:ascii="仿宋" w:hAnsi="仿宋" w:eastAsia="仿宋" w:cs="仿宋"/>
          <w:szCs w:val="32"/>
          <w:highlight w:val="none"/>
        </w:rPr>
        <w:t>，建立计算模型，原则上根据实际情况每</w:t>
      </w:r>
      <w:r>
        <w:rPr>
          <w:rFonts w:hint="eastAsia" w:ascii="仿宋" w:hAnsi="仿宋" w:eastAsia="仿宋" w:cs="仿宋"/>
          <w:szCs w:val="32"/>
          <w:highlight w:val="none"/>
          <w:lang w:val="en-US" w:eastAsia="zh-CN"/>
        </w:rPr>
        <w:t>两</w:t>
      </w:r>
      <w:r>
        <w:rPr>
          <w:rFonts w:hint="eastAsia" w:ascii="仿宋" w:hAnsi="仿宋" w:eastAsia="仿宋" w:cs="仿宋"/>
          <w:szCs w:val="32"/>
          <w:highlight w:val="none"/>
        </w:rPr>
        <w:t>年</w:t>
      </w:r>
      <w:r>
        <w:rPr>
          <w:rFonts w:hint="eastAsia" w:ascii="仿宋" w:hAnsi="仿宋" w:eastAsia="仿宋" w:cs="仿宋"/>
          <w:szCs w:val="32"/>
          <w:highlight w:val="none"/>
          <w:lang w:val="en-US" w:eastAsia="zh-CN"/>
        </w:rPr>
        <w:t>评估</w:t>
      </w:r>
      <w:r>
        <w:rPr>
          <w:rFonts w:hint="eastAsia" w:ascii="仿宋" w:hAnsi="仿宋" w:eastAsia="仿宋" w:cs="仿宋"/>
          <w:szCs w:val="32"/>
          <w:highlight w:val="none"/>
        </w:rPr>
        <w:t>调整一次</w:t>
      </w:r>
      <w:r>
        <w:rPr>
          <w:rFonts w:hint="eastAsia" w:ascii="仿宋" w:hAnsi="仿宋" w:eastAsia="仿宋" w:cs="仿宋"/>
          <w:szCs w:val="32"/>
          <w:highlight w:val="none"/>
          <w:lang w:eastAsia="zh-CN"/>
        </w:rPr>
        <w:t>，</w:t>
      </w:r>
      <w:r>
        <w:rPr>
          <w:rFonts w:hint="eastAsia" w:ascii="仿宋" w:hAnsi="仿宋" w:eastAsia="仿宋" w:cs="仿宋"/>
          <w:szCs w:val="32"/>
          <w:highlight w:val="none"/>
          <w:lang w:val="en-US" w:eastAsia="zh-CN"/>
        </w:rPr>
        <w:t>重大政策变化除外</w:t>
      </w:r>
      <w:r>
        <w:rPr>
          <w:rFonts w:hint="eastAsia" w:ascii="仿宋" w:hAnsi="仿宋" w:eastAsia="仿宋" w:cs="仿宋"/>
          <w:szCs w:val="32"/>
          <w:highlight w:val="none"/>
        </w:rPr>
        <w:t>。</w:t>
      </w:r>
    </w:p>
    <w:p w14:paraId="7328C06B">
      <w:pPr>
        <w:keepNext w:val="0"/>
        <w:keepLines w:val="0"/>
        <w:pageBreakBefore w:val="0"/>
        <w:widowControl w:val="0"/>
        <w:kinsoku/>
        <w:wordWrap/>
        <w:overflowPunct/>
        <w:topLinePunct w:val="0"/>
        <w:autoSpaceDE/>
        <w:autoSpaceDN/>
        <w:bidi w:val="0"/>
        <w:adjustRightInd w:val="0"/>
        <w:snapToGrid w:val="0"/>
        <w:spacing w:line="560" w:lineRule="exact"/>
        <w:ind w:firstLine="643"/>
        <w:jc w:val="both"/>
        <w:textAlignment w:val="auto"/>
        <w:rPr>
          <w:rFonts w:hint="eastAsia" w:ascii="仿宋" w:hAnsi="仿宋" w:eastAsia="仿宋" w:cs="仿宋"/>
          <w:szCs w:val="32"/>
          <w:highlight w:val="none"/>
        </w:rPr>
      </w:pPr>
      <w:r>
        <w:rPr>
          <w:rFonts w:hint="eastAsia" w:ascii="仿宋" w:hAnsi="仿宋" w:eastAsia="仿宋" w:cs="仿宋"/>
          <w:b/>
          <w:bCs/>
          <w:szCs w:val="32"/>
          <w:highlight w:val="none"/>
        </w:rPr>
        <w:t>第二十</w:t>
      </w:r>
      <w:r>
        <w:rPr>
          <w:rFonts w:hint="eastAsia" w:ascii="仿宋" w:hAnsi="仿宋" w:eastAsia="仿宋" w:cs="仿宋"/>
          <w:b/>
          <w:bCs/>
          <w:szCs w:val="32"/>
          <w:highlight w:val="none"/>
          <w:lang w:val="en-US" w:eastAsia="zh-CN"/>
        </w:rPr>
        <w:t>三</w:t>
      </w:r>
      <w:r>
        <w:rPr>
          <w:rFonts w:hint="eastAsia" w:ascii="仿宋" w:hAnsi="仿宋" w:eastAsia="仿宋" w:cs="仿宋"/>
          <w:b/>
          <w:bCs/>
          <w:szCs w:val="32"/>
          <w:highlight w:val="none"/>
        </w:rPr>
        <w:t>条</w:t>
      </w:r>
      <w:r>
        <w:rPr>
          <w:rFonts w:hint="eastAsia" w:ascii="仿宋" w:hAnsi="仿宋" w:eastAsia="仿宋" w:cs="仿宋"/>
          <w:szCs w:val="32"/>
          <w:highlight w:val="none"/>
        </w:rPr>
        <w:t xml:space="preserve"> 本办法自印发之日起施行，有效期</w:t>
      </w:r>
      <w:r>
        <w:rPr>
          <w:rFonts w:hint="eastAsia" w:ascii="仿宋" w:hAnsi="仿宋" w:eastAsia="仿宋" w:cs="仿宋"/>
          <w:szCs w:val="32"/>
          <w:highlight w:val="none"/>
          <w:lang w:val="en-US" w:eastAsia="zh-CN"/>
        </w:rPr>
        <w:t>两</w:t>
      </w:r>
      <w:r>
        <w:rPr>
          <w:rFonts w:hint="eastAsia" w:ascii="仿宋" w:hAnsi="仿宋" w:eastAsia="仿宋" w:cs="仿宋"/>
          <w:szCs w:val="32"/>
          <w:highlight w:val="none"/>
        </w:rPr>
        <w:t>年，解释权归张掖市</w:t>
      </w:r>
      <w:r>
        <w:rPr>
          <w:rFonts w:hint="eastAsia" w:ascii="仿宋" w:hAnsi="仿宋" w:eastAsia="仿宋" w:cs="仿宋"/>
          <w:szCs w:val="32"/>
          <w:highlight w:val="none"/>
          <w:lang w:val="en-US" w:eastAsia="zh-CN"/>
        </w:rPr>
        <w:t>发展改革委</w:t>
      </w:r>
      <w:r>
        <w:rPr>
          <w:rFonts w:hint="eastAsia" w:ascii="仿宋" w:hAnsi="仿宋" w:eastAsia="仿宋" w:cs="仿宋"/>
          <w:szCs w:val="32"/>
          <w:highlight w:val="none"/>
        </w:rPr>
        <w:t>所有。</w:t>
      </w:r>
    </w:p>
    <w:p w14:paraId="5E2693FF">
      <w:pPr>
        <w:pStyle w:val="2"/>
        <w:ind w:firstLine="0" w:firstLineChars="0"/>
        <w:rPr>
          <w:rFonts w:hint="eastAsia" w:ascii="黑体" w:hAnsi="黑体" w:eastAsia="黑体" w:cs="黑体"/>
          <w:b w:val="0"/>
          <w:bCs w:val="0"/>
          <w:highlight w:val="none"/>
        </w:rPr>
      </w:pPr>
      <w:bookmarkStart w:id="0" w:name="_GoBack"/>
      <w:bookmarkEnd w:id="0"/>
    </w:p>
    <w:sectPr>
      <w:footerReference r:id="rId5" w:type="default"/>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altName w:val="Times New Roman"/>
    <w:panose1 w:val="020F0302020204030204"/>
    <w:charset w:val="00"/>
    <w:family w:val="swiss"/>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2ACF">
    <w:pPr>
      <w:pStyle w:val="1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A7657">
                          <w:pPr>
                            <w:pStyle w:val="11"/>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9A7657">
                    <w:pPr>
                      <w:pStyle w:val="11"/>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D4044"/>
    <w:multiLevelType w:val="multilevel"/>
    <w:tmpl w:val="26CD4044"/>
    <w:lvl w:ilvl="0" w:tentative="0">
      <w:start w:val="1"/>
      <w:numFmt w:val="chineseCountingThousand"/>
      <w:pStyle w:val="4"/>
      <w:suff w:val="nothing"/>
      <w:lvlText w:val="%1、"/>
      <w:lvlJc w:val="left"/>
      <w:pPr>
        <w:ind w:left="0" w:firstLine="0"/>
      </w:pPr>
      <w:rPr>
        <w:rFonts w:hint="eastAsia"/>
      </w:rPr>
    </w:lvl>
    <w:lvl w:ilvl="1" w:tentative="0">
      <w:start w:val="1"/>
      <w:numFmt w:val="chineseCountingThousand"/>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0"/>
      </w:pPr>
      <w:rPr>
        <w:rFonts w:hint="eastAsia"/>
      </w:rPr>
    </w:lvl>
    <w:lvl w:ilvl="3" w:tentative="0">
      <w:start w:val="1"/>
      <w:numFmt w:val="decimal"/>
      <w:pStyle w:val="8"/>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FF86D9D"/>
    <w:multiLevelType w:val="multilevel"/>
    <w:tmpl w:val="2FF86D9D"/>
    <w:lvl w:ilvl="0" w:tentative="0">
      <w:start w:val="1"/>
      <w:numFmt w:val="none"/>
      <w:suff w:val="nothing"/>
      <w:lvlText w:val=""/>
      <w:lvlJc w:val="left"/>
      <w:pPr>
        <w:ind w:left="0" w:firstLine="403"/>
      </w:pPr>
      <w:rPr>
        <w:rFonts w:hint="eastAsia"/>
      </w:rPr>
    </w:lvl>
    <w:lvl w:ilvl="1" w:tentative="0">
      <w:start w:val="1"/>
      <w:numFmt w:val="chineseCountingThousand"/>
      <w:suff w:val="nothing"/>
      <w:lvlText w:val="%2、"/>
      <w:lvlJc w:val="left"/>
      <w:pPr>
        <w:ind w:left="0" w:firstLine="403"/>
      </w:pPr>
      <w:rPr>
        <w:rFonts w:hint="eastAsia"/>
      </w:rPr>
    </w:lvl>
    <w:lvl w:ilvl="2" w:tentative="0">
      <w:start w:val="1"/>
      <w:numFmt w:val="chineseCountingThousand"/>
      <w:suff w:val="nothing"/>
      <w:lvlText w:val="（%3）"/>
      <w:lvlJc w:val="left"/>
      <w:pPr>
        <w:ind w:left="0" w:firstLine="403"/>
      </w:pPr>
      <w:rPr>
        <w:rFonts w:hint="eastAsia"/>
      </w:rPr>
    </w:lvl>
    <w:lvl w:ilvl="3" w:tentative="0">
      <w:start w:val="1"/>
      <w:numFmt w:val="decimal"/>
      <w:suff w:val="nothing"/>
      <w:lvlText w:val="%4、"/>
      <w:lvlJc w:val="left"/>
      <w:pPr>
        <w:ind w:left="0" w:firstLine="403"/>
      </w:pPr>
      <w:rPr>
        <w:rFonts w:hint="eastAsia"/>
      </w:rPr>
    </w:lvl>
    <w:lvl w:ilvl="4" w:tentative="0">
      <w:start w:val="1"/>
      <w:numFmt w:val="decimal"/>
      <w:suff w:val="nothing"/>
      <w:lvlText w:val="%1（%5）"/>
      <w:lvlJc w:val="left"/>
      <w:pPr>
        <w:ind w:left="0" w:firstLine="403"/>
      </w:pPr>
      <w:rPr>
        <w:rFonts w:hint="eastAsia"/>
      </w:rPr>
    </w:lvl>
    <w:lvl w:ilvl="5" w:tentative="0">
      <w:start w:val="1"/>
      <w:numFmt w:val="decimal"/>
      <w:lvlText w:val="%1.%2.%3.%4.%5.%6"/>
      <w:lvlJc w:val="left"/>
      <w:pPr>
        <w:ind w:left="0" w:firstLine="403"/>
      </w:pPr>
      <w:rPr>
        <w:rFonts w:hint="eastAsia"/>
      </w:rPr>
    </w:lvl>
    <w:lvl w:ilvl="6" w:tentative="0">
      <w:start w:val="1"/>
      <w:numFmt w:val="decimal"/>
      <w:lvlText w:val="%1.%2.%3.%4.%5.%6.%7"/>
      <w:lvlJc w:val="left"/>
      <w:pPr>
        <w:ind w:left="0" w:firstLine="403"/>
      </w:pPr>
      <w:rPr>
        <w:rFonts w:hint="eastAsia"/>
      </w:rPr>
    </w:lvl>
    <w:lvl w:ilvl="7" w:tentative="0">
      <w:start w:val="1"/>
      <w:numFmt w:val="decimal"/>
      <w:lvlText w:val="%1.%2.%3.%4.%5.%6.%7.%8"/>
      <w:lvlJc w:val="left"/>
      <w:pPr>
        <w:ind w:left="0" w:firstLine="403"/>
      </w:pPr>
      <w:rPr>
        <w:rFonts w:hint="eastAsia"/>
      </w:rPr>
    </w:lvl>
    <w:lvl w:ilvl="8" w:tentative="0">
      <w:start w:val="1"/>
      <w:numFmt w:val="decimal"/>
      <w:lvlText w:val="%1.%2.%3.%4.%5.%6.%7.%8.%9"/>
      <w:lvlJc w:val="left"/>
      <w:pPr>
        <w:ind w:left="0" w:firstLine="403"/>
      </w:pPr>
      <w:rPr>
        <w:rFonts w:hint="eastAsia"/>
      </w:rPr>
    </w:lvl>
  </w:abstractNum>
  <w:num w:numId="1">
    <w:abstractNumId w:val="0"/>
  </w:num>
  <w:num w:numId="2">
    <w:abstractNumId w:val="1"/>
    <w:lvlOverride w:ilvl="0">
      <w:lvl w:ilvl="0" w:tentative="1">
        <w:start w:val="0"/>
        <w:numFmt w:val="decimal"/>
        <w:pStyle w:val="15"/>
        <w:lvlText w:val=""/>
        <w:lvlJc w:val="left"/>
      </w:lvl>
    </w:lvlOverride>
    <w:lvlOverride w:ilvl="1">
      <w:lvl w:ilvl="1" w:tentative="1">
        <w:start w:val="1"/>
        <w:numFmt w:val="chineseCountingThousand"/>
        <w:suff w:val="nothing"/>
        <w:lvlText w:val="%2、"/>
        <w:lvlJc w:val="left"/>
        <w:pPr>
          <w:ind w:left="0"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3BE81573"/>
    <w:rsid w:val="00010CC5"/>
    <w:rsid w:val="00022358"/>
    <w:rsid w:val="000B6281"/>
    <w:rsid w:val="000D3A62"/>
    <w:rsid w:val="000E2936"/>
    <w:rsid w:val="001113E5"/>
    <w:rsid w:val="0012678A"/>
    <w:rsid w:val="001577B3"/>
    <w:rsid w:val="00184D15"/>
    <w:rsid w:val="00194D9D"/>
    <w:rsid w:val="001D5E4F"/>
    <w:rsid w:val="00214EA2"/>
    <w:rsid w:val="002545F1"/>
    <w:rsid w:val="00265DCA"/>
    <w:rsid w:val="00267C7D"/>
    <w:rsid w:val="002C19A4"/>
    <w:rsid w:val="002E0511"/>
    <w:rsid w:val="002F2D71"/>
    <w:rsid w:val="00321D46"/>
    <w:rsid w:val="00331AF8"/>
    <w:rsid w:val="0036070E"/>
    <w:rsid w:val="00371ECB"/>
    <w:rsid w:val="0038280C"/>
    <w:rsid w:val="00392F59"/>
    <w:rsid w:val="003C4263"/>
    <w:rsid w:val="004176B6"/>
    <w:rsid w:val="00472339"/>
    <w:rsid w:val="00476F42"/>
    <w:rsid w:val="004A133B"/>
    <w:rsid w:val="004A1F9D"/>
    <w:rsid w:val="00522197"/>
    <w:rsid w:val="00537B19"/>
    <w:rsid w:val="00561C8B"/>
    <w:rsid w:val="005C5304"/>
    <w:rsid w:val="005C5F19"/>
    <w:rsid w:val="005E1759"/>
    <w:rsid w:val="00625D37"/>
    <w:rsid w:val="006408CA"/>
    <w:rsid w:val="00650386"/>
    <w:rsid w:val="00684034"/>
    <w:rsid w:val="006E5D23"/>
    <w:rsid w:val="00703C8C"/>
    <w:rsid w:val="00707179"/>
    <w:rsid w:val="00756BF9"/>
    <w:rsid w:val="00765CA3"/>
    <w:rsid w:val="007A468B"/>
    <w:rsid w:val="007B6BA0"/>
    <w:rsid w:val="008A06C5"/>
    <w:rsid w:val="008C2A36"/>
    <w:rsid w:val="00900BB4"/>
    <w:rsid w:val="0092392D"/>
    <w:rsid w:val="00940071"/>
    <w:rsid w:val="00A145BF"/>
    <w:rsid w:val="00A53D6C"/>
    <w:rsid w:val="00A550BC"/>
    <w:rsid w:val="00A87F74"/>
    <w:rsid w:val="00B05323"/>
    <w:rsid w:val="00B7236A"/>
    <w:rsid w:val="00BB1D83"/>
    <w:rsid w:val="00C106BA"/>
    <w:rsid w:val="00C47BDB"/>
    <w:rsid w:val="00CC26D0"/>
    <w:rsid w:val="00CE57BB"/>
    <w:rsid w:val="00CE5FE9"/>
    <w:rsid w:val="00D0380D"/>
    <w:rsid w:val="00D20847"/>
    <w:rsid w:val="00D229B5"/>
    <w:rsid w:val="00D4530C"/>
    <w:rsid w:val="00D50536"/>
    <w:rsid w:val="00D54A5D"/>
    <w:rsid w:val="00DB32C3"/>
    <w:rsid w:val="00E30147"/>
    <w:rsid w:val="00E5378C"/>
    <w:rsid w:val="00E70C82"/>
    <w:rsid w:val="00E973B7"/>
    <w:rsid w:val="00ED4FD7"/>
    <w:rsid w:val="00F13688"/>
    <w:rsid w:val="00F364E4"/>
    <w:rsid w:val="00F50294"/>
    <w:rsid w:val="00F74725"/>
    <w:rsid w:val="00FA0027"/>
    <w:rsid w:val="00FB03B8"/>
    <w:rsid w:val="00FD2105"/>
    <w:rsid w:val="01453A14"/>
    <w:rsid w:val="01BA5382"/>
    <w:rsid w:val="01EC0334"/>
    <w:rsid w:val="02720839"/>
    <w:rsid w:val="027F6AB2"/>
    <w:rsid w:val="031C2553"/>
    <w:rsid w:val="03CE35CB"/>
    <w:rsid w:val="03FD4132"/>
    <w:rsid w:val="040D4805"/>
    <w:rsid w:val="044A2551"/>
    <w:rsid w:val="044A30F0"/>
    <w:rsid w:val="05687CD1"/>
    <w:rsid w:val="06141C07"/>
    <w:rsid w:val="06787FCA"/>
    <w:rsid w:val="067F6E58"/>
    <w:rsid w:val="070E59E8"/>
    <w:rsid w:val="078F76C3"/>
    <w:rsid w:val="084924B7"/>
    <w:rsid w:val="0863534F"/>
    <w:rsid w:val="09810A3F"/>
    <w:rsid w:val="098531B0"/>
    <w:rsid w:val="0A2E6ADD"/>
    <w:rsid w:val="0B4F0036"/>
    <w:rsid w:val="0BB827E1"/>
    <w:rsid w:val="0BD460C1"/>
    <w:rsid w:val="0C2C43B1"/>
    <w:rsid w:val="0C537058"/>
    <w:rsid w:val="0F827BE2"/>
    <w:rsid w:val="101F078C"/>
    <w:rsid w:val="10A36C40"/>
    <w:rsid w:val="113E5D8A"/>
    <w:rsid w:val="1231129E"/>
    <w:rsid w:val="1287510C"/>
    <w:rsid w:val="128771E6"/>
    <w:rsid w:val="12A92DD2"/>
    <w:rsid w:val="12F232D0"/>
    <w:rsid w:val="130C25E4"/>
    <w:rsid w:val="13A40310"/>
    <w:rsid w:val="13EA5BCE"/>
    <w:rsid w:val="142851FC"/>
    <w:rsid w:val="14995894"/>
    <w:rsid w:val="14C67113"/>
    <w:rsid w:val="14D7254B"/>
    <w:rsid w:val="14E07884"/>
    <w:rsid w:val="14EB7FD7"/>
    <w:rsid w:val="15B928F4"/>
    <w:rsid w:val="162714E3"/>
    <w:rsid w:val="1695644C"/>
    <w:rsid w:val="16D26176"/>
    <w:rsid w:val="17730BB7"/>
    <w:rsid w:val="177D3FFD"/>
    <w:rsid w:val="1796247C"/>
    <w:rsid w:val="18A152D5"/>
    <w:rsid w:val="196D7040"/>
    <w:rsid w:val="19942740"/>
    <w:rsid w:val="1A2D037C"/>
    <w:rsid w:val="1A9F5AEC"/>
    <w:rsid w:val="1AF225C5"/>
    <w:rsid w:val="1B1841D8"/>
    <w:rsid w:val="1BA535D6"/>
    <w:rsid w:val="1BAA4748"/>
    <w:rsid w:val="1C8F393E"/>
    <w:rsid w:val="1CC45D81"/>
    <w:rsid w:val="1D1323D3"/>
    <w:rsid w:val="1D6D0123"/>
    <w:rsid w:val="1D6E79F7"/>
    <w:rsid w:val="1D7768AC"/>
    <w:rsid w:val="1DEB45CA"/>
    <w:rsid w:val="1E734D0E"/>
    <w:rsid w:val="1F212F73"/>
    <w:rsid w:val="1F2D7654"/>
    <w:rsid w:val="1FB54D94"/>
    <w:rsid w:val="20085EE1"/>
    <w:rsid w:val="20323461"/>
    <w:rsid w:val="223034CD"/>
    <w:rsid w:val="22EF5136"/>
    <w:rsid w:val="249C4E4A"/>
    <w:rsid w:val="25696679"/>
    <w:rsid w:val="257F09F3"/>
    <w:rsid w:val="259124F6"/>
    <w:rsid w:val="2599349D"/>
    <w:rsid w:val="25D034DD"/>
    <w:rsid w:val="26EC20B9"/>
    <w:rsid w:val="279F0550"/>
    <w:rsid w:val="27F84A10"/>
    <w:rsid w:val="28245E5F"/>
    <w:rsid w:val="288522BE"/>
    <w:rsid w:val="28A87665"/>
    <w:rsid w:val="290556B4"/>
    <w:rsid w:val="29205D4E"/>
    <w:rsid w:val="294D2BB7"/>
    <w:rsid w:val="2A7C3C80"/>
    <w:rsid w:val="2A981F1A"/>
    <w:rsid w:val="2AAC71B7"/>
    <w:rsid w:val="2AC30448"/>
    <w:rsid w:val="2D4B565F"/>
    <w:rsid w:val="2DC5707D"/>
    <w:rsid w:val="2FCA5339"/>
    <w:rsid w:val="3098505F"/>
    <w:rsid w:val="315562C0"/>
    <w:rsid w:val="319828AE"/>
    <w:rsid w:val="31A552C9"/>
    <w:rsid w:val="31C62146"/>
    <w:rsid w:val="334544AB"/>
    <w:rsid w:val="335649CB"/>
    <w:rsid w:val="337129E6"/>
    <w:rsid w:val="35414F6E"/>
    <w:rsid w:val="35F170FF"/>
    <w:rsid w:val="36105698"/>
    <w:rsid w:val="36DD28D0"/>
    <w:rsid w:val="36F8683E"/>
    <w:rsid w:val="377221F9"/>
    <w:rsid w:val="37B02C8E"/>
    <w:rsid w:val="37F54B45"/>
    <w:rsid w:val="38CD1FDE"/>
    <w:rsid w:val="39E66E3B"/>
    <w:rsid w:val="39F204E9"/>
    <w:rsid w:val="3A1F40FB"/>
    <w:rsid w:val="3A5231A7"/>
    <w:rsid w:val="3AD9074E"/>
    <w:rsid w:val="3B2675C9"/>
    <w:rsid w:val="3B8E7126"/>
    <w:rsid w:val="3BCF47AF"/>
    <w:rsid w:val="3BE31873"/>
    <w:rsid w:val="3BE81573"/>
    <w:rsid w:val="3E970704"/>
    <w:rsid w:val="3F040523"/>
    <w:rsid w:val="3F9558C6"/>
    <w:rsid w:val="400B75FC"/>
    <w:rsid w:val="40542B45"/>
    <w:rsid w:val="406867FC"/>
    <w:rsid w:val="406D317F"/>
    <w:rsid w:val="40CD665F"/>
    <w:rsid w:val="411E6EBB"/>
    <w:rsid w:val="42843695"/>
    <w:rsid w:val="43D45F57"/>
    <w:rsid w:val="43E87697"/>
    <w:rsid w:val="447514E8"/>
    <w:rsid w:val="4513485D"/>
    <w:rsid w:val="45156827"/>
    <w:rsid w:val="45B75373"/>
    <w:rsid w:val="461D1E37"/>
    <w:rsid w:val="465869CB"/>
    <w:rsid w:val="465C221F"/>
    <w:rsid w:val="46B81603"/>
    <w:rsid w:val="476B25B0"/>
    <w:rsid w:val="47B456BA"/>
    <w:rsid w:val="47FB7F56"/>
    <w:rsid w:val="482F7BFF"/>
    <w:rsid w:val="48366CFA"/>
    <w:rsid w:val="485838EC"/>
    <w:rsid w:val="48A04659"/>
    <w:rsid w:val="48AC5C70"/>
    <w:rsid w:val="49417BEA"/>
    <w:rsid w:val="494852C1"/>
    <w:rsid w:val="498118A6"/>
    <w:rsid w:val="49857F4D"/>
    <w:rsid w:val="4A1E3088"/>
    <w:rsid w:val="4A4D25BF"/>
    <w:rsid w:val="4A661EF9"/>
    <w:rsid w:val="4C8449BE"/>
    <w:rsid w:val="4CFE5DF2"/>
    <w:rsid w:val="4D326B8C"/>
    <w:rsid w:val="4D4B6057"/>
    <w:rsid w:val="4DB42EFD"/>
    <w:rsid w:val="4F455F5A"/>
    <w:rsid w:val="4FC155E1"/>
    <w:rsid w:val="50223BC9"/>
    <w:rsid w:val="51413572"/>
    <w:rsid w:val="5178189A"/>
    <w:rsid w:val="520417A7"/>
    <w:rsid w:val="525016ED"/>
    <w:rsid w:val="530028C4"/>
    <w:rsid w:val="530A03A6"/>
    <w:rsid w:val="53452312"/>
    <w:rsid w:val="539D6365"/>
    <w:rsid w:val="54490242"/>
    <w:rsid w:val="54AD2B7D"/>
    <w:rsid w:val="55910872"/>
    <w:rsid w:val="56815ACA"/>
    <w:rsid w:val="56D106EB"/>
    <w:rsid w:val="577B3D89"/>
    <w:rsid w:val="593815EC"/>
    <w:rsid w:val="594F16DA"/>
    <w:rsid w:val="59DD395F"/>
    <w:rsid w:val="5A7F7B1F"/>
    <w:rsid w:val="5A865E53"/>
    <w:rsid w:val="5AB2265E"/>
    <w:rsid w:val="5AE467E4"/>
    <w:rsid w:val="5B7C4AB2"/>
    <w:rsid w:val="5B7FA6F7"/>
    <w:rsid w:val="5B835E40"/>
    <w:rsid w:val="5BEA3E7B"/>
    <w:rsid w:val="5BFB15D1"/>
    <w:rsid w:val="5C1647D5"/>
    <w:rsid w:val="5C1F025F"/>
    <w:rsid w:val="5C5617A7"/>
    <w:rsid w:val="5CCC3A62"/>
    <w:rsid w:val="5D1C4CCC"/>
    <w:rsid w:val="5D2609C8"/>
    <w:rsid w:val="5D2D20D9"/>
    <w:rsid w:val="5D2D4EE1"/>
    <w:rsid w:val="5DE97722"/>
    <w:rsid w:val="600A2540"/>
    <w:rsid w:val="60DE6B1A"/>
    <w:rsid w:val="613104DA"/>
    <w:rsid w:val="63F44780"/>
    <w:rsid w:val="63FE46E1"/>
    <w:rsid w:val="65F8567D"/>
    <w:rsid w:val="66040DA7"/>
    <w:rsid w:val="677A73C5"/>
    <w:rsid w:val="67850786"/>
    <w:rsid w:val="67901ADF"/>
    <w:rsid w:val="686D7A6C"/>
    <w:rsid w:val="69304DA6"/>
    <w:rsid w:val="69E6250E"/>
    <w:rsid w:val="6A1F4F7F"/>
    <w:rsid w:val="6B3E7FD6"/>
    <w:rsid w:val="6B871A06"/>
    <w:rsid w:val="6CAB169B"/>
    <w:rsid w:val="6D2233EA"/>
    <w:rsid w:val="6E070BBA"/>
    <w:rsid w:val="6E1C0341"/>
    <w:rsid w:val="6EF70BC7"/>
    <w:rsid w:val="6FD0517F"/>
    <w:rsid w:val="6FD736E6"/>
    <w:rsid w:val="704915C5"/>
    <w:rsid w:val="71D96DC8"/>
    <w:rsid w:val="724D23EB"/>
    <w:rsid w:val="73343B58"/>
    <w:rsid w:val="735314CD"/>
    <w:rsid w:val="739E5AB6"/>
    <w:rsid w:val="74566F42"/>
    <w:rsid w:val="74632C61"/>
    <w:rsid w:val="746F2544"/>
    <w:rsid w:val="750B5159"/>
    <w:rsid w:val="7581743D"/>
    <w:rsid w:val="773C387A"/>
    <w:rsid w:val="77B86B27"/>
    <w:rsid w:val="79AA7F5D"/>
    <w:rsid w:val="7A3E04A1"/>
    <w:rsid w:val="7B3867F0"/>
    <w:rsid w:val="7B3D7C92"/>
    <w:rsid w:val="7B89704B"/>
    <w:rsid w:val="7B901E88"/>
    <w:rsid w:val="7C211BE0"/>
    <w:rsid w:val="7C74451B"/>
    <w:rsid w:val="7C7F12D0"/>
    <w:rsid w:val="7CB92239"/>
    <w:rsid w:val="7CCE0C48"/>
    <w:rsid w:val="7CF45412"/>
    <w:rsid w:val="7D2D6BAC"/>
    <w:rsid w:val="7D7D673C"/>
    <w:rsid w:val="7D7F51E6"/>
    <w:rsid w:val="7DC223A1"/>
    <w:rsid w:val="7DFD3304"/>
    <w:rsid w:val="7E386B07"/>
    <w:rsid w:val="7EBB39C0"/>
    <w:rsid w:val="7EC31E78"/>
    <w:rsid w:val="7FFE668C"/>
    <w:rsid w:val="DFB9B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next w:val="5"/>
    <w:link w:val="26"/>
    <w:autoRedefine/>
    <w:qFormat/>
    <w:uiPriority w:val="0"/>
    <w:pPr>
      <w:numPr>
        <w:ilvl w:val="0"/>
        <w:numId w:val="1"/>
      </w:numPr>
      <w:spacing w:line="360" w:lineRule="auto"/>
      <w:outlineLvl w:val="0"/>
    </w:pPr>
    <w:rPr>
      <w:rFonts w:ascii="Arial" w:hAnsi="Arial" w:eastAsia="黑体" w:cstheme="minorBidi"/>
      <w:kern w:val="2"/>
      <w:sz w:val="32"/>
      <w:szCs w:val="21"/>
      <w:lang w:val="en-US" w:eastAsia="zh-CN" w:bidi="ar-SA"/>
    </w:rPr>
  </w:style>
  <w:style w:type="paragraph" w:styleId="6">
    <w:name w:val="heading 2"/>
    <w:next w:val="5"/>
    <w:link w:val="29"/>
    <w:autoRedefine/>
    <w:qFormat/>
    <w:uiPriority w:val="0"/>
    <w:pPr>
      <w:numPr>
        <w:ilvl w:val="1"/>
        <w:numId w:val="1"/>
      </w:numPr>
      <w:spacing w:line="360" w:lineRule="auto"/>
      <w:outlineLvl w:val="1"/>
    </w:pPr>
    <w:rPr>
      <w:rFonts w:ascii="楷体" w:hAnsi="楷体" w:eastAsia="楷体" w:cs="楷体"/>
      <w:kern w:val="2"/>
      <w:sz w:val="32"/>
      <w:szCs w:val="32"/>
      <w:lang w:val="en-US" w:eastAsia="zh-CN" w:bidi="ar-SA"/>
    </w:rPr>
  </w:style>
  <w:style w:type="paragraph" w:styleId="7">
    <w:name w:val="heading 3"/>
    <w:next w:val="5"/>
    <w:link w:val="30"/>
    <w:autoRedefine/>
    <w:qFormat/>
    <w:uiPriority w:val="0"/>
    <w:pPr>
      <w:numPr>
        <w:ilvl w:val="2"/>
        <w:numId w:val="1"/>
      </w:numPr>
      <w:spacing w:line="360" w:lineRule="auto"/>
      <w:ind w:firstLine="200" w:firstLineChars="200"/>
      <w:outlineLvl w:val="2"/>
      <w:pPrChange w:id="0" w:author="菲 若" w:date="2026-03-05T11:18:00Z">
        <w:pPr>
          <w:numPr>
            <w:ilvl w:val="2"/>
            <w:numId w:val="1"/>
          </w:numPr>
          <w:spacing w:line="360" w:lineRule="auto"/>
          <w:outlineLvl w:val="2"/>
        </w:pPr>
      </w:pPrChange>
    </w:pPr>
    <w:rPr>
      <w:rFonts w:ascii="仿宋" w:hAnsi="仿宋" w:eastAsia="仿宋" w:cs="仿宋"/>
      <w:kern w:val="2"/>
      <w:sz w:val="32"/>
      <w:szCs w:val="32"/>
      <w:lang w:val="en-US" w:eastAsia="zh-CN" w:bidi="ar-SA"/>
      <w:rPrChange w:id="1" w:author="菲 若" w:date="2026-03-05T11:18:00Z">
        <w:rPr>
          <w:rFonts w:ascii="仿宋" w:hAnsi="仿宋" w:eastAsia="仿宋" w:cs="仿宋"/>
          <w:kern w:val="2"/>
          <w:sz w:val="32"/>
          <w:szCs w:val="32"/>
          <w:lang w:val="en-US" w:eastAsia="zh-CN" w:bidi="ar-SA"/>
        </w:rPr>
      </w:rPrChange>
    </w:rPr>
  </w:style>
  <w:style w:type="paragraph" w:styleId="8">
    <w:name w:val="heading 4"/>
    <w:next w:val="1"/>
    <w:link w:val="31"/>
    <w:autoRedefine/>
    <w:qFormat/>
    <w:uiPriority w:val="0"/>
    <w:pPr>
      <w:numPr>
        <w:ilvl w:val="3"/>
        <w:numId w:val="1"/>
      </w:numPr>
      <w:spacing w:line="360" w:lineRule="auto"/>
      <w:ind w:firstLineChars="200"/>
      <w:outlineLvl w:val="3"/>
    </w:pPr>
    <w:rPr>
      <w:rFonts w:ascii="仿宋" w:hAnsi="仿宋" w:eastAsia="仿宋" w:cs="仿宋"/>
      <w:kern w:val="2"/>
      <w:sz w:val="32"/>
      <w:szCs w:val="32"/>
      <w:lang w:val="en-US" w:eastAsia="zh-CN" w:bidi="ar-SA"/>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0" w:leftChars="0"/>
      <w:jc w:val="left"/>
    </w:pPr>
  </w:style>
  <w:style w:type="paragraph" w:styleId="3">
    <w:name w:val="Body Text Indent"/>
    <w:basedOn w:val="1"/>
    <w:autoRedefine/>
    <w:qFormat/>
    <w:uiPriority w:val="0"/>
    <w:pPr>
      <w:spacing w:after="120"/>
      <w:ind w:left="420" w:leftChars="200"/>
    </w:pPr>
  </w:style>
  <w:style w:type="paragraph" w:customStyle="1" w:styleId="5">
    <w:name w:val="A公文正文"/>
    <w:link w:val="23"/>
    <w:autoRedefine/>
    <w:qFormat/>
    <w:uiPriority w:val="0"/>
    <w:pPr>
      <w:spacing w:line="360" w:lineRule="auto"/>
      <w:ind w:firstLine="200" w:firstLineChars="200"/>
    </w:pPr>
    <w:rPr>
      <w:rFonts w:ascii="仿宋" w:hAnsi="仿宋" w:eastAsia="仿宋" w:cs="仿宋"/>
      <w:kern w:val="2"/>
      <w:sz w:val="32"/>
      <w:szCs w:val="32"/>
      <w:lang w:val="en-US" w:eastAsia="zh-CN" w:bidi="ar-SA"/>
    </w:rPr>
  </w:style>
  <w:style w:type="paragraph" w:styleId="9">
    <w:name w:val="annotation text"/>
    <w:basedOn w:val="1"/>
    <w:qFormat/>
    <w:uiPriority w:val="0"/>
    <w:pPr>
      <w:jc w:val="left"/>
    </w:pPr>
  </w:style>
  <w:style w:type="paragraph" w:styleId="10">
    <w:name w:val="toc 3"/>
    <w:basedOn w:val="1"/>
    <w:next w:val="1"/>
    <w:autoRedefine/>
    <w:unhideWhenUsed/>
    <w:qFormat/>
    <w:uiPriority w:val="39"/>
    <w:pPr>
      <w:widowControl/>
      <w:spacing w:after="100" w:line="259" w:lineRule="auto"/>
      <w:ind w:left="440" w:firstLine="0" w:firstLineChars="0"/>
      <w:jc w:val="left"/>
    </w:pPr>
    <w:rPr>
      <w:rFonts w:asciiTheme="minorHAnsi" w:hAnsiTheme="minorHAnsi" w:eastAsiaTheme="minorEastAsia"/>
      <w:kern w:val="0"/>
      <w:sz w:val="22"/>
    </w:rPr>
  </w:style>
  <w:style w:type="paragraph" w:styleId="11">
    <w:name w:val="footer"/>
    <w:basedOn w:val="1"/>
    <w:autoRedefine/>
    <w:unhideWhenUsed/>
    <w:qFormat/>
    <w:uiPriority w:val="99"/>
    <w:pPr>
      <w:tabs>
        <w:tab w:val="center" w:pos="4153"/>
        <w:tab w:val="right" w:pos="8306"/>
      </w:tabs>
      <w:snapToGrid w:val="0"/>
      <w:jc w:val="left"/>
    </w:pPr>
    <w:rPr>
      <w:rFonts w:ascii="Times New Roman" w:hAnsi="Times New Roman"/>
      <w:sz w:val="18"/>
      <w:szCs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unhideWhenUsed/>
    <w:qFormat/>
    <w:uiPriority w:val="39"/>
    <w:pPr>
      <w:widowControl/>
      <w:spacing w:after="100" w:line="259" w:lineRule="auto"/>
      <w:ind w:firstLine="0" w:firstLineChars="0"/>
      <w:jc w:val="left"/>
    </w:pPr>
    <w:rPr>
      <w:rFonts w:asciiTheme="minorHAnsi" w:hAnsiTheme="minorHAnsi" w:eastAsiaTheme="minorEastAsia"/>
      <w:kern w:val="0"/>
      <w:sz w:val="22"/>
    </w:rPr>
  </w:style>
  <w:style w:type="paragraph" w:styleId="14">
    <w:name w:val="toc 2"/>
    <w:basedOn w:val="1"/>
    <w:next w:val="1"/>
    <w:autoRedefine/>
    <w:unhideWhenUsed/>
    <w:qFormat/>
    <w:uiPriority w:val="39"/>
    <w:pPr>
      <w:widowControl/>
      <w:spacing w:after="100" w:line="259" w:lineRule="auto"/>
      <w:ind w:left="220" w:firstLine="0" w:firstLineChars="0"/>
      <w:jc w:val="left"/>
    </w:pPr>
    <w:rPr>
      <w:rFonts w:asciiTheme="minorHAnsi" w:hAnsiTheme="minorHAnsi" w:eastAsiaTheme="minorEastAsia"/>
      <w:kern w:val="0"/>
      <w:sz w:val="22"/>
    </w:rPr>
  </w:style>
  <w:style w:type="paragraph" w:styleId="15">
    <w:name w:val="Title"/>
    <w:next w:val="5"/>
    <w:link w:val="28"/>
    <w:autoRedefine/>
    <w:qFormat/>
    <w:uiPriority w:val="0"/>
    <w:pPr>
      <w:numPr>
        <w:ilvl w:val="0"/>
        <w:numId w:val="2"/>
      </w:numPr>
      <w:spacing w:line="360" w:lineRule="auto"/>
      <w:jc w:val="center"/>
    </w:pPr>
    <w:rPr>
      <w:rFonts w:ascii="方正小标宋简体" w:hAnsi="Arial" w:eastAsia="方正小标宋简体" w:cstheme="minorBidi"/>
      <w:bCs/>
      <w:kern w:val="2"/>
      <w:sz w:val="44"/>
      <w:lang w:val="en-US" w:eastAsia="zh-CN" w:bidi="ar-SA"/>
    </w:rPr>
  </w:style>
  <w:style w:type="character" w:customStyle="1" w:styleId="18">
    <w:name w:val="font31"/>
    <w:basedOn w:val="17"/>
    <w:autoRedefine/>
    <w:qFormat/>
    <w:uiPriority w:val="0"/>
    <w:rPr>
      <w:rFonts w:hint="eastAsia" w:ascii="仿宋_GB2312" w:eastAsia="仿宋_GB2312" w:cs="仿宋_GB2312"/>
      <w:color w:val="000000"/>
      <w:sz w:val="24"/>
      <w:szCs w:val="24"/>
      <w:u w:val="none"/>
    </w:rPr>
  </w:style>
  <w:style w:type="character" w:customStyle="1" w:styleId="19">
    <w:name w:val="font61"/>
    <w:basedOn w:val="17"/>
    <w:autoRedefine/>
    <w:qFormat/>
    <w:uiPriority w:val="0"/>
    <w:rPr>
      <w:rFonts w:ascii="方正黑体_GBK" w:hAnsi="方正黑体_GBK" w:eastAsia="方正黑体_GBK" w:cs="方正黑体_GBK"/>
      <w:color w:val="000000"/>
      <w:sz w:val="24"/>
      <w:szCs w:val="24"/>
      <w:u w:val="none"/>
    </w:rPr>
  </w:style>
  <w:style w:type="character" w:customStyle="1" w:styleId="20">
    <w:name w:val="font41"/>
    <w:basedOn w:val="17"/>
    <w:autoRedefine/>
    <w:qFormat/>
    <w:uiPriority w:val="0"/>
    <w:rPr>
      <w:rFonts w:hint="default" w:ascii="方正仿宋_GBK" w:hAnsi="方正仿宋_GBK" w:eastAsia="方正仿宋_GBK" w:cs="方正仿宋_GBK"/>
      <w:color w:val="000000"/>
      <w:sz w:val="24"/>
      <w:szCs w:val="24"/>
      <w:u w:val="none"/>
    </w:rPr>
  </w:style>
  <w:style w:type="character" w:customStyle="1" w:styleId="21">
    <w:name w:val="font51"/>
    <w:basedOn w:val="17"/>
    <w:autoRedefine/>
    <w:qFormat/>
    <w:uiPriority w:val="0"/>
    <w:rPr>
      <w:rFonts w:hint="eastAsia" w:ascii="宋体" w:hAnsi="宋体" w:eastAsia="宋体" w:cs="宋体"/>
      <w:color w:val="000000"/>
      <w:sz w:val="24"/>
      <w:szCs w:val="24"/>
      <w:u w:val="none"/>
    </w:rPr>
  </w:style>
  <w:style w:type="paragraph" w:customStyle="1" w:styleId="22">
    <w:name w:val="Revision"/>
    <w:autoRedefine/>
    <w:hidden/>
    <w:unhideWhenUsed/>
    <w:qFormat/>
    <w:uiPriority w:val="99"/>
    <w:rPr>
      <w:rFonts w:ascii="Calibri" w:hAnsi="Calibri" w:eastAsia="仿宋_GB2312" w:cs="Times New Roman"/>
      <w:kern w:val="2"/>
      <w:sz w:val="32"/>
      <w:szCs w:val="22"/>
      <w:lang w:val="en-US" w:eastAsia="zh-CN" w:bidi="ar-SA"/>
    </w:rPr>
  </w:style>
  <w:style w:type="character" w:customStyle="1" w:styleId="23">
    <w:name w:val="A公文正文 字符"/>
    <w:basedOn w:val="17"/>
    <w:link w:val="5"/>
    <w:autoRedefine/>
    <w:qFormat/>
    <w:uiPriority w:val="0"/>
    <w:rPr>
      <w:rFonts w:ascii="仿宋" w:hAnsi="仿宋" w:eastAsia="仿宋" w:cs="仿宋"/>
      <w:kern w:val="2"/>
      <w:sz w:val="32"/>
      <w:szCs w:val="32"/>
    </w:rPr>
  </w:style>
  <w:style w:type="paragraph" w:customStyle="1" w:styleId="24">
    <w:name w:val="A图表"/>
    <w:basedOn w:val="5"/>
    <w:link w:val="25"/>
    <w:autoRedefine/>
    <w:qFormat/>
    <w:uiPriority w:val="0"/>
    <w:pPr>
      <w:ind w:firstLine="0" w:firstLineChars="0"/>
      <w:jc w:val="center"/>
    </w:pPr>
  </w:style>
  <w:style w:type="character" w:customStyle="1" w:styleId="25">
    <w:name w:val="A图表 字符"/>
    <w:basedOn w:val="23"/>
    <w:link w:val="24"/>
    <w:autoRedefine/>
    <w:qFormat/>
    <w:uiPriority w:val="0"/>
    <w:rPr>
      <w:rFonts w:ascii="仿宋" w:hAnsi="仿宋" w:eastAsia="仿宋" w:cs="仿宋"/>
      <w:kern w:val="2"/>
      <w:sz w:val="32"/>
      <w:szCs w:val="32"/>
    </w:rPr>
  </w:style>
  <w:style w:type="character" w:customStyle="1" w:styleId="26">
    <w:name w:val="标题 1 字符"/>
    <w:basedOn w:val="17"/>
    <w:link w:val="4"/>
    <w:autoRedefine/>
    <w:qFormat/>
    <w:uiPriority w:val="0"/>
    <w:rPr>
      <w:rFonts w:ascii="Arial" w:hAnsi="Arial" w:eastAsia="黑体" w:cstheme="minorBidi"/>
      <w:kern w:val="2"/>
      <w:sz w:val="32"/>
      <w:szCs w:val="21"/>
    </w:rPr>
  </w:style>
  <w:style w:type="paragraph" w:customStyle="1" w:styleId="27">
    <w:name w:val="TOC Heading"/>
    <w:basedOn w:val="4"/>
    <w:next w:val="1"/>
    <w:autoRedefine/>
    <w:unhideWhenUsed/>
    <w:qFormat/>
    <w:uiPriority w:val="39"/>
    <w:pPr>
      <w:spacing w:before="240" w:line="259" w:lineRule="auto"/>
      <w:outlineLvl w:val="9"/>
    </w:pPr>
    <w:rPr>
      <w:rFonts w:asciiTheme="majorHAnsi" w:hAnsiTheme="majorHAnsi" w:eastAsiaTheme="majorEastAsia" w:cstheme="majorBidi"/>
      <w:b/>
      <w:bCs/>
      <w:color w:val="2E75B6" w:themeColor="accent1" w:themeShade="BF"/>
      <w:kern w:val="0"/>
      <w:szCs w:val="32"/>
    </w:rPr>
  </w:style>
  <w:style w:type="character" w:customStyle="1" w:styleId="28">
    <w:name w:val="标题 字符"/>
    <w:basedOn w:val="17"/>
    <w:link w:val="15"/>
    <w:autoRedefine/>
    <w:qFormat/>
    <w:uiPriority w:val="0"/>
    <w:rPr>
      <w:rFonts w:ascii="方正小标宋简体" w:hAnsi="Arial" w:eastAsia="方正小标宋简体" w:cstheme="minorBidi"/>
      <w:bCs/>
      <w:kern w:val="2"/>
      <w:sz w:val="44"/>
    </w:rPr>
  </w:style>
  <w:style w:type="character" w:customStyle="1" w:styleId="29">
    <w:name w:val="标题 2 字符"/>
    <w:basedOn w:val="17"/>
    <w:link w:val="6"/>
    <w:autoRedefine/>
    <w:qFormat/>
    <w:uiPriority w:val="0"/>
    <w:rPr>
      <w:rFonts w:ascii="楷体" w:hAnsi="楷体" w:eastAsia="楷体" w:cs="楷体"/>
      <w:kern w:val="2"/>
      <w:sz w:val="32"/>
      <w:szCs w:val="32"/>
    </w:rPr>
  </w:style>
  <w:style w:type="character" w:customStyle="1" w:styleId="30">
    <w:name w:val="标题 3 字符"/>
    <w:basedOn w:val="17"/>
    <w:link w:val="7"/>
    <w:autoRedefine/>
    <w:qFormat/>
    <w:uiPriority w:val="0"/>
    <w:rPr>
      <w:rFonts w:ascii="仿宋" w:hAnsi="仿宋" w:eastAsia="仿宋" w:cs="仿宋"/>
      <w:kern w:val="2"/>
      <w:sz w:val="32"/>
      <w:szCs w:val="32"/>
    </w:rPr>
  </w:style>
  <w:style w:type="character" w:customStyle="1" w:styleId="31">
    <w:name w:val="标题 4 字符"/>
    <w:basedOn w:val="17"/>
    <w:link w:val="8"/>
    <w:autoRedefine/>
    <w:qFormat/>
    <w:uiPriority w:val="0"/>
    <w:rPr>
      <w:rFonts w:ascii="仿宋" w:hAnsi="仿宋" w:eastAsia="仿宋" w:cs="仿宋"/>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decc22d8-f6e3-43f8-ade0-8f767caf9352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2A88E2C0</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2ddbf326-1a81-4f77-adc9-d2be0786055f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2A88E2C0</paraID>
      <start xmlns="http://schemas.wps.cn/vas-ai-hub/contract-review">80</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3d34ec-3cfd-43ef-8838-26ba96713868}">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3032</Words>
  <Characters>3075</Characters>
  <Lines>263</Lines>
  <Paragraphs>99</Paragraphs>
  <TotalTime>231</TotalTime>
  <ScaleCrop>false</ScaleCrop>
  <LinksUpToDate>false</LinksUpToDate>
  <CharactersWithSpaces>3110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2025-06-26T15:54:00Z</dcterms:created>
  <dc:creator>John</dc:creator>
  <cp:lastModifiedBy>YC</cp:lastModifiedBy>
  <cp:lastPrinted>2026-05-26T15:58:00Z</cp:lastPrinted>
  <dcterms:modified xsi:type="dcterms:W3CDTF">2026-05-25T17:30:49Z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5521EAE4A6E74EB893E1FDF1F6BCD2E7_13</vt:lpwstr>
  </property>
  <property fmtid="{D5CDD505-2E9C-101B-9397-08002B2CF9AE}" pid="4" name="KSOTemplateDocerSaveRecord">
    <vt:lpwstr>eyJoZGlkIjoiZDliOWM2MzNlZjk4NTNhNjlmZThmZjcxNGE1Y2Q0ZmIiLCJ1c2VySWQiOiIyNjM5Mzc4MDYifQ==</vt:lpwstr>
  </property>
</Properties>
</file>